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029606598"/>
        <w:docPartObj>
          <w:docPartGallery w:val="Cover Pages"/>
          <w:docPartUnique/>
        </w:docPartObj>
      </w:sdtPr>
      <w:sdtEndPr>
        <w:rPr>
          <w:noProof/>
        </w:rPr>
      </w:sdtEndPr>
      <w:sdtContent>
        <w:p w14:paraId="440BD216" w14:textId="174698B9" w:rsidR="00E57CC4" w:rsidRDefault="00E57CC4"/>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209"/>
          </w:tblGrid>
          <w:tr w:rsidR="00E57CC4" w14:paraId="28F445E9" w14:textId="77777777">
            <w:tc>
              <w:tcPr>
                <w:tcW w:w="7672" w:type="dxa"/>
                <w:tcMar>
                  <w:top w:w="216" w:type="dxa"/>
                  <w:left w:w="115" w:type="dxa"/>
                  <w:bottom w:w="216" w:type="dxa"/>
                  <w:right w:w="115" w:type="dxa"/>
                </w:tcMar>
              </w:tcPr>
              <w:p w14:paraId="1487632C" w14:textId="6BFF14CF" w:rsidR="00E57CC4" w:rsidRDefault="00E57CC4">
                <w:pPr>
                  <w:pStyle w:val="NoSpacing"/>
                  <w:rPr>
                    <w:color w:val="2F5496" w:themeColor="accent1" w:themeShade="BF"/>
                    <w:sz w:val="24"/>
                  </w:rPr>
                </w:pPr>
              </w:p>
            </w:tc>
          </w:tr>
          <w:tr w:rsidR="00E57CC4" w14:paraId="075EE07F" w14:textId="77777777">
            <w:tc>
              <w:tcPr>
                <w:tcW w:w="7672" w:type="dxa"/>
              </w:tcPr>
              <w:p w14:paraId="3E2AB497" w14:textId="7518CB72" w:rsidR="00E57CC4" w:rsidRDefault="00E57CC4">
                <w:pPr>
                  <w:pStyle w:val="NoSpacing"/>
                  <w:spacing w:line="216" w:lineRule="auto"/>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color w:val="4472C4" w:themeColor="accent1"/>
                    <w:sz w:val="88"/>
                    <w:szCs w:val="88"/>
                  </w:rPr>
                  <w:t>Independent expert report on the risks of intentional self-poisoning with paracetamol</w:t>
                </w:r>
              </w:p>
            </w:tc>
          </w:tr>
          <w:tr w:rsidR="00E57CC4" w14:paraId="2122BE02" w14:textId="77777777">
            <w:tc>
              <w:tcPr>
                <w:tcW w:w="7672" w:type="dxa"/>
                <w:tcMar>
                  <w:top w:w="216" w:type="dxa"/>
                  <w:left w:w="115" w:type="dxa"/>
                  <w:bottom w:w="216" w:type="dxa"/>
                  <w:right w:w="115" w:type="dxa"/>
                </w:tcMar>
              </w:tcPr>
              <w:p w14:paraId="5DD7213B" w14:textId="71E0FA6F" w:rsidR="00E57CC4" w:rsidRDefault="00E57CC4">
                <w:pPr>
                  <w:pStyle w:val="NoSpacing"/>
                  <w:rPr>
                    <w:color w:val="2F5496" w:themeColor="accent1" w:themeShade="BF"/>
                    <w:sz w:val="24"/>
                  </w:rPr>
                </w:pPr>
              </w:p>
            </w:tc>
          </w:tr>
        </w:tbl>
        <w:tbl>
          <w:tblPr>
            <w:tblpPr w:leftFromText="187" w:rightFromText="187" w:horzAnchor="margin" w:tblpXSpec="center" w:tblpYSpec="bottom"/>
            <w:tblW w:w="3857" w:type="pct"/>
            <w:tblLook w:val="04A0" w:firstRow="1" w:lastRow="0" w:firstColumn="1" w:lastColumn="0" w:noHBand="0" w:noVBand="1"/>
          </w:tblPr>
          <w:tblGrid>
            <w:gridCol w:w="6963"/>
          </w:tblGrid>
          <w:tr w:rsidR="00E57CC4" w14:paraId="0D736B57" w14:textId="77777777">
            <w:tc>
              <w:tcPr>
                <w:tcW w:w="7221" w:type="dxa"/>
                <w:tcMar>
                  <w:top w:w="216" w:type="dxa"/>
                  <w:left w:w="115" w:type="dxa"/>
                  <w:bottom w:w="216" w:type="dxa"/>
                  <w:right w:w="115" w:type="dxa"/>
                </w:tcMar>
              </w:tcPr>
              <w:p w14:paraId="4CE029F1" w14:textId="4C25B062" w:rsidR="00E57CC4" w:rsidRDefault="00E57CC4">
                <w:pPr>
                  <w:pStyle w:val="NoSpacing"/>
                  <w:rPr>
                    <w:color w:val="4472C4" w:themeColor="accent1"/>
                    <w:sz w:val="28"/>
                    <w:szCs w:val="28"/>
                  </w:rPr>
                </w:pPr>
                <w:r>
                  <w:rPr>
                    <w:color w:val="4472C4" w:themeColor="accent1"/>
                    <w:sz w:val="28"/>
                    <w:szCs w:val="28"/>
                  </w:rPr>
                  <w:t>Independent expert panel: Professor Nicholas Buckley, Professor Alison Calear and Professor Helen Christensen</w:t>
                </w:r>
              </w:p>
              <w:p w14:paraId="4EB5ECE0" w14:textId="73C57199" w:rsidR="00E57CC4" w:rsidRDefault="00E57CC4">
                <w:pPr>
                  <w:pStyle w:val="NoSpacing"/>
                  <w:rPr>
                    <w:color w:val="4472C4" w:themeColor="accent1"/>
                    <w:sz w:val="28"/>
                    <w:szCs w:val="28"/>
                  </w:rPr>
                </w:pPr>
              </w:p>
              <w:p w14:paraId="344D1D8D" w14:textId="77777777" w:rsidR="00E57CC4" w:rsidRDefault="00E57CC4">
                <w:pPr>
                  <w:pStyle w:val="NoSpacing"/>
                  <w:rPr>
                    <w:color w:val="4472C4" w:themeColor="accent1"/>
                  </w:rPr>
                </w:pPr>
              </w:p>
            </w:tc>
          </w:tr>
        </w:tbl>
        <w:p w14:paraId="36DC7F49" w14:textId="111B757B" w:rsidR="00E57CC4" w:rsidRDefault="00E57CC4">
          <w:pPr>
            <w:rPr>
              <w:rFonts w:asciiTheme="majorHAnsi" w:eastAsiaTheme="majorEastAsia" w:hAnsiTheme="majorHAnsi" w:cstheme="majorBidi"/>
              <w:noProof/>
              <w:color w:val="2F5496" w:themeColor="accent1" w:themeShade="BF"/>
              <w:sz w:val="32"/>
              <w:szCs w:val="32"/>
            </w:rPr>
          </w:pPr>
          <w:r>
            <w:rPr>
              <w:noProof/>
            </w:rPr>
            <w:br w:type="page"/>
          </w:r>
        </w:p>
      </w:sdtContent>
    </w:sdt>
    <w:p w14:paraId="0F46C257" w14:textId="77F611EB" w:rsidR="0009451D" w:rsidRDefault="00AC1124">
      <w:pPr>
        <w:pStyle w:val="Heading1"/>
      </w:pPr>
      <w:bookmarkStart w:id="0" w:name="_Toc112843889"/>
      <w:r>
        <w:lastRenderedPageBreak/>
        <w:t>Authors</w:t>
      </w:r>
      <w:bookmarkEnd w:id="0"/>
    </w:p>
    <w:p w14:paraId="06D8D14B" w14:textId="3ADB6F39" w:rsidR="0009451D" w:rsidRPr="00416081" w:rsidRDefault="0009451D" w:rsidP="0009451D">
      <w:pPr>
        <w:spacing w:line="240" w:lineRule="auto"/>
        <w:rPr>
          <w:rFonts w:cs="Times New Roman"/>
          <w:noProof/>
        </w:rPr>
      </w:pPr>
      <w:r w:rsidRPr="00416081">
        <w:rPr>
          <w:rFonts w:cs="Times New Roman"/>
          <w:noProof/>
        </w:rPr>
        <w:t>Th</w:t>
      </w:r>
      <w:r>
        <w:rPr>
          <w:rFonts w:cs="Times New Roman"/>
          <w:noProof/>
        </w:rPr>
        <w:t>is report was written by:</w:t>
      </w:r>
    </w:p>
    <w:p w14:paraId="6A0B1914" w14:textId="10CA40EC"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Professor Nick Buckley (University of Sydney &amp; NSW Poisons Information Centre) </w:t>
      </w:r>
    </w:p>
    <w:p w14:paraId="46CDFCF1" w14:textId="5F53C852"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Professor Alison Calear (Centre for Mental Health Research, ANU) </w:t>
      </w:r>
    </w:p>
    <w:p w14:paraId="676D79DF" w14:textId="1C21D78E"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Dr Rose Cairns (University of Sydney &amp; NSW Poisons Information Centre) </w:t>
      </w:r>
    </w:p>
    <w:p w14:paraId="6DE9556C" w14:textId="011805E6"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Dr Natalie Reily (Black Dog Institute, UNSW) </w:t>
      </w:r>
    </w:p>
    <w:p w14:paraId="2B7F0247" w14:textId="4B007488"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Dr Samantha Tang (Black Dog Institute, UNSW) </w:t>
      </w:r>
    </w:p>
    <w:p w14:paraId="428722F4" w14:textId="2AC88B93" w:rsidR="00E414E6" w:rsidRPr="00E414E6" w:rsidRDefault="00E414E6" w:rsidP="00E414E6">
      <w:pPr>
        <w:pStyle w:val="ListParagraph"/>
        <w:numPr>
          <w:ilvl w:val="0"/>
          <w:numId w:val="138"/>
        </w:numPr>
        <w:spacing w:after="40" w:line="240" w:lineRule="auto"/>
        <w:rPr>
          <w:rFonts w:cs="Times New Roman"/>
          <w:noProof/>
        </w:rPr>
      </w:pPr>
      <w:r w:rsidRPr="00E414E6">
        <w:rPr>
          <w:rFonts w:cs="Times New Roman"/>
          <w:noProof/>
        </w:rPr>
        <w:t xml:space="preserve">Dr Sonia McCallum (Centre for Mental Health Research, ANU) </w:t>
      </w:r>
    </w:p>
    <w:p w14:paraId="598E388D" w14:textId="0CA13A92" w:rsidR="0009451D" w:rsidRPr="00E414E6" w:rsidRDefault="00E414E6" w:rsidP="00E414E6">
      <w:pPr>
        <w:pStyle w:val="ListParagraph"/>
        <w:numPr>
          <w:ilvl w:val="0"/>
          <w:numId w:val="138"/>
        </w:numPr>
        <w:spacing w:after="40" w:line="240" w:lineRule="auto"/>
        <w:rPr>
          <w:szCs w:val="24"/>
        </w:rPr>
      </w:pPr>
      <w:r w:rsidRPr="00E414E6">
        <w:rPr>
          <w:rFonts w:cs="Times New Roman"/>
          <w:noProof/>
        </w:rPr>
        <w:t>Professor Helen Christensen (Black Dog Institute, UNSW)</w:t>
      </w:r>
    </w:p>
    <w:p w14:paraId="6306373E" w14:textId="77777777" w:rsidR="00AC1124" w:rsidRDefault="00AC1124" w:rsidP="0009451D"/>
    <w:p w14:paraId="1FCB2CFA" w14:textId="0C7FF6AA" w:rsidR="00AC1124" w:rsidRDefault="00AC1124">
      <w:pPr>
        <w:pStyle w:val="Heading1"/>
      </w:pPr>
      <w:bookmarkStart w:id="1" w:name="_Toc112843890"/>
      <w:r>
        <w:t>Acknowledgements</w:t>
      </w:r>
      <w:bookmarkEnd w:id="1"/>
    </w:p>
    <w:p w14:paraId="273F15BE" w14:textId="6926A280" w:rsidR="0009451D" w:rsidRPr="009E3DBD" w:rsidRDefault="0009451D" w:rsidP="0009451D">
      <w:r w:rsidRPr="00A05826">
        <w:t xml:space="preserve">We would like to thank </w:t>
      </w:r>
      <w:r w:rsidRPr="00A87211">
        <w:t xml:space="preserve">the data custodians for providing access to the datasets analysed in this </w:t>
      </w:r>
      <w:r>
        <w:t>document</w:t>
      </w:r>
      <w:r w:rsidRPr="00A87211">
        <w:t xml:space="preserve">: </w:t>
      </w:r>
      <w:r>
        <w:t xml:space="preserve">the Victorian </w:t>
      </w:r>
      <w:r w:rsidRPr="00A87211">
        <w:t xml:space="preserve">Department of Justice and Community Safety, Victoria, for </w:t>
      </w:r>
      <w:r w:rsidRPr="009E3DBD">
        <w:t>access to the National Coronial Information System (JHREC approval number CF/18/26248); The Australian Institute of Health and Welfare for access to the National Hospital Morbidity Database; the Australian Poisons Information Centres (and specifically Nicole Wright, Rohan Elliot</w:t>
      </w:r>
      <w:r>
        <w:t>t</w:t>
      </w:r>
      <w:r w:rsidRPr="009E3DBD">
        <w:t>, Carol Wylie, Nick Merwood) for providing poisoning call data (PIC ethics approval: 2021/ETH00165) and IQVIA</w:t>
      </w:r>
      <w:r w:rsidR="00FB253E">
        <w:t xml:space="preserve"> and</w:t>
      </w:r>
      <w:r w:rsidRPr="009E3DBD">
        <w:t xml:space="preserve"> IRI for access to sales data.  We would like to thank Darren Roberts, Annabelle Chidiac, Jared Brown, Firouzeh Noghrehchi for assistance with data extraction from various poisoning data sets.</w:t>
      </w:r>
    </w:p>
    <w:p w14:paraId="2360EE08" w14:textId="0AF828E6" w:rsidR="008F6083" w:rsidRDefault="008F6083">
      <w:pPr>
        <w:rPr>
          <w:noProof/>
        </w:rPr>
      </w:pPr>
    </w:p>
    <w:p w14:paraId="6D45B547" w14:textId="264847B3" w:rsidR="008F6083" w:rsidRDefault="008F6083">
      <w:pPr>
        <w:rPr>
          <w:noProof/>
        </w:rPr>
      </w:pPr>
    </w:p>
    <w:p w14:paraId="3DF36EE0" w14:textId="3EF160D7" w:rsidR="008F6083" w:rsidRDefault="008F6083">
      <w:pPr>
        <w:rPr>
          <w:noProof/>
        </w:rPr>
      </w:pPr>
    </w:p>
    <w:p w14:paraId="4D1CED4C" w14:textId="69C86A9A" w:rsidR="008F6083" w:rsidRDefault="008F6083">
      <w:pPr>
        <w:rPr>
          <w:noProof/>
        </w:rPr>
      </w:pPr>
    </w:p>
    <w:p w14:paraId="48AE88A9" w14:textId="6ABD98C1" w:rsidR="008F6083" w:rsidRDefault="008F6083">
      <w:pPr>
        <w:rPr>
          <w:noProof/>
        </w:rPr>
      </w:pPr>
    </w:p>
    <w:p w14:paraId="069A0A65" w14:textId="5E8D75D8" w:rsidR="008F6083" w:rsidRDefault="008F6083">
      <w:pPr>
        <w:rPr>
          <w:noProof/>
        </w:rPr>
      </w:pPr>
    </w:p>
    <w:p w14:paraId="73EEBF4D" w14:textId="292DD307" w:rsidR="008F6083" w:rsidRDefault="008F6083">
      <w:pPr>
        <w:rPr>
          <w:noProof/>
        </w:rPr>
      </w:pPr>
    </w:p>
    <w:p w14:paraId="5E05764D" w14:textId="1298621C" w:rsidR="008F6083" w:rsidRDefault="008F6083">
      <w:pPr>
        <w:rPr>
          <w:noProof/>
        </w:rPr>
      </w:pPr>
    </w:p>
    <w:p w14:paraId="327C0C0E" w14:textId="5430473E" w:rsidR="008F6083" w:rsidRDefault="008F6083">
      <w:pPr>
        <w:rPr>
          <w:noProof/>
        </w:rPr>
      </w:pPr>
    </w:p>
    <w:p w14:paraId="21D4A877" w14:textId="5B29F821" w:rsidR="008F6083" w:rsidRPr="008F6083" w:rsidRDefault="008F6083">
      <w:pPr>
        <w:rPr>
          <w:b/>
          <w:bCs/>
          <w:noProof/>
        </w:rPr>
      </w:pPr>
      <w:r w:rsidRPr="008F6083">
        <w:rPr>
          <w:b/>
          <w:bCs/>
          <w:noProof/>
        </w:rPr>
        <w:t>Correction</w:t>
      </w:r>
    </w:p>
    <w:p w14:paraId="4B4F53AA" w14:textId="2CBB8CD1" w:rsidR="0009451D" w:rsidRDefault="008F6083">
      <w:pPr>
        <w:rPr>
          <w:rFonts w:asciiTheme="majorHAnsi" w:eastAsiaTheme="majorEastAsia" w:hAnsiTheme="majorHAnsi" w:cstheme="majorBidi"/>
          <w:noProof/>
          <w:color w:val="2F5496" w:themeColor="accent1" w:themeShade="BF"/>
          <w:sz w:val="32"/>
          <w:szCs w:val="32"/>
        </w:rPr>
      </w:pPr>
      <w:r>
        <w:rPr>
          <w:noProof/>
        </w:rPr>
        <w:t xml:space="preserve">A minor amendment to this report was made on 20 September 2022 to correct the attribution for </w:t>
      </w:r>
      <w:r w:rsidR="0091734E">
        <w:rPr>
          <w:noProof/>
        </w:rPr>
        <w:t xml:space="preserve">grocery and convenience stored </w:t>
      </w:r>
      <w:r>
        <w:rPr>
          <w:noProof/>
        </w:rPr>
        <w:t>sales data</w:t>
      </w:r>
      <w:r w:rsidR="0091734E">
        <w:rPr>
          <w:noProof/>
        </w:rPr>
        <w:t xml:space="preserve"> as having only been obtained from IRI</w:t>
      </w:r>
      <w:r>
        <w:rPr>
          <w:noProof/>
        </w:rPr>
        <w:t xml:space="preserve">. </w:t>
      </w:r>
      <w:r w:rsidR="0009451D">
        <w:rPr>
          <w:noProof/>
        </w:rPr>
        <w:br w:type="page"/>
      </w:r>
    </w:p>
    <w:p w14:paraId="3C793A8A" w14:textId="5775551E" w:rsidR="00AD1F95" w:rsidRDefault="00AD1F95" w:rsidP="00D65071">
      <w:pPr>
        <w:pStyle w:val="Heading1"/>
      </w:pPr>
      <w:bookmarkStart w:id="2" w:name="_Toc112843891"/>
      <w:r w:rsidRPr="0091560A">
        <w:t>Executive summary</w:t>
      </w:r>
      <w:bookmarkEnd w:id="2"/>
      <w:r w:rsidRPr="0091560A">
        <w:t xml:space="preserve"> </w:t>
      </w:r>
    </w:p>
    <w:p w14:paraId="67F72CEC" w14:textId="3D92FDD2" w:rsidR="009475C6" w:rsidRDefault="491E93C2" w:rsidP="00A561C3">
      <w:r>
        <w:t xml:space="preserve">This report was commissioned by the </w:t>
      </w:r>
      <w:r w:rsidR="635277A5">
        <w:t>Therapeutic Goods Administration (</w:t>
      </w:r>
      <w:r>
        <w:t>TGA</w:t>
      </w:r>
      <w:r w:rsidR="635277A5">
        <w:t>)</w:t>
      </w:r>
      <w:r>
        <w:t xml:space="preserve"> in response to</w:t>
      </w:r>
      <w:r w:rsidR="72E04614">
        <w:t xml:space="preserve"> co</w:t>
      </w:r>
      <w:r w:rsidR="11D9EF9F">
        <w:t>ncerns</w:t>
      </w:r>
      <w:r>
        <w:t xml:space="preserve"> </w:t>
      </w:r>
      <w:r w:rsidR="408441AB">
        <w:t xml:space="preserve">of </w:t>
      </w:r>
      <w:r w:rsidR="32F21792">
        <w:t>increas</w:t>
      </w:r>
      <w:r w:rsidR="408441AB">
        <w:t>ing prevalence of</w:t>
      </w:r>
      <w:r w:rsidR="32F21792">
        <w:t xml:space="preserve"> </w:t>
      </w:r>
      <w:r w:rsidR="2D82A9A2">
        <w:t xml:space="preserve">intentional </w:t>
      </w:r>
      <w:r w:rsidR="32F21792">
        <w:t>paracetamol poisoning</w:t>
      </w:r>
      <w:r w:rsidR="482EAFFA">
        <w:t>,</w:t>
      </w:r>
      <w:r w:rsidR="32F21792">
        <w:t xml:space="preserve"> especially among young people</w:t>
      </w:r>
      <w:r w:rsidR="00771450">
        <w:t xml:space="preserve">, and involving </w:t>
      </w:r>
      <w:r w:rsidR="003F4120">
        <w:t xml:space="preserve">paracetamol </w:t>
      </w:r>
      <w:r w:rsidR="00771450">
        <w:t>obtained via</w:t>
      </w:r>
      <w:r w:rsidR="003F4120">
        <w:t xml:space="preserve"> general sale in supermarkets and convenience stores</w:t>
      </w:r>
      <w:r w:rsidR="00771450">
        <w:t xml:space="preserve">. In these settings, there is not the </w:t>
      </w:r>
      <w:r w:rsidR="003F4120">
        <w:t>healthcare professional oversight</w:t>
      </w:r>
      <w:r w:rsidR="00771450">
        <w:t xml:space="preserve"> that </w:t>
      </w:r>
      <w:r w:rsidR="003F4120">
        <w:t xml:space="preserve">is available in pharmacies. The report was commissioned to </w:t>
      </w:r>
      <w:r w:rsidR="06A6D3FC">
        <w:t>guide their considerations</w:t>
      </w:r>
      <w:r w:rsidR="6B8E883E">
        <w:t xml:space="preserve"> of </w:t>
      </w:r>
      <w:r w:rsidR="0C6233C9">
        <w:t>whether any changes to the scheduling of paracetamol</w:t>
      </w:r>
      <w:r w:rsidR="5D0169EC">
        <w:t>,</w:t>
      </w:r>
      <w:r w:rsidR="408441AB">
        <w:t xml:space="preserve"> such as access controls</w:t>
      </w:r>
      <w:r w:rsidR="5D0169EC">
        <w:t>,</w:t>
      </w:r>
      <w:r w:rsidR="0C6233C9">
        <w:t xml:space="preserve"> </w:t>
      </w:r>
      <w:r w:rsidR="408441AB">
        <w:t xml:space="preserve">may be warranted. </w:t>
      </w:r>
      <w:r w:rsidR="044A7A5D">
        <w:t xml:space="preserve"> </w:t>
      </w:r>
    </w:p>
    <w:p w14:paraId="333246B4" w14:textId="2C920CBF" w:rsidR="007865D8" w:rsidRDefault="00D83FF9" w:rsidP="00A561C3">
      <w:r>
        <w:t>Specifically the report</w:t>
      </w:r>
      <w:r w:rsidR="00624EB8">
        <w:t xml:space="preserve"> aims to</w:t>
      </w:r>
      <w:r>
        <w:t>:</w:t>
      </w:r>
    </w:p>
    <w:p w14:paraId="1D83D816" w14:textId="67A15477" w:rsidR="007865D8" w:rsidRPr="007865D8" w:rsidRDefault="007865D8" w:rsidP="00A561C3">
      <w:pPr>
        <w:pStyle w:val="ListParagraph"/>
        <w:numPr>
          <w:ilvl w:val="0"/>
          <w:numId w:val="8"/>
        </w:numPr>
        <w:ind w:left="714" w:hanging="357"/>
        <w:rPr>
          <w:rFonts w:cs="Times New Roman"/>
          <w:noProof/>
        </w:rPr>
      </w:pPr>
      <w:r w:rsidRPr="007865D8">
        <w:rPr>
          <w:rFonts w:cs="Times New Roman"/>
          <w:noProof/>
        </w:rPr>
        <w:t>Provide an overview of clinical aspects of paracetamol toxicity and current treatment.</w:t>
      </w:r>
    </w:p>
    <w:p w14:paraId="660589F9" w14:textId="4EE574C4" w:rsidR="007865D8" w:rsidRPr="0091560A" w:rsidRDefault="007865D8" w:rsidP="00A561C3">
      <w:pPr>
        <w:pStyle w:val="ListParagraph"/>
        <w:numPr>
          <w:ilvl w:val="0"/>
          <w:numId w:val="8"/>
        </w:numPr>
        <w:ind w:left="714" w:hanging="357"/>
        <w:rPr>
          <w:rFonts w:cs="Times New Roman"/>
          <w:noProof/>
        </w:rPr>
      </w:pPr>
      <w:r w:rsidRPr="0091560A">
        <w:rPr>
          <w:rFonts w:cs="Times New Roman"/>
          <w:noProof/>
        </w:rPr>
        <w:t>Examine contemporary Australian data on the burden of paracetamol poisoning from a range of sources, identifying high risk groups for poisoning and toxicity</w:t>
      </w:r>
      <w:r w:rsidR="00416B6C">
        <w:rPr>
          <w:rFonts w:cs="Times New Roman"/>
          <w:noProof/>
        </w:rPr>
        <w:t>.</w:t>
      </w:r>
    </w:p>
    <w:p w14:paraId="7D8B0852" w14:textId="77777777" w:rsidR="007865D8" w:rsidRPr="0091560A" w:rsidRDefault="007865D8" w:rsidP="00A561C3">
      <w:pPr>
        <w:pStyle w:val="ListParagraph"/>
        <w:numPr>
          <w:ilvl w:val="0"/>
          <w:numId w:val="8"/>
        </w:numPr>
        <w:ind w:left="714" w:hanging="357"/>
        <w:rPr>
          <w:rFonts w:cs="Times New Roman"/>
          <w:noProof/>
        </w:rPr>
      </w:pPr>
      <w:r w:rsidRPr="0091560A">
        <w:rPr>
          <w:rFonts w:cs="Times New Roman"/>
          <w:noProof/>
        </w:rPr>
        <w:t xml:space="preserve">Review relevant literature on the burden of paracetamol poisoning internationally and how this has tracked in relation to access, including any recent regulatory changes. </w:t>
      </w:r>
    </w:p>
    <w:p w14:paraId="59CB1D16" w14:textId="77777777" w:rsidR="007865D8" w:rsidRDefault="007865D8" w:rsidP="00A561C3">
      <w:pPr>
        <w:pStyle w:val="ListParagraph"/>
        <w:numPr>
          <w:ilvl w:val="0"/>
          <w:numId w:val="8"/>
        </w:numPr>
        <w:ind w:left="714" w:hanging="357"/>
        <w:rPr>
          <w:rFonts w:cs="Times New Roman"/>
          <w:noProof/>
        </w:rPr>
      </w:pPr>
      <w:r w:rsidRPr="0091560A">
        <w:rPr>
          <w:rFonts w:cs="Times New Roman"/>
          <w:noProof/>
        </w:rPr>
        <w:t>Review relevant literature on options for and effectiveness of restrictions and other str</w:t>
      </w:r>
      <w:r>
        <w:rPr>
          <w:rFonts w:cs="Times New Roman"/>
          <w:noProof/>
        </w:rPr>
        <w:t>a</w:t>
      </w:r>
      <w:r w:rsidRPr="0091560A">
        <w:rPr>
          <w:rFonts w:cs="Times New Roman"/>
          <w:noProof/>
        </w:rPr>
        <w:t xml:space="preserve">tegies to reduce harms. </w:t>
      </w:r>
    </w:p>
    <w:p w14:paraId="6027B307" w14:textId="6942B0C6" w:rsidR="007865D8" w:rsidRPr="0091560A" w:rsidRDefault="007865D8" w:rsidP="00A561C3">
      <w:pPr>
        <w:pStyle w:val="ListParagraph"/>
        <w:numPr>
          <w:ilvl w:val="0"/>
          <w:numId w:val="8"/>
        </w:numPr>
        <w:ind w:left="714" w:hanging="357"/>
        <w:rPr>
          <w:rFonts w:cs="Times New Roman"/>
          <w:noProof/>
        </w:rPr>
      </w:pPr>
      <w:r w:rsidRPr="0091560A">
        <w:rPr>
          <w:rFonts w:cs="Times New Roman"/>
          <w:noProof/>
        </w:rPr>
        <w:t xml:space="preserve">Review relevant literature on </w:t>
      </w:r>
      <w:r>
        <w:rPr>
          <w:rFonts w:cs="Times New Roman"/>
          <w:noProof/>
        </w:rPr>
        <w:t xml:space="preserve">the intent and underlying social/psychiatric issues </w:t>
      </w:r>
      <w:r w:rsidR="00416B6C">
        <w:rPr>
          <w:rFonts w:cs="Times New Roman"/>
          <w:noProof/>
        </w:rPr>
        <w:t xml:space="preserve">experienced by those engaging in paracetamol self-poisoning to inform </w:t>
      </w:r>
      <w:r>
        <w:rPr>
          <w:rFonts w:cs="Times New Roman"/>
          <w:noProof/>
        </w:rPr>
        <w:t xml:space="preserve">whether other </w:t>
      </w:r>
      <w:r w:rsidRPr="0091560A">
        <w:rPr>
          <w:rFonts w:cs="Times New Roman"/>
          <w:noProof/>
        </w:rPr>
        <w:t>str</w:t>
      </w:r>
      <w:r>
        <w:rPr>
          <w:rFonts w:cs="Times New Roman"/>
          <w:noProof/>
        </w:rPr>
        <w:t>a</w:t>
      </w:r>
      <w:r w:rsidRPr="0091560A">
        <w:rPr>
          <w:rFonts w:cs="Times New Roman"/>
          <w:noProof/>
        </w:rPr>
        <w:t>tegies to reduce harms</w:t>
      </w:r>
      <w:r>
        <w:rPr>
          <w:rFonts w:cs="Times New Roman"/>
          <w:noProof/>
        </w:rPr>
        <w:t xml:space="preserve"> from inten</w:t>
      </w:r>
      <w:r w:rsidR="00416B6C">
        <w:rPr>
          <w:rFonts w:cs="Times New Roman"/>
          <w:noProof/>
        </w:rPr>
        <w:t>t</w:t>
      </w:r>
      <w:r>
        <w:rPr>
          <w:rFonts w:cs="Times New Roman"/>
          <w:noProof/>
        </w:rPr>
        <w:t>ional self-poisoning</w:t>
      </w:r>
      <w:r w:rsidR="00416B6C">
        <w:rPr>
          <w:rFonts w:cs="Times New Roman"/>
          <w:noProof/>
        </w:rPr>
        <w:t xml:space="preserve"> are needed</w:t>
      </w:r>
      <w:r>
        <w:rPr>
          <w:rFonts w:cs="Times New Roman"/>
          <w:noProof/>
        </w:rPr>
        <w:t>.</w:t>
      </w:r>
    </w:p>
    <w:p w14:paraId="6E0BEBCE" w14:textId="77777777" w:rsidR="007865D8" w:rsidRPr="0091560A" w:rsidRDefault="007865D8" w:rsidP="00A561C3">
      <w:pPr>
        <w:pStyle w:val="ListParagraph"/>
        <w:numPr>
          <w:ilvl w:val="0"/>
          <w:numId w:val="8"/>
        </w:numPr>
        <w:ind w:left="714" w:hanging="357"/>
        <w:rPr>
          <w:rFonts w:cs="Times New Roman"/>
          <w:noProof/>
        </w:rPr>
      </w:pPr>
      <w:r w:rsidRPr="0091560A">
        <w:rPr>
          <w:rFonts w:cs="Times New Roman"/>
          <w:noProof/>
        </w:rPr>
        <w:t xml:space="preserve">Critically analyse the balance of the benefits and risks of the current access to paracetamol on the Australian market in relation to intentional self-poisoning, particularly in regard to paracetamol available by general sale. </w:t>
      </w:r>
    </w:p>
    <w:p w14:paraId="5A623CFD" w14:textId="55CBEF95" w:rsidR="007865D8" w:rsidRDefault="007865D8" w:rsidP="00A561C3">
      <w:pPr>
        <w:pStyle w:val="ListParagraph"/>
        <w:numPr>
          <w:ilvl w:val="0"/>
          <w:numId w:val="8"/>
        </w:numPr>
        <w:ind w:left="714" w:hanging="357"/>
        <w:rPr>
          <w:rFonts w:cs="Times New Roman"/>
          <w:noProof/>
        </w:rPr>
      </w:pPr>
      <w:r w:rsidRPr="0091560A">
        <w:rPr>
          <w:rFonts w:cs="Times New Roman"/>
          <w:noProof/>
        </w:rPr>
        <w:t>Discuss the possible outcomes in the community of restricting general sale access or purchasing controls to paracetamol, including deliberate self-poisoning with other medicines.</w:t>
      </w:r>
    </w:p>
    <w:p w14:paraId="147B1AC2" w14:textId="4B2042C5" w:rsidR="009E56BC" w:rsidRPr="009E56BC" w:rsidRDefault="009E56BC" w:rsidP="00FE53C6">
      <w:pPr>
        <w:pStyle w:val="Heading3"/>
      </w:pPr>
      <w:bookmarkStart w:id="3" w:name="_Toc112843892"/>
      <w:r>
        <w:t xml:space="preserve">Summary of the </w:t>
      </w:r>
      <w:r w:rsidRPr="009E56BC">
        <w:t>problem</w:t>
      </w:r>
      <w:bookmarkEnd w:id="3"/>
      <w:r w:rsidRPr="009E56BC">
        <w:t xml:space="preserve"> </w:t>
      </w:r>
    </w:p>
    <w:p w14:paraId="449B3F35" w14:textId="3C134911" w:rsidR="009B46DC" w:rsidRDefault="005921B2" w:rsidP="13E81250">
      <w:pPr>
        <w:rPr>
          <w:lang w:val="en-US"/>
        </w:rPr>
      </w:pPr>
      <w:r w:rsidRPr="4C223402">
        <w:rPr>
          <w:lang w:val="en-US"/>
        </w:rPr>
        <w:t>The re</w:t>
      </w:r>
      <w:r w:rsidR="003123B7" w:rsidRPr="4C223402">
        <w:rPr>
          <w:lang w:val="en-US"/>
        </w:rPr>
        <w:t xml:space="preserve">view confirmed from several sources that there </w:t>
      </w:r>
      <w:r w:rsidR="00832D72" w:rsidRPr="4C223402">
        <w:rPr>
          <w:lang w:val="en-US"/>
        </w:rPr>
        <w:t xml:space="preserve">were </w:t>
      </w:r>
      <w:r w:rsidRPr="4C223402">
        <w:rPr>
          <w:lang w:val="en-US"/>
        </w:rPr>
        <w:t xml:space="preserve">increasing rates of </w:t>
      </w:r>
      <w:r w:rsidR="00832D72" w:rsidRPr="4C223402">
        <w:rPr>
          <w:lang w:val="en-US"/>
        </w:rPr>
        <w:t xml:space="preserve">intentional self-poisoning with </w:t>
      </w:r>
      <w:r w:rsidRPr="4C223402">
        <w:rPr>
          <w:lang w:val="en-US"/>
        </w:rPr>
        <w:t xml:space="preserve">paracetamol in </w:t>
      </w:r>
      <w:r w:rsidR="00582E05" w:rsidRPr="4C223402">
        <w:rPr>
          <w:lang w:val="en-US"/>
        </w:rPr>
        <w:t xml:space="preserve">the </w:t>
      </w:r>
      <w:r w:rsidRPr="4C223402">
        <w:rPr>
          <w:lang w:val="en-US"/>
        </w:rPr>
        <w:t>last decade</w:t>
      </w:r>
      <w:r w:rsidR="0042245D" w:rsidRPr="4C223402">
        <w:rPr>
          <w:lang w:val="en-US"/>
        </w:rPr>
        <w:t xml:space="preserve"> in Australia</w:t>
      </w:r>
      <w:r w:rsidR="1FB40A31" w:rsidRPr="4C223402">
        <w:rPr>
          <w:lang w:val="en-US"/>
        </w:rPr>
        <w:t xml:space="preserve">, with the greatest proportion of cases in </w:t>
      </w:r>
      <w:r w:rsidR="155D2CF7" w:rsidRPr="4C223402">
        <w:rPr>
          <w:lang w:val="en-US"/>
        </w:rPr>
        <w:t>adolescents and young adults, and females being significantly over-represented</w:t>
      </w:r>
      <w:r w:rsidRPr="4C223402">
        <w:rPr>
          <w:lang w:val="en-US"/>
        </w:rPr>
        <w:t xml:space="preserve">. </w:t>
      </w:r>
      <w:r w:rsidR="10BCCF41" w:rsidRPr="4C223402">
        <w:rPr>
          <w:lang w:val="en-US"/>
        </w:rPr>
        <w:t>This is against a backdrop of</w:t>
      </w:r>
      <w:r w:rsidR="00582E05" w:rsidRPr="4C223402">
        <w:rPr>
          <w:lang w:val="en-US"/>
        </w:rPr>
        <w:t xml:space="preserve"> </w:t>
      </w:r>
      <w:r w:rsidR="00786404" w:rsidRPr="4C223402">
        <w:rPr>
          <w:lang w:val="en-US"/>
        </w:rPr>
        <w:t>very l</w:t>
      </w:r>
      <w:r w:rsidR="00582E05" w:rsidRPr="4C223402">
        <w:rPr>
          <w:lang w:val="en-US"/>
        </w:rPr>
        <w:t>arge increase</w:t>
      </w:r>
      <w:r w:rsidR="00786404" w:rsidRPr="4C223402">
        <w:rPr>
          <w:lang w:val="en-US"/>
        </w:rPr>
        <w:t>s</w:t>
      </w:r>
      <w:r w:rsidR="00582E05" w:rsidRPr="4C223402">
        <w:rPr>
          <w:lang w:val="en-US"/>
        </w:rPr>
        <w:t xml:space="preserve"> in all </w:t>
      </w:r>
      <w:r w:rsidR="0042245D" w:rsidRPr="4C223402">
        <w:rPr>
          <w:lang w:val="en-US"/>
        </w:rPr>
        <w:t xml:space="preserve">intentional </w:t>
      </w:r>
      <w:r w:rsidR="00582E05" w:rsidRPr="4C223402">
        <w:rPr>
          <w:lang w:val="en-US"/>
        </w:rPr>
        <w:t xml:space="preserve">self-poisonings in </w:t>
      </w:r>
      <w:r w:rsidR="006E16BE" w:rsidRPr="4C223402">
        <w:rPr>
          <w:lang w:val="en-US"/>
        </w:rPr>
        <w:t xml:space="preserve">older </w:t>
      </w:r>
      <w:r w:rsidR="00582E05" w:rsidRPr="4C223402">
        <w:rPr>
          <w:lang w:val="en-US"/>
        </w:rPr>
        <w:t>children/adolescents</w:t>
      </w:r>
      <w:r w:rsidR="006E16BE" w:rsidRPr="4C223402">
        <w:rPr>
          <w:lang w:val="en-US"/>
        </w:rPr>
        <w:t xml:space="preserve"> (ages </w:t>
      </w:r>
      <w:r w:rsidR="006E16BE" w:rsidRPr="4C223402">
        <w:rPr>
          <w:rFonts w:cs="Times New Roman"/>
          <w:lang w:val="en-US"/>
        </w:rPr>
        <w:t>~</w:t>
      </w:r>
      <w:r w:rsidR="006E16BE" w:rsidRPr="4C223402">
        <w:rPr>
          <w:lang w:val="en-US"/>
        </w:rPr>
        <w:t>10 to 19)</w:t>
      </w:r>
      <w:r w:rsidR="00582E05" w:rsidRPr="4C223402">
        <w:rPr>
          <w:lang w:val="en-US"/>
        </w:rPr>
        <w:t xml:space="preserve"> </w:t>
      </w:r>
      <w:r w:rsidR="00786404" w:rsidRPr="4C223402">
        <w:rPr>
          <w:lang w:val="en-US"/>
        </w:rPr>
        <w:t xml:space="preserve">worldwide </w:t>
      </w:r>
      <w:r w:rsidR="00582E05" w:rsidRPr="4C223402">
        <w:rPr>
          <w:lang w:val="en-US"/>
        </w:rPr>
        <w:t xml:space="preserve">over the </w:t>
      </w:r>
      <w:r w:rsidR="00786404" w:rsidRPr="4C223402">
        <w:rPr>
          <w:lang w:val="en-US"/>
        </w:rPr>
        <w:t xml:space="preserve">recent </w:t>
      </w:r>
      <w:r w:rsidR="00582E05" w:rsidRPr="4C223402">
        <w:rPr>
          <w:lang w:val="en-US"/>
        </w:rPr>
        <w:t>decade</w:t>
      </w:r>
      <w:r w:rsidR="5B13B1B3" w:rsidRPr="4C223402">
        <w:rPr>
          <w:lang w:val="en-US"/>
        </w:rPr>
        <w:t xml:space="preserve">, underscoring the importance of factors independent of paracetamol access controls to the </w:t>
      </w:r>
      <w:r w:rsidR="5BE8B2F0" w:rsidRPr="4C223402">
        <w:rPr>
          <w:lang w:val="en-US"/>
        </w:rPr>
        <w:t>problem</w:t>
      </w:r>
      <w:r w:rsidR="6651FFF7" w:rsidRPr="4C223402">
        <w:rPr>
          <w:lang w:val="en-US"/>
        </w:rPr>
        <w:t>.</w:t>
      </w:r>
      <w:r w:rsidR="00582E05" w:rsidRPr="4C223402">
        <w:rPr>
          <w:lang w:val="en-US"/>
        </w:rPr>
        <w:t xml:space="preserve"> </w:t>
      </w:r>
      <w:r w:rsidR="262EEC4E" w:rsidRPr="4C223402">
        <w:rPr>
          <w:lang w:val="en-US"/>
        </w:rPr>
        <w:t>As such</w:t>
      </w:r>
      <w:r w:rsidR="6653327E" w:rsidRPr="4C223402">
        <w:rPr>
          <w:lang w:val="en-US"/>
        </w:rPr>
        <w:t xml:space="preserve">, although </w:t>
      </w:r>
      <w:r w:rsidR="03C123D0" w:rsidRPr="4C223402">
        <w:rPr>
          <w:lang w:val="en-US"/>
        </w:rPr>
        <w:t>p</w:t>
      </w:r>
      <w:r w:rsidR="6651FFF7" w:rsidRPr="4C223402">
        <w:rPr>
          <w:lang w:val="en-US"/>
        </w:rPr>
        <w:t xml:space="preserve">aracetamol </w:t>
      </w:r>
      <w:r w:rsidR="49D235C1" w:rsidRPr="4C223402">
        <w:rPr>
          <w:lang w:val="en-US"/>
        </w:rPr>
        <w:t>is the most commonly used medicine</w:t>
      </w:r>
      <w:r w:rsidR="00582E05" w:rsidRPr="4C223402">
        <w:rPr>
          <w:lang w:val="en-US"/>
        </w:rPr>
        <w:t xml:space="preserve"> </w:t>
      </w:r>
      <w:r w:rsidR="4330AAAA" w:rsidRPr="4C223402">
        <w:rPr>
          <w:lang w:val="en-US"/>
        </w:rPr>
        <w:t>in</w:t>
      </w:r>
      <w:r w:rsidR="00582E05" w:rsidRPr="4C223402">
        <w:rPr>
          <w:lang w:val="en-US"/>
        </w:rPr>
        <w:t xml:space="preserve"> </w:t>
      </w:r>
      <w:r w:rsidR="00304DD9" w:rsidRPr="4C223402">
        <w:rPr>
          <w:lang w:val="en-US"/>
        </w:rPr>
        <w:t>overdoses in young</w:t>
      </w:r>
      <w:r w:rsidR="0052D174" w:rsidRPr="4C223402">
        <w:rPr>
          <w:lang w:val="en-US"/>
        </w:rPr>
        <w:t xml:space="preserve"> </w:t>
      </w:r>
      <w:r w:rsidR="00786404" w:rsidRPr="4C223402">
        <w:rPr>
          <w:lang w:val="en-US"/>
        </w:rPr>
        <w:t>Australia</w:t>
      </w:r>
      <w:r w:rsidR="00304DD9" w:rsidRPr="4C223402">
        <w:rPr>
          <w:lang w:val="en-US"/>
        </w:rPr>
        <w:t>ns</w:t>
      </w:r>
      <w:r w:rsidR="00786404" w:rsidRPr="4C223402">
        <w:rPr>
          <w:lang w:val="en-US"/>
        </w:rPr>
        <w:t xml:space="preserve"> </w:t>
      </w:r>
      <w:r w:rsidR="455D5955" w:rsidRPr="4C223402">
        <w:rPr>
          <w:lang w:val="en-US"/>
        </w:rPr>
        <w:t xml:space="preserve">(around 50%), </w:t>
      </w:r>
      <w:r w:rsidR="00582E05" w:rsidRPr="4C223402">
        <w:rPr>
          <w:lang w:val="en-US"/>
        </w:rPr>
        <w:t xml:space="preserve">this proportion has not </w:t>
      </w:r>
      <w:r w:rsidR="009C2FBB" w:rsidRPr="4C223402">
        <w:rPr>
          <w:lang w:val="en-US"/>
        </w:rPr>
        <w:t>increased</w:t>
      </w:r>
      <w:r w:rsidR="00582E05" w:rsidRPr="4C223402">
        <w:rPr>
          <w:lang w:val="en-US"/>
        </w:rPr>
        <w:t>.</w:t>
      </w:r>
      <w:r w:rsidR="00B30A2E" w:rsidRPr="4C223402">
        <w:rPr>
          <w:lang w:val="en-US"/>
        </w:rPr>
        <w:t xml:space="preserve"> </w:t>
      </w:r>
      <w:r w:rsidR="009C2FBB" w:rsidRPr="4C223402">
        <w:rPr>
          <w:lang w:val="en-US"/>
        </w:rPr>
        <w:t xml:space="preserve">Self-poisonings in adolescents </w:t>
      </w:r>
      <w:r w:rsidRPr="4C223402">
        <w:rPr>
          <w:lang w:val="en-US"/>
        </w:rPr>
        <w:t xml:space="preserve">may have further accelerated during </w:t>
      </w:r>
      <w:r w:rsidR="00853851" w:rsidRPr="4C223402">
        <w:rPr>
          <w:lang w:val="en-US"/>
        </w:rPr>
        <w:t xml:space="preserve">the </w:t>
      </w:r>
      <w:r w:rsidRPr="4C223402">
        <w:rPr>
          <w:lang w:val="en-US"/>
        </w:rPr>
        <w:t>COVID</w:t>
      </w:r>
      <w:r w:rsidR="00704E0D" w:rsidRPr="4C223402">
        <w:rPr>
          <w:lang w:val="en-US"/>
        </w:rPr>
        <w:t>-19</w:t>
      </w:r>
      <w:r w:rsidRPr="4C223402">
        <w:rPr>
          <w:lang w:val="en-US"/>
        </w:rPr>
        <w:t xml:space="preserve"> </w:t>
      </w:r>
      <w:r w:rsidR="00704E0D" w:rsidRPr="4C223402">
        <w:rPr>
          <w:lang w:val="en-US"/>
        </w:rPr>
        <w:t xml:space="preserve">pandemic </w:t>
      </w:r>
      <w:r w:rsidRPr="4C223402">
        <w:rPr>
          <w:lang w:val="en-US"/>
        </w:rPr>
        <w:t>(only P</w:t>
      </w:r>
      <w:r w:rsidR="00832D72" w:rsidRPr="4C223402">
        <w:rPr>
          <w:lang w:val="en-US"/>
        </w:rPr>
        <w:t xml:space="preserve">oisons </w:t>
      </w:r>
      <w:r w:rsidR="006E4808" w:rsidRPr="4C223402">
        <w:rPr>
          <w:lang w:val="en-US"/>
        </w:rPr>
        <w:t xml:space="preserve">Information </w:t>
      </w:r>
      <w:r w:rsidR="00730949" w:rsidRPr="4C223402">
        <w:rPr>
          <w:lang w:val="en-US"/>
        </w:rPr>
        <w:t>C</w:t>
      </w:r>
      <w:r w:rsidR="00832D72" w:rsidRPr="4C223402">
        <w:rPr>
          <w:lang w:val="en-US"/>
        </w:rPr>
        <w:t xml:space="preserve">entre </w:t>
      </w:r>
      <w:r w:rsidRPr="4C223402">
        <w:rPr>
          <w:lang w:val="en-US"/>
        </w:rPr>
        <w:t xml:space="preserve">data is available </w:t>
      </w:r>
      <w:r w:rsidR="005B289C" w:rsidRPr="4C223402">
        <w:rPr>
          <w:lang w:val="en-US"/>
        </w:rPr>
        <w:t xml:space="preserve">for </w:t>
      </w:r>
      <w:r w:rsidR="00C3691C" w:rsidRPr="4C223402">
        <w:rPr>
          <w:lang w:val="en-US"/>
        </w:rPr>
        <w:t>up</w:t>
      </w:r>
      <w:r w:rsidR="00DB0738" w:rsidRPr="4C223402">
        <w:rPr>
          <w:lang w:val="en-US"/>
        </w:rPr>
        <w:t>-</w:t>
      </w:r>
      <w:r w:rsidR="00C3691C" w:rsidRPr="4C223402">
        <w:rPr>
          <w:lang w:val="en-US"/>
        </w:rPr>
        <w:t>to</w:t>
      </w:r>
      <w:r w:rsidR="00DB0738" w:rsidRPr="4C223402">
        <w:rPr>
          <w:lang w:val="en-US"/>
        </w:rPr>
        <w:t>-</w:t>
      </w:r>
      <w:r w:rsidR="00C3691C" w:rsidRPr="4C223402">
        <w:rPr>
          <w:lang w:val="en-US"/>
        </w:rPr>
        <w:t>date</w:t>
      </w:r>
      <w:r w:rsidR="00072F53" w:rsidRPr="4C223402">
        <w:rPr>
          <w:lang w:val="en-US"/>
        </w:rPr>
        <w:t xml:space="preserve"> </w:t>
      </w:r>
      <w:r w:rsidR="006C5CC6" w:rsidRPr="4C223402">
        <w:rPr>
          <w:lang w:val="en-US"/>
        </w:rPr>
        <w:t xml:space="preserve">intentional </w:t>
      </w:r>
      <w:r w:rsidR="00072F53" w:rsidRPr="4C223402">
        <w:rPr>
          <w:lang w:val="en-US"/>
        </w:rPr>
        <w:t>paracetamol self-poisoning</w:t>
      </w:r>
      <w:r w:rsidR="00DA348F" w:rsidRPr="4C223402">
        <w:rPr>
          <w:lang w:val="en-US"/>
        </w:rPr>
        <w:t>s</w:t>
      </w:r>
      <w:r w:rsidR="006C5CC6" w:rsidRPr="4C223402">
        <w:rPr>
          <w:lang w:val="en-US"/>
        </w:rPr>
        <w:t xml:space="preserve"> </w:t>
      </w:r>
      <w:r w:rsidR="00DA348F" w:rsidRPr="4C223402">
        <w:rPr>
          <w:lang w:val="en-US"/>
        </w:rPr>
        <w:t xml:space="preserve">events generating calls </w:t>
      </w:r>
      <w:r w:rsidR="006C5CC6" w:rsidRPr="4C223402">
        <w:rPr>
          <w:lang w:val="en-US"/>
        </w:rPr>
        <w:t>have more than doubled since 2011</w:t>
      </w:r>
      <w:r w:rsidR="00DA348F" w:rsidRPr="4C223402">
        <w:rPr>
          <w:lang w:val="en-US"/>
        </w:rPr>
        <w:t>, and these have tripled for those aged &lt; 20</w:t>
      </w:r>
      <w:r w:rsidRPr="4C223402">
        <w:rPr>
          <w:lang w:val="en-US"/>
        </w:rPr>
        <w:t>).</w:t>
      </w:r>
      <w:r w:rsidR="002A5E57" w:rsidRPr="4C223402">
        <w:rPr>
          <w:lang w:val="en-US"/>
        </w:rPr>
        <w:t xml:space="preserve"> </w:t>
      </w:r>
      <w:r w:rsidR="7F29A350" w:rsidRPr="4C223402">
        <w:rPr>
          <w:rFonts w:cs="Times New Roman"/>
          <w:noProof/>
        </w:rPr>
        <w:t>The figure provides a summary of the more detailed data later in the report indicating the magnitude of the increase and the key population affected.</w:t>
      </w:r>
      <w:r w:rsidR="47D8953C" w:rsidRPr="4C223402">
        <w:rPr>
          <w:lang w:val="en-US"/>
        </w:rPr>
        <w:t xml:space="preserve"> </w:t>
      </w:r>
    </w:p>
    <w:p w14:paraId="473DCAB0" w14:textId="2A214ADC" w:rsidR="00673027" w:rsidRDefault="000A49C2" w:rsidP="000A49C2">
      <w:pPr>
        <w:pStyle w:val="FigureCaption"/>
      </w:pPr>
      <w:r w:rsidRPr="00FC53ED">
        <w:rPr>
          <w:noProof/>
        </w:rPr>
        <w:drawing>
          <wp:inline distT="0" distB="0" distL="0" distR="0" wp14:anchorId="1072BA36" wp14:editId="510E1024">
            <wp:extent cx="5731510" cy="339471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94710"/>
                    </a:xfrm>
                    <a:prstGeom prst="rect">
                      <a:avLst/>
                    </a:prstGeom>
                    <a:noFill/>
                    <a:ln>
                      <a:noFill/>
                    </a:ln>
                  </pic:spPr>
                </pic:pic>
              </a:graphicData>
            </a:graphic>
          </wp:inline>
        </w:drawing>
      </w:r>
      <w:r w:rsidR="00414B46">
        <w:t>Estimate</w:t>
      </w:r>
      <w:r w:rsidR="006A1F09">
        <w:t>d</w:t>
      </w:r>
      <w:r w:rsidR="00414B46">
        <w:t xml:space="preserve"> pop</w:t>
      </w:r>
      <w:r w:rsidR="0057073D">
        <w:t>ulat</w:t>
      </w:r>
      <w:r w:rsidR="00FC53ED">
        <w:t xml:space="preserve">ion adjusted </w:t>
      </w:r>
      <w:r w:rsidR="001A356A">
        <w:t xml:space="preserve">annual </w:t>
      </w:r>
      <w:r w:rsidR="00FC53ED">
        <w:t>rates for intentional self-poisoning events</w:t>
      </w:r>
      <w:r w:rsidR="001A356A">
        <w:t>/10,000 pop</w:t>
      </w:r>
      <w:r w:rsidR="00FC53ED">
        <w:t xml:space="preserve"> generating calls to the NSW Poisons Information Centre</w:t>
      </w:r>
      <w:r w:rsidR="00FC53ED" w:rsidRPr="00FC53ED">
        <w:t xml:space="preserve"> </w:t>
      </w:r>
    </w:p>
    <w:p w14:paraId="3AEFB885" w14:textId="5F3DDCCE" w:rsidR="00414B46" w:rsidRDefault="001A356A">
      <w:pPr>
        <w:pStyle w:val="Figurenote"/>
      </w:pPr>
      <w:r>
        <w:t xml:space="preserve">NB – Based on NSW PIC receiving 50% of </w:t>
      </w:r>
      <w:r w:rsidR="00B107E1">
        <w:t xml:space="preserve">Australian </w:t>
      </w:r>
      <w:r>
        <w:t xml:space="preserve">intentional self-poisoning </w:t>
      </w:r>
      <w:r w:rsidR="00B107E1">
        <w:t xml:space="preserve">with paracetamol </w:t>
      </w:r>
      <w:r>
        <w:t>calls</w:t>
      </w:r>
      <w:r w:rsidR="00B107E1">
        <w:t xml:space="preserve"> and that 84% of calls in the </w:t>
      </w:r>
      <w:r w:rsidR="00CD39B4">
        <w:t>5-to-14-year</w:t>
      </w:r>
      <w:r w:rsidR="00B107E1">
        <w:t xml:space="preserve"> age group are in </w:t>
      </w:r>
      <w:r w:rsidR="004D1119">
        <w:t>the 12</w:t>
      </w:r>
      <w:r w:rsidR="00CD39B4">
        <w:t>-</w:t>
      </w:r>
      <w:r w:rsidR="004D1119">
        <w:t>to</w:t>
      </w:r>
      <w:r w:rsidR="00CD39B4">
        <w:t>-</w:t>
      </w:r>
      <w:r w:rsidR="004D1119">
        <w:t>14</w:t>
      </w:r>
      <w:r w:rsidR="00CD39B4">
        <w:t>-</w:t>
      </w:r>
      <w:r w:rsidR="004D1119">
        <w:t xml:space="preserve">year </w:t>
      </w:r>
      <w:r w:rsidR="00CD39B4">
        <w:t xml:space="preserve">age </w:t>
      </w:r>
      <w:r w:rsidR="004D1119">
        <w:t>range.</w:t>
      </w:r>
      <w:r w:rsidR="00083A76">
        <w:t xml:space="preserve">  Resident age-sex population from ABS website.</w:t>
      </w:r>
    </w:p>
    <w:p w14:paraId="690B771C" w14:textId="6D069766" w:rsidR="00FA6B38" w:rsidRDefault="4E38700A" w:rsidP="4261A937">
      <w:pPr>
        <w:rPr>
          <w:rFonts w:cs="Times New Roman"/>
          <w:noProof/>
        </w:rPr>
      </w:pPr>
      <w:r w:rsidRPr="4261A937">
        <w:rPr>
          <w:lang w:val="en-US"/>
        </w:rPr>
        <w:t xml:space="preserve">The key risk factors for severe liver toxicity and death—late presentation, high doses and modified release (MR) paracetamol ingestion—remain unchanged, each occurring in around 5 to 10% of overdoses. Many proposed interventions are designed to reduce the proportion of such high-risk overdoses (rather than to completely prevent overdoses). </w:t>
      </w:r>
      <w:r w:rsidRPr="4261A937">
        <w:rPr>
          <w:rFonts w:cs="Times New Roman"/>
          <w:noProof/>
        </w:rPr>
        <w:t xml:space="preserve">Despite very effective treatments, there is still morbidity (acute liver injury/failure in 2 to 5% of overdoses) and deaths (0.2 to 0.5%), largely confined to such higher risk overdoses. These outcomes are extraordinarily tragic but are extremely rare: approximately </w:t>
      </w:r>
      <w:r w:rsidR="007D07C6">
        <w:rPr>
          <w:rFonts w:cs="Times New Roman"/>
        </w:rPr>
        <w:t>9</w:t>
      </w:r>
      <w:r w:rsidRPr="4261A937">
        <w:rPr>
          <w:rFonts w:cs="Times New Roman"/>
          <w:noProof/>
        </w:rPr>
        <w:t xml:space="preserve"> hospitalisation</w:t>
      </w:r>
      <w:r w:rsidR="007D07C6">
        <w:rPr>
          <w:rFonts w:cs="Times New Roman"/>
          <w:noProof/>
        </w:rPr>
        <w:t>s</w:t>
      </w:r>
      <w:r w:rsidRPr="4261A937">
        <w:rPr>
          <w:rFonts w:cs="Times New Roman"/>
          <w:noProof/>
        </w:rPr>
        <w:t xml:space="preserve"> with liver injury and </w:t>
      </w:r>
      <w:r w:rsidR="002B0990">
        <w:rPr>
          <w:rFonts w:cs="Times New Roman"/>
        </w:rPr>
        <w:t>2</w:t>
      </w:r>
      <w:r w:rsidRPr="4261A937">
        <w:rPr>
          <w:rFonts w:cs="Times New Roman"/>
          <w:noProof/>
        </w:rPr>
        <w:t xml:space="preserve"> death</w:t>
      </w:r>
      <w:r w:rsidR="002B0990">
        <w:rPr>
          <w:rFonts w:cs="Times New Roman"/>
          <w:noProof/>
        </w:rPr>
        <w:t>s</w:t>
      </w:r>
      <w:r w:rsidRPr="4261A937">
        <w:rPr>
          <w:rFonts w:cs="Times New Roman"/>
          <w:noProof/>
        </w:rPr>
        <w:t xml:space="preserve"> per million head of population. </w:t>
      </w:r>
      <w:r w:rsidRPr="47F328F7">
        <w:rPr>
          <w:rFonts w:cs="Times New Roman"/>
          <w:noProof/>
        </w:rPr>
        <w:t>Mor</w:t>
      </w:r>
      <w:r w:rsidR="7AA37B49" w:rsidRPr="47F328F7">
        <w:rPr>
          <w:rFonts w:cs="Times New Roman"/>
          <w:noProof/>
        </w:rPr>
        <w:t>e</w:t>
      </w:r>
      <w:r w:rsidRPr="47F328F7">
        <w:rPr>
          <w:rFonts w:cs="Times New Roman"/>
          <w:noProof/>
        </w:rPr>
        <w:t>over</w:t>
      </w:r>
      <w:r w:rsidRPr="4261A937">
        <w:rPr>
          <w:rFonts w:cs="Times New Roman"/>
          <w:noProof/>
        </w:rPr>
        <w:t xml:space="preserve">, they are infrequent compared to the volume of paracetamol consumed in the community each year: </w:t>
      </w:r>
      <w:r w:rsidR="00374B94">
        <w:rPr>
          <w:rFonts w:cs="Times New Roman"/>
        </w:rPr>
        <w:t xml:space="preserve">3 </w:t>
      </w:r>
      <w:r w:rsidRPr="4261A937">
        <w:rPr>
          <w:rFonts w:cs="Times New Roman"/>
          <w:noProof/>
        </w:rPr>
        <w:t xml:space="preserve">hospitalisations </w:t>
      </w:r>
      <w:r w:rsidR="6E02CBF3" w:rsidRPr="47F328F7">
        <w:rPr>
          <w:rFonts w:cs="Times New Roman"/>
          <w:noProof/>
        </w:rPr>
        <w:t xml:space="preserve">with liver injury </w:t>
      </w:r>
      <w:r w:rsidRPr="4261A937">
        <w:rPr>
          <w:rFonts w:cs="Times New Roman"/>
          <w:noProof/>
        </w:rPr>
        <w:t xml:space="preserve">and </w:t>
      </w:r>
      <w:r w:rsidR="00374B94">
        <w:rPr>
          <w:rFonts w:cs="Times New Roman"/>
        </w:rPr>
        <w:t>&lt;1</w:t>
      </w:r>
      <w:r w:rsidRPr="4261A937">
        <w:rPr>
          <w:rFonts w:cs="Times New Roman"/>
          <w:noProof/>
        </w:rPr>
        <w:t xml:space="preserve"> deaths per million units of paracetamol sold. </w:t>
      </w:r>
    </w:p>
    <w:p w14:paraId="516B3F6F" w14:textId="54F23FB4" w:rsidR="00FA6B38" w:rsidRDefault="00107296" w:rsidP="00FA6B38">
      <w:pPr>
        <w:rPr>
          <w:lang w:val="en-US"/>
        </w:rPr>
      </w:pPr>
      <w:r>
        <w:t xml:space="preserve">Further information was </w:t>
      </w:r>
      <w:r w:rsidR="00D818E8">
        <w:t xml:space="preserve">obtained </w:t>
      </w:r>
      <w:r w:rsidR="004C792E">
        <w:t xml:space="preserve">from </w:t>
      </w:r>
      <w:r w:rsidR="00EE032D">
        <w:t xml:space="preserve">commissioned </w:t>
      </w:r>
      <w:r w:rsidR="00D818E8">
        <w:t>stud</w:t>
      </w:r>
      <w:r w:rsidR="00EE032D">
        <w:t>ies</w:t>
      </w:r>
      <w:r w:rsidR="00D818E8">
        <w:t xml:space="preserve"> </w:t>
      </w:r>
      <w:r w:rsidR="00C83D15">
        <w:t xml:space="preserve">run by the NSW Poisons </w:t>
      </w:r>
      <w:r w:rsidR="00DB0738">
        <w:t xml:space="preserve">Information </w:t>
      </w:r>
      <w:r w:rsidR="00C83D15">
        <w:t xml:space="preserve">Centre </w:t>
      </w:r>
      <w:r w:rsidR="00D818E8">
        <w:t xml:space="preserve">to </w:t>
      </w:r>
      <w:r w:rsidR="002F7E6C">
        <w:t xml:space="preserve">inform </w:t>
      </w:r>
      <w:r w:rsidR="00CF05D4">
        <w:t xml:space="preserve">a range of </w:t>
      </w:r>
      <w:r w:rsidR="002F7E6C">
        <w:t>options</w:t>
      </w:r>
      <w:r w:rsidR="003909D5">
        <w:t xml:space="preserve"> for intervention</w:t>
      </w:r>
      <w:r w:rsidR="002F7E6C">
        <w:t>. Th</w:t>
      </w:r>
      <w:r w:rsidR="008475EE">
        <w:t xml:space="preserve">ese studies </w:t>
      </w:r>
      <w:r w:rsidR="004C792E">
        <w:t xml:space="preserve">found that </w:t>
      </w:r>
      <w:r w:rsidR="004D7A8D">
        <w:t xml:space="preserve">most </w:t>
      </w:r>
      <w:r w:rsidR="00FA6B38" w:rsidRPr="4C223402">
        <w:rPr>
          <w:lang w:val="en-US"/>
        </w:rPr>
        <w:t>paracetamol self-poisonings in all age groups are impulsive but with suicidal intent. It is common for these individuals to have repeated episodes of self-harm.</w:t>
      </w:r>
      <w:r w:rsidR="00760B2D" w:rsidRPr="4C223402">
        <w:rPr>
          <w:lang w:val="en-US"/>
        </w:rPr>
        <w:t xml:space="preserve"> </w:t>
      </w:r>
      <w:r w:rsidR="00FA6B38" w:rsidRPr="4C223402">
        <w:rPr>
          <w:lang w:val="en-US"/>
        </w:rPr>
        <w:t xml:space="preserve">Over half the time, the paracetamol </w:t>
      </w:r>
      <w:r w:rsidR="005675B0" w:rsidRPr="4C223402">
        <w:rPr>
          <w:lang w:val="en-US"/>
        </w:rPr>
        <w:t xml:space="preserve">taken in intentional self-poisoning </w:t>
      </w:r>
      <w:r w:rsidR="00FA6B38" w:rsidRPr="4C223402">
        <w:rPr>
          <w:lang w:val="en-US"/>
        </w:rPr>
        <w:t>was present in the home. Only around 10% reported recently purchasing paracetamol (usually on that day); 1 or 2 packs were purchased.</w:t>
      </w:r>
      <w:r w:rsidR="00EE032D" w:rsidRPr="4C223402">
        <w:rPr>
          <w:lang w:val="en-US"/>
        </w:rPr>
        <w:t xml:space="preserve"> </w:t>
      </w:r>
      <w:r w:rsidR="3DF8BA10" w:rsidRPr="4C223402">
        <w:rPr>
          <w:lang w:val="en-US"/>
        </w:rPr>
        <w:t>Th</w:t>
      </w:r>
      <w:r w:rsidR="0B2764A5" w:rsidRPr="4C223402">
        <w:rPr>
          <w:lang w:val="en-US"/>
        </w:rPr>
        <w:t xml:space="preserve">erefore, although </w:t>
      </w:r>
      <w:r w:rsidR="372748BD" w:rsidRPr="4C223402">
        <w:rPr>
          <w:lang w:val="en-US"/>
        </w:rPr>
        <w:t xml:space="preserve">about one-third of </w:t>
      </w:r>
      <w:r w:rsidR="0B2764A5" w:rsidRPr="4C223402">
        <w:rPr>
          <w:lang w:val="en-US"/>
        </w:rPr>
        <w:t xml:space="preserve">paracetamol sales in Australia </w:t>
      </w:r>
      <w:r w:rsidR="17054B94" w:rsidRPr="4C223402">
        <w:rPr>
          <w:lang w:val="en-US"/>
        </w:rPr>
        <w:t>are</w:t>
      </w:r>
      <w:r w:rsidR="2E10D060" w:rsidRPr="4C223402">
        <w:rPr>
          <w:lang w:val="en-US"/>
        </w:rPr>
        <w:t xml:space="preserve"> in grocery and convenience stores</w:t>
      </w:r>
      <w:r w:rsidR="315C7D3F" w:rsidRPr="4C223402">
        <w:rPr>
          <w:lang w:val="en-US"/>
        </w:rPr>
        <w:t xml:space="preserve">, and </w:t>
      </w:r>
      <w:r w:rsidR="19B12D78" w:rsidRPr="4C223402">
        <w:rPr>
          <w:lang w:val="en-US"/>
        </w:rPr>
        <w:t xml:space="preserve">multiple packs are frequently purchased in </w:t>
      </w:r>
      <w:r w:rsidR="6EFB03AA" w:rsidRPr="4C223402">
        <w:rPr>
          <w:lang w:val="en-US"/>
        </w:rPr>
        <w:t xml:space="preserve">both </w:t>
      </w:r>
      <w:r w:rsidR="19B12D78" w:rsidRPr="4C223402">
        <w:rPr>
          <w:lang w:val="en-US"/>
        </w:rPr>
        <w:t xml:space="preserve">grocery stores and pharmacies (25% of </w:t>
      </w:r>
      <w:r w:rsidR="35E60040" w:rsidRPr="4C223402">
        <w:rPr>
          <w:lang w:val="en-US"/>
        </w:rPr>
        <w:t>paracetamol transactions)</w:t>
      </w:r>
      <w:r w:rsidR="6ACF1BAD" w:rsidRPr="4C223402">
        <w:rPr>
          <w:lang w:val="en-US"/>
        </w:rPr>
        <w:t xml:space="preserve">, these purchasing trends contribute only </w:t>
      </w:r>
      <w:r w:rsidR="1FBD587D" w:rsidRPr="4C223402">
        <w:rPr>
          <w:lang w:val="en-US"/>
        </w:rPr>
        <w:t>in part to intentional self-poisoning</w:t>
      </w:r>
      <w:r w:rsidR="0014636A">
        <w:rPr>
          <w:lang w:val="en-US"/>
        </w:rPr>
        <w:t>.</w:t>
      </w:r>
      <w:r w:rsidR="527A5CB7" w:rsidRPr="4C223402">
        <w:rPr>
          <w:lang w:val="en-US"/>
        </w:rPr>
        <w:t xml:space="preserve"> Similarly, </w:t>
      </w:r>
      <w:r w:rsidR="123D52D1" w:rsidRPr="4C223402">
        <w:rPr>
          <w:lang w:val="en-US"/>
        </w:rPr>
        <w:t>t</w:t>
      </w:r>
      <w:r w:rsidR="30AD2EE6" w:rsidRPr="4C223402">
        <w:rPr>
          <w:lang w:val="en-US"/>
        </w:rPr>
        <w:t>he</w:t>
      </w:r>
      <w:r w:rsidR="00FA6B38" w:rsidRPr="4C223402">
        <w:rPr>
          <w:lang w:val="en-US"/>
        </w:rPr>
        <w:t xml:space="preserve"> pack size most commonly</w:t>
      </w:r>
      <w:r w:rsidR="00853851" w:rsidRPr="4C223402">
        <w:rPr>
          <w:lang w:val="en-US"/>
        </w:rPr>
        <w:t xml:space="preserve"> ingested,</w:t>
      </w:r>
      <w:r w:rsidR="00FA6B38" w:rsidRPr="4C223402">
        <w:rPr>
          <w:lang w:val="en-US"/>
        </w:rPr>
        <w:t xml:space="preserve"> and in roughly equal proportions were 20/24s and 96/100s</w:t>
      </w:r>
      <w:r w:rsidR="7F653FC8" w:rsidRPr="4C223402">
        <w:rPr>
          <w:lang w:val="en-US"/>
        </w:rPr>
        <w:t xml:space="preserve"> with </w:t>
      </w:r>
      <w:r w:rsidR="0946D026" w:rsidRPr="4C223402">
        <w:rPr>
          <w:lang w:val="en-US"/>
        </w:rPr>
        <w:t>a</w:t>
      </w:r>
      <w:r w:rsidR="30AD2EE6" w:rsidRPr="4C223402">
        <w:rPr>
          <w:lang w:val="en-US"/>
        </w:rPr>
        <w:t>t</w:t>
      </w:r>
      <w:r w:rsidR="00FA6B38" w:rsidRPr="4C223402">
        <w:rPr>
          <w:lang w:val="en-US"/>
        </w:rPr>
        <w:t xml:space="preserve"> least 25-30% of ingestions </w:t>
      </w:r>
      <w:r w:rsidR="32B420FA" w:rsidRPr="4C223402">
        <w:rPr>
          <w:lang w:val="en-US"/>
        </w:rPr>
        <w:t>involving</w:t>
      </w:r>
      <w:r w:rsidR="00FA6B38" w:rsidRPr="4C223402">
        <w:rPr>
          <w:lang w:val="en-US"/>
        </w:rPr>
        <w:t xml:space="preserve"> unscheduled products.</w:t>
      </w:r>
      <w:r w:rsidR="00A87351" w:rsidRPr="4C223402">
        <w:rPr>
          <w:lang w:val="en-US"/>
        </w:rPr>
        <w:t xml:space="preserve"> </w:t>
      </w:r>
      <w:r w:rsidR="081E0F88" w:rsidRPr="4C223402">
        <w:rPr>
          <w:lang w:val="en-US"/>
        </w:rPr>
        <w:t xml:space="preserve">This </w:t>
      </w:r>
      <w:r w:rsidR="1BB082BC" w:rsidRPr="4C223402">
        <w:rPr>
          <w:lang w:val="en-US"/>
        </w:rPr>
        <w:t xml:space="preserve">roughly </w:t>
      </w:r>
      <w:r w:rsidR="081E0F88" w:rsidRPr="4C223402">
        <w:rPr>
          <w:lang w:val="en-US"/>
        </w:rPr>
        <w:t xml:space="preserve">matched the </w:t>
      </w:r>
      <w:r w:rsidR="1BB082BC" w:rsidRPr="4C223402">
        <w:rPr>
          <w:lang w:val="en-US"/>
        </w:rPr>
        <w:t>national s</w:t>
      </w:r>
      <w:r w:rsidR="30AD2EE6" w:rsidRPr="4C223402">
        <w:rPr>
          <w:lang w:val="en-US"/>
        </w:rPr>
        <w:t xml:space="preserve">ales </w:t>
      </w:r>
      <w:r w:rsidR="1BB082BC" w:rsidRPr="4C223402">
        <w:rPr>
          <w:lang w:val="en-US"/>
        </w:rPr>
        <w:t xml:space="preserve">volumes for </w:t>
      </w:r>
      <w:r w:rsidR="30AD2EE6" w:rsidRPr="4C223402">
        <w:rPr>
          <w:lang w:val="en-US"/>
        </w:rPr>
        <w:t>paracetamol</w:t>
      </w:r>
      <w:r w:rsidR="1BB082BC" w:rsidRPr="4C223402">
        <w:rPr>
          <w:lang w:val="en-US"/>
        </w:rPr>
        <w:t xml:space="preserve"> products</w:t>
      </w:r>
      <w:r w:rsidR="7E767696" w:rsidRPr="4C223402">
        <w:rPr>
          <w:lang w:val="en-US"/>
        </w:rPr>
        <w:t>, indicating that</w:t>
      </w:r>
      <w:r w:rsidR="00A30BD6">
        <w:rPr>
          <w:lang w:val="en-US"/>
        </w:rPr>
        <w:t xml:space="preserve"> </w:t>
      </w:r>
      <w:r w:rsidR="15E944BD" w:rsidRPr="4C223402">
        <w:rPr>
          <w:lang w:val="en-US"/>
        </w:rPr>
        <w:t>general sale</w:t>
      </w:r>
      <w:r w:rsidR="2FAB480D" w:rsidRPr="4C223402">
        <w:rPr>
          <w:lang w:val="en-US"/>
        </w:rPr>
        <w:t>s are</w:t>
      </w:r>
      <w:r w:rsidR="2C0217A4" w:rsidRPr="4C223402">
        <w:rPr>
          <w:lang w:val="en-US"/>
        </w:rPr>
        <w:t xml:space="preserve"> not over-represented in the problem of</w:t>
      </w:r>
      <w:r w:rsidR="0000049C">
        <w:rPr>
          <w:lang w:val="en-US"/>
        </w:rPr>
        <w:t xml:space="preserve"> </w:t>
      </w:r>
      <w:r w:rsidR="2A577CCD" w:rsidRPr="4C223402">
        <w:rPr>
          <w:lang w:val="en-US"/>
        </w:rPr>
        <w:t>intentional poisoning with paracetamol</w:t>
      </w:r>
      <w:r w:rsidR="55BE37F2" w:rsidRPr="4C223402">
        <w:rPr>
          <w:lang w:val="en-US"/>
        </w:rPr>
        <w:t>, and a change in the availability and pack size of paracetamol in this setting would have limited impact.</w:t>
      </w:r>
      <w:r w:rsidR="1BB082BC" w:rsidRPr="4C223402">
        <w:rPr>
          <w:lang w:val="en-US"/>
        </w:rPr>
        <w:t xml:space="preserve"> </w:t>
      </w:r>
    </w:p>
    <w:p w14:paraId="7FE68D20" w14:textId="07B95A87" w:rsidR="004D19AA" w:rsidRDefault="004D19AA" w:rsidP="3357D945">
      <w:pPr>
        <w:rPr>
          <w:lang w:val="en-US"/>
        </w:rPr>
      </w:pPr>
      <w:r>
        <w:rPr>
          <w:lang w:val="en-US"/>
        </w:rPr>
        <w:t xml:space="preserve">The systematic literature review </w:t>
      </w:r>
      <w:r w:rsidR="00773B9B">
        <w:rPr>
          <w:lang w:val="en-US"/>
        </w:rPr>
        <w:t xml:space="preserve">findings </w:t>
      </w:r>
      <w:r w:rsidR="009A683C">
        <w:rPr>
          <w:lang w:val="en-US"/>
        </w:rPr>
        <w:t xml:space="preserve">on the population </w:t>
      </w:r>
      <w:r w:rsidR="00773B9B">
        <w:rPr>
          <w:lang w:val="en-US"/>
        </w:rPr>
        <w:t>were largely concordant with the Australian data</w:t>
      </w:r>
      <w:r w:rsidR="00E824C4">
        <w:rPr>
          <w:lang w:val="en-US"/>
        </w:rPr>
        <w:t>, in terms of demographics, intent</w:t>
      </w:r>
      <w:r w:rsidR="004C0984">
        <w:rPr>
          <w:lang w:val="en-US"/>
        </w:rPr>
        <w:t>, and ingestion</w:t>
      </w:r>
      <w:r w:rsidR="009A683C">
        <w:rPr>
          <w:lang w:val="en-US"/>
        </w:rPr>
        <w:t xml:space="preserve">. </w:t>
      </w:r>
      <w:r w:rsidR="003B72B6" w:rsidRPr="003B72B6">
        <w:rPr>
          <w:lang w:val="en-US"/>
        </w:rPr>
        <w:t>For example, it was apparent from the literature that self-harming with paracetamol tends to be impulsive</w:t>
      </w:r>
      <w:r w:rsidR="003B72B6">
        <w:rPr>
          <w:lang w:val="en-US"/>
        </w:rPr>
        <w:t>.</w:t>
      </w:r>
      <w:r w:rsidR="003B72B6" w:rsidRPr="003B72B6">
        <w:rPr>
          <w:lang w:val="en-US"/>
        </w:rPr>
        <w:t xml:space="preserve"> </w:t>
      </w:r>
      <w:r w:rsidR="003B72B6">
        <w:rPr>
          <w:lang w:val="en-US"/>
        </w:rPr>
        <w:t>P</w:t>
      </w:r>
      <w:r w:rsidR="003B72B6" w:rsidRPr="003B72B6">
        <w:rPr>
          <w:lang w:val="en-US"/>
        </w:rPr>
        <w:t>eople are taking what is readily available in the home and for most people, particularly young people, this is paracetamol as they don’t have access to other medications, such as prescription drugs</w:t>
      </w:r>
      <w:r w:rsidR="003B72B6">
        <w:rPr>
          <w:lang w:val="en-US"/>
        </w:rPr>
        <w:t>. Additional findings from the review include</w:t>
      </w:r>
      <w:r w:rsidR="00F90686">
        <w:rPr>
          <w:lang w:val="en-US"/>
        </w:rPr>
        <w:t>d</w:t>
      </w:r>
      <w:r w:rsidR="003B72B6">
        <w:rPr>
          <w:lang w:val="en-US"/>
        </w:rPr>
        <w:t xml:space="preserve"> that</w:t>
      </w:r>
      <w:r w:rsidR="002B6D40">
        <w:rPr>
          <w:lang w:val="en-US"/>
        </w:rPr>
        <w:t xml:space="preserve"> </w:t>
      </w:r>
      <w:r w:rsidR="003B72B6">
        <w:rPr>
          <w:lang w:val="en-US"/>
        </w:rPr>
        <w:t>pa</w:t>
      </w:r>
      <w:r w:rsidR="003B72B6" w:rsidRPr="002B6D40">
        <w:rPr>
          <w:lang w:val="en-US"/>
        </w:rPr>
        <w:t>racetamol</w:t>
      </w:r>
      <w:r w:rsidR="002B6D40" w:rsidRPr="002B6D40">
        <w:rPr>
          <w:lang w:val="en-US"/>
        </w:rPr>
        <w:t xml:space="preserve"> is likely to be the first substance used for self-poisoning, particularly among young people</w:t>
      </w:r>
      <w:r w:rsidR="00CC3395">
        <w:rPr>
          <w:lang w:val="en-US"/>
        </w:rPr>
        <w:t>, and that n</w:t>
      </w:r>
      <w:r w:rsidR="002B6D40" w:rsidRPr="002B6D40">
        <w:rPr>
          <w:lang w:val="en-US"/>
        </w:rPr>
        <w:t>ot all of those with intentional self-harm with paracetamol have a psychiatric diagnosis or mental health symptoms</w:t>
      </w:r>
      <w:r w:rsidR="00001892">
        <w:rPr>
          <w:lang w:val="en-US"/>
        </w:rPr>
        <w:t xml:space="preserve"> (and thus population </w:t>
      </w:r>
      <w:r w:rsidR="00094CB7">
        <w:rPr>
          <w:lang w:val="en-US"/>
        </w:rPr>
        <w:t xml:space="preserve">(rather than individual) </w:t>
      </w:r>
      <w:r w:rsidR="00571361">
        <w:rPr>
          <w:lang w:val="en-US"/>
        </w:rPr>
        <w:t xml:space="preserve">focused </w:t>
      </w:r>
      <w:r w:rsidR="00001892">
        <w:rPr>
          <w:lang w:val="en-US"/>
        </w:rPr>
        <w:t xml:space="preserve">approaches </w:t>
      </w:r>
      <w:r w:rsidR="00094CB7">
        <w:rPr>
          <w:lang w:val="en-US"/>
        </w:rPr>
        <w:t>are important)</w:t>
      </w:r>
      <w:r w:rsidR="002B6D40" w:rsidRPr="002B6D40">
        <w:rPr>
          <w:lang w:val="en-US"/>
        </w:rPr>
        <w:t xml:space="preserve">. </w:t>
      </w:r>
      <w:r w:rsidR="00F90686">
        <w:rPr>
          <w:lang w:val="en-US"/>
        </w:rPr>
        <w:t xml:space="preserve">It was also apparent from the literature that public knowledge </w:t>
      </w:r>
      <w:r w:rsidR="0006396E">
        <w:rPr>
          <w:lang w:val="en-US"/>
        </w:rPr>
        <w:t>of</w:t>
      </w:r>
      <w:r w:rsidR="00F90686">
        <w:rPr>
          <w:lang w:val="en-US"/>
        </w:rPr>
        <w:t xml:space="preserve"> the harms of paracetamol is </w:t>
      </w:r>
      <w:r w:rsidR="0006396E">
        <w:rPr>
          <w:lang w:val="en-US"/>
        </w:rPr>
        <w:t>mixed</w:t>
      </w:r>
      <w:r w:rsidR="00F90686">
        <w:rPr>
          <w:lang w:val="en-US"/>
        </w:rPr>
        <w:t xml:space="preserve"> and that paracetamol packet warnings are unlikely to deter people from self-poisoning.</w:t>
      </w:r>
      <w:r w:rsidR="0006396E">
        <w:rPr>
          <w:lang w:val="en-US"/>
        </w:rPr>
        <w:t xml:space="preserve"> </w:t>
      </w:r>
    </w:p>
    <w:p w14:paraId="467A6D49" w14:textId="1293D714" w:rsidR="004D19AA" w:rsidRDefault="00426E2E" w:rsidP="00FA6B38">
      <w:pPr>
        <w:rPr>
          <w:lang w:val="en-US"/>
        </w:rPr>
      </w:pPr>
      <w:r>
        <w:rPr>
          <w:lang w:val="en-US"/>
        </w:rPr>
        <w:t>Our survey of the international landscape has shown that</w:t>
      </w:r>
      <w:r w:rsidR="007F1917">
        <w:rPr>
          <w:lang w:val="en-US"/>
        </w:rPr>
        <w:t xml:space="preserve"> access to paracetamol products varies considerably between jurisdictions. </w:t>
      </w:r>
      <w:r w:rsidR="00712619">
        <w:rPr>
          <w:lang w:val="en-US"/>
        </w:rPr>
        <w:t>Due to the limited availability of published data, w</w:t>
      </w:r>
      <w:r w:rsidR="00F42AA0">
        <w:rPr>
          <w:lang w:val="en-US"/>
        </w:rPr>
        <w:t xml:space="preserve">e were unable to </w:t>
      </w:r>
      <w:r w:rsidR="00164A3C">
        <w:rPr>
          <w:lang w:val="en-US"/>
        </w:rPr>
        <w:t>identify</w:t>
      </w:r>
      <w:r w:rsidR="0008254A">
        <w:rPr>
          <w:lang w:val="en-US"/>
        </w:rPr>
        <w:t xml:space="preserve"> </w:t>
      </w:r>
      <w:r w:rsidR="00164A3C">
        <w:rPr>
          <w:lang w:val="en-US"/>
        </w:rPr>
        <w:t xml:space="preserve">clear trends </w:t>
      </w:r>
      <w:r w:rsidR="00712619">
        <w:rPr>
          <w:lang w:val="en-US"/>
        </w:rPr>
        <w:t>between the level and means of access controls on paracetamol, and the incidence of poisoning</w:t>
      </w:r>
      <w:r w:rsidR="00A9360D">
        <w:rPr>
          <w:lang w:val="en-US"/>
        </w:rPr>
        <w:t>, morbidity and mortality, between jurisdictions. However, a number of foreign jur</w:t>
      </w:r>
      <w:r w:rsidR="00477902">
        <w:rPr>
          <w:lang w:val="en-US"/>
        </w:rPr>
        <w:t>isdictions have tighter controls on paracetamol access, such as paracetamol not being available by general sale</w:t>
      </w:r>
      <w:r w:rsidR="00CC1E89">
        <w:rPr>
          <w:lang w:val="en-US"/>
        </w:rPr>
        <w:t xml:space="preserve"> or smaller pack size limits for general sale compared to Australia.</w:t>
      </w:r>
      <w:r w:rsidR="00E765CF">
        <w:rPr>
          <w:lang w:val="en-US"/>
        </w:rPr>
        <w:t xml:space="preserve"> </w:t>
      </w:r>
      <w:r w:rsidR="00CC1E89">
        <w:rPr>
          <w:lang w:val="en-US"/>
        </w:rPr>
        <w:t xml:space="preserve"> </w:t>
      </w:r>
      <w:r w:rsidR="00477902">
        <w:rPr>
          <w:lang w:val="en-US"/>
        </w:rPr>
        <w:t xml:space="preserve"> </w:t>
      </w:r>
      <w:r w:rsidR="0008254A">
        <w:rPr>
          <w:lang w:val="en-US"/>
        </w:rPr>
        <w:t xml:space="preserve">  </w:t>
      </w:r>
    </w:p>
    <w:p w14:paraId="7DC1C08B" w14:textId="6DD386A4" w:rsidR="009E56BC" w:rsidRPr="009E56BC" w:rsidRDefault="00713799" w:rsidP="00FE53C6">
      <w:pPr>
        <w:pStyle w:val="Heading3"/>
        <w:rPr>
          <w:lang w:val="en-US"/>
        </w:rPr>
      </w:pPr>
      <w:bookmarkStart w:id="4" w:name="_Toc112843893"/>
      <w:r>
        <w:rPr>
          <w:lang w:val="en-US"/>
        </w:rPr>
        <w:t xml:space="preserve">Rationale for </w:t>
      </w:r>
      <w:r w:rsidR="00BB5081">
        <w:rPr>
          <w:lang w:val="en-US"/>
        </w:rPr>
        <w:t xml:space="preserve">paracetamol targeted </w:t>
      </w:r>
      <w:r w:rsidR="009E56BC">
        <w:rPr>
          <w:lang w:val="en-US"/>
        </w:rPr>
        <w:t>s</w:t>
      </w:r>
      <w:r w:rsidR="009E56BC" w:rsidRPr="009E56BC">
        <w:rPr>
          <w:lang w:val="en-US"/>
        </w:rPr>
        <w:t>olutions</w:t>
      </w:r>
      <w:r w:rsidR="00255EC1">
        <w:rPr>
          <w:lang w:val="en-US"/>
        </w:rPr>
        <w:t xml:space="preserve"> in Australia</w:t>
      </w:r>
      <w:bookmarkEnd w:id="4"/>
    </w:p>
    <w:p w14:paraId="71501B45" w14:textId="36F0AD76" w:rsidR="00FA6B38" w:rsidRDefault="00BC492C" w:rsidP="00A561C3">
      <w:pPr>
        <w:rPr>
          <w:lang w:val="en-US"/>
        </w:rPr>
      </w:pPr>
      <w:r w:rsidRPr="0091560A">
        <w:t>In Australia, unlimited numbers of packs of paracetamol can be purchased without a prescription at pharmacies or supermarkets</w:t>
      </w:r>
      <w:r w:rsidR="2D533120">
        <w:t xml:space="preserve">, with 96 or 100 tablet packs and </w:t>
      </w:r>
      <w:r w:rsidRPr="0091560A">
        <w:t>20 tablet packs</w:t>
      </w:r>
      <w:r w:rsidR="2D533120">
        <w:t>, respectively, being the most commonly purchased through these channels</w:t>
      </w:r>
      <w:r w:rsidR="380D9FB0">
        <w:t>.</w:t>
      </w:r>
      <w:r w:rsidRPr="0091560A">
        <w:t xml:space="preserve"> Many countries, including the EU, UK, and New Zealand have introduced some restrictions to target the problem.</w:t>
      </w:r>
      <w:r w:rsidR="00A87351">
        <w:t xml:space="preserve"> </w:t>
      </w:r>
      <w:r w:rsidRPr="0091560A">
        <w:t xml:space="preserve">For example, this includes greater restrictions on MR preparations and tighter limits on paracetamol pack sizes or packs sold. </w:t>
      </w:r>
      <w:r w:rsidR="6137F2CE">
        <w:t xml:space="preserve">Our </w:t>
      </w:r>
      <w:r w:rsidR="1537ACA1">
        <w:t>literature</w:t>
      </w:r>
      <w:r w:rsidR="0094731D">
        <w:t xml:space="preserve"> review noted that r</w:t>
      </w:r>
      <w:r w:rsidR="00497981" w:rsidRPr="00497981">
        <w:t>eduction in pack size has been found to reduce deaths from poisonings by about a third, although effects may be less for non-lethal outcomes.</w:t>
      </w:r>
      <w:r w:rsidR="0006396E" w:rsidRPr="00497981" w:rsidDel="0006396E">
        <w:t xml:space="preserve"> </w:t>
      </w:r>
      <w:r w:rsidR="004F52EE">
        <w:t xml:space="preserve">One study restricted the sale of paracetamol to people over 18 years and found a 17% reduction in self-poisoning for those under 18 years (but no change in the other age cohorts). </w:t>
      </w:r>
      <w:r w:rsidR="00497981" w:rsidRPr="00497981">
        <w:t xml:space="preserve">There </w:t>
      </w:r>
      <w:r w:rsidR="00871598">
        <w:t>was</w:t>
      </w:r>
      <w:r w:rsidR="00871598" w:rsidRPr="00497981">
        <w:t xml:space="preserve"> </w:t>
      </w:r>
      <w:r w:rsidR="00497981" w:rsidRPr="00497981">
        <w:t xml:space="preserve">little evidence across </w:t>
      </w:r>
      <w:r w:rsidR="00E661FB">
        <w:t xml:space="preserve">the </w:t>
      </w:r>
      <w:r w:rsidR="00497981" w:rsidRPr="00497981">
        <w:t>15 studies</w:t>
      </w:r>
      <w:r w:rsidR="00871598">
        <w:t xml:space="preserve"> identified in the review</w:t>
      </w:r>
      <w:r w:rsidR="00497981" w:rsidRPr="00497981">
        <w:t xml:space="preserve"> that method substitution arises</w:t>
      </w:r>
      <w:r w:rsidR="00E661FB">
        <w:t xml:space="preserve"> as a result of restrictions</w:t>
      </w:r>
      <w:r w:rsidR="00497981" w:rsidRPr="00497981">
        <w:t>.</w:t>
      </w:r>
      <w:r w:rsidR="001245DB">
        <w:t xml:space="preserve"> Consistent with th</w:t>
      </w:r>
      <w:r w:rsidR="00992859">
        <w:t>ese findings,</w:t>
      </w:r>
      <w:r w:rsidR="001245DB">
        <w:t xml:space="preserve"> NSW PIC data </w:t>
      </w:r>
      <w:r w:rsidR="00FC3A03">
        <w:t>showed t</w:t>
      </w:r>
      <w:r w:rsidR="00FA6B38">
        <w:rPr>
          <w:lang w:val="en-US"/>
        </w:rPr>
        <w:t xml:space="preserve">he </w:t>
      </w:r>
      <w:r w:rsidR="00577817">
        <w:rPr>
          <w:lang w:val="en-US"/>
        </w:rPr>
        <w:t xml:space="preserve">2018 </w:t>
      </w:r>
      <w:r w:rsidR="00FA6B38">
        <w:rPr>
          <w:lang w:val="en-US"/>
        </w:rPr>
        <w:t xml:space="preserve">codeine prescription only (S4) restriction was followed by a large reduction in paracetamol combination product ingestions (and also reduced ibuprofen and codeine ingestions). </w:t>
      </w:r>
      <w:r>
        <w:rPr>
          <w:lang w:val="en-US"/>
        </w:rPr>
        <w:t>In contrast</w:t>
      </w:r>
      <w:r w:rsidR="00FC3A03">
        <w:rPr>
          <w:lang w:val="en-US"/>
        </w:rPr>
        <w:t>,</w:t>
      </w:r>
      <w:r>
        <w:rPr>
          <w:lang w:val="en-US"/>
        </w:rPr>
        <w:t xml:space="preserve"> t</w:t>
      </w:r>
      <w:r w:rsidR="00FA6B38">
        <w:rPr>
          <w:lang w:val="en-US"/>
        </w:rPr>
        <w:t xml:space="preserve">he </w:t>
      </w:r>
      <w:r w:rsidR="00220A35">
        <w:rPr>
          <w:lang w:val="en-US"/>
        </w:rPr>
        <w:t>20</w:t>
      </w:r>
      <w:r w:rsidR="00577817">
        <w:rPr>
          <w:lang w:val="en-US"/>
        </w:rPr>
        <w:t>10</w:t>
      </w:r>
      <w:r w:rsidR="00FC3A03">
        <w:rPr>
          <w:lang w:val="en-US"/>
        </w:rPr>
        <w:t xml:space="preserve"> codeine and 2020 </w:t>
      </w:r>
      <w:r w:rsidR="00FA6B38">
        <w:rPr>
          <w:lang w:val="en-US"/>
        </w:rPr>
        <w:t xml:space="preserve">MR paracetamol </w:t>
      </w:r>
      <w:r w:rsidR="00FC3A03">
        <w:rPr>
          <w:lang w:val="en-US"/>
        </w:rPr>
        <w:t>‘</w:t>
      </w:r>
      <w:r w:rsidR="00FA6B38">
        <w:rPr>
          <w:lang w:val="en-US"/>
        </w:rPr>
        <w:t>pharmacist only</w:t>
      </w:r>
      <w:r w:rsidR="00FC3A03">
        <w:rPr>
          <w:lang w:val="en-US"/>
        </w:rPr>
        <w:t>’</w:t>
      </w:r>
      <w:r w:rsidR="00FA6B38">
        <w:rPr>
          <w:lang w:val="en-US"/>
        </w:rPr>
        <w:t xml:space="preserve"> (S3) restriction</w:t>
      </w:r>
      <w:r w:rsidR="00220A35">
        <w:rPr>
          <w:lang w:val="en-US"/>
        </w:rPr>
        <w:t>s</w:t>
      </w:r>
      <w:r w:rsidR="00FA6B38">
        <w:rPr>
          <w:lang w:val="en-US"/>
        </w:rPr>
        <w:t xml:space="preserve"> w</w:t>
      </w:r>
      <w:r w:rsidR="00FC3A03">
        <w:rPr>
          <w:lang w:val="en-US"/>
        </w:rPr>
        <w:t xml:space="preserve">ere </w:t>
      </w:r>
      <w:r w:rsidR="00FA6B38">
        <w:rPr>
          <w:lang w:val="en-US"/>
        </w:rPr>
        <w:t xml:space="preserve">not </w:t>
      </w:r>
      <w:r w:rsidR="00220A35">
        <w:rPr>
          <w:lang w:val="en-US"/>
        </w:rPr>
        <w:t>effective</w:t>
      </w:r>
      <w:r w:rsidR="00FA6B38">
        <w:rPr>
          <w:lang w:val="en-US"/>
        </w:rPr>
        <w:t>.</w:t>
      </w:r>
    </w:p>
    <w:p w14:paraId="5E5EA77F" w14:textId="4A3B64EE" w:rsidR="00E91348" w:rsidRPr="00E91348" w:rsidRDefault="00E91348" w:rsidP="00A85B00">
      <w:pPr>
        <w:pStyle w:val="Heading3"/>
      </w:pPr>
      <w:bookmarkStart w:id="5" w:name="_Toc112843894"/>
      <w:r w:rsidRPr="00E91348">
        <w:t xml:space="preserve">Recommendations </w:t>
      </w:r>
      <w:r w:rsidR="00ED621E">
        <w:t xml:space="preserve">to </w:t>
      </w:r>
      <w:r w:rsidR="00A932C9">
        <w:t>the TGA to inform scheduling deliberations</w:t>
      </w:r>
      <w:bookmarkEnd w:id="5"/>
    </w:p>
    <w:p w14:paraId="59EF1C85" w14:textId="61EE6EAE" w:rsidR="00E91348" w:rsidRPr="0091560A" w:rsidRDefault="0508C3AF" w:rsidP="00E91348">
      <w:r>
        <w:t xml:space="preserve">There are </w:t>
      </w:r>
      <w:r w:rsidR="7E8E8DD2">
        <w:t>four</w:t>
      </w:r>
      <w:r w:rsidR="32C61773">
        <w:t xml:space="preserve"> </w:t>
      </w:r>
      <w:r>
        <w:t xml:space="preserve">means restriction and harm minimisation interventions to consider </w:t>
      </w:r>
      <w:r w:rsidR="4C12C18C">
        <w:t xml:space="preserve">that are </w:t>
      </w:r>
      <w:r>
        <w:t>supported by overseas experience with regulation:</w:t>
      </w:r>
    </w:p>
    <w:p w14:paraId="3D14D890" w14:textId="3CBF0664" w:rsidR="00E91348" w:rsidRPr="00C91F17" w:rsidRDefault="00E91348">
      <w:pPr>
        <w:pStyle w:val="ListParagraph"/>
        <w:numPr>
          <w:ilvl w:val="0"/>
          <w:numId w:val="15"/>
        </w:numPr>
        <w:spacing w:after="120"/>
        <w:rPr>
          <w:rFonts w:cs="Times New Roman"/>
          <w:b/>
          <w:bCs/>
          <w:szCs w:val="24"/>
        </w:rPr>
      </w:pPr>
      <w:r w:rsidRPr="00C91F17">
        <w:rPr>
          <w:rFonts w:cs="Times New Roman"/>
          <w:b/>
          <w:bCs/>
          <w:szCs w:val="24"/>
        </w:rPr>
        <w:t>Pack size restrictions</w:t>
      </w:r>
      <w:r w:rsidR="00FF2E57" w:rsidRPr="00C91F17">
        <w:rPr>
          <w:rFonts w:cs="Times New Roman"/>
          <w:b/>
          <w:bCs/>
          <w:szCs w:val="24"/>
        </w:rPr>
        <w:t xml:space="preserve">. </w:t>
      </w:r>
      <w:r w:rsidR="00FF2E57" w:rsidRPr="00C91F17">
        <w:rPr>
          <w:rFonts w:cs="Times New Roman"/>
          <w:szCs w:val="24"/>
        </w:rPr>
        <w:t>For example</w:t>
      </w:r>
      <w:r w:rsidR="00C91F17">
        <w:rPr>
          <w:rFonts w:cs="Times New Roman"/>
          <w:szCs w:val="24"/>
        </w:rPr>
        <w:t>,</w:t>
      </w:r>
      <w:r w:rsidR="00FF2E57" w:rsidRPr="00C91F17">
        <w:rPr>
          <w:rFonts w:cs="Times New Roman"/>
          <w:szCs w:val="24"/>
        </w:rPr>
        <w:t xml:space="preserve"> maximum pack sizes for </w:t>
      </w:r>
      <w:r w:rsidR="00A617B3" w:rsidRPr="00C91F17">
        <w:rPr>
          <w:rFonts w:cs="Times New Roman"/>
          <w:szCs w:val="24"/>
        </w:rPr>
        <w:t xml:space="preserve">unscheduled </w:t>
      </w:r>
      <w:r w:rsidR="00FF2E57" w:rsidRPr="00C91F17">
        <w:rPr>
          <w:rFonts w:cs="Times New Roman"/>
          <w:szCs w:val="24"/>
        </w:rPr>
        <w:t xml:space="preserve">products reduced from 20 to </w:t>
      </w:r>
      <w:r w:rsidR="00A617B3" w:rsidRPr="00C91F17">
        <w:rPr>
          <w:rFonts w:cs="Times New Roman"/>
          <w:szCs w:val="24"/>
        </w:rPr>
        <w:t>12 or 16 tabs</w:t>
      </w:r>
      <w:r w:rsidR="00FF2E57" w:rsidRPr="00C91F17">
        <w:rPr>
          <w:rFonts w:cs="Times New Roman"/>
          <w:szCs w:val="24"/>
        </w:rPr>
        <w:t>;</w:t>
      </w:r>
      <w:r w:rsidR="00A617B3" w:rsidRPr="00C91F17">
        <w:rPr>
          <w:rFonts w:cs="Times New Roman"/>
          <w:szCs w:val="24"/>
        </w:rPr>
        <w:t xml:space="preserve"> S2 </w:t>
      </w:r>
      <w:r w:rsidR="00FF2E57" w:rsidRPr="00C91F17">
        <w:rPr>
          <w:rFonts w:cs="Times New Roman"/>
          <w:szCs w:val="24"/>
        </w:rPr>
        <w:t xml:space="preserve">pack sizes </w:t>
      </w:r>
      <w:r w:rsidR="008313B9" w:rsidRPr="00C91F17">
        <w:rPr>
          <w:rFonts w:cs="Times New Roman"/>
          <w:szCs w:val="24"/>
        </w:rPr>
        <w:t xml:space="preserve">reduced from 100 </w:t>
      </w:r>
      <w:r w:rsidRPr="00C91F17">
        <w:rPr>
          <w:rFonts w:cs="Times New Roman"/>
        </w:rPr>
        <w:t xml:space="preserve">to 24 or 50. </w:t>
      </w:r>
    </w:p>
    <w:p w14:paraId="13E955E7" w14:textId="6454035D" w:rsidR="00E91348" w:rsidRPr="00C91F17" w:rsidRDefault="00E91348">
      <w:pPr>
        <w:pStyle w:val="ListParagraph"/>
        <w:numPr>
          <w:ilvl w:val="0"/>
          <w:numId w:val="15"/>
        </w:numPr>
        <w:spacing w:after="120"/>
        <w:rPr>
          <w:rFonts w:cs="Times New Roman"/>
        </w:rPr>
      </w:pPr>
      <w:r w:rsidRPr="00C91F17">
        <w:rPr>
          <w:rFonts w:cs="Times New Roman"/>
          <w:b/>
          <w:bCs/>
          <w:szCs w:val="24"/>
        </w:rPr>
        <w:t>Pack number limits</w:t>
      </w:r>
      <w:r w:rsidR="00C91F17" w:rsidRPr="00C91F17">
        <w:rPr>
          <w:rFonts w:cs="Times New Roman"/>
          <w:b/>
          <w:bCs/>
          <w:szCs w:val="24"/>
        </w:rPr>
        <w:t xml:space="preserve">. </w:t>
      </w:r>
      <w:r w:rsidRPr="00C91F17">
        <w:rPr>
          <w:rFonts w:cs="Times New Roman"/>
        </w:rPr>
        <w:t xml:space="preserve">Most (~95%) sales of </w:t>
      </w:r>
      <w:r w:rsidRPr="00C91F17">
        <w:rPr>
          <w:rFonts w:cs="Times New Roman"/>
          <w:szCs w:val="24"/>
        </w:rPr>
        <w:t>paracetamol tablets</w:t>
      </w:r>
      <w:r w:rsidRPr="00C91F17">
        <w:rPr>
          <w:rFonts w:cs="Times New Roman"/>
        </w:rPr>
        <w:t xml:space="preserve"> involve the purchase of 1 or 2 packs. Making this the maximum number of packs that can be purchased in one transaction would almost certainly reduce home stockpiles, and likely also reduce the number of very large overdoses, which have much higher morbidity and risk of death.</w:t>
      </w:r>
    </w:p>
    <w:p w14:paraId="2FCDDE43" w14:textId="52F605B5" w:rsidR="00E91348" w:rsidRPr="00F11889" w:rsidRDefault="00E91348">
      <w:pPr>
        <w:pStyle w:val="ListParagraph"/>
        <w:numPr>
          <w:ilvl w:val="0"/>
          <w:numId w:val="15"/>
        </w:numPr>
        <w:spacing w:after="120"/>
        <w:rPr>
          <w:rFonts w:cs="Times New Roman"/>
        </w:rPr>
      </w:pPr>
      <w:r w:rsidRPr="0B49C441">
        <w:rPr>
          <w:rFonts w:cs="Times New Roman"/>
          <w:b/>
        </w:rPr>
        <w:t>MR paracetamol restrictions</w:t>
      </w:r>
      <w:r w:rsidR="00C91F17" w:rsidRPr="0B49C441">
        <w:rPr>
          <w:rFonts w:cs="Times New Roman"/>
          <w:b/>
        </w:rPr>
        <w:t xml:space="preserve">. </w:t>
      </w:r>
      <w:r w:rsidRPr="00F11889">
        <w:rPr>
          <w:rFonts w:cs="Times New Roman"/>
        </w:rPr>
        <w:t xml:space="preserve">This product is designed </w:t>
      </w:r>
      <w:r w:rsidR="00F11889">
        <w:rPr>
          <w:rFonts w:cs="Times New Roman"/>
        </w:rPr>
        <w:t>for</w:t>
      </w:r>
      <w:r w:rsidRPr="00F11889">
        <w:rPr>
          <w:rFonts w:cs="Times New Roman"/>
        </w:rPr>
        <w:t xml:space="preserve"> long-term use (e.g., for osteoarthritis), rather than for acute pain. Prescription only (S4) scheduling would be expected to reduce casual use of this more dangerous product and therefore overdoses</w:t>
      </w:r>
      <w:r w:rsidR="005C7538">
        <w:rPr>
          <w:rFonts w:cs="Times New Roman"/>
        </w:rPr>
        <w:t>.</w:t>
      </w:r>
    </w:p>
    <w:p w14:paraId="7FB1B949" w14:textId="6C2BEEC4" w:rsidR="00E91348" w:rsidRDefault="00E91348" w:rsidP="4C223402">
      <w:pPr>
        <w:pStyle w:val="ListParagraph"/>
        <w:numPr>
          <w:ilvl w:val="0"/>
          <w:numId w:val="15"/>
        </w:numPr>
        <w:spacing w:after="120"/>
        <w:rPr>
          <w:rFonts w:cs="Times New Roman"/>
        </w:rPr>
      </w:pPr>
      <w:r w:rsidRPr="4C223402">
        <w:rPr>
          <w:rFonts w:cs="Times New Roman"/>
          <w:b/>
          <w:bCs/>
        </w:rPr>
        <w:t>Age restrictions</w:t>
      </w:r>
      <w:r w:rsidR="00F11889" w:rsidRPr="4C223402">
        <w:rPr>
          <w:rFonts w:cs="Times New Roman"/>
          <w:b/>
          <w:bCs/>
        </w:rPr>
        <w:t xml:space="preserve">. </w:t>
      </w:r>
      <w:r w:rsidR="00F11889" w:rsidRPr="4C223402">
        <w:rPr>
          <w:rFonts w:cs="Times New Roman"/>
        </w:rPr>
        <w:t>A</w:t>
      </w:r>
      <w:r w:rsidRPr="4C223402">
        <w:rPr>
          <w:rFonts w:cs="Times New Roman"/>
        </w:rPr>
        <w:t xml:space="preserve">n 18+ age restriction on the purchasing of over-the-counter analgesics </w:t>
      </w:r>
      <w:r w:rsidR="00452196" w:rsidRPr="4C223402">
        <w:rPr>
          <w:rFonts w:cs="Times New Roman"/>
        </w:rPr>
        <w:t>would be expected to reduce</w:t>
      </w:r>
      <w:r w:rsidRPr="4C223402">
        <w:rPr>
          <w:rFonts w:cs="Times New Roman"/>
        </w:rPr>
        <w:t xml:space="preserve"> poisonings among 10-17 year-olds.</w:t>
      </w:r>
    </w:p>
    <w:p w14:paraId="6BCBC6EB" w14:textId="16DA8859" w:rsidR="00B2548D" w:rsidRPr="00B2548D" w:rsidRDefault="3EF9A8A1" w:rsidP="32A02A73">
      <w:r>
        <w:t>The biggest impact is likely to come from</w:t>
      </w:r>
      <w:r w:rsidR="00B2548D">
        <w:t xml:space="preserve"> MR paracetamol being made S4, followed by</w:t>
      </w:r>
      <w:r>
        <w:t xml:space="preserve"> smaller pack size limits and pack number</w:t>
      </w:r>
      <w:r w:rsidR="007660EC">
        <w:t xml:space="preserve"> limits</w:t>
      </w:r>
      <w:r>
        <w:t xml:space="preserve"> for S2, as both would be likely to reduce the number of grams of paracetamol routinely held in homes and thus the numbers of very large overdoses taken in impulsive self-poisonings.</w:t>
      </w:r>
      <w:r w:rsidR="63506671">
        <w:t xml:space="preserve"> </w:t>
      </w:r>
      <w:r w:rsidR="0687269D">
        <w:t xml:space="preserve">  </w:t>
      </w:r>
    </w:p>
    <w:p w14:paraId="2D9EA92E" w14:textId="56D219CE" w:rsidR="00E91348" w:rsidRPr="001B7B63" w:rsidRDefault="001B7B63" w:rsidP="00B460AD">
      <w:r w:rsidRPr="001B7B63">
        <w:t>There are also some n</w:t>
      </w:r>
      <w:r w:rsidR="00E91348" w:rsidRPr="001B7B63">
        <w:t>on-medication specific recommendations to reduce self-poisoning</w:t>
      </w:r>
      <w:r w:rsidR="003F4120">
        <w:t>.</w:t>
      </w:r>
    </w:p>
    <w:p w14:paraId="382558FD" w14:textId="55726CE5" w:rsidR="00E91348" w:rsidRPr="009A47D4" w:rsidRDefault="0508C3AF" w:rsidP="00186613">
      <w:pPr>
        <w:pStyle w:val="ListParagraph"/>
        <w:numPr>
          <w:ilvl w:val="0"/>
          <w:numId w:val="15"/>
        </w:numPr>
        <w:spacing w:after="120"/>
        <w:rPr>
          <w:rFonts w:cs="Times New Roman"/>
        </w:rPr>
      </w:pPr>
      <w:r w:rsidRPr="32A02A73">
        <w:rPr>
          <w:rFonts w:cs="Times New Roman"/>
          <w:b/>
          <w:bCs/>
        </w:rPr>
        <w:t xml:space="preserve">Use </w:t>
      </w:r>
      <w:r w:rsidR="7639B8FF" w:rsidRPr="32A02A73">
        <w:rPr>
          <w:rFonts w:cs="Times New Roman"/>
          <w:b/>
          <w:bCs/>
        </w:rPr>
        <w:t xml:space="preserve">safe reporting guidelines </w:t>
      </w:r>
      <w:r w:rsidRPr="32A02A73">
        <w:rPr>
          <w:rFonts w:cs="Times New Roman"/>
          <w:b/>
          <w:bCs/>
        </w:rPr>
        <w:t xml:space="preserve">for any communication around the harms associated with paracetamol </w:t>
      </w:r>
      <w:r w:rsidR="66DC6899" w:rsidRPr="32A02A73">
        <w:rPr>
          <w:rFonts w:cs="Times New Roman"/>
          <w:b/>
          <w:bCs/>
        </w:rPr>
        <w:t xml:space="preserve">(or any other) </w:t>
      </w:r>
      <w:r w:rsidRPr="32A02A73">
        <w:rPr>
          <w:rFonts w:cs="Times New Roman"/>
          <w:b/>
          <w:bCs/>
        </w:rPr>
        <w:t>overdose</w:t>
      </w:r>
      <w:r w:rsidR="66DC6899" w:rsidRPr="32A02A73">
        <w:rPr>
          <w:rFonts w:cs="Times New Roman"/>
          <w:b/>
          <w:bCs/>
        </w:rPr>
        <w:t xml:space="preserve">. </w:t>
      </w:r>
      <w:r w:rsidRPr="32A02A73">
        <w:rPr>
          <w:rFonts w:cs="Times New Roman"/>
        </w:rPr>
        <w:t xml:space="preserve">Any communication around the potential harms of paracetamol must comply with safe reporting guidelines and be rigorously evaluated prior to implementation. </w:t>
      </w:r>
    </w:p>
    <w:p w14:paraId="23A1A8AF" w14:textId="45A58DDB" w:rsidR="00E91348" w:rsidRPr="009A2A05" w:rsidRDefault="00E91348" w:rsidP="00186613">
      <w:pPr>
        <w:pStyle w:val="ListParagraph"/>
        <w:numPr>
          <w:ilvl w:val="0"/>
          <w:numId w:val="15"/>
        </w:numPr>
        <w:spacing w:after="120"/>
        <w:rPr>
          <w:rFonts w:cs="Times New Roman"/>
        </w:rPr>
      </w:pPr>
      <w:r w:rsidRPr="009A2A05">
        <w:rPr>
          <w:rFonts w:cs="Times New Roman"/>
          <w:b/>
          <w:szCs w:val="24"/>
        </w:rPr>
        <w:t xml:space="preserve">Maintain and expand support for </w:t>
      </w:r>
      <w:r w:rsidR="00770B2D">
        <w:rPr>
          <w:rFonts w:cs="Times New Roman"/>
          <w:b/>
          <w:szCs w:val="24"/>
        </w:rPr>
        <w:t>aftercare</w:t>
      </w:r>
      <w:r w:rsidRPr="009A2A05">
        <w:rPr>
          <w:rFonts w:cs="Times New Roman"/>
          <w:b/>
          <w:szCs w:val="24"/>
        </w:rPr>
        <w:t xml:space="preserve"> services.</w:t>
      </w:r>
      <w:r w:rsidR="009A2A05" w:rsidRPr="009A2A05">
        <w:rPr>
          <w:rFonts w:cs="Times New Roman"/>
          <w:b/>
          <w:szCs w:val="24"/>
        </w:rPr>
        <w:t xml:space="preserve"> </w:t>
      </w:r>
      <w:r w:rsidRPr="009A2A05">
        <w:rPr>
          <w:rFonts w:cs="Times New Roman"/>
        </w:rPr>
        <w:t xml:space="preserve">All </w:t>
      </w:r>
      <w:r w:rsidR="009A2A05">
        <w:rPr>
          <w:rFonts w:cs="Times New Roman"/>
        </w:rPr>
        <w:t xml:space="preserve">intentional self-poisonings </w:t>
      </w:r>
      <w:r w:rsidRPr="009A2A05">
        <w:rPr>
          <w:rFonts w:cs="Times New Roman"/>
        </w:rPr>
        <w:t xml:space="preserve">should be offered appropriate care and Australian recommendations for </w:t>
      </w:r>
      <w:r w:rsidR="00E83F94">
        <w:rPr>
          <w:rFonts w:cs="Times New Roman"/>
        </w:rPr>
        <w:t>aftercare (</w:t>
      </w:r>
      <w:r w:rsidRPr="009A2A05">
        <w:rPr>
          <w:rFonts w:cs="Times New Roman"/>
        </w:rPr>
        <w:t>follow</w:t>
      </w:r>
      <w:r w:rsidR="00E83F94">
        <w:rPr>
          <w:rFonts w:cs="Times New Roman"/>
        </w:rPr>
        <w:t>-</w:t>
      </w:r>
      <w:r w:rsidRPr="009A2A05">
        <w:rPr>
          <w:rFonts w:cs="Times New Roman"/>
        </w:rPr>
        <w:t xml:space="preserve">up </w:t>
      </w:r>
      <w:r w:rsidR="00E83F94">
        <w:rPr>
          <w:rFonts w:cs="Times New Roman"/>
        </w:rPr>
        <w:t xml:space="preserve">care and support after self-harm) </w:t>
      </w:r>
      <w:r w:rsidRPr="009A2A05">
        <w:rPr>
          <w:rFonts w:cs="Times New Roman"/>
        </w:rPr>
        <w:t>implemented.</w:t>
      </w:r>
      <w:r w:rsidR="009A2A05" w:rsidRPr="009A2A05">
        <w:rPr>
          <w:rFonts w:cs="Times New Roman"/>
        </w:rPr>
        <w:t xml:space="preserve"> </w:t>
      </w:r>
    </w:p>
    <w:p w14:paraId="01B78F92" w14:textId="361EF525" w:rsidR="004B3C8F" w:rsidRDefault="00940B53" w:rsidP="00186613">
      <w:pPr>
        <w:pStyle w:val="ListParagraph"/>
        <w:numPr>
          <w:ilvl w:val="0"/>
          <w:numId w:val="15"/>
        </w:numPr>
        <w:spacing w:after="120"/>
        <w:rPr>
          <w:rFonts w:cs="Times New Roman"/>
        </w:rPr>
      </w:pPr>
      <w:r>
        <w:rPr>
          <w:rFonts w:cs="Times New Roman"/>
          <w:b/>
          <w:szCs w:val="24"/>
        </w:rPr>
        <w:t xml:space="preserve">Inform </w:t>
      </w:r>
      <w:r w:rsidR="009566E4">
        <w:rPr>
          <w:rFonts w:cs="Times New Roman"/>
          <w:b/>
          <w:szCs w:val="24"/>
        </w:rPr>
        <w:t>s</w:t>
      </w:r>
      <w:r w:rsidR="00E91348" w:rsidRPr="004B3C8F">
        <w:rPr>
          <w:rFonts w:cs="Times New Roman"/>
          <w:b/>
          <w:szCs w:val="24"/>
        </w:rPr>
        <w:t>afer storage of medicines and reduced stockpiling of unwanted medicines</w:t>
      </w:r>
      <w:r w:rsidR="009A2A05" w:rsidRPr="004B3C8F">
        <w:rPr>
          <w:rFonts w:cs="Times New Roman"/>
          <w:b/>
          <w:szCs w:val="24"/>
        </w:rPr>
        <w:t>.</w:t>
      </w:r>
      <w:r w:rsidR="00E91348" w:rsidRPr="004B3C8F">
        <w:rPr>
          <w:rFonts w:cs="Times New Roman"/>
          <w:b/>
          <w:szCs w:val="24"/>
        </w:rPr>
        <w:t xml:space="preserve"> </w:t>
      </w:r>
      <w:r w:rsidR="00123DCD">
        <w:rPr>
          <w:rFonts w:cs="Times New Roman"/>
        </w:rPr>
        <w:t>G</w:t>
      </w:r>
      <w:r w:rsidR="00E91348" w:rsidRPr="004B3C8F">
        <w:rPr>
          <w:rFonts w:cs="Times New Roman"/>
        </w:rPr>
        <w:t xml:space="preserve">eneric messages around keeping medications and chemicals out of harm’s way </w:t>
      </w:r>
      <w:r w:rsidR="0014611A">
        <w:rPr>
          <w:rFonts w:cs="Times New Roman"/>
        </w:rPr>
        <w:t>m</w:t>
      </w:r>
      <w:r w:rsidR="0014611A" w:rsidRPr="004B3C8F">
        <w:rPr>
          <w:rFonts w:cs="Times New Roman"/>
        </w:rPr>
        <w:t xml:space="preserve">ight </w:t>
      </w:r>
      <w:r w:rsidR="004B3C8F" w:rsidRPr="004B3C8F">
        <w:rPr>
          <w:rFonts w:cs="Times New Roman"/>
        </w:rPr>
        <w:t xml:space="preserve">reduce </w:t>
      </w:r>
      <w:r w:rsidR="00E91348" w:rsidRPr="004B3C8F">
        <w:rPr>
          <w:rFonts w:cs="Times New Roman"/>
        </w:rPr>
        <w:t xml:space="preserve">intentional poisoning risks for children and adults. </w:t>
      </w:r>
    </w:p>
    <w:p w14:paraId="76F6D584" w14:textId="0BD98ECD" w:rsidR="00E91348" w:rsidRPr="00186613" w:rsidRDefault="14866CDF" w:rsidP="00186613">
      <w:r>
        <w:t>Gaps in the Australian data and the research literature were identified</w:t>
      </w:r>
      <w:r w:rsidR="4A87AF0B">
        <w:t xml:space="preserve"> which, if </w:t>
      </w:r>
      <w:r w:rsidR="232589CE">
        <w:t>filled in the future</w:t>
      </w:r>
      <w:r w:rsidR="28BA24B5">
        <w:t xml:space="preserve">, could </w:t>
      </w:r>
      <w:r w:rsidR="0E22D98B">
        <w:t>inform</w:t>
      </w:r>
      <w:r w:rsidR="6E3B49CD">
        <w:t xml:space="preserve"> </w:t>
      </w:r>
      <w:r w:rsidR="4483639D">
        <w:t xml:space="preserve">additional recommendations and </w:t>
      </w:r>
      <w:r w:rsidR="6E3B49CD">
        <w:t>better strategies to reduce harms from paracetamol self-poisoning</w:t>
      </w:r>
      <w:r w:rsidR="651FE682">
        <w:t xml:space="preserve">. </w:t>
      </w:r>
      <w:r w:rsidR="3BCBA3F3">
        <w:t>Additional</w:t>
      </w:r>
      <w:r w:rsidR="0FB9E257">
        <w:t xml:space="preserve"> </w:t>
      </w:r>
      <w:r w:rsidR="6DC4B5E4">
        <w:t xml:space="preserve">information and data </w:t>
      </w:r>
      <w:r w:rsidR="2E76C6D6">
        <w:t xml:space="preserve">are needed </w:t>
      </w:r>
      <w:r w:rsidR="3BCBA3F3">
        <w:t>in relation to</w:t>
      </w:r>
      <w:r w:rsidR="12145E96">
        <w:t xml:space="preserve"> </w:t>
      </w:r>
      <w:r w:rsidR="00E91348" w:rsidRPr="00F41B8E">
        <w:rPr>
          <w:szCs w:val="24"/>
        </w:rPr>
        <w:t>understand</w:t>
      </w:r>
      <w:r w:rsidR="00292092" w:rsidRPr="00F41B8E">
        <w:rPr>
          <w:szCs w:val="24"/>
        </w:rPr>
        <w:t>ing</w:t>
      </w:r>
      <w:r w:rsidR="00E91348" w:rsidRPr="00F41B8E">
        <w:rPr>
          <w:szCs w:val="24"/>
        </w:rPr>
        <w:t xml:space="preserve"> the motivations and behaviours of young Australians who have taken paracetamol (and other medicines) for deliberate self-harm or attempted suicide</w:t>
      </w:r>
      <w:r w:rsidR="00292092" w:rsidRPr="00F41B8E">
        <w:rPr>
          <w:szCs w:val="24"/>
        </w:rPr>
        <w:t>, t</w:t>
      </w:r>
      <w:r w:rsidR="00E91348" w:rsidRPr="00F41B8E">
        <w:rPr>
          <w:szCs w:val="24"/>
        </w:rPr>
        <w:t>rends in self-harm with paracetamol over time to identify changing risks</w:t>
      </w:r>
      <w:r w:rsidR="00292092" w:rsidRPr="00F41B8E">
        <w:rPr>
          <w:szCs w:val="24"/>
        </w:rPr>
        <w:t xml:space="preserve">, the </w:t>
      </w:r>
      <w:r w:rsidR="00E91348" w:rsidRPr="00F41B8E">
        <w:rPr>
          <w:szCs w:val="24"/>
        </w:rPr>
        <w:t>long-term outcomes after non-fatal self-harm to identify changing risks</w:t>
      </w:r>
      <w:r w:rsidR="00292092" w:rsidRPr="00F41B8E">
        <w:rPr>
          <w:szCs w:val="24"/>
        </w:rPr>
        <w:t xml:space="preserve">, and </w:t>
      </w:r>
      <w:r w:rsidR="6E3B49CD" w:rsidRPr="00F41B8E">
        <w:t>medical and psychiatric management of paracetamol self-poisoning</w:t>
      </w:r>
      <w:r w:rsidR="0DD24E97" w:rsidRPr="00F41B8E">
        <w:t xml:space="preserve">. </w:t>
      </w:r>
    </w:p>
    <w:p w14:paraId="60B37E87" w14:textId="36460212" w:rsidR="009E3DBD" w:rsidRDefault="009E3DBD">
      <w:pPr>
        <w:rPr>
          <w:rFonts w:cs="Times New Roman"/>
          <w:noProof/>
        </w:rPr>
      </w:pPr>
      <w:r>
        <w:rPr>
          <w:rFonts w:cs="Times New Roman"/>
          <w:noProof/>
        </w:rPr>
        <w:br w:type="page"/>
      </w:r>
    </w:p>
    <w:bookmarkStart w:id="6" w:name="_Toc112843895" w:displacedByCustomXml="next"/>
    <w:sdt>
      <w:sdtPr>
        <w:rPr>
          <w:rFonts w:ascii="Times New Roman" w:eastAsiaTheme="minorHAnsi" w:hAnsi="Times New Roman" w:cstheme="minorBidi"/>
          <w:noProof w:val="0"/>
          <w:color w:val="auto"/>
          <w:sz w:val="24"/>
          <w:szCs w:val="22"/>
        </w:rPr>
        <w:id w:val="999781048"/>
        <w:docPartObj>
          <w:docPartGallery w:val="Table of Contents"/>
          <w:docPartUnique/>
        </w:docPartObj>
      </w:sdtPr>
      <w:sdtEndPr>
        <w:rPr>
          <w:b/>
          <w:bCs/>
        </w:rPr>
      </w:sdtEndPr>
      <w:sdtContent>
        <w:p w14:paraId="282029A7" w14:textId="580047B7" w:rsidR="00DA241E" w:rsidRDefault="00DA241E" w:rsidP="00C30450">
          <w:pPr>
            <w:pStyle w:val="Heading1"/>
          </w:pPr>
          <w:r>
            <w:t>Table of Contents</w:t>
          </w:r>
          <w:bookmarkEnd w:id="6"/>
        </w:p>
        <w:p w14:paraId="6A7763E5" w14:textId="11001DAC" w:rsidR="00DF4225" w:rsidRDefault="00DA241E">
          <w:pPr>
            <w:pStyle w:val="TOC1"/>
            <w:rPr>
              <w:rFonts w:asciiTheme="minorHAnsi" w:eastAsiaTheme="minorEastAsia" w:hAnsiTheme="minorHAnsi"/>
              <w:noProof/>
              <w:sz w:val="22"/>
              <w:lang w:eastAsia="en-AU"/>
            </w:rPr>
          </w:pPr>
          <w:r>
            <w:fldChar w:fldCharType="begin"/>
          </w:r>
          <w:r>
            <w:instrText xml:space="preserve"> TOC \o "1-3" \h \z \u </w:instrText>
          </w:r>
          <w:r>
            <w:fldChar w:fldCharType="separate"/>
          </w:r>
          <w:hyperlink w:anchor="_Toc112843889" w:history="1">
            <w:r w:rsidR="00DF4225" w:rsidRPr="0020009A">
              <w:rPr>
                <w:rStyle w:val="Hyperlink"/>
                <w:noProof/>
              </w:rPr>
              <w:t>Authors</w:t>
            </w:r>
            <w:r w:rsidR="00DF4225">
              <w:rPr>
                <w:noProof/>
                <w:webHidden/>
              </w:rPr>
              <w:tab/>
            </w:r>
            <w:r w:rsidR="00DF4225">
              <w:rPr>
                <w:noProof/>
                <w:webHidden/>
              </w:rPr>
              <w:fldChar w:fldCharType="begin"/>
            </w:r>
            <w:r w:rsidR="00DF4225">
              <w:rPr>
                <w:noProof/>
                <w:webHidden/>
              </w:rPr>
              <w:instrText xml:space="preserve"> PAGEREF _Toc112843889 \h </w:instrText>
            </w:r>
            <w:r w:rsidR="00DF4225">
              <w:rPr>
                <w:noProof/>
                <w:webHidden/>
              </w:rPr>
            </w:r>
            <w:r w:rsidR="00DF4225">
              <w:rPr>
                <w:noProof/>
                <w:webHidden/>
              </w:rPr>
              <w:fldChar w:fldCharType="separate"/>
            </w:r>
            <w:r w:rsidR="0091734E">
              <w:rPr>
                <w:noProof/>
                <w:webHidden/>
              </w:rPr>
              <w:t>1</w:t>
            </w:r>
            <w:r w:rsidR="00DF4225">
              <w:rPr>
                <w:noProof/>
                <w:webHidden/>
              </w:rPr>
              <w:fldChar w:fldCharType="end"/>
            </w:r>
          </w:hyperlink>
        </w:p>
        <w:p w14:paraId="014035E4" w14:textId="426D28D6" w:rsidR="00DF4225" w:rsidRDefault="0091734E">
          <w:pPr>
            <w:pStyle w:val="TOC1"/>
            <w:rPr>
              <w:rFonts w:asciiTheme="minorHAnsi" w:eastAsiaTheme="minorEastAsia" w:hAnsiTheme="minorHAnsi"/>
              <w:noProof/>
              <w:sz w:val="22"/>
              <w:lang w:eastAsia="en-AU"/>
            </w:rPr>
          </w:pPr>
          <w:hyperlink w:anchor="_Toc112843890" w:history="1">
            <w:r w:rsidR="00DF4225" w:rsidRPr="0020009A">
              <w:rPr>
                <w:rStyle w:val="Hyperlink"/>
                <w:noProof/>
              </w:rPr>
              <w:t>Acknowledgements</w:t>
            </w:r>
            <w:r w:rsidR="00DF4225">
              <w:rPr>
                <w:noProof/>
                <w:webHidden/>
              </w:rPr>
              <w:tab/>
            </w:r>
            <w:r w:rsidR="00DF4225">
              <w:rPr>
                <w:noProof/>
                <w:webHidden/>
              </w:rPr>
              <w:fldChar w:fldCharType="begin"/>
            </w:r>
            <w:r w:rsidR="00DF4225">
              <w:rPr>
                <w:noProof/>
                <w:webHidden/>
              </w:rPr>
              <w:instrText xml:space="preserve"> PAGEREF _Toc112843890 \h </w:instrText>
            </w:r>
            <w:r w:rsidR="00DF4225">
              <w:rPr>
                <w:noProof/>
                <w:webHidden/>
              </w:rPr>
            </w:r>
            <w:r w:rsidR="00DF4225">
              <w:rPr>
                <w:noProof/>
                <w:webHidden/>
              </w:rPr>
              <w:fldChar w:fldCharType="separate"/>
            </w:r>
            <w:r>
              <w:rPr>
                <w:noProof/>
                <w:webHidden/>
              </w:rPr>
              <w:t>1</w:t>
            </w:r>
            <w:r w:rsidR="00DF4225">
              <w:rPr>
                <w:noProof/>
                <w:webHidden/>
              </w:rPr>
              <w:fldChar w:fldCharType="end"/>
            </w:r>
          </w:hyperlink>
        </w:p>
        <w:p w14:paraId="17601C4F" w14:textId="3CF47CE5" w:rsidR="00DF4225" w:rsidRDefault="0091734E">
          <w:pPr>
            <w:pStyle w:val="TOC1"/>
            <w:rPr>
              <w:rFonts w:asciiTheme="minorHAnsi" w:eastAsiaTheme="minorEastAsia" w:hAnsiTheme="minorHAnsi"/>
              <w:noProof/>
              <w:sz w:val="22"/>
              <w:lang w:eastAsia="en-AU"/>
            </w:rPr>
          </w:pPr>
          <w:hyperlink w:anchor="_Toc112843891" w:history="1">
            <w:r w:rsidR="00DF4225" w:rsidRPr="0020009A">
              <w:rPr>
                <w:rStyle w:val="Hyperlink"/>
                <w:noProof/>
              </w:rPr>
              <w:t>Executive summary</w:t>
            </w:r>
            <w:r w:rsidR="00DF4225">
              <w:rPr>
                <w:noProof/>
                <w:webHidden/>
              </w:rPr>
              <w:tab/>
            </w:r>
            <w:r w:rsidR="00DF4225">
              <w:rPr>
                <w:noProof/>
                <w:webHidden/>
              </w:rPr>
              <w:fldChar w:fldCharType="begin"/>
            </w:r>
            <w:r w:rsidR="00DF4225">
              <w:rPr>
                <w:noProof/>
                <w:webHidden/>
              </w:rPr>
              <w:instrText xml:space="preserve"> PAGEREF _Toc112843891 \h </w:instrText>
            </w:r>
            <w:r w:rsidR="00DF4225">
              <w:rPr>
                <w:noProof/>
                <w:webHidden/>
              </w:rPr>
            </w:r>
            <w:r w:rsidR="00DF4225">
              <w:rPr>
                <w:noProof/>
                <w:webHidden/>
              </w:rPr>
              <w:fldChar w:fldCharType="separate"/>
            </w:r>
            <w:r>
              <w:rPr>
                <w:noProof/>
                <w:webHidden/>
              </w:rPr>
              <w:t>2</w:t>
            </w:r>
            <w:r w:rsidR="00DF4225">
              <w:rPr>
                <w:noProof/>
                <w:webHidden/>
              </w:rPr>
              <w:fldChar w:fldCharType="end"/>
            </w:r>
          </w:hyperlink>
        </w:p>
        <w:p w14:paraId="5D2ACA2E" w14:textId="59CC4E52" w:rsidR="00DF4225" w:rsidRDefault="0091734E">
          <w:pPr>
            <w:pStyle w:val="TOC3"/>
            <w:rPr>
              <w:rFonts w:asciiTheme="minorHAnsi" w:eastAsiaTheme="minorEastAsia" w:hAnsiTheme="minorHAnsi"/>
              <w:noProof/>
              <w:sz w:val="22"/>
              <w:lang w:eastAsia="en-AU"/>
            </w:rPr>
          </w:pPr>
          <w:hyperlink w:anchor="_Toc112843892" w:history="1">
            <w:r w:rsidR="00DF4225" w:rsidRPr="0020009A">
              <w:rPr>
                <w:rStyle w:val="Hyperlink"/>
                <w:noProof/>
              </w:rPr>
              <w:t>Summary of the problem</w:t>
            </w:r>
            <w:r w:rsidR="00DF4225">
              <w:rPr>
                <w:noProof/>
                <w:webHidden/>
              </w:rPr>
              <w:tab/>
            </w:r>
            <w:r w:rsidR="00DF4225">
              <w:rPr>
                <w:noProof/>
                <w:webHidden/>
              </w:rPr>
              <w:fldChar w:fldCharType="begin"/>
            </w:r>
            <w:r w:rsidR="00DF4225">
              <w:rPr>
                <w:noProof/>
                <w:webHidden/>
              </w:rPr>
              <w:instrText xml:space="preserve"> PAGEREF _Toc112843892 \h </w:instrText>
            </w:r>
            <w:r w:rsidR="00DF4225">
              <w:rPr>
                <w:noProof/>
                <w:webHidden/>
              </w:rPr>
            </w:r>
            <w:r w:rsidR="00DF4225">
              <w:rPr>
                <w:noProof/>
                <w:webHidden/>
              </w:rPr>
              <w:fldChar w:fldCharType="separate"/>
            </w:r>
            <w:r>
              <w:rPr>
                <w:noProof/>
                <w:webHidden/>
              </w:rPr>
              <w:t>2</w:t>
            </w:r>
            <w:r w:rsidR="00DF4225">
              <w:rPr>
                <w:noProof/>
                <w:webHidden/>
              </w:rPr>
              <w:fldChar w:fldCharType="end"/>
            </w:r>
          </w:hyperlink>
        </w:p>
        <w:p w14:paraId="4D9B36FE" w14:textId="38D0D7A4" w:rsidR="00DF4225" w:rsidRDefault="0091734E">
          <w:pPr>
            <w:pStyle w:val="TOC3"/>
            <w:rPr>
              <w:rFonts w:asciiTheme="minorHAnsi" w:eastAsiaTheme="minorEastAsia" w:hAnsiTheme="minorHAnsi"/>
              <w:noProof/>
              <w:sz w:val="22"/>
              <w:lang w:eastAsia="en-AU"/>
            </w:rPr>
          </w:pPr>
          <w:hyperlink w:anchor="_Toc112843893" w:history="1">
            <w:r w:rsidR="00DF4225" w:rsidRPr="0020009A">
              <w:rPr>
                <w:rStyle w:val="Hyperlink"/>
                <w:noProof/>
                <w:lang w:val="en-US"/>
              </w:rPr>
              <w:t>Rationale for paracetamol targeted solutions in Australia</w:t>
            </w:r>
            <w:r w:rsidR="00DF4225">
              <w:rPr>
                <w:noProof/>
                <w:webHidden/>
              </w:rPr>
              <w:tab/>
            </w:r>
            <w:r w:rsidR="00DF4225">
              <w:rPr>
                <w:noProof/>
                <w:webHidden/>
              </w:rPr>
              <w:fldChar w:fldCharType="begin"/>
            </w:r>
            <w:r w:rsidR="00DF4225">
              <w:rPr>
                <w:noProof/>
                <w:webHidden/>
              </w:rPr>
              <w:instrText xml:space="preserve"> PAGEREF _Toc112843893 \h </w:instrText>
            </w:r>
            <w:r w:rsidR="00DF4225">
              <w:rPr>
                <w:noProof/>
                <w:webHidden/>
              </w:rPr>
            </w:r>
            <w:r w:rsidR="00DF4225">
              <w:rPr>
                <w:noProof/>
                <w:webHidden/>
              </w:rPr>
              <w:fldChar w:fldCharType="separate"/>
            </w:r>
            <w:r>
              <w:rPr>
                <w:noProof/>
                <w:webHidden/>
              </w:rPr>
              <w:t>4</w:t>
            </w:r>
            <w:r w:rsidR="00DF4225">
              <w:rPr>
                <w:noProof/>
                <w:webHidden/>
              </w:rPr>
              <w:fldChar w:fldCharType="end"/>
            </w:r>
          </w:hyperlink>
        </w:p>
        <w:p w14:paraId="56997C33" w14:textId="3A26FC14" w:rsidR="00DF4225" w:rsidRDefault="0091734E">
          <w:pPr>
            <w:pStyle w:val="TOC3"/>
            <w:rPr>
              <w:rFonts w:asciiTheme="minorHAnsi" w:eastAsiaTheme="minorEastAsia" w:hAnsiTheme="minorHAnsi"/>
              <w:noProof/>
              <w:sz w:val="22"/>
              <w:lang w:eastAsia="en-AU"/>
            </w:rPr>
          </w:pPr>
          <w:hyperlink w:anchor="_Toc112843894" w:history="1">
            <w:r w:rsidR="00DF4225" w:rsidRPr="0020009A">
              <w:rPr>
                <w:rStyle w:val="Hyperlink"/>
                <w:noProof/>
              </w:rPr>
              <w:t>Recommendations to the TGA to inform scheduling deliberations</w:t>
            </w:r>
            <w:r w:rsidR="00DF4225">
              <w:rPr>
                <w:noProof/>
                <w:webHidden/>
              </w:rPr>
              <w:tab/>
            </w:r>
            <w:r w:rsidR="00DF4225">
              <w:rPr>
                <w:noProof/>
                <w:webHidden/>
              </w:rPr>
              <w:fldChar w:fldCharType="begin"/>
            </w:r>
            <w:r w:rsidR="00DF4225">
              <w:rPr>
                <w:noProof/>
                <w:webHidden/>
              </w:rPr>
              <w:instrText xml:space="preserve"> PAGEREF _Toc112843894 \h </w:instrText>
            </w:r>
            <w:r w:rsidR="00DF4225">
              <w:rPr>
                <w:noProof/>
                <w:webHidden/>
              </w:rPr>
            </w:r>
            <w:r w:rsidR="00DF4225">
              <w:rPr>
                <w:noProof/>
                <w:webHidden/>
              </w:rPr>
              <w:fldChar w:fldCharType="separate"/>
            </w:r>
            <w:r>
              <w:rPr>
                <w:noProof/>
                <w:webHidden/>
              </w:rPr>
              <w:t>4</w:t>
            </w:r>
            <w:r w:rsidR="00DF4225">
              <w:rPr>
                <w:noProof/>
                <w:webHidden/>
              </w:rPr>
              <w:fldChar w:fldCharType="end"/>
            </w:r>
          </w:hyperlink>
        </w:p>
        <w:p w14:paraId="593E86C5" w14:textId="3C7D27D4" w:rsidR="00DF4225" w:rsidRDefault="0091734E">
          <w:pPr>
            <w:pStyle w:val="TOC1"/>
            <w:rPr>
              <w:rFonts w:asciiTheme="minorHAnsi" w:eastAsiaTheme="minorEastAsia" w:hAnsiTheme="minorHAnsi"/>
              <w:noProof/>
              <w:sz w:val="22"/>
              <w:lang w:eastAsia="en-AU"/>
            </w:rPr>
          </w:pPr>
          <w:hyperlink w:anchor="_Toc112843895" w:history="1">
            <w:r w:rsidR="00DF4225" w:rsidRPr="0020009A">
              <w:rPr>
                <w:rStyle w:val="Hyperlink"/>
                <w:noProof/>
              </w:rPr>
              <w:t>Table of Contents</w:t>
            </w:r>
            <w:r w:rsidR="00DF4225">
              <w:rPr>
                <w:noProof/>
                <w:webHidden/>
              </w:rPr>
              <w:tab/>
            </w:r>
            <w:r w:rsidR="00DF4225">
              <w:rPr>
                <w:noProof/>
                <w:webHidden/>
              </w:rPr>
              <w:fldChar w:fldCharType="begin"/>
            </w:r>
            <w:r w:rsidR="00DF4225">
              <w:rPr>
                <w:noProof/>
                <w:webHidden/>
              </w:rPr>
              <w:instrText xml:space="preserve"> PAGEREF _Toc112843895 \h </w:instrText>
            </w:r>
            <w:r w:rsidR="00DF4225">
              <w:rPr>
                <w:noProof/>
                <w:webHidden/>
              </w:rPr>
            </w:r>
            <w:r w:rsidR="00DF4225">
              <w:rPr>
                <w:noProof/>
                <w:webHidden/>
              </w:rPr>
              <w:fldChar w:fldCharType="separate"/>
            </w:r>
            <w:r>
              <w:rPr>
                <w:noProof/>
                <w:webHidden/>
              </w:rPr>
              <w:t>6</w:t>
            </w:r>
            <w:r w:rsidR="00DF4225">
              <w:rPr>
                <w:noProof/>
                <w:webHidden/>
              </w:rPr>
              <w:fldChar w:fldCharType="end"/>
            </w:r>
          </w:hyperlink>
        </w:p>
        <w:p w14:paraId="4EC51007" w14:textId="1724E563" w:rsidR="00DF4225" w:rsidRDefault="0091734E">
          <w:pPr>
            <w:pStyle w:val="TOC1"/>
            <w:rPr>
              <w:rFonts w:asciiTheme="minorHAnsi" w:eastAsiaTheme="minorEastAsia" w:hAnsiTheme="minorHAnsi"/>
              <w:noProof/>
              <w:sz w:val="22"/>
              <w:lang w:eastAsia="en-AU"/>
            </w:rPr>
          </w:pPr>
          <w:hyperlink w:anchor="_Toc112843896" w:history="1">
            <w:r w:rsidR="00DF4225" w:rsidRPr="0020009A">
              <w:rPr>
                <w:rStyle w:val="Hyperlink"/>
                <w:noProof/>
              </w:rPr>
              <w:t>Table of Figures</w:t>
            </w:r>
            <w:r w:rsidR="00DF4225">
              <w:rPr>
                <w:noProof/>
                <w:webHidden/>
              </w:rPr>
              <w:tab/>
            </w:r>
            <w:r w:rsidR="00DF4225">
              <w:rPr>
                <w:noProof/>
                <w:webHidden/>
              </w:rPr>
              <w:fldChar w:fldCharType="begin"/>
            </w:r>
            <w:r w:rsidR="00DF4225">
              <w:rPr>
                <w:noProof/>
                <w:webHidden/>
              </w:rPr>
              <w:instrText xml:space="preserve"> PAGEREF _Toc112843896 \h </w:instrText>
            </w:r>
            <w:r w:rsidR="00DF4225">
              <w:rPr>
                <w:noProof/>
                <w:webHidden/>
              </w:rPr>
            </w:r>
            <w:r w:rsidR="00DF4225">
              <w:rPr>
                <w:noProof/>
                <w:webHidden/>
              </w:rPr>
              <w:fldChar w:fldCharType="separate"/>
            </w:r>
            <w:r>
              <w:rPr>
                <w:noProof/>
                <w:webHidden/>
              </w:rPr>
              <w:t>9</w:t>
            </w:r>
            <w:r w:rsidR="00DF4225">
              <w:rPr>
                <w:noProof/>
                <w:webHidden/>
              </w:rPr>
              <w:fldChar w:fldCharType="end"/>
            </w:r>
          </w:hyperlink>
        </w:p>
        <w:p w14:paraId="7904BBEC" w14:textId="52152956" w:rsidR="00DF4225" w:rsidRDefault="0091734E">
          <w:pPr>
            <w:pStyle w:val="TOC1"/>
            <w:rPr>
              <w:rFonts w:asciiTheme="minorHAnsi" w:eastAsiaTheme="minorEastAsia" w:hAnsiTheme="minorHAnsi"/>
              <w:noProof/>
              <w:sz w:val="22"/>
              <w:lang w:eastAsia="en-AU"/>
            </w:rPr>
          </w:pPr>
          <w:hyperlink w:anchor="_Toc112843897" w:history="1">
            <w:r w:rsidR="00DF4225" w:rsidRPr="0020009A">
              <w:rPr>
                <w:rStyle w:val="Hyperlink"/>
                <w:noProof/>
              </w:rPr>
              <w:t>Table of Tables</w:t>
            </w:r>
            <w:r w:rsidR="00DF4225">
              <w:rPr>
                <w:noProof/>
                <w:webHidden/>
              </w:rPr>
              <w:tab/>
            </w:r>
            <w:r w:rsidR="00DF4225">
              <w:rPr>
                <w:noProof/>
                <w:webHidden/>
              </w:rPr>
              <w:fldChar w:fldCharType="begin"/>
            </w:r>
            <w:r w:rsidR="00DF4225">
              <w:rPr>
                <w:noProof/>
                <w:webHidden/>
              </w:rPr>
              <w:instrText xml:space="preserve"> PAGEREF _Toc112843897 \h </w:instrText>
            </w:r>
            <w:r w:rsidR="00DF4225">
              <w:rPr>
                <w:noProof/>
                <w:webHidden/>
              </w:rPr>
            </w:r>
            <w:r w:rsidR="00DF4225">
              <w:rPr>
                <w:noProof/>
                <w:webHidden/>
              </w:rPr>
              <w:fldChar w:fldCharType="separate"/>
            </w:r>
            <w:r>
              <w:rPr>
                <w:noProof/>
                <w:webHidden/>
              </w:rPr>
              <w:t>11</w:t>
            </w:r>
            <w:r w:rsidR="00DF4225">
              <w:rPr>
                <w:noProof/>
                <w:webHidden/>
              </w:rPr>
              <w:fldChar w:fldCharType="end"/>
            </w:r>
          </w:hyperlink>
        </w:p>
        <w:p w14:paraId="45AA55B4" w14:textId="71E6286E" w:rsidR="00DF4225" w:rsidRDefault="0091734E">
          <w:pPr>
            <w:pStyle w:val="TOC1"/>
            <w:rPr>
              <w:rFonts w:asciiTheme="minorHAnsi" w:eastAsiaTheme="minorEastAsia" w:hAnsiTheme="minorHAnsi"/>
              <w:noProof/>
              <w:sz w:val="22"/>
              <w:lang w:eastAsia="en-AU"/>
            </w:rPr>
          </w:pPr>
          <w:hyperlink w:anchor="_Toc112843898" w:history="1">
            <w:r w:rsidR="00DF4225" w:rsidRPr="0020009A">
              <w:rPr>
                <w:rStyle w:val="Hyperlink"/>
                <w:noProof/>
              </w:rPr>
              <w:t>Glossary of key terms</w:t>
            </w:r>
            <w:r w:rsidR="00DF4225">
              <w:rPr>
                <w:noProof/>
                <w:webHidden/>
              </w:rPr>
              <w:tab/>
            </w:r>
            <w:r w:rsidR="00DF4225">
              <w:rPr>
                <w:noProof/>
                <w:webHidden/>
              </w:rPr>
              <w:fldChar w:fldCharType="begin"/>
            </w:r>
            <w:r w:rsidR="00DF4225">
              <w:rPr>
                <w:noProof/>
                <w:webHidden/>
              </w:rPr>
              <w:instrText xml:space="preserve"> PAGEREF _Toc112843898 \h </w:instrText>
            </w:r>
            <w:r w:rsidR="00DF4225">
              <w:rPr>
                <w:noProof/>
                <w:webHidden/>
              </w:rPr>
            </w:r>
            <w:r w:rsidR="00DF4225">
              <w:rPr>
                <w:noProof/>
                <w:webHidden/>
              </w:rPr>
              <w:fldChar w:fldCharType="separate"/>
            </w:r>
            <w:r>
              <w:rPr>
                <w:noProof/>
                <w:webHidden/>
              </w:rPr>
              <w:t>13</w:t>
            </w:r>
            <w:r w:rsidR="00DF4225">
              <w:rPr>
                <w:noProof/>
                <w:webHidden/>
              </w:rPr>
              <w:fldChar w:fldCharType="end"/>
            </w:r>
          </w:hyperlink>
        </w:p>
        <w:p w14:paraId="32A6B5BB" w14:textId="06ADCE2A" w:rsidR="00DF4225" w:rsidRDefault="0091734E">
          <w:pPr>
            <w:pStyle w:val="TOC1"/>
            <w:rPr>
              <w:rFonts w:asciiTheme="minorHAnsi" w:eastAsiaTheme="minorEastAsia" w:hAnsiTheme="minorHAnsi"/>
              <w:noProof/>
              <w:sz w:val="22"/>
              <w:lang w:eastAsia="en-AU"/>
            </w:rPr>
          </w:pPr>
          <w:hyperlink w:anchor="_Toc112843899" w:history="1">
            <w:r w:rsidR="00DF4225" w:rsidRPr="0020009A">
              <w:rPr>
                <w:rStyle w:val="Hyperlink"/>
                <w:noProof/>
              </w:rPr>
              <w:t>Abbreviations</w:t>
            </w:r>
            <w:r w:rsidR="00DF4225">
              <w:rPr>
                <w:noProof/>
                <w:webHidden/>
              </w:rPr>
              <w:tab/>
            </w:r>
            <w:r w:rsidR="00DF4225">
              <w:rPr>
                <w:noProof/>
                <w:webHidden/>
              </w:rPr>
              <w:fldChar w:fldCharType="begin"/>
            </w:r>
            <w:r w:rsidR="00DF4225">
              <w:rPr>
                <w:noProof/>
                <w:webHidden/>
              </w:rPr>
              <w:instrText xml:space="preserve"> PAGEREF _Toc112843899 \h </w:instrText>
            </w:r>
            <w:r w:rsidR="00DF4225">
              <w:rPr>
                <w:noProof/>
                <w:webHidden/>
              </w:rPr>
            </w:r>
            <w:r w:rsidR="00DF4225">
              <w:rPr>
                <w:noProof/>
                <w:webHidden/>
              </w:rPr>
              <w:fldChar w:fldCharType="separate"/>
            </w:r>
            <w:r>
              <w:rPr>
                <w:noProof/>
                <w:webHidden/>
              </w:rPr>
              <w:t>15</w:t>
            </w:r>
            <w:r w:rsidR="00DF4225">
              <w:rPr>
                <w:noProof/>
                <w:webHidden/>
              </w:rPr>
              <w:fldChar w:fldCharType="end"/>
            </w:r>
          </w:hyperlink>
        </w:p>
        <w:p w14:paraId="40968A85" w14:textId="03336EC7" w:rsidR="00DF4225" w:rsidRDefault="0091734E">
          <w:pPr>
            <w:pStyle w:val="TOC1"/>
            <w:rPr>
              <w:rFonts w:asciiTheme="minorHAnsi" w:eastAsiaTheme="minorEastAsia" w:hAnsiTheme="minorHAnsi"/>
              <w:noProof/>
              <w:sz w:val="22"/>
              <w:lang w:eastAsia="en-AU"/>
            </w:rPr>
          </w:pPr>
          <w:hyperlink w:anchor="_Toc112843900" w:history="1">
            <w:r w:rsidR="00DF4225" w:rsidRPr="0020009A">
              <w:rPr>
                <w:rStyle w:val="Hyperlink"/>
                <w:noProof/>
              </w:rPr>
              <w:t>1. Introduction</w:t>
            </w:r>
            <w:r w:rsidR="00DF4225">
              <w:rPr>
                <w:noProof/>
                <w:webHidden/>
              </w:rPr>
              <w:tab/>
            </w:r>
            <w:r w:rsidR="00DF4225">
              <w:rPr>
                <w:noProof/>
                <w:webHidden/>
              </w:rPr>
              <w:fldChar w:fldCharType="begin"/>
            </w:r>
            <w:r w:rsidR="00DF4225">
              <w:rPr>
                <w:noProof/>
                <w:webHidden/>
              </w:rPr>
              <w:instrText xml:space="preserve"> PAGEREF _Toc112843900 \h </w:instrText>
            </w:r>
            <w:r w:rsidR="00DF4225">
              <w:rPr>
                <w:noProof/>
                <w:webHidden/>
              </w:rPr>
            </w:r>
            <w:r w:rsidR="00DF4225">
              <w:rPr>
                <w:noProof/>
                <w:webHidden/>
              </w:rPr>
              <w:fldChar w:fldCharType="separate"/>
            </w:r>
            <w:r>
              <w:rPr>
                <w:noProof/>
                <w:webHidden/>
              </w:rPr>
              <w:t>16</w:t>
            </w:r>
            <w:r w:rsidR="00DF4225">
              <w:rPr>
                <w:noProof/>
                <w:webHidden/>
              </w:rPr>
              <w:fldChar w:fldCharType="end"/>
            </w:r>
          </w:hyperlink>
        </w:p>
        <w:p w14:paraId="6A4CE402" w14:textId="54C73F33" w:rsidR="00DF4225" w:rsidRDefault="0091734E">
          <w:pPr>
            <w:pStyle w:val="TOC2"/>
            <w:rPr>
              <w:rFonts w:asciiTheme="minorHAnsi" w:eastAsiaTheme="minorEastAsia" w:hAnsiTheme="minorHAnsi"/>
              <w:noProof/>
              <w:sz w:val="22"/>
              <w:lang w:eastAsia="en-AU"/>
            </w:rPr>
          </w:pPr>
          <w:hyperlink w:anchor="_Toc112843901" w:history="1">
            <w:r w:rsidR="00DF4225" w:rsidRPr="0020009A">
              <w:rPr>
                <w:rStyle w:val="Hyperlink"/>
                <w:noProof/>
              </w:rPr>
              <w:t>1.1 Background</w:t>
            </w:r>
            <w:r w:rsidR="00DF4225">
              <w:rPr>
                <w:noProof/>
                <w:webHidden/>
              </w:rPr>
              <w:tab/>
            </w:r>
            <w:r w:rsidR="00DF4225">
              <w:rPr>
                <w:noProof/>
                <w:webHidden/>
              </w:rPr>
              <w:fldChar w:fldCharType="begin"/>
            </w:r>
            <w:r w:rsidR="00DF4225">
              <w:rPr>
                <w:noProof/>
                <w:webHidden/>
              </w:rPr>
              <w:instrText xml:space="preserve"> PAGEREF _Toc112843901 \h </w:instrText>
            </w:r>
            <w:r w:rsidR="00DF4225">
              <w:rPr>
                <w:noProof/>
                <w:webHidden/>
              </w:rPr>
            </w:r>
            <w:r w:rsidR="00DF4225">
              <w:rPr>
                <w:noProof/>
                <w:webHidden/>
              </w:rPr>
              <w:fldChar w:fldCharType="separate"/>
            </w:r>
            <w:r>
              <w:rPr>
                <w:noProof/>
                <w:webHidden/>
              </w:rPr>
              <w:t>16</w:t>
            </w:r>
            <w:r w:rsidR="00DF4225">
              <w:rPr>
                <w:noProof/>
                <w:webHidden/>
              </w:rPr>
              <w:fldChar w:fldCharType="end"/>
            </w:r>
          </w:hyperlink>
        </w:p>
        <w:p w14:paraId="22D41CCF" w14:textId="290B8F9D" w:rsidR="00DF4225" w:rsidRDefault="0091734E">
          <w:pPr>
            <w:pStyle w:val="TOC2"/>
            <w:rPr>
              <w:rFonts w:asciiTheme="minorHAnsi" w:eastAsiaTheme="minorEastAsia" w:hAnsiTheme="minorHAnsi"/>
              <w:noProof/>
              <w:sz w:val="22"/>
              <w:lang w:eastAsia="en-AU"/>
            </w:rPr>
          </w:pPr>
          <w:hyperlink w:anchor="_Toc112843902" w:history="1">
            <w:r w:rsidR="00DF4225" w:rsidRPr="0020009A">
              <w:rPr>
                <w:rStyle w:val="Hyperlink"/>
                <w:noProof/>
              </w:rPr>
              <w:t>1.2 Overview of clinical aspects of paracetamol toxicity</w:t>
            </w:r>
            <w:r w:rsidR="00DF4225">
              <w:rPr>
                <w:noProof/>
                <w:webHidden/>
              </w:rPr>
              <w:tab/>
            </w:r>
            <w:r w:rsidR="00DF4225">
              <w:rPr>
                <w:noProof/>
                <w:webHidden/>
              </w:rPr>
              <w:fldChar w:fldCharType="begin"/>
            </w:r>
            <w:r w:rsidR="00DF4225">
              <w:rPr>
                <w:noProof/>
                <w:webHidden/>
              </w:rPr>
              <w:instrText xml:space="preserve"> PAGEREF _Toc112843902 \h </w:instrText>
            </w:r>
            <w:r w:rsidR="00DF4225">
              <w:rPr>
                <w:noProof/>
                <w:webHidden/>
              </w:rPr>
            </w:r>
            <w:r w:rsidR="00DF4225">
              <w:rPr>
                <w:noProof/>
                <w:webHidden/>
              </w:rPr>
              <w:fldChar w:fldCharType="separate"/>
            </w:r>
            <w:r>
              <w:rPr>
                <w:noProof/>
                <w:webHidden/>
              </w:rPr>
              <w:t>17</w:t>
            </w:r>
            <w:r w:rsidR="00DF4225">
              <w:rPr>
                <w:noProof/>
                <w:webHidden/>
              </w:rPr>
              <w:fldChar w:fldCharType="end"/>
            </w:r>
          </w:hyperlink>
        </w:p>
        <w:p w14:paraId="3E62033F" w14:textId="4DB3B36E" w:rsidR="00DF4225" w:rsidRDefault="0091734E">
          <w:pPr>
            <w:pStyle w:val="TOC1"/>
            <w:rPr>
              <w:rFonts w:asciiTheme="minorHAnsi" w:eastAsiaTheme="minorEastAsia" w:hAnsiTheme="minorHAnsi"/>
              <w:noProof/>
              <w:sz w:val="22"/>
              <w:lang w:eastAsia="en-AU"/>
            </w:rPr>
          </w:pPr>
          <w:hyperlink w:anchor="_Toc112843903" w:history="1">
            <w:r w:rsidR="00DF4225" w:rsidRPr="0020009A">
              <w:rPr>
                <w:rStyle w:val="Hyperlink"/>
                <w:noProof/>
              </w:rPr>
              <w:t>2. Latest data on extent and nature of the problems</w:t>
            </w:r>
            <w:r w:rsidR="00DF4225">
              <w:rPr>
                <w:noProof/>
                <w:webHidden/>
              </w:rPr>
              <w:tab/>
            </w:r>
            <w:r w:rsidR="00DF4225">
              <w:rPr>
                <w:noProof/>
                <w:webHidden/>
              </w:rPr>
              <w:fldChar w:fldCharType="begin"/>
            </w:r>
            <w:r w:rsidR="00DF4225">
              <w:rPr>
                <w:noProof/>
                <w:webHidden/>
              </w:rPr>
              <w:instrText xml:space="preserve"> PAGEREF _Toc112843903 \h </w:instrText>
            </w:r>
            <w:r w:rsidR="00DF4225">
              <w:rPr>
                <w:noProof/>
                <w:webHidden/>
              </w:rPr>
            </w:r>
            <w:r w:rsidR="00DF4225">
              <w:rPr>
                <w:noProof/>
                <w:webHidden/>
              </w:rPr>
              <w:fldChar w:fldCharType="separate"/>
            </w:r>
            <w:r>
              <w:rPr>
                <w:noProof/>
                <w:webHidden/>
              </w:rPr>
              <w:t>19</w:t>
            </w:r>
            <w:r w:rsidR="00DF4225">
              <w:rPr>
                <w:noProof/>
                <w:webHidden/>
              </w:rPr>
              <w:fldChar w:fldCharType="end"/>
            </w:r>
          </w:hyperlink>
        </w:p>
        <w:p w14:paraId="51235DC1" w14:textId="0BC69E18" w:rsidR="00DF4225" w:rsidRDefault="0091734E">
          <w:pPr>
            <w:pStyle w:val="TOC2"/>
            <w:rPr>
              <w:rFonts w:asciiTheme="minorHAnsi" w:eastAsiaTheme="minorEastAsia" w:hAnsiTheme="minorHAnsi"/>
              <w:noProof/>
              <w:sz w:val="22"/>
              <w:lang w:eastAsia="en-AU"/>
            </w:rPr>
          </w:pPr>
          <w:hyperlink w:anchor="_Toc112843904" w:history="1">
            <w:r w:rsidR="00DF4225" w:rsidRPr="0020009A">
              <w:rPr>
                <w:rStyle w:val="Hyperlink"/>
                <w:noProof/>
              </w:rPr>
              <w:t>2.1 Data sources</w:t>
            </w:r>
            <w:r w:rsidR="00DF4225">
              <w:rPr>
                <w:noProof/>
                <w:webHidden/>
              </w:rPr>
              <w:tab/>
            </w:r>
            <w:r w:rsidR="00DF4225">
              <w:rPr>
                <w:noProof/>
                <w:webHidden/>
              </w:rPr>
              <w:fldChar w:fldCharType="begin"/>
            </w:r>
            <w:r w:rsidR="00DF4225">
              <w:rPr>
                <w:noProof/>
                <w:webHidden/>
              </w:rPr>
              <w:instrText xml:space="preserve"> PAGEREF _Toc112843904 \h </w:instrText>
            </w:r>
            <w:r w:rsidR="00DF4225">
              <w:rPr>
                <w:noProof/>
                <w:webHidden/>
              </w:rPr>
            </w:r>
            <w:r w:rsidR="00DF4225">
              <w:rPr>
                <w:noProof/>
                <w:webHidden/>
              </w:rPr>
              <w:fldChar w:fldCharType="separate"/>
            </w:r>
            <w:r>
              <w:rPr>
                <w:noProof/>
                <w:webHidden/>
              </w:rPr>
              <w:t>19</w:t>
            </w:r>
            <w:r w:rsidR="00DF4225">
              <w:rPr>
                <w:noProof/>
                <w:webHidden/>
              </w:rPr>
              <w:fldChar w:fldCharType="end"/>
            </w:r>
          </w:hyperlink>
        </w:p>
        <w:p w14:paraId="54D09518" w14:textId="1EEB9051" w:rsidR="00DF4225" w:rsidRDefault="0091734E">
          <w:pPr>
            <w:pStyle w:val="TOC2"/>
            <w:tabs>
              <w:tab w:val="left" w:pos="960"/>
            </w:tabs>
            <w:rPr>
              <w:rFonts w:asciiTheme="minorHAnsi" w:eastAsiaTheme="minorEastAsia" w:hAnsiTheme="minorHAnsi"/>
              <w:noProof/>
              <w:sz w:val="22"/>
              <w:lang w:eastAsia="en-AU"/>
            </w:rPr>
          </w:pPr>
          <w:hyperlink w:anchor="_Toc112843905" w:history="1">
            <w:r w:rsidR="00DF4225" w:rsidRPr="0020009A">
              <w:rPr>
                <w:rStyle w:val="Hyperlink"/>
                <w:noProof/>
              </w:rPr>
              <w:t>2.2</w:t>
            </w:r>
            <w:r w:rsidR="00DF4225">
              <w:rPr>
                <w:rFonts w:asciiTheme="minorHAnsi" w:eastAsiaTheme="minorEastAsia" w:hAnsiTheme="minorHAnsi"/>
                <w:noProof/>
                <w:sz w:val="22"/>
                <w:lang w:eastAsia="en-AU"/>
              </w:rPr>
              <w:tab/>
            </w:r>
            <w:r w:rsidR="00DF4225" w:rsidRPr="0020009A">
              <w:rPr>
                <w:rStyle w:val="Hyperlink"/>
                <w:noProof/>
              </w:rPr>
              <w:t>Hospital admissions - Australian Institute of Health and Welfare (AIHW) data</w:t>
            </w:r>
            <w:r w:rsidR="00DF4225">
              <w:rPr>
                <w:noProof/>
                <w:webHidden/>
              </w:rPr>
              <w:tab/>
            </w:r>
            <w:r w:rsidR="00DF4225">
              <w:rPr>
                <w:noProof/>
                <w:webHidden/>
              </w:rPr>
              <w:fldChar w:fldCharType="begin"/>
            </w:r>
            <w:r w:rsidR="00DF4225">
              <w:rPr>
                <w:noProof/>
                <w:webHidden/>
              </w:rPr>
              <w:instrText xml:space="preserve"> PAGEREF _Toc112843905 \h </w:instrText>
            </w:r>
            <w:r w:rsidR="00DF4225">
              <w:rPr>
                <w:noProof/>
                <w:webHidden/>
              </w:rPr>
            </w:r>
            <w:r w:rsidR="00DF4225">
              <w:rPr>
                <w:noProof/>
                <w:webHidden/>
              </w:rPr>
              <w:fldChar w:fldCharType="separate"/>
            </w:r>
            <w:r>
              <w:rPr>
                <w:noProof/>
                <w:webHidden/>
              </w:rPr>
              <w:t>20</w:t>
            </w:r>
            <w:r w:rsidR="00DF4225">
              <w:rPr>
                <w:noProof/>
                <w:webHidden/>
              </w:rPr>
              <w:fldChar w:fldCharType="end"/>
            </w:r>
          </w:hyperlink>
        </w:p>
        <w:p w14:paraId="60F4ADB5" w14:textId="42CD22A2" w:rsidR="00DF4225" w:rsidRDefault="0091734E">
          <w:pPr>
            <w:pStyle w:val="TOC3"/>
            <w:rPr>
              <w:rFonts w:asciiTheme="minorHAnsi" w:eastAsiaTheme="minorEastAsia" w:hAnsiTheme="minorHAnsi"/>
              <w:noProof/>
              <w:sz w:val="22"/>
              <w:lang w:eastAsia="en-AU"/>
            </w:rPr>
          </w:pPr>
          <w:hyperlink w:anchor="_Toc112843906" w:history="1">
            <w:r w:rsidR="00DF4225" w:rsidRPr="0020009A">
              <w:rPr>
                <w:rStyle w:val="Hyperlink"/>
                <w:noProof/>
              </w:rPr>
              <w:t>Data description and methods</w:t>
            </w:r>
            <w:r w:rsidR="00DF4225">
              <w:rPr>
                <w:noProof/>
                <w:webHidden/>
              </w:rPr>
              <w:tab/>
            </w:r>
            <w:r w:rsidR="00DF4225">
              <w:rPr>
                <w:noProof/>
                <w:webHidden/>
              </w:rPr>
              <w:fldChar w:fldCharType="begin"/>
            </w:r>
            <w:r w:rsidR="00DF4225">
              <w:rPr>
                <w:noProof/>
                <w:webHidden/>
              </w:rPr>
              <w:instrText xml:space="preserve"> PAGEREF _Toc112843906 \h </w:instrText>
            </w:r>
            <w:r w:rsidR="00DF4225">
              <w:rPr>
                <w:noProof/>
                <w:webHidden/>
              </w:rPr>
            </w:r>
            <w:r w:rsidR="00DF4225">
              <w:rPr>
                <w:noProof/>
                <w:webHidden/>
              </w:rPr>
              <w:fldChar w:fldCharType="separate"/>
            </w:r>
            <w:r>
              <w:rPr>
                <w:noProof/>
                <w:webHidden/>
              </w:rPr>
              <w:t>20</w:t>
            </w:r>
            <w:r w:rsidR="00DF4225">
              <w:rPr>
                <w:noProof/>
                <w:webHidden/>
              </w:rPr>
              <w:fldChar w:fldCharType="end"/>
            </w:r>
          </w:hyperlink>
        </w:p>
        <w:p w14:paraId="25B8D97D" w14:textId="3E933E34" w:rsidR="00DF4225" w:rsidRDefault="0091734E">
          <w:pPr>
            <w:pStyle w:val="TOC3"/>
            <w:rPr>
              <w:rFonts w:asciiTheme="minorHAnsi" w:eastAsiaTheme="minorEastAsia" w:hAnsiTheme="minorHAnsi"/>
              <w:noProof/>
              <w:sz w:val="22"/>
              <w:lang w:eastAsia="en-AU"/>
            </w:rPr>
          </w:pPr>
          <w:hyperlink w:anchor="_Toc112843907" w:history="1">
            <w:r w:rsidR="00DF4225" w:rsidRPr="0020009A">
              <w:rPr>
                <w:rStyle w:val="Hyperlink"/>
                <w:noProof/>
              </w:rPr>
              <w:t>Results</w:t>
            </w:r>
            <w:r w:rsidR="00DF4225">
              <w:rPr>
                <w:noProof/>
                <w:webHidden/>
              </w:rPr>
              <w:tab/>
            </w:r>
            <w:r w:rsidR="00DF4225">
              <w:rPr>
                <w:noProof/>
                <w:webHidden/>
              </w:rPr>
              <w:fldChar w:fldCharType="begin"/>
            </w:r>
            <w:r w:rsidR="00DF4225">
              <w:rPr>
                <w:noProof/>
                <w:webHidden/>
              </w:rPr>
              <w:instrText xml:space="preserve"> PAGEREF _Toc112843907 \h </w:instrText>
            </w:r>
            <w:r w:rsidR="00DF4225">
              <w:rPr>
                <w:noProof/>
                <w:webHidden/>
              </w:rPr>
            </w:r>
            <w:r w:rsidR="00DF4225">
              <w:rPr>
                <w:noProof/>
                <w:webHidden/>
              </w:rPr>
              <w:fldChar w:fldCharType="separate"/>
            </w:r>
            <w:r>
              <w:rPr>
                <w:noProof/>
                <w:webHidden/>
              </w:rPr>
              <w:t>21</w:t>
            </w:r>
            <w:r w:rsidR="00DF4225">
              <w:rPr>
                <w:noProof/>
                <w:webHidden/>
              </w:rPr>
              <w:fldChar w:fldCharType="end"/>
            </w:r>
          </w:hyperlink>
        </w:p>
        <w:p w14:paraId="3F7C56FE" w14:textId="1B9B6B83" w:rsidR="00DF4225" w:rsidRDefault="0091734E">
          <w:pPr>
            <w:pStyle w:val="TOC3"/>
            <w:rPr>
              <w:rFonts w:asciiTheme="minorHAnsi" w:eastAsiaTheme="minorEastAsia" w:hAnsiTheme="minorHAnsi"/>
              <w:noProof/>
              <w:sz w:val="22"/>
              <w:lang w:eastAsia="en-AU"/>
            </w:rPr>
          </w:pPr>
          <w:hyperlink w:anchor="_Toc112843908" w:history="1">
            <w:r w:rsidR="00DF4225" w:rsidRPr="0020009A">
              <w:rPr>
                <w:rStyle w:val="Hyperlink"/>
                <w:noProof/>
              </w:rPr>
              <w:t>Effects of recent codeine scheduling changes on paracetamol poisoning admissions</w:t>
            </w:r>
            <w:r w:rsidR="00DF4225">
              <w:rPr>
                <w:noProof/>
                <w:webHidden/>
              </w:rPr>
              <w:tab/>
            </w:r>
            <w:r w:rsidR="00DF4225">
              <w:rPr>
                <w:noProof/>
                <w:webHidden/>
              </w:rPr>
              <w:fldChar w:fldCharType="begin"/>
            </w:r>
            <w:r w:rsidR="00DF4225">
              <w:rPr>
                <w:noProof/>
                <w:webHidden/>
              </w:rPr>
              <w:instrText xml:space="preserve"> PAGEREF _Toc112843908 \h </w:instrText>
            </w:r>
            <w:r w:rsidR="00DF4225">
              <w:rPr>
                <w:noProof/>
                <w:webHidden/>
              </w:rPr>
            </w:r>
            <w:r w:rsidR="00DF4225">
              <w:rPr>
                <w:noProof/>
                <w:webHidden/>
              </w:rPr>
              <w:fldChar w:fldCharType="separate"/>
            </w:r>
            <w:r>
              <w:rPr>
                <w:noProof/>
                <w:webHidden/>
              </w:rPr>
              <w:t>23</w:t>
            </w:r>
            <w:r w:rsidR="00DF4225">
              <w:rPr>
                <w:noProof/>
                <w:webHidden/>
              </w:rPr>
              <w:fldChar w:fldCharType="end"/>
            </w:r>
          </w:hyperlink>
        </w:p>
        <w:p w14:paraId="20222C29" w14:textId="040D4F5C" w:rsidR="00DF4225" w:rsidRDefault="0091734E">
          <w:pPr>
            <w:pStyle w:val="TOC3"/>
            <w:rPr>
              <w:rFonts w:asciiTheme="minorHAnsi" w:eastAsiaTheme="minorEastAsia" w:hAnsiTheme="minorHAnsi"/>
              <w:noProof/>
              <w:sz w:val="22"/>
              <w:lang w:eastAsia="en-AU"/>
            </w:rPr>
          </w:pPr>
          <w:hyperlink w:anchor="_Toc112843909" w:history="1">
            <w:r w:rsidR="00DF4225" w:rsidRPr="0020009A">
              <w:rPr>
                <w:rStyle w:val="Hyperlink"/>
                <w:noProof/>
              </w:rPr>
              <w:t>Comparison to (presumed) ibuprofen poisonings in AIHW PIC data</w:t>
            </w:r>
            <w:r w:rsidR="00DF4225">
              <w:rPr>
                <w:noProof/>
                <w:webHidden/>
              </w:rPr>
              <w:tab/>
            </w:r>
            <w:r w:rsidR="00DF4225">
              <w:rPr>
                <w:noProof/>
                <w:webHidden/>
              </w:rPr>
              <w:fldChar w:fldCharType="begin"/>
            </w:r>
            <w:r w:rsidR="00DF4225">
              <w:rPr>
                <w:noProof/>
                <w:webHidden/>
              </w:rPr>
              <w:instrText xml:space="preserve"> PAGEREF _Toc112843909 \h </w:instrText>
            </w:r>
            <w:r w:rsidR="00DF4225">
              <w:rPr>
                <w:noProof/>
                <w:webHidden/>
              </w:rPr>
            </w:r>
            <w:r w:rsidR="00DF4225">
              <w:rPr>
                <w:noProof/>
                <w:webHidden/>
              </w:rPr>
              <w:fldChar w:fldCharType="separate"/>
            </w:r>
            <w:r>
              <w:rPr>
                <w:noProof/>
                <w:webHidden/>
              </w:rPr>
              <w:t>24</w:t>
            </w:r>
            <w:r w:rsidR="00DF4225">
              <w:rPr>
                <w:noProof/>
                <w:webHidden/>
              </w:rPr>
              <w:fldChar w:fldCharType="end"/>
            </w:r>
          </w:hyperlink>
        </w:p>
        <w:p w14:paraId="5A04EB39" w14:textId="52D754ED" w:rsidR="00DF4225" w:rsidRDefault="0091734E">
          <w:pPr>
            <w:pStyle w:val="TOC2"/>
            <w:rPr>
              <w:rFonts w:asciiTheme="minorHAnsi" w:eastAsiaTheme="minorEastAsia" w:hAnsiTheme="minorHAnsi"/>
              <w:noProof/>
              <w:sz w:val="22"/>
              <w:lang w:eastAsia="en-AU"/>
            </w:rPr>
          </w:pPr>
          <w:hyperlink w:anchor="_Toc112843910" w:history="1">
            <w:r w:rsidR="00DF4225" w:rsidRPr="0020009A">
              <w:rPr>
                <w:rStyle w:val="Hyperlink"/>
                <w:noProof/>
              </w:rPr>
              <w:t>2.3 Deaths - National Coronial Information System (NCIS) data</w:t>
            </w:r>
            <w:r w:rsidR="00DF4225">
              <w:rPr>
                <w:noProof/>
                <w:webHidden/>
              </w:rPr>
              <w:tab/>
            </w:r>
            <w:r w:rsidR="00DF4225">
              <w:rPr>
                <w:noProof/>
                <w:webHidden/>
              </w:rPr>
              <w:fldChar w:fldCharType="begin"/>
            </w:r>
            <w:r w:rsidR="00DF4225">
              <w:rPr>
                <w:noProof/>
                <w:webHidden/>
              </w:rPr>
              <w:instrText xml:space="preserve"> PAGEREF _Toc112843910 \h </w:instrText>
            </w:r>
            <w:r w:rsidR="00DF4225">
              <w:rPr>
                <w:noProof/>
                <w:webHidden/>
              </w:rPr>
            </w:r>
            <w:r w:rsidR="00DF4225">
              <w:rPr>
                <w:noProof/>
                <w:webHidden/>
              </w:rPr>
              <w:fldChar w:fldCharType="separate"/>
            </w:r>
            <w:r>
              <w:rPr>
                <w:noProof/>
                <w:webHidden/>
              </w:rPr>
              <w:t>25</w:t>
            </w:r>
            <w:r w:rsidR="00DF4225">
              <w:rPr>
                <w:noProof/>
                <w:webHidden/>
              </w:rPr>
              <w:fldChar w:fldCharType="end"/>
            </w:r>
          </w:hyperlink>
        </w:p>
        <w:p w14:paraId="09C0CABE" w14:textId="5C8E045D" w:rsidR="00DF4225" w:rsidRDefault="0091734E">
          <w:pPr>
            <w:pStyle w:val="TOC3"/>
            <w:rPr>
              <w:rFonts w:asciiTheme="minorHAnsi" w:eastAsiaTheme="minorEastAsia" w:hAnsiTheme="minorHAnsi"/>
              <w:noProof/>
              <w:sz w:val="22"/>
              <w:lang w:eastAsia="en-AU"/>
            </w:rPr>
          </w:pPr>
          <w:hyperlink w:anchor="_Toc112843911" w:history="1">
            <w:r w:rsidR="00DF4225" w:rsidRPr="0020009A">
              <w:rPr>
                <w:rStyle w:val="Hyperlink"/>
                <w:noProof/>
              </w:rPr>
              <w:t>Methods</w:t>
            </w:r>
            <w:r w:rsidR="00DF4225">
              <w:rPr>
                <w:noProof/>
                <w:webHidden/>
              </w:rPr>
              <w:tab/>
            </w:r>
            <w:r w:rsidR="00DF4225">
              <w:rPr>
                <w:noProof/>
                <w:webHidden/>
              </w:rPr>
              <w:fldChar w:fldCharType="begin"/>
            </w:r>
            <w:r w:rsidR="00DF4225">
              <w:rPr>
                <w:noProof/>
                <w:webHidden/>
              </w:rPr>
              <w:instrText xml:space="preserve"> PAGEREF _Toc112843911 \h </w:instrText>
            </w:r>
            <w:r w:rsidR="00DF4225">
              <w:rPr>
                <w:noProof/>
                <w:webHidden/>
              </w:rPr>
            </w:r>
            <w:r w:rsidR="00DF4225">
              <w:rPr>
                <w:noProof/>
                <w:webHidden/>
              </w:rPr>
              <w:fldChar w:fldCharType="separate"/>
            </w:r>
            <w:r>
              <w:rPr>
                <w:noProof/>
                <w:webHidden/>
              </w:rPr>
              <w:t>25</w:t>
            </w:r>
            <w:r w:rsidR="00DF4225">
              <w:rPr>
                <w:noProof/>
                <w:webHidden/>
              </w:rPr>
              <w:fldChar w:fldCharType="end"/>
            </w:r>
          </w:hyperlink>
        </w:p>
        <w:p w14:paraId="442E971E" w14:textId="6F1F49CD" w:rsidR="00DF4225" w:rsidRDefault="0091734E">
          <w:pPr>
            <w:pStyle w:val="TOC3"/>
            <w:rPr>
              <w:rFonts w:asciiTheme="minorHAnsi" w:eastAsiaTheme="minorEastAsia" w:hAnsiTheme="minorHAnsi"/>
              <w:noProof/>
              <w:sz w:val="22"/>
              <w:lang w:eastAsia="en-AU"/>
            </w:rPr>
          </w:pPr>
          <w:hyperlink w:anchor="_Toc112843912" w:history="1">
            <w:r w:rsidR="00DF4225" w:rsidRPr="0020009A">
              <w:rPr>
                <w:rStyle w:val="Hyperlink"/>
                <w:noProof/>
              </w:rPr>
              <w:t>Effects of definitions used for attributing death to paracetamol</w:t>
            </w:r>
            <w:r w:rsidR="00DF4225">
              <w:rPr>
                <w:noProof/>
                <w:webHidden/>
              </w:rPr>
              <w:tab/>
            </w:r>
            <w:r w:rsidR="00DF4225">
              <w:rPr>
                <w:noProof/>
                <w:webHidden/>
              </w:rPr>
              <w:fldChar w:fldCharType="begin"/>
            </w:r>
            <w:r w:rsidR="00DF4225">
              <w:rPr>
                <w:noProof/>
                <w:webHidden/>
              </w:rPr>
              <w:instrText xml:space="preserve"> PAGEREF _Toc112843912 \h </w:instrText>
            </w:r>
            <w:r w:rsidR="00DF4225">
              <w:rPr>
                <w:noProof/>
                <w:webHidden/>
              </w:rPr>
            </w:r>
            <w:r w:rsidR="00DF4225">
              <w:rPr>
                <w:noProof/>
                <w:webHidden/>
              </w:rPr>
              <w:fldChar w:fldCharType="separate"/>
            </w:r>
            <w:r>
              <w:rPr>
                <w:noProof/>
                <w:webHidden/>
              </w:rPr>
              <w:t>26</w:t>
            </w:r>
            <w:r w:rsidR="00DF4225">
              <w:rPr>
                <w:noProof/>
                <w:webHidden/>
              </w:rPr>
              <w:fldChar w:fldCharType="end"/>
            </w:r>
          </w:hyperlink>
        </w:p>
        <w:p w14:paraId="4A68274D" w14:textId="45FC111C" w:rsidR="00DF4225" w:rsidRDefault="0091734E">
          <w:pPr>
            <w:pStyle w:val="TOC2"/>
            <w:rPr>
              <w:rFonts w:asciiTheme="minorHAnsi" w:eastAsiaTheme="minorEastAsia" w:hAnsiTheme="minorHAnsi"/>
              <w:noProof/>
              <w:sz w:val="22"/>
              <w:lang w:eastAsia="en-AU"/>
            </w:rPr>
          </w:pPr>
          <w:hyperlink w:anchor="_Toc112843913" w:history="1">
            <w:r w:rsidR="00DF4225" w:rsidRPr="0020009A">
              <w:rPr>
                <w:rStyle w:val="Hyperlink"/>
                <w:noProof/>
              </w:rPr>
              <w:t>2.4 Poisoning cases - NSW PIC and total Australian PIC calls</w:t>
            </w:r>
            <w:r w:rsidR="00DF4225">
              <w:rPr>
                <w:noProof/>
                <w:webHidden/>
              </w:rPr>
              <w:tab/>
            </w:r>
            <w:r w:rsidR="00DF4225">
              <w:rPr>
                <w:noProof/>
                <w:webHidden/>
              </w:rPr>
              <w:fldChar w:fldCharType="begin"/>
            </w:r>
            <w:r w:rsidR="00DF4225">
              <w:rPr>
                <w:noProof/>
                <w:webHidden/>
              </w:rPr>
              <w:instrText xml:space="preserve"> PAGEREF _Toc112843913 \h </w:instrText>
            </w:r>
            <w:r w:rsidR="00DF4225">
              <w:rPr>
                <w:noProof/>
                <w:webHidden/>
              </w:rPr>
            </w:r>
            <w:r w:rsidR="00DF4225">
              <w:rPr>
                <w:noProof/>
                <w:webHidden/>
              </w:rPr>
              <w:fldChar w:fldCharType="separate"/>
            </w:r>
            <w:r>
              <w:rPr>
                <w:noProof/>
                <w:webHidden/>
              </w:rPr>
              <w:t>28</w:t>
            </w:r>
            <w:r w:rsidR="00DF4225">
              <w:rPr>
                <w:noProof/>
                <w:webHidden/>
              </w:rPr>
              <w:fldChar w:fldCharType="end"/>
            </w:r>
          </w:hyperlink>
        </w:p>
        <w:p w14:paraId="18B880CE" w14:textId="33998CF6" w:rsidR="00DF4225" w:rsidRDefault="0091734E">
          <w:pPr>
            <w:pStyle w:val="TOC3"/>
            <w:rPr>
              <w:rFonts w:asciiTheme="minorHAnsi" w:eastAsiaTheme="minorEastAsia" w:hAnsiTheme="minorHAnsi"/>
              <w:noProof/>
              <w:sz w:val="22"/>
              <w:lang w:eastAsia="en-AU"/>
            </w:rPr>
          </w:pPr>
          <w:hyperlink w:anchor="_Toc112843914" w:history="1">
            <w:r w:rsidR="00DF4225" w:rsidRPr="0020009A">
              <w:rPr>
                <w:rStyle w:val="Hyperlink"/>
                <w:noProof/>
              </w:rPr>
              <w:t>2.4.1  Longer term NSW PIC epidemiological data 2011-2021</w:t>
            </w:r>
            <w:r w:rsidR="00DF4225">
              <w:rPr>
                <w:noProof/>
                <w:webHidden/>
              </w:rPr>
              <w:tab/>
            </w:r>
            <w:r w:rsidR="00DF4225">
              <w:rPr>
                <w:noProof/>
                <w:webHidden/>
              </w:rPr>
              <w:fldChar w:fldCharType="begin"/>
            </w:r>
            <w:r w:rsidR="00DF4225">
              <w:rPr>
                <w:noProof/>
                <w:webHidden/>
              </w:rPr>
              <w:instrText xml:space="preserve"> PAGEREF _Toc112843914 \h </w:instrText>
            </w:r>
            <w:r w:rsidR="00DF4225">
              <w:rPr>
                <w:noProof/>
                <w:webHidden/>
              </w:rPr>
            </w:r>
            <w:r w:rsidR="00DF4225">
              <w:rPr>
                <w:noProof/>
                <w:webHidden/>
              </w:rPr>
              <w:fldChar w:fldCharType="separate"/>
            </w:r>
            <w:r>
              <w:rPr>
                <w:noProof/>
                <w:webHidden/>
              </w:rPr>
              <w:t>28</w:t>
            </w:r>
            <w:r w:rsidR="00DF4225">
              <w:rPr>
                <w:noProof/>
                <w:webHidden/>
              </w:rPr>
              <w:fldChar w:fldCharType="end"/>
            </w:r>
          </w:hyperlink>
        </w:p>
        <w:p w14:paraId="79320B6A" w14:textId="2D84949B" w:rsidR="00DF4225" w:rsidRDefault="0091734E">
          <w:pPr>
            <w:pStyle w:val="TOC3"/>
            <w:rPr>
              <w:rFonts w:asciiTheme="minorHAnsi" w:eastAsiaTheme="minorEastAsia" w:hAnsiTheme="minorHAnsi"/>
              <w:noProof/>
              <w:sz w:val="22"/>
              <w:lang w:eastAsia="en-AU"/>
            </w:rPr>
          </w:pPr>
          <w:hyperlink w:anchor="_Toc112843915" w:history="1">
            <w:r w:rsidR="00DF4225" w:rsidRPr="0020009A">
              <w:rPr>
                <w:rStyle w:val="Hyperlink"/>
                <w:noProof/>
              </w:rPr>
              <w:t>Effects of 2020 paracetamol MR scheduling changes on paracetamol poisoning</w:t>
            </w:r>
            <w:r w:rsidR="00DF4225">
              <w:rPr>
                <w:noProof/>
                <w:webHidden/>
              </w:rPr>
              <w:tab/>
            </w:r>
            <w:r w:rsidR="00DF4225">
              <w:rPr>
                <w:noProof/>
                <w:webHidden/>
              </w:rPr>
              <w:fldChar w:fldCharType="begin"/>
            </w:r>
            <w:r w:rsidR="00DF4225">
              <w:rPr>
                <w:noProof/>
                <w:webHidden/>
              </w:rPr>
              <w:instrText xml:space="preserve"> PAGEREF _Toc112843915 \h </w:instrText>
            </w:r>
            <w:r w:rsidR="00DF4225">
              <w:rPr>
                <w:noProof/>
                <w:webHidden/>
              </w:rPr>
            </w:r>
            <w:r w:rsidR="00DF4225">
              <w:rPr>
                <w:noProof/>
                <w:webHidden/>
              </w:rPr>
              <w:fldChar w:fldCharType="separate"/>
            </w:r>
            <w:r>
              <w:rPr>
                <w:noProof/>
                <w:webHidden/>
              </w:rPr>
              <w:t>35</w:t>
            </w:r>
            <w:r w:rsidR="00DF4225">
              <w:rPr>
                <w:noProof/>
                <w:webHidden/>
              </w:rPr>
              <w:fldChar w:fldCharType="end"/>
            </w:r>
          </w:hyperlink>
        </w:p>
        <w:p w14:paraId="0FECE4A3" w14:textId="594620B9" w:rsidR="00DF4225" w:rsidRDefault="0091734E">
          <w:pPr>
            <w:pStyle w:val="TOC3"/>
            <w:rPr>
              <w:rFonts w:asciiTheme="minorHAnsi" w:eastAsiaTheme="minorEastAsia" w:hAnsiTheme="minorHAnsi"/>
              <w:noProof/>
              <w:sz w:val="22"/>
              <w:lang w:eastAsia="en-AU"/>
            </w:rPr>
          </w:pPr>
          <w:hyperlink w:anchor="_Toc112843916" w:history="1">
            <w:r w:rsidR="00DF4225" w:rsidRPr="0020009A">
              <w:rPr>
                <w:rStyle w:val="Hyperlink"/>
                <w:noProof/>
              </w:rPr>
              <w:t>2.4.2  Recent evidence on products and burden of disease in NSW PIC calls</w:t>
            </w:r>
            <w:r w:rsidR="00DF4225">
              <w:rPr>
                <w:noProof/>
                <w:webHidden/>
              </w:rPr>
              <w:tab/>
            </w:r>
            <w:r w:rsidR="00DF4225">
              <w:rPr>
                <w:noProof/>
                <w:webHidden/>
              </w:rPr>
              <w:fldChar w:fldCharType="begin"/>
            </w:r>
            <w:r w:rsidR="00DF4225">
              <w:rPr>
                <w:noProof/>
                <w:webHidden/>
              </w:rPr>
              <w:instrText xml:space="preserve"> PAGEREF _Toc112843916 \h </w:instrText>
            </w:r>
            <w:r w:rsidR="00DF4225">
              <w:rPr>
                <w:noProof/>
                <w:webHidden/>
              </w:rPr>
            </w:r>
            <w:r w:rsidR="00DF4225">
              <w:rPr>
                <w:noProof/>
                <w:webHidden/>
              </w:rPr>
              <w:fldChar w:fldCharType="separate"/>
            </w:r>
            <w:r>
              <w:rPr>
                <w:noProof/>
                <w:webHidden/>
              </w:rPr>
              <w:t>38</w:t>
            </w:r>
            <w:r w:rsidR="00DF4225">
              <w:rPr>
                <w:noProof/>
                <w:webHidden/>
              </w:rPr>
              <w:fldChar w:fldCharType="end"/>
            </w:r>
          </w:hyperlink>
        </w:p>
        <w:p w14:paraId="0E0BEFE6" w14:textId="3BDFE9F2" w:rsidR="00DF4225" w:rsidRDefault="0091734E">
          <w:pPr>
            <w:pStyle w:val="TOC3"/>
            <w:rPr>
              <w:rFonts w:asciiTheme="minorHAnsi" w:eastAsiaTheme="minorEastAsia" w:hAnsiTheme="minorHAnsi"/>
              <w:noProof/>
              <w:sz w:val="22"/>
              <w:lang w:eastAsia="en-AU"/>
            </w:rPr>
          </w:pPr>
          <w:hyperlink w:anchor="_Toc112843917" w:history="1">
            <w:r w:rsidR="00DF4225" w:rsidRPr="0020009A">
              <w:rPr>
                <w:rStyle w:val="Hyperlink"/>
                <w:noProof/>
              </w:rPr>
              <w:t>2.4.3  Electronic medical record (eMR) data on NSW PIC cases</w:t>
            </w:r>
            <w:r w:rsidR="00DF4225">
              <w:rPr>
                <w:noProof/>
                <w:webHidden/>
              </w:rPr>
              <w:tab/>
            </w:r>
            <w:r w:rsidR="00DF4225">
              <w:rPr>
                <w:noProof/>
                <w:webHidden/>
              </w:rPr>
              <w:fldChar w:fldCharType="begin"/>
            </w:r>
            <w:r w:rsidR="00DF4225">
              <w:rPr>
                <w:noProof/>
                <w:webHidden/>
              </w:rPr>
              <w:instrText xml:space="preserve"> PAGEREF _Toc112843917 \h </w:instrText>
            </w:r>
            <w:r w:rsidR="00DF4225">
              <w:rPr>
                <w:noProof/>
                <w:webHidden/>
              </w:rPr>
            </w:r>
            <w:r w:rsidR="00DF4225">
              <w:rPr>
                <w:noProof/>
                <w:webHidden/>
              </w:rPr>
              <w:fldChar w:fldCharType="separate"/>
            </w:r>
            <w:r>
              <w:rPr>
                <w:noProof/>
                <w:webHidden/>
              </w:rPr>
              <w:t>42</w:t>
            </w:r>
            <w:r w:rsidR="00DF4225">
              <w:rPr>
                <w:noProof/>
                <w:webHidden/>
              </w:rPr>
              <w:fldChar w:fldCharType="end"/>
            </w:r>
          </w:hyperlink>
        </w:p>
        <w:p w14:paraId="7AFF043F" w14:textId="6F89B320" w:rsidR="00DF4225" w:rsidRDefault="0091734E">
          <w:pPr>
            <w:pStyle w:val="TOC3"/>
            <w:rPr>
              <w:rFonts w:asciiTheme="minorHAnsi" w:eastAsiaTheme="minorEastAsia" w:hAnsiTheme="minorHAnsi"/>
              <w:noProof/>
              <w:sz w:val="22"/>
              <w:lang w:eastAsia="en-AU"/>
            </w:rPr>
          </w:pPr>
          <w:hyperlink w:anchor="_Toc112843918" w:history="1">
            <w:r w:rsidR="00DF4225" w:rsidRPr="0020009A">
              <w:rPr>
                <w:rStyle w:val="Hyperlink"/>
                <w:noProof/>
              </w:rPr>
              <w:t>2.4.4  Total Australian PIC calls</w:t>
            </w:r>
            <w:r w:rsidR="00DF4225">
              <w:rPr>
                <w:noProof/>
                <w:webHidden/>
              </w:rPr>
              <w:tab/>
            </w:r>
            <w:r w:rsidR="00DF4225">
              <w:rPr>
                <w:noProof/>
                <w:webHidden/>
              </w:rPr>
              <w:fldChar w:fldCharType="begin"/>
            </w:r>
            <w:r w:rsidR="00DF4225">
              <w:rPr>
                <w:noProof/>
                <w:webHidden/>
              </w:rPr>
              <w:instrText xml:space="preserve"> PAGEREF _Toc112843918 \h </w:instrText>
            </w:r>
            <w:r w:rsidR="00DF4225">
              <w:rPr>
                <w:noProof/>
                <w:webHidden/>
              </w:rPr>
            </w:r>
            <w:r w:rsidR="00DF4225">
              <w:rPr>
                <w:noProof/>
                <w:webHidden/>
              </w:rPr>
              <w:fldChar w:fldCharType="separate"/>
            </w:r>
            <w:r>
              <w:rPr>
                <w:noProof/>
                <w:webHidden/>
              </w:rPr>
              <w:t>47</w:t>
            </w:r>
            <w:r w:rsidR="00DF4225">
              <w:rPr>
                <w:noProof/>
                <w:webHidden/>
              </w:rPr>
              <w:fldChar w:fldCharType="end"/>
            </w:r>
          </w:hyperlink>
        </w:p>
        <w:p w14:paraId="2452DFD9" w14:textId="5EBC18BE" w:rsidR="00DF4225" w:rsidRDefault="0091734E">
          <w:pPr>
            <w:pStyle w:val="TOC3"/>
            <w:rPr>
              <w:rFonts w:asciiTheme="minorHAnsi" w:eastAsiaTheme="minorEastAsia" w:hAnsiTheme="minorHAnsi"/>
              <w:noProof/>
              <w:sz w:val="22"/>
              <w:lang w:eastAsia="en-AU"/>
            </w:rPr>
          </w:pPr>
          <w:hyperlink w:anchor="_Toc112843919" w:history="1">
            <w:r w:rsidR="00DF4225" w:rsidRPr="0020009A">
              <w:rPr>
                <w:rStyle w:val="Hyperlink"/>
                <w:noProof/>
              </w:rPr>
              <w:t>2.4.5  Prospective NSW PIC study (enhanced dose &amp; product detail)</w:t>
            </w:r>
            <w:r w:rsidR="00DF4225">
              <w:rPr>
                <w:noProof/>
                <w:webHidden/>
              </w:rPr>
              <w:tab/>
            </w:r>
            <w:r w:rsidR="00DF4225">
              <w:rPr>
                <w:noProof/>
                <w:webHidden/>
              </w:rPr>
              <w:fldChar w:fldCharType="begin"/>
            </w:r>
            <w:r w:rsidR="00DF4225">
              <w:rPr>
                <w:noProof/>
                <w:webHidden/>
              </w:rPr>
              <w:instrText xml:space="preserve"> PAGEREF _Toc112843919 \h </w:instrText>
            </w:r>
            <w:r w:rsidR="00DF4225">
              <w:rPr>
                <w:noProof/>
                <w:webHidden/>
              </w:rPr>
            </w:r>
            <w:r w:rsidR="00DF4225">
              <w:rPr>
                <w:noProof/>
                <w:webHidden/>
              </w:rPr>
              <w:fldChar w:fldCharType="separate"/>
            </w:r>
            <w:r>
              <w:rPr>
                <w:noProof/>
                <w:webHidden/>
              </w:rPr>
              <w:t>53</w:t>
            </w:r>
            <w:r w:rsidR="00DF4225">
              <w:rPr>
                <w:noProof/>
                <w:webHidden/>
              </w:rPr>
              <w:fldChar w:fldCharType="end"/>
            </w:r>
          </w:hyperlink>
        </w:p>
        <w:p w14:paraId="1A623E28" w14:textId="45B1D034" w:rsidR="00DF4225" w:rsidRDefault="0091734E">
          <w:pPr>
            <w:pStyle w:val="TOC2"/>
            <w:rPr>
              <w:rFonts w:asciiTheme="minorHAnsi" w:eastAsiaTheme="minorEastAsia" w:hAnsiTheme="minorHAnsi"/>
              <w:noProof/>
              <w:sz w:val="22"/>
              <w:lang w:eastAsia="en-AU"/>
            </w:rPr>
          </w:pPr>
          <w:hyperlink w:anchor="_Toc112843920" w:history="1">
            <w:r w:rsidR="00DF4225" w:rsidRPr="0020009A">
              <w:rPr>
                <w:rStyle w:val="Hyperlink"/>
                <w:noProof/>
              </w:rPr>
              <w:t>2.5  Sales data on paracetamol-containing products</w:t>
            </w:r>
            <w:r w:rsidR="00DF4225">
              <w:rPr>
                <w:noProof/>
                <w:webHidden/>
              </w:rPr>
              <w:tab/>
            </w:r>
            <w:r w:rsidR="00DF4225">
              <w:rPr>
                <w:noProof/>
                <w:webHidden/>
              </w:rPr>
              <w:fldChar w:fldCharType="begin"/>
            </w:r>
            <w:r w:rsidR="00DF4225">
              <w:rPr>
                <w:noProof/>
                <w:webHidden/>
              </w:rPr>
              <w:instrText xml:space="preserve"> PAGEREF _Toc112843920 \h </w:instrText>
            </w:r>
            <w:r w:rsidR="00DF4225">
              <w:rPr>
                <w:noProof/>
                <w:webHidden/>
              </w:rPr>
            </w:r>
            <w:r w:rsidR="00DF4225">
              <w:rPr>
                <w:noProof/>
                <w:webHidden/>
              </w:rPr>
              <w:fldChar w:fldCharType="separate"/>
            </w:r>
            <w:r>
              <w:rPr>
                <w:noProof/>
                <w:webHidden/>
              </w:rPr>
              <w:t>57</w:t>
            </w:r>
            <w:r w:rsidR="00DF4225">
              <w:rPr>
                <w:noProof/>
                <w:webHidden/>
              </w:rPr>
              <w:fldChar w:fldCharType="end"/>
            </w:r>
          </w:hyperlink>
        </w:p>
        <w:p w14:paraId="45F75275" w14:textId="30E7BEB6" w:rsidR="00DF4225" w:rsidRDefault="0091734E">
          <w:pPr>
            <w:pStyle w:val="TOC3"/>
            <w:rPr>
              <w:rFonts w:asciiTheme="minorHAnsi" w:eastAsiaTheme="minorEastAsia" w:hAnsiTheme="minorHAnsi"/>
              <w:noProof/>
              <w:sz w:val="22"/>
              <w:lang w:eastAsia="en-AU"/>
            </w:rPr>
          </w:pPr>
          <w:hyperlink w:anchor="_Toc112843921" w:history="1">
            <w:r w:rsidR="00DF4225" w:rsidRPr="0020009A">
              <w:rPr>
                <w:rStyle w:val="Hyperlink"/>
                <w:noProof/>
              </w:rPr>
              <w:t>Pharmacy sales</w:t>
            </w:r>
            <w:r w:rsidR="00DF4225">
              <w:rPr>
                <w:noProof/>
                <w:webHidden/>
              </w:rPr>
              <w:tab/>
            </w:r>
            <w:r w:rsidR="00DF4225">
              <w:rPr>
                <w:noProof/>
                <w:webHidden/>
              </w:rPr>
              <w:fldChar w:fldCharType="begin"/>
            </w:r>
            <w:r w:rsidR="00DF4225">
              <w:rPr>
                <w:noProof/>
                <w:webHidden/>
              </w:rPr>
              <w:instrText xml:space="preserve"> PAGEREF _Toc112843921 \h </w:instrText>
            </w:r>
            <w:r w:rsidR="00DF4225">
              <w:rPr>
                <w:noProof/>
                <w:webHidden/>
              </w:rPr>
            </w:r>
            <w:r w:rsidR="00DF4225">
              <w:rPr>
                <w:noProof/>
                <w:webHidden/>
              </w:rPr>
              <w:fldChar w:fldCharType="separate"/>
            </w:r>
            <w:r>
              <w:rPr>
                <w:noProof/>
                <w:webHidden/>
              </w:rPr>
              <w:t>57</w:t>
            </w:r>
            <w:r w:rsidR="00DF4225">
              <w:rPr>
                <w:noProof/>
                <w:webHidden/>
              </w:rPr>
              <w:fldChar w:fldCharType="end"/>
            </w:r>
          </w:hyperlink>
        </w:p>
        <w:p w14:paraId="3C2328BF" w14:textId="2A1AD663" w:rsidR="00DF4225" w:rsidRDefault="0091734E">
          <w:pPr>
            <w:pStyle w:val="TOC3"/>
            <w:rPr>
              <w:rFonts w:asciiTheme="minorHAnsi" w:eastAsiaTheme="minorEastAsia" w:hAnsiTheme="minorHAnsi"/>
              <w:noProof/>
              <w:sz w:val="22"/>
              <w:lang w:eastAsia="en-AU"/>
            </w:rPr>
          </w:pPr>
          <w:hyperlink w:anchor="_Toc112843922" w:history="1">
            <w:r w:rsidR="00DF4225" w:rsidRPr="0020009A">
              <w:rPr>
                <w:rStyle w:val="Hyperlink"/>
                <w:noProof/>
              </w:rPr>
              <w:t>Grocery and convenience store sales</w:t>
            </w:r>
            <w:r w:rsidR="00DF4225">
              <w:rPr>
                <w:noProof/>
                <w:webHidden/>
              </w:rPr>
              <w:tab/>
            </w:r>
            <w:r w:rsidR="00DF4225">
              <w:rPr>
                <w:noProof/>
                <w:webHidden/>
              </w:rPr>
              <w:fldChar w:fldCharType="begin"/>
            </w:r>
            <w:r w:rsidR="00DF4225">
              <w:rPr>
                <w:noProof/>
                <w:webHidden/>
              </w:rPr>
              <w:instrText xml:space="preserve"> PAGEREF _Toc112843922 \h </w:instrText>
            </w:r>
            <w:r w:rsidR="00DF4225">
              <w:rPr>
                <w:noProof/>
                <w:webHidden/>
              </w:rPr>
            </w:r>
            <w:r w:rsidR="00DF4225">
              <w:rPr>
                <w:noProof/>
                <w:webHidden/>
              </w:rPr>
              <w:fldChar w:fldCharType="separate"/>
            </w:r>
            <w:r>
              <w:rPr>
                <w:noProof/>
                <w:webHidden/>
              </w:rPr>
              <w:t>60</w:t>
            </w:r>
            <w:r w:rsidR="00DF4225">
              <w:rPr>
                <w:noProof/>
                <w:webHidden/>
              </w:rPr>
              <w:fldChar w:fldCharType="end"/>
            </w:r>
          </w:hyperlink>
        </w:p>
        <w:p w14:paraId="2BDF03DA" w14:textId="1852D460" w:rsidR="00DF4225" w:rsidRDefault="0091734E">
          <w:pPr>
            <w:pStyle w:val="TOC2"/>
            <w:rPr>
              <w:rFonts w:asciiTheme="minorHAnsi" w:eastAsiaTheme="minorEastAsia" w:hAnsiTheme="minorHAnsi"/>
              <w:noProof/>
              <w:sz w:val="22"/>
              <w:lang w:eastAsia="en-AU"/>
            </w:rPr>
          </w:pPr>
          <w:hyperlink w:anchor="_Toc112843923" w:history="1">
            <w:r w:rsidR="00DF4225" w:rsidRPr="0020009A">
              <w:rPr>
                <w:rStyle w:val="Hyperlink"/>
                <w:noProof/>
              </w:rPr>
              <w:t>2.6  Comparison of data normalised to population and units sold</w:t>
            </w:r>
            <w:r w:rsidR="00DF4225">
              <w:rPr>
                <w:noProof/>
                <w:webHidden/>
              </w:rPr>
              <w:tab/>
            </w:r>
            <w:r w:rsidR="00DF4225">
              <w:rPr>
                <w:noProof/>
                <w:webHidden/>
              </w:rPr>
              <w:fldChar w:fldCharType="begin"/>
            </w:r>
            <w:r w:rsidR="00DF4225">
              <w:rPr>
                <w:noProof/>
                <w:webHidden/>
              </w:rPr>
              <w:instrText xml:space="preserve"> PAGEREF _Toc112843923 \h </w:instrText>
            </w:r>
            <w:r w:rsidR="00DF4225">
              <w:rPr>
                <w:noProof/>
                <w:webHidden/>
              </w:rPr>
            </w:r>
            <w:r w:rsidR="00DF4225">
              <w:rPr>
                <w:noProof/>
                <w:webHidden/>
              </w:rPr>
              <w:fldChar w:fldCharType="separate"/>
            </w:r>
            <w:r>
              <w:rPr>
                <w:noProof/>
                <w:webHidden/>
              </w:rPr>
              <w:t>63</w:t>
            </w:r>
            <w:r w:rsidR="00DF4225">
              <w:rPr>
                <w:noProof/>
                <w:webHidden/>
              </w:rPr>
              <w:fldChar w:fldCharType="end"/>
            </w:r>
          </w:hyperlink>
        </w:p>
        <w:p w14:paraId="25A37B38" w14:textId="64D2FF97" w:rsidR="00DF4225" w:rsidRDefault="0091734E">
          <w:pPr>
            <w:pStyle w:val="TOC3"/>
            <w:rPr>
              <w:rFonts w:asciiTheme="minorHAnsi" w:eastAsiaTheme="minorEastAsia" w:hAnsiTheme="minorHAnsi"/>
              <w:noProof/>
              <w:sz w:val="22"/>
              <w:lang w:eastAsia="en-AU"/>
            </w:rPr>
          </w:pPr>
          <w:hyperlink w:anchor="_Toc112843924" w:history="1">
            <w:r w:rsidR="00DF4225" w:rsidRPr="0020009A">
              <w:rPr>
                <w:rStyle w:val="Hyperlink"/>
                <w:noProof/>
              </w:rPr>
              <w:t>Introduction</w:t>
            </w:r>
            <w:r w:rsidR="00DF4225">
              <w:rPr>
                <w:noProof/>
                <w:webHidden/>
              </w:rPr>
              <w:tab/>
            </w:r>
            <w:r w:rsidR="00DF4225">
              <w:rPr>
                <w:noProof/>
                <w:webHidden/>
              </w:rPr>
              <w:fldChar w:fldCharType="begin"/>
            </w:r>
            <w:r w:rsidR="00DF4225">
              <w:rPr>
                <w:noProof/>
                <w:webHidden/>
              </w:rPr>
              <w:instrText xml:space="preserve"> PAGEREF _Toc112843924 \h </w:instrText>
            </w:r>
            <w:r w:rsidR="00DF4225">
              <w:rPr>
                <w:noProof/>
                <w:webHidden/>
              </w:rPr>
            </w:r>
            <w:r w:rsidR="00DF4225">
              <w:rPr>
                <w:noProof/>
                <w:webHidden/>
              </w:rPr>
              <w:fldChar w:fldCharType="separate"/>
            </w:r>
            <w:r>
              <w:rPr>
                <w:noProof/>
                <w:webHidden/>
              </w:rPr>
              <w:t>63</w:t>
            </w:r>
            <w:r w:rsidR="00DF4225">
              <w:rPr>
                <w:noProof/>
                <w:webHidden/>
              </w:rPr>
              <w:fldChar w:fldCharType="end"/>
            </w:r>
          </w:hyperlink>
        </w:p>
        <w:p w14:paraId="0BBACF97" w14:textId="6E0DF092" w:rsidR="00DF4225" w:rsidRDefault="0091734E">
          <w:pPr>
            <w:pStyle w:val="TOC3"/>
            <w:rPr>
              <w:rFonts w:asciiTheme="minorHAnsi" w:eastAsiaTheme="minorEastAsia" w:hAnsiTheme="minorHAnsi"/>
              <w:noProof/>
              <w:sz w:val="22"/>
              <w:lang w:eastAsia="en-AU"/>
            </w:rPr>
          </w:pPr>
          <w:hyperlink w:anchor="_Toc112843925" w:history="1">
            <w:r w:rsidR="00DF4225" w:rsidRPr="0020009A">
              <w:rPr>
                <w:rStyle w:val="Hyperlink"/>
                <w:noProof/>
              </w:rPr>
              <w:t>Findings</w:t>
            </w:r>
            <w:r w:rsidR="00DF4225">
              <w:rPr>
                <w:noProof/>
                <w:webHidden/>
              </w:rPr>
              <w:tab/>
            </w:r>
            <w:r w:rsidR="00DF4225">
              <w:rPr>
                <w:noProof/>
                <w:webHidden/>
              </w:rPr>
              <w:fldChar w:fldCharType="begin"/>
            </w:r>
            <w:r w:rsidR="00DF4225">
              <w:rPr>
                <w:noProof/>
                <w:webHidden/>
              </w:rPr>
              <w:instrText xml:space="preserve"> PAGEREF _Toc112843925 \h </w:instrText>
            </w:r>
            <w:r w:rsidR="00DF4225">
              <w:rPr>
                <w:noProof/>
                <w:webHidden/>
              </w:rPr>
            </w:r>
            <w:r w:rsidR="00DF4225">
              <w:rPr>
                <w:noProof/>
                <w:webHidden/>
              </w:rPr>
              <w:fldChar w:fldCharType="separate"/>
            </w:r>
            <w:r>
              <w:rPr>
                <w:noProof/>
                <w:webHidden/>
              </w:rPr>
              <w:t>63</w:t>
            </w:r>
            <w:r w:rsidR="00DF4225">
              <w:rPr>
                <w:noProof/>
                <w:webHidden/>
              </w:rPr>
              <w:fldChar w:fldCharType="end"/>
            </w:r>
          </w:hyperlink>
        </w:p>
        <w:p w14:paraId="18BA88D5" w14:textId="67C203D6" w:rsidR="00DF4225" w:rsidRDefault="0091734E">
          <w:pPr>
            <w:pStyle w:val="TOC2"/>
            <w:rPr>
              <w:rFonts w:asciiTheme="minorHAnsi" w:eastAsiaTheme="minorEastAsia" w:hAnsiTheme="minorHAnsi"/>
              <w:noProof/>
              <w:sz w:val="22"/>
              <w:lang w:eastAsia="en-AU"/>
            </w:rPr>
          </w:pPr>
          <w:hyperlink w:anchor="_Toc112843926" w:history="1">
            <w:r w:rsidR="00DF4225" w:rsidRPr="0020009A">
              <w:rPr>
                <w:rStyle w:val="Hyperlink"/>
                <w:noProof/>
                <w:lang w:val="en-US"/>
              </w:rPr>
              <w:t>2.7  Summary and conclusions on Australian data on paracetamol poisoning</w:t>
            </w:r>
            <w:r w:rsidR="00DF4225">
              <w:rPr>
                <w:noProof/>
                <w:webHidden/>
              </w:rPr>
              <w:tab/>
            </w:r>
            <w:r w:rsidR="00DF4225">
              <w:rPr>
                <w:noProof/>
                <w:webHidden/>
              </w:rPr>
              <w:fldChar w:fldCharType="begin"/>
            </w:r>
            <w:r w:rsidR="00DF4225">
              <w:rPr>
                <w:noProof/>
                <w:webHidden/>
              </w:rPr>
              <w:instrText xml:space="preserve"> PAGEREF _Toc112843926 \h </w:instrText>
            </w:r>
            <w:r w:rsidR="00DF4225">
              <w:rPr>
                <w:noProof/>
                <w:webHidden/>
              </w:rPr>
            </w:r>
            <w:r w:rsidR="00DF4225">
              <w:rPr>
                <w:noProof/>
                <w:webHidden/>
              </w:rPr>
              <w:fldChar w:fldCharType="separate"/>
            </w:r>
            <w:r>
              <w:rPr>
                <w:noProof/>
                <w:webHidden/>
              </w:rPr>
              <w:t>69</w:t>
            </w:r>
            <w:r w:rsidR="00DF4225">
              <w:rPr>
                <w:noProof/>
                <w:webHidden/>
              </w:rPr>
              <w:fldChar w:fldCharType="end"/>
            </w:r>
          </w:hyperlink>
        </w:p>
        <w:p w14:paraId="472016F7" w14:textId="19AA9438" w:rsidR="00DF4225" w:rsidRDefault="0091734E">
          <w:pPr>
            <w:pStyle w:val="TOC1"/>
            <w:rPr>
              <w:rFonts w:asciiTheme="minorHAnsi" w:eastAsiaTheme="minorEastAsia" w:hAnsiTheme="minorHAnsi"/>
              <w:noProof/>
              <w:sz w:val="22"/>
              <w:lang w:eastAsia="en-AU"/>
            </w:rPr>
          </w:pPr>
          <w:hyperlink w:anchor="_Toc112843927" w:history="1">
            <w:r w:rsidR="00DF4225" w:rsidRPr="0020009A">
              <w:rPr>
                <w:rStyle w:val="Hyperlink"/>
                <w:noProof/>
              </w:rPr>
              <w:t>3. International</w:t>
            </w:r>
            <w:r w:rsidR="00DF4225" w:rsidRPr="0020009A">
              <w:rPr>
                <w:rStyle w:val="Hyperlink"/>
                <w:noProof/>
                <w:lang w:val="en-US"/>
              </w:rPr>
              <w:t xml:space="preserve"> comparisons of scheduling and paracetamol poisoning</w:t>
            </w:r>
            <w:r w:rsidR="00DF4225">
              <w:rPr>
                <w:noProof/>
                <w:webHidden/>
              </w:rPr>
              <w:tab/>
            </w:r>
            <w:r w:rsidR="00DF4225">
              <w:rPr>
                <w:noProof/>
                <w:webHidden/>
              </w:rPr>
              <w:fldChar w:fldCharType="begin"/>
            </w:r>
            <w:r w:rsidR="00DF4225">
              <w:rPr>
                <w:noProof/>
                <w:webHidden/>
              </w:rPr>
              <w:instrText xml:space="preserve"> PAGEREF _Toc112843927 \h </w:instrText>
            </w:r>
            <w:r w:rsidR="00DF4225">
              <w:rPr>
                <w:noProof/>
                <w:webHidden/>
              </w:rPr>
            </w:r>
            <w:r w:rsidR="00DF4225">
              <w:rPr>
                <w:noProof/>
                <w:webHidden/>
              </w:rPr>
              <w:fldChar w:fldCharType="separate"/>
            </w:r>
            <w:r>
              <w:rPr>
                <w:noProof/>
                <w:webHidden/>
              </w:rPr>
              <w:t>70</w:t>
            </w:r>
            <w:r w:rsidR="00DF4225">
              <w:rPr>
                <w:noProof/>
                <w:webHidden/>
              </w:rPr>
              <w:fldChar w:fldCharType="end"/>
            </w:r>
          </w:hyperlink>
        </w:p>
        <w:p w14:paraId="351DD56D" w14:textId="19F844D8" w:rsidR="00DF4225" w:rsidRDefault="0091734E">
          <w:pPr>
            <w:pStyle w:val="TOC2"/>
            <w:rPr>
              <w:rFonts w:asciiTheme="minorHAnsi" w:eastAsiaTheme="minorEastAsia" w:hAnsiTheme="minorHAnsi"/>
              <w:noProof/>
              <w:sz w:val="22"/>
              <w:lang w:eastAsia="en-AU"/>
            </w:rPr>
          </w:pPr>
          <w:hyperlink w:anchor="_Toc112843928" w:history="1">
            <w:r w:rsidR="00DF4225" w:rsidRPr="0020009A">
              <w:rPr>
                <w:rStyle w:val="Hyperlink"/>
                <w:noProof/>
              </w:rPr>
              <w:t>Limitations</w:t>
            </w:r>
            <w:r w:rsidR="00DF4225">
              <w:rPr>
                <w:noProof/>
                <w:webHidden/>
              </w:rPr>
              <w:tab/>
            </w:r>
            <w:r w:rsidR="00DF4225">
              <w:rPr>
                <w:noProof/>
                <w:webHidden/>
              </w:rPr>
              <w:fldChar w:fldCharType="begin"/>
            </w:r>
            <w:r w:rsidR="00DF4225">
              <w:rPr>
                <w:noProof/>
                <w:webHidden/>
              </w:rPr>
              <w:instrText xml:space="preserve"> PAGEREF _Toc112843928 \h </w:instrText>
            </w:r>
            <w:r w:rsidR="00DF4225">
              <w:rPr>
                <w:noProof/>
                <w:webHidden/>
              </w:rPr>
            </w:r>
            <w:r w:rsidR="00DF4225">
              <w:rPr>
                <w:noProof/>
                <w:webHidden/>
              </w:rPr>
              <w:fldChar w:fldCharType="separate"/>
            </w:r>
            <w:r>
              <w:rPr>
                <w:noProof/>
                <w:webHidden/>
              </w:rPr>
              <w:t>70</w:t>
            </w:r>
            <w:r w:rsidR="00DF4225">
              <w:rPr>
                <w:noProof/>
                <w:webHidden/>
              </w:rPr>
              <w:fldChar w:fldCharType="end"/>
            </w:r>
          </w:hyperlink>
        </w:p>
        <w:p w14:paraId="54918C51" w14:textId="1939D86B" w:rsidR="00DF4225" w:rsidRDefault="0091734E">
          <w:pPr>
            <w:pStyle w:val="TOC2"/>
            <w:rPr>
              <w:rFonts w:asciiTheme="minorHAnsi" w:eastAsiaTheme="minorEastAsia" w:hAnsiTheme="minorHAnsi"/>
              <w:noProof/>
              <w:sz w:val="22"/>
              <w:lang w:eastAsia="en-AU"/>
            </w:rPr>
          </w:pPr>
          <w:hyperlink w:anchor="_Toc112843929" w:history="1">
            <w:r w:rsidR="00DF4225" w:rsidRPr="0020009A">
              <w:rPr>
                <w:rStyle w:val="Hyperlink"/>
                <w:noProof/>
                <w:lang w:val="en-US"/>
              </w:rPr>
              <w:t>The USA</w:t>
            </w:r>
            <w:r w:rsidR="00DF4225">
              <w:rPr>
                <w:noProof/>
                <w:webHidden/>
              </w:rPr>
              <w:tab/>
            </w:r>
            <w:r w:rsidR="00DF4225">
              <w:rPr>
                <w:noProof/>
                <w:webHidden/>
              </w:rPr>
              <w:fldChar w:fldCharType="begin"/>
            </w:r>
            <w:r w:rsidR="00DF4225">
              <w:rPr>
                <w:noProof/>
                <w:webHidden/>
              </w:rPr>
              <w:instrText xml:space="preserve"> PAGEREF _Toc112843929 \h </w:instrText>
            </w:r>
            <w:r w:rsidR="00DF4225">
              <w:rPr>
                <w:noProof/>
                <w:webHidden/>
              </w:rPr>
            </w:r>
            <w:r w:rsidR="00DF4225">
              <w:rPr>
                <w:noProof/>
                <w:webHidden/>
              </w:rPr>
              <w:fldChar w:fldCharType="separate"/>
            </w:r>
            <w:r>
              <w:rPr>
                <w:noProof/>
                <w:webHidden/>
              </w:rPr>
              <w:t>71</w:t>
            </w:r>
            <w:r w:rsidR="00DF4225">
              <w:rPr>
                <w:noProof/>
                <w:webHidden/>
              </w:rPr>
              <w:fldChar w:fldCharType="end"/>
            </w:r>
          </w:hyperlink>
        </w:p>
        <w:p w14:paraId="6EC0D178" w14:textId="670101B6" w:rsidR="00DF4225" w:rsidRDefault="0091734E">
          <w:pPr>
            <w:pStyle w:val="TOC2"/>
            <w:rPr>
              <w:rFonts w:asciiTheme="minorHAnsi" w:eastAsiaTheme="minorEastAsia" w:hAnsiTheme="minorHAnsi"/>
              <w:noProof/>
              <w:sz w:val="22"/>
              <w:lang w:eastAsia="en-AU"/>
            </w:rPr>
          </w:pPr>
          <w:hyperlink w:anchor="_Toc112843930" w:history="1">
            <w:r w:rsidR="00DF4225" w:rsidRPr="0020009A">
              <w:rPr>
                <w:rStyle w:val="Hyperlink"/>
                <w:noProof/>
                <w:lang w:val="en-US"/>
              </w:rPr>
              <w:t>Canada</w:t>
            </w:r>
            <w:r w:rsidR="00DF4225">
              <w:rPr>
                <w:noProof/>
                <w:webHidden/>
              </w:rPr>
              <w:tab/>
            </w:r>
            <w:r w:rsidR="00DF4225">
              <w:rPr>
                <w:noProof/>
                <w:webHidden/>
              </w:rPr>
              <w:fldChar w:fldCharType="begin"/>
            </w:r>
            <w:r w:rsidR="00DF4225">
              <w:rPr>
                <w:noProof/>
                <w:webHidden/>
              </w:rPr>
              <w:instrText xml:space="preserve"> PAGEREF _Toc112843930 \h </w:instrText>
            </w:r>
            <w:r w:rsidR="00DF4225">
              <w:rPr>
                <w:noProof/>
                <w:webHidden/>
              </w:rPr>
            </w:r>
            <w:r w:rsidR="00DF4225">
              <w:rPr>
                <w:noProof/>
                <w:webHidden/>
              </w:rPr>
              <w:fldChar w:fldCharType="separate"/>
            </w:r>
            <w:r>
              <w:rPr>
                <w:noProof/>
                <w:webHidden/>
              </w:rPr>
              <w:t>71</w:t>
            </w:r>
            <w:r w:rsidR="00DF4225">
              <w:rPr>
                <w:noProof/>
                <w:webHidden/>
              </w:rPr>
              <w:fldChar w:fldCharType="end"/>
            </w:r>
          </w:hyperlink>
        </w:p>
        <w:p w14:paraId="7630E4D2" w14:textId="4ED93BA4" w:rsidR="00DF4225" w:rsidRDefault="0091734E">
          <w:pPr>
            <w:pStyle w:val="TOC2"/>
            <w:rPr>
              <w:rFonts w:asciiTheme="minorHAnsi" w:eastAsiaTheme="minorEastAsia" w:hAnsiTheme="minorHAnsi"/>
              <w:noProof/>
              <w:sz w:val="22"/>
              <w:lang w:eastAsia="en-AU"/>
            </w:rPr>
          </w:pPr>
          <w:hyperlink w:anchor="_Toc112843931" w:history="1">
            <w:r w:rsidR="00DF4225" w:rsidRPr="0020009A">
              <w:rPr>
                <w:rStyle w:val="Hyperlink"/>
                <w:noProof/>
                <w:lang w:val="en-US"/>
              </w:rPr>
              <w:t>New Zealand</w:t>
            </w:r>
            <w:r w:rsidR="00DF4225">
              <w:rPr>
                <w:noProof/>
                <w:webHidden/>
              </w:rPr>
              <w:tab/>
            </w:r>
            <w:r w:rsidR="00DF4225">
              <w:rPr>
                <w:noProof/>
                <w:webHidden/>
              </w:rPr>
              <w:fldChar w:fldCharType="begin"/>
            </w:r>
            <w:r w:rsidR="00DF4225">
              <w:rPr>
                <w:noProof/>
                <w:webHidden/>
              </w:rPr>
              <w:instrText xml:space="preserve"> PAGEREF _Toc112843931 \h </w:instrText>
            </w:r>
            <w:r w:rsidR="00DF4225">
              <w:rPr>
                <w:noProof/>
                <w:webHidden/>
              </w:rPr>
            </w:r>
            <w:r w:rsidR="00DF4225">
              <w:rPr>
                <w:noProof/>
                <w:webHidden/>
              </w:rPr>
              <w:fldChar w:fldCharType="separate"/>
            </w:r>
            <w:r>
              <w:rPr>
                <w:noProof/>
                <w:webHidden/>
              </w:rPr>
              <w:t>72</w:t>
            </w:r>
            <w:r w:rsidR="00DF4225">
              <w:rPr>
                <w:noProof/>
                <w:webHidden/>
              </w:rPr>
              <w:fldChar w:fldCharType="end"/>
            </w:r>
          </w:hyperlink>
        </w:p>
        <w:p w14:paraId="4CC752C9" w14:textId="578B3DCE" w:rsidR="00DF4225" w:rsidRDefault="0091734E">
          <w:pPr>
            <w:pStyle w:val="TOC2"/>
            <w:rPr>
              <w:rFonts w:asciiTheme="minorHAnsi" w:eastAsiaTheme="minorEastAsia" w:hAnsiTheme="minorHAnsi"/>
              <w:noProof/>
              <w:sz w:val="22"/>
              <w:lang w:eastAsia="en-AU"/>
            </w:rPr>
          </w:pPr>
          <w:hyperlink w:anchor="_Toc112843932" w:history="1">
            <w:r w:rsidR="00DF4225" w:rsidRPr="0020009A">
              <w:rPr>
                <w:rStyle w:val="Hyperlink"/>
                <w:noProof/>
                <w:lang w:val="en-US"/>
              </w:rPr>
              <w:t>Singapore</w:t>
            </w:r>
            <w:r w:rsidR="00DF4225">
              <w:rPr>
                <w:noProof/>
                <w:webHidden/>
              </w:rPr>
              <w:tab/>
            </w:r>
            <w:r w:rsidR="00DF4225">
              <w:rPr>
                <w:noProof/>
                <w:webHidden/>
              </w:rPr>
              <w:fldChar w:fldCharType="begin"/>
            </w:r>
            <w:r w:rsidR="00DF4225">
              <w:rPr>
                <w:noProof/>
                <w:webHidden/>
              </w:rPr>
              <w:instrText xml:space="preserve"> PAGEREF _Toc112843932 \h </w:instrText>
            </w:r>
            <w:r w:rsidR="00DF4225">
              <w:rPr>
                <w:noProof/>
                <w:webHidden/>
              </w:rPr>
            </w:r>
            <w:r w:rsidR="00DF4225">
              <w:rPr>
                <w:noProof/>
                <w:webHidden/>
              </w:rPr>
              <w:fldChar w:fldCharType="separate"/>
            </w:r>
            <w:r>
              <w:rPr>
                <w:noProof/>
                <w:webHidden/>
              </w:rPr>
              <w:t>72</w:t>
            </w:r>
            <w:r w:rsidR="00DF4225">
              <w:rPr>
                <w:noProof/>
                <w:webHidden/>
              </w:rPr>
              <w:fldChar w:fldCharType="end"/>
            </w:r>
          </w:hyperlink>
        </w:p>
        <w:p w14:paraId="15BFC4A9" w14:textId="0394B170" w:rsidR="00DF4225" w:rsidRDefault="0091734E">
          <w:pPr>
            <w:pStyle w:val="TOC2"/>
            <w:rPr>
              <w:rFonts w:asciiTheme="minorHAnsi" w:eastAsiaTheme="minorEastAsia" w:hAnsiTheme="minorHAnsi"/>
              <w:noProof/>
              <w:sz w:val="22"/>
              <w:lang w:eastAsia="en-AU"/>
            </w:rPr>
          </w:pPr>
          <w:hyperlink w:anchor="_Toc112843933" w:history="1">
            <w:r w:rsidR="00DF4225" w:rsidRPr="0020009A">
              <w:rPr>
                <w:rStyle w:val="Hyperlink"/>
                <w:noProof/>
                <w:lang w:val="en-US"/>
              </w:rPr>
              <w:t>Europe</w:t>
            </w:r>
            <w:r w:rsidR="00DF4225">
              <w:rPr>
                <w:noProof/>
                <w:webHidden/>
              </w:rPr>
              <w:tab/>
            </w:r>
            <w:r w:rsidR="00DF4225">
              <w:rPr>
                <w:noProof/>
                <w:webHidden/>
              </w:rPr>
              <w:fldChar w:fldCharType="begin"/>
            </w:r>
            <w:r w:rsidR="00DF4225">
              <w:rPr>
                <w:noProof/>
                <w:webHidden/>
              </w:rPr>
              <w:instrText xml:space="preserve"> PAGEREF _Toc112843933 \h </w:instrText>
            </w:r>
            <w:r w:rsidR="00DF4225">
              <w:rPr>
                <w:noProof/>
                <w:webHidden/>
              </w:rPr>
            </w:r>
            <w:r w:rsidR="00DF4225">
              <w:rPr>
                <w:noProof/>
                <w:webHidden/>
              </w:rPr>
              <w:fldChar w:fldCharType="separate"/>
            </w:r>
            <w:r>
              <w:rPr>
                <w:noProof/>
                <w:webHidden/>
              </w:rPr>
              <w:t>72</w:t>
            </w:r>
            <w:r w:rsidR="00DF4225">
              <w:rPr>
                <w:noProof/>
                <w:webHidden/>
              </w:rPr>
              <w:fldChar w:fldCharType="end"/>
            </w:r>
          </w:hyperlink>
        </w:p>
        <w:p w14:paraId="78E8407D" w14:textId="785E3BCB" w:rsidR="00DF4225" w:rsidRDefault="0091734E">
          <w:pPr>
            <w:pStyle w:val="TOC2"/>
            <w:rPr>
              <w:rFonts w:asciiTheme="minorHAnsi" w:eastAsiaTheme="minorEastAsia" w:hAnsiTheme="minorHAnsi"/>
              <w:noProof/>
              <w:sz w:val="22"/>
              <w:lang w:eastAsia="en-AU"/>
            </w:rPr>
          </w:pPr>
          <w:hyperlink w:anchor="_Toc112843934" w:history="1">
            <w:r w:rsidR="00DF4225" w:rsidRPr="0020009A">
              <w:rPr>
                <w:rStyle w:val="Hyperlink"/>
                <w:noProof/>
                <w:lang w:val="en-US"/>
              </w:rPr>
              <w:t>UK</w:t>
            </w:r>
            <w:r w:rsidR="00DF4225">
              <w:rPr>
                <w:noProof/>
                <w:webHidden/>
              </w:rPr>
              <w:tab/>
            </w:r>
            <w:r w:rsidR="00DF4225">
              <w:rPr>
                <w:noProof/>
                <w:webHidden/>
              </w:rPr>
              <w:fldChar w:fldCharType="begin"/>
            </w:r>
            <w:r w:rsidR="00DF4225">
              <w:rPr>
                <w:noProof/>
                <w:webHidden/>
              </w:rPr>
              <w:instrText xml:space="preserve"> PAGEREF _Toc112843934 \h </w:instrText>
            </w:r>
            <w:r w:rsidR="00DF4225">
              <w:rPr>
                <w:noProof/>
                <w:webHidden/>
              </w:rPr>
            </w:r>
            <w:r w:rsidR="00DF4225">
              <w:rPr>
                <w:noProof/>
                <w:webHidden/>
              </w:rPr>
              <w:fldChar w:fldCharType="separate"/>
            </w:r>
            <w:r>
              <w:rPr>
                <w:noProof/>
                <w:webHidden/>
              </w:rPr>
              <w:t>72</w:t>
            </w:r>
            <w:r w:rsidR="00DF4225">
              <w:rPr>
                <w:noProof/>
                <w:webHidden/>
              </w:rPr>
              <w:fldChar w:fldCharType="end"/>
            </w:r>
          </w:hyperlink>
        </w:p>
        <w:p w14:paraId="00FEE4FD" w14:textId="016210B0" w:rsidR="00DF4225" w:rsidRDefault="0091734E">
          <w:pPr>
            <w:pStyle w:val="TOC2"/>
            <w:rPr>
              <w:rFonts w:asciiTheme="minorHAnsi" w:eastAsiaTheme="minorEastAsia" w:hAnsiTheme="minorHAnsi"/>
              <w:noProof/>
              <w:sz w:val="22"/>
              <w:lang w:eastAsia="en-AU"/>
            </w:rPr>
          </w:pPr>
          <w:hyperlink w:anchor="_Toc112843935" w:history="1">
            <w:r w:rsidR="00DF4225" w:rsidRPr="0020009A">
              <w:rPr>
                <w:rStyle w:val="Hyperlink"/>
                <w:noProof/>
              </w:rPr>
              <w:t>Denmark</w:t>
            </w:r>
            <w:r w:rsidR="00DF4225">
              <w:rPr>
                <w:noProof/>
                <w:webHidden/>
              </w:rPr>
              <w:tab/>
            </w:r>
            <w:r w:rsidR="00DF4225">
              <w:rPr>
                <w:noProof/>
                <w:webHidden/>
              </w:rPr>
              <w:fldChar w:fldCharType="begin"/>
            </w:r>
            <w:r w:rsidR="00DF4225">
              <w:rPr>
                <w:noProof/>
                <w:webHidden/>
              </w:rPr>
              <w:instrText xml:space="preserve"> PAGEREF _Toc112843935 \h </w:instrText>
            </w:r>
            <w:r w:rsidR="00DF4225">
              <w:rPr>
                <w:noProof/>
                <w:webHidden/>
              </w:rPr>
            </w:r>
            <w:r w:rsidR="00DF4225">
              <w:rPr>
                <w:noProof/>
                <w:webHidden/>
              </w:rPr>
              <w:fldChar w:fldCharType="separate"/>
            </w:r>
            <w:r>
              <w:rPr>
                <w:noProof/>
                <w:webHidden/>
              </w:rPr>
              <w:t>73</w:t>
            </w:r>
            <w:r w:rsidR="00DF4225">
              <w:rPr>
                <w:noProof/>
                <w:webHidden/>
              </w:rPr>
              <w:fldChar w:fldCharType="end"/>
            </w:r>
          </w:hyperlink>
        </w:p>
        <w:p w14:paraId="4DA36ED6" w14:textId="30B2CDE6" w:rsidR="00DF4225" w:rsidRDefault="0091734E">
          <w:pPr>
            <w:pStyle w:val="TOC2"/>
            <w:rPr>
              <w:rFonts w:asciiTheme="minorHAnsi" w:eastAsiaTheme="minorEastAsia" w:hAnsiTheme="minorHAnsi"/>
              <w:noProof/>
              <w:sz w:val="22"/>
              <w:lang w:eastAsia="en-AU"/>
            </w:rPr>
          </w:pPr>
          <w:hyperlink w:anchor="_Toc112843936" w:history="1">
            <w:r w:rsidR="00DF4225" w:rsidRPr="0020009A">
              <w:rPr>
                <w:rStyle w:val="Hyperlink"/>
                <w:noProof/>
                <w:lang w:val="en-US"/>
              </w:rPr>
              <w:t>Ireland</w:t>
            </w:r>
            <w:r w:rsidR="00DF4225">
              <w:rPr>
                <w:noProof/>
                <w:webHidden/>
              </w:rPr>
              <w:tab/>
            </w:r>
            <w:r w:rsidR="00DF4225">
              <w:rPr>
                <w:noProof/>
                <w:webHidden/>
              </w:rPr>
              <w:fldChar w:fldCharType="begin"/>
            </w:r>
            <w:r w:rsidR="00DF4225">
              <w:rPr>
                <w:noProof/>
                <w:webHidden/>
              </w:rPr>
              <w:instrText xml:space="preserve"> PAGEREF _Toc112843936 \h </w:instrText>
            </w:r>
            <w:r w:rsidR="00DF4225">
              <w:rPr>
                <w:noProof/>
                <w:webHidden/>
              </w:rPr>
            </w:r>
            <w:r w:rsidR="00DF4225">
              <w:rPr>
                <w:noProof/>
                <w:webHidden/>
              </w:rPr>
              <w:fldChar w:fldCharType="separate"/>
            </w:r>
            <w:r>
              <w:rPr>
                <w:noProof/>
                <w:webHidden/>
              </w:rPr>
              <w:t>73</w:t>
            </w:r>
            <w:r w:rsidR="00DF4225">
              <w:rPr>
                <w:noProof/>
                <w:webHidden/>
              </w:rPr>
              <w:fldChar w:fldCharType="end"/>
            </w:r>
          </w:hyperlink>
        </w:p>
        <w:p w14:paraId="11DFF90A" w14:textId="2F6F2490" w:rsidR="00DF4225" w:rsidRDefault="0091734E">
          <w:pPr>
            <w:pStyle w:val="TOC2"/>
            <w:rPr>
              <w:rFonts w:asciiTheme="minorHAnsi" w:eastAsiaTheme="minorEastAsia" w:hAnsiTheme="minorHAnsi"/>
              <w:noProof/>
              <w:sz w:val="22"/>
              <w:lang w:eastAsia="en-AU"/>
            </w:rPr>
          </w:pPr>
          <w:hyperlink w:anchor="_Toc112843937" w:history="1">
            <w:r w:rsidR="00DF4225" w:rsidRPr="0020009A">
              <w:rPr>
                <w:rStyle w:val="Hyperlink"/>
                <w:noProof/>
                <w:lang w:val="en-US"/>
              </w:rPr>
              <w:t>Iceland</w:t>
            </w:r>
            <w:r w:rsidR="00DF4225">
              <w:rPr>
                <w:noProof/>
                <w:webHidden/>
              </w:rPr>
              <w:tab/>
            </w:r>
            <w:r w:rsidR="00DF4225">
              <w:rPr>
                <w:noProof/>
                <w:webHidden/>
              </w:rPr>
              <w:fldChar w:fldCharType="begin"/>
            </w:r>
            <w:r w:rsidR="00DF4225">
              <w:rPr>
                <w:noProof/>
                <w:webHidden/>
              </w:rPr>
              <w:instrText xml:space="preserve"> PAGEREF _Toc112843937 \h </w:instrText>
            </w:r>
            <w:r w:rsidR="00DF4225">
              <w:rPr>
                <w:noProof/>
                <w:webHidden/>
              </w:rPr>
            </w:r>
            <w:r w:rsidR="00DF4225">
              <w:rPr>
                <w:noProof/>
                <w:webHidden/>
              </w:rPr>
              <w:fldChar w:fldCharType="separate"/>
            </w:r>
            <w:r>
              <w:rPr>
                <w:noProof/>
                <w:webHidden/>
              </w:rPr>
              <w:t>73</w:t>
            </w:r>
            <w:r w:rsidR="00DF4225">
              <w:rPr>
                <w:noProof/>
                <w:webHidden/>
              </w:rPr>
              <w:fldChar w:fldCharType="end"/>
            </w:r>
          </w:hyperlink>
        </w:p>
        <w:p w14:paraId="5861A5C9" w14:textId="384A602A" w:rsidR="00DF4225" w:rsidRDefault="0091734E">
          <w:pPr>
            <w:pStyle w:val="TOC2"/>
            <w:rPr>
              <w:rFonts w:asciiTheme="minorHAnsi" w:eastAsiaTheme="minorEastAsia" w:hAnsiTheme="minorHAnsi"/>
              <w:noProof/>
              <w:sz w:val="22"/>
              <w:lang w:eastAsia="en-AU"/>
            </w:rPr>
          </w:pPr>
          <w:hyperlink w:anchor="_Toc112843938" w:history="1">
            <w:r w:rsidR="00DF4225" w:rsidRPr="0020009A">
              <w:rPr>
                <w:rStyle w:val="Hyperlink"/>
                <w:noProof/>
                <w:lang w:val="en-US"/>
              </w:rPr>
              <w:t>Comparable Australian research on paracetamol poisoning</w:t>
            </w:r>
            <w:r w:rsidR="00DF4225">
              <w:rPr>
                <w:noProof/>
                <w:webHidden/>
              </w:rPr>
              <w:tab/>
            </w:r>
            <w:r w:rsidR="00DF4225">
              <w:rPr>
                <w:noProof/>
                <w:webHidden/>
              </w:rPr>
              <w:fldChar w:fldCharType="begin"/>
            </w:r>
            <w:r w:rsidR="00DF4225">
              <w:rPr>
                <w:noProof/>
                <w:webHidden/>
              </w:rPr>
              <w:instrText xml:space="preserve"> PAGEREF _Toc112843938 \h </w:instrText>
            </w:r>
            <w:r w:rsidR="00DF4225">
              <w:rPr>
                <w:noProof/>
                <w:webHidden/>
              </w:rPr>
            </w:r>
            <w:r w:rsidR="00DF4225">
              <w:rPr>
                <w:noProof/>
                <w:webHidden/>
              </w:rPr>
              <w:fldChar w:fldCharType="separate"/>
            </w:r>
            <w:r>
              <w:rPr>
                <w:noProof/>
                <w:webHidden/>
              </w:rPr>
              <w:t>74</w:t>
            </w:r>
            <w:r w:rsidR="00DF4225">
              <w:rPr>
                <w:noProof/>
                <w:webHidden/>
              </w:rPr>
              <w:fldChar w:fldCharType="end"/>
            </w:r>
          </w:hyperlink>
        </w:p>
        <w:p w14:paraId="3521EFDB" w14:textId="00FCA1F6" w:rsidR="00DF4225" w:rsidRDefault="0091734E">
          <w:pPr>
            <w:pStyle w:val="TOC1"/>
            <w:rPr>
              <w:rFonts w:asciiTheme="minorHAnsi" w:eastAsiaTheme="minorEastAsia" w:hAnsiTheme="minorHAnsi"/>
              <w:noProof/>
              <w:sz w:val="22"/>
              <w:lang w:eastAsia="en-AU"/>
            </w:rPr>
          </w:pPr>
          <w:hyperlink w:anchor="_Toc112843939" w:history="1">
            <w:r w:rsidR="00DF4225" w:rsidRPr="0020009A">
              <w:rPr>
                <w:rStyle w:val="Hyperlink"/>
                <w:noProof/>
              </w:rPr>
              <w:t>4. Literature review of characteristics, motivations and behaviour of individuals who intentionally overdose with paracetamol</w:t>
            </w:r>
            <w:r w:rsidR="00DF4225">
              <w:rPr>
                <w:noProof/>
                <w:webHidden/>
              </w:rPr>
              <w:tab/>
            </w:r>
            <w:r w:rsidR="00DF4225">
              <w:rPr>
                <w:noProof/>
                <w:webHidden/>
              </w:rPr>
              <w:fldChar w:fldCharType="begin"/>
            </w:r>
            <w:r w:rsidR="00DF4225">
              <w:rPr>
                <w:noProof/>
                <w:webHidden/>
              </w:rPr>
              <w:instrText xml:space="preserve"> PAGEREF _Toc112843939 \h </w:instrText>
            </w:r>
            <w:r w:rsidR="00DF4225">
              <w:rPr>
                <w:noProof/>
                <w:webHidden/>
              </w:rPr>
            </w:r>
            <w:r w:rsidR="00DF4225">
              <w:rPr>
                <w:noProof/>
                <w:webHidden/>
              </w:rPr>
              <w:fldChar w:fldCharType="separate"/>
            </w:r>
            <w:r>
              <w:rPr>
                <w:noProof/>
                <w:webHidden/>
              </w:rPr>
              <w:t>75</w:t>
            </w:r>
            <w:r w:rsidR="00DF4225">
              <w:rPr>
                <w:noProof/>
                <w:webHidden/>
              </w:rPr>
              <w:fldChar w:fldCharType="end"/>
            </w:r>
          </w:hyperlink>
        </w:p>
        <w:p w14:paraId="71FB643F" w14:textId="3E41DA9A" w:rsidR="00DF4225" w:rsidRDefault="0091734E">
          <w:pPr>
            <w:pStyle w:val="TOC2"/>
            <w:rPr>
              <w:rFonts w:asciiTheme="minorHAnsi" w:eastAsiaTheme="minorEastAsia" w:hAnsiTheme="minorHAnsi"/>
              <w:noProof/>
              <w:sz w:val="22"/>
              <w:lang w:eastAsia="en-AU"/>
            </w:rPr>
          </w:pPr>
          <w:hyperlink w:anchor="_Toc112843940" w:history="1">
            <w:r w:rsidR="00DF4225" w:rsidRPr="0020009A">
              <w:rPr>
                <w:rStyle w:val="Hyperlink"/>
                <w:noProof/>
              </w:rPr>
              <w:t>Background</w:t>
            </w:r>
            <w:r w:rsidR="00DF4225">
              <w:rPr>
                <w:noProof/>
                <w:webHidden/>
              </w:rPr>
              <w:tab/>
            </w:r>
            <w:r w:rsidR="00DF4225">
              <w:rPr>
                <w:noProof/>
                <w:webHidden/>
              </w:rPr>
              <w:fldChar w:fldCharType="begin"/>
            </w:r>
            <w:r w:rsidR="00DF4225">
              <w:rPr>
                <w:noProof/>
                <w:webHidden/>
              </w:rPr>
              <w:instrText xml:space="preserve"> PAGEREF _Toc112843940 \h </w:instrText>
            </w:r>
            <w:r w:rsidR="00DF4225">
              <w:rPr>
                <w:noProof/>
                <w:webHidden/>
              </w:rPr>
            </w:r>
            <w:r w:rsidR="00DF4225">
              <w:rPr>
                <w:noProof/>
                <w:webHidden/>
              </w:rPr>
              <w:fldChar w:fldCharType="separate"/>
            </w:r>
            <w:r>
              <w:rPr>
                <w:noProof/>
                <w:webHidden/>
              </w:rPr>
              <w:t>75</w:t>
            </w:r>
            <w:r w:rsidR="00DF4225">
              <w:rPr>
                <w:noProof/>
                <w:webHidden/>
              </w:rPr>
              <w:fldChar w:fldCharType="end"/>
            </w:r>
          </w:hyperlink>
        </w:p>
        <w:p w14:paraId="5441ADDC" w14:textId="70DB8166" w:rsidR="00DF4225" w:rsidRDefault="0091734E">
          <w:pPr>
            <w:pStyle w:val="TOC2"/>
            <w:rPr>
              <w:rFonts w:asciiTheme="minorHAnsi" w:eastAsiaTheme="minorEastAsia" w:hAnsiTheme="minorHAnsi"/>
              <w:noProof/>
              <w:sz w:val="22"/>
              <w:lang w:eastAsia="en-AU"/>
            </w:rPr>
          </w:pPr>
          <w:hyperlink w:anchor="_Toc112843941" w:history="1">
            <w:r w:rsidR="00DF4225" w:rsidRPr="0020009A">
              <w:rPr>
                <w:rStyle w:val="Hyperlink"/>
                <w:noProof/>
              </w:rPr>
              <w:t>Research Questions</w:t>
            </w:r>
            <w:r w:rsidR="00DF4225">
              <w:rPr>
                <w:noProof/>
                <w:webHidden/>
              </w:rPr>
              <w:tab/>
            </w:r>
            <w:r w:rsidR="00DF4225">
              <w:rPr>
                <w:noProof/>
                <w:webHidden/>
              </w:rPr>
              <w:fldChar w:fldCharType="begin"/>
            </w:r>
            <w:r w:rsidR="00DF4225">
              <w:rPr>
                <w:noProof/>
                <w:webHidden/>
              </w:rPr>
              <w:instrText xml:space="preserve"> PAGEREF _Toc112843941 \h </w:instrText>
            </w:r>
            <w:r w:rsidR="00DF4225">
              <w:rPr>
                <w:noProof/>
                <w:webHidden/>
              </w:rPr>
            </w:r>
            <w:r w:rsidR="00DF4225">
              <w:rPr>
                <w:noProof/>
                <w:webHidden/>
              </w:rPr>
              <w:fldChar w:fldCharType="separate"/>
            </w:r>
            <w:r>
              <w:rPr>
                <w:noProof/>
                <w:webHidden/>
              </w:rPr>
              <w:t>76</w:t>
            </w:r>
            <w:r w:rsidR="00DF4225">
              <w:rPr>
                <w:noProof/>
                <w:webHidden/>
              </w:rPr>
              <w:fldChar w:fldCharType="end"/>
            </w:r>
          </w:hyperlink>
        </w:p>
        <w:p w14:paraId="76B7BD31" w14:textId="0D30AD1C" w:rsidR="00DF4225" w:rsidRDefault="0091734E">
          <w:pPr>
            <w:pStyle w:val="TOC2"/>
            <w:rPr>
              <w:rFonts w:asciiTheme="minorHAnsi" w:eastAsiaTheme="minorEastAsia" w:hAnsiTheme="minorHAnsi"/>
              <w:noProof/>
              <w:sz w:val="22"/>
              <w:lang w:eastAsia="en-AU"/>
            </w:rPr>
          </w:pPr>
          <w:hyperlink w:anchor="_Toc112843942" w:history="1">
            <w:r w:rsidR="00DF4225" w:rsidRPr="0020009A">
              <w:rPr>
                <w:rStyle w:val="Hyperlink"/>
                <w:noProof/>
              </w:rPr>
              <w:t>Results</w:t>
            </w:r>
            <w:r w:rsidR="00DF4225">
              <w:rPr>
                <w:noProof/>
                <w:webHidden/>
              </w:rPr>
              <w:tab/>
            </w:r>
            <w:r w:rsidR="00DF4225">
              <w:rPr>
                <w:noProof/>
                <w:webHidden/>
              </w:rPr>
              <w:fldChar w:fldCharType="begin"/>
            </w:r>
            <w:r w:rsidR="00DF4225">
              <w:rPr>
                <w:noProof/>
                <w:webHidden/>
              </w:rPr>
              <w:instrText xml:space="preserve"> PAGEREF _Toc112843942 \h </w:instrText>
            </w:r>
            <w:r w:rsidR="00DF4225">
              <w:rPr>
                <w:noProof/>
                <w:webHidden/>
              </w:rPr>
            </w:r>
            <w:r w:rsidR="00DF4225">
              <w:rPr>
                <w:noProof/>
                <w:webHidden/>
              </w:rPr>
              <w:fldChar w:fldCharType="separate"/>
            </w:r>
            <w:r>
              <w:rPr>
                <w:noProof/>
                <w:webHidden/>
              </w:rPr>
              <w:t>76</w:t>
            </w:r>
            <w:r w:rsidR="00DF4225">
              <w:rPr>
                <w:noProof/>
                <w:webHidden/>
              </w:rPr>
              <w:fldChar w:fldCharType="end"/>
            </w:r>
          </w:hyperlink>
        </w:p>
        <w:p w14:paraId="01E1ECB4" w14:textId="5359B3E5" w:rsidR="00DF4225" w:rsidRDefault="0091734E">
          <w:pPr>
            <w:pStyle w:val="TOC3"/>
            <w:rPr>
              <w:rFonts w:asciiTheme="minorHAnsi" w:eastAsiaTheme="minorEastAsia" w:hAnsiTheme="minorHAnsi"/>
              <w:noProof/>
              <w:sz w:val="22"/>
              <w:lang w:eastAsia="en-AU"/>
            </w:rPr>
          </w:pPr>
          <w:hyperlink w:anchor="_Toc112843943" w:history="1">
            <w:r w:rsidR="00DF4225" w:rsidRPr="0020009A">
              <w:rPr>
                <w:rStyle w:val="Hyperlink"/>
                <w:noProof/>
              </w:rPr>
              <w:t>Question 1: Characteristics, motivations and behaviours of people engaging in self-poisoning via paracetamol or other non-opioid analgesics</w:t>
            </w:r>
            <w:r w:rsidR="00DF4225">
              <w:rPr>
                <w:noProof/>
                <w:webHidden/>
              </w:rPr>
              <w:tab/>
            </w:r>
            <w:r w:rsidR="00DF4225">
              <w:rPr>
                <w:noProof/>
                <w:webHidden/>
              </w:rPr>
              <w:fldChar w:fldCharType="begin"/>
            </w:r>
            <w:r w:rsidR="00DF4225">
              <w:rPr>
                <w:noProof/>
                <w:webHidden/>
              </w:rPr>
              <w:instrText xml:space="preserve"> PAGEREF _Toc112843943 \h </w:instrText>
            </w:r>
            <w:r w:rsidR="00DF4225">
              <w:rPr>
                <w:noProof/>
                <w:webHidden/>
              </w:rPr>
            </w:r>
            <w:r w:rsidR="00DF4225">
              <w:rPr>
                <w:noProof/>
                <w:webHidden/>
              </w:rPr>
              <w:fldChar w:fldCharType="separate"/>
            </w:r>
            <w:r>
              <w:rPr>
                <w:noProof/>
                <w:webHidden/>
              </w:rPr>
              <w:t>76</w:t>
            </w:r>
            <w:r w:rsidR="00DF4225">
              <w:rPr>
                <w:noProof/>
                <w:webHidden/>
              </w:rPr>
              <w:fldChar w:fldCharType="end"/>
            </w:r>
          </w:hyperlink>
        </w:p>
        <w:p w14:paraId="53425815" w14:textId="33410D6A" w:rsidR="00DF4225" w:rsidRDefault="0091734E">
          <w:pPr>
            <w:pStyle w:val="TOC3"/>
            <w:rPr>
              <w:rFonts w:asciiTheme="minorHAnsi" w:eastAsiaTheme="minorEastAsia" w:hAnsiTheme="minorHAnsi"/>
              <w:noProof/>
              <w:sz w:val="22"/>
              <w:lang w:eastAsia="en-AU"/>
            </w:rPr>
          </w:pPr>
          <w:hyperlink w:anchor="_Toc112843944" w:history="1">
            <w:r w:rsidR="00DF4225" w:rsidRPr="0020009A">
              <w:rPr>
                <w:rStyle w:val="Hyperlink"/>
                <w:noProof/>
              </w:rPr>
              <w:t>Question 2. The restriction of paracetamol or other medications and method substitution</w:t>
            </w:r>
            <w:r w:rsidR="00DF4225">
              <w:rPr>
                <w:noProof/>
                <w:webHidden/>
              </w:rPr>
              <w:tab/>
            </w:r>
            <w:r w:rsidR="00DF4225">
              <w:rPr>
                <w:noProof/>
                <w:webHidden/>
              </w:rPr>
              <w:fldChar w:fldCharType="begin"/>
            </w:r>
            <w:r w:rsidR="00DF4225">
              <w:rPr>
                <w:noProof/>
                <w:webHidden/>
              </w:rPr>
              <w:instrText xml:space="preserve"> PAGEREF _Toc112843944 \h </w:instrText>
            </w:r>
            <w:r w:rsidR="00DF4225">
              <w:rPr>
                <w:noProof/>
                <w:webHidden/>
              </w:rPr>
            </w:r>
            <w:r w:rsidR="00DF4225">
              <w:rPr>
                <w:noProof/>
                <w:webHidden/>
              </w:rPr>
              <w:fldChar w:fldCharType="separate"/>
            </w:r>
            <w:r>
              <w:rPr>
                <w:noProof/>
                <w:webHidden/>
              </w:rPr>
              <w:t>84</w:t>
            </w:r>
            <w:r w:rsidR="00DF4225">
              <w:rPr>
                <w:noProof/>
                <w:webHidden/>
              </w:rPr>
              <w:fldChar w:fldCharType="end"/>
            </w:r>
          </w:hyperlink>
        </w:p>
        <w:p w14:paraId="3339FB4B" w14:textId="303E4795" w:rsidR="00DF4225" w:rsidRDefault="0091734E">
          <w:pPr>
            <w:pStyle w:val="TOC2"/>
            <w:rPr>
              <w:rFonts w:asciiTheme="minorHAnsi" w:eastAsiaTheme="minorEastAsia" w:hAnsiTheme="minorHAnsi"/>
              <w:noProof/>
              <w:sz w:val="22"/>
              <w:lang w:eastAsia="en-AU"/>
            </w:rPr>
          </w:pPr>
          <w:hyperlink w:anchor="_Toc112843945" w:history="1">
            <w:r w:rsidR="00DF4225" w:rsidRPr="0020009A">
              <w:rPr>
                <w:rStyle w:val="Hyperlink"/>
                <w:noProof/>
              </w:rPr>
              <w:t>Limitations and identified gaps in the literature</w:t>
            </w:r>
            <w:r w:rsidR="00DF4225">
              <w:rPr>
                <w:noProof/>
                <w:webHidden/>
              </w:rPr>
              <w:tab/>
            </w:r>
            <w:r w:rsidR="00DF4225">
              <w:rPr>
                <w:noProof/>
                <w:webHidden/>
              </w:rPr>
              <w:fldChar w:fldCharType="begin"/>
            </w:r>
            <w:r w:rsidR="00DF4225">
              <w:rPr>
                <w:noProof/>
                <w:webHidden/>
              </w:rPr>
              <w:instrText xml:space="preserve"> PAGEREF _Toc112843945 \h </w:instrText>
            </w:r>
            <w:r w:rsidR="00DF4225">
              <w:rPr>
                <w:noProof/>
                <w:webHidden/>
              </w:rPr>
            </w:r>
            <w:r w:rsidR="00DF4225">
              <w:rPr>
                <w:noProof/>
                <w:webHidden/>
              </w:rPr>
              <w:fldChar w:fldCharType="separate"/>
            </w:r>
            <w:r>
              <w:rPr>
                <w:noProof/>
                <w:webHidden/>
              </w:rPr>
              <w:t>88</w:t>
            </w:r>
            <w:r w:rsidR="00DF4225">
              <w:rPr>
                <w:noProof/>
                <w:webHidden/>
              </w:rPr>
              <w:fldChar w:fldCharType="end"/>
            </w:r>
          </w:hyperlink>
        </w:p>
        <w:p w14:paraId="526A38AC" w14:textId="02DB8093" w:rsidR="00DF4225" w:rsidRDefault="0091734E">
          <w:pPr>
            <w:pStyle w:val="TOC2"/>
            <w:rPr>
              <w:rFonts w:asciiTheme="minorHAnsi" w:eastAsiaTheme="minorEastAsia" w:hAnsiTheme="minorHAnsi"/>
              <w:noProof/>
              <w:sz w:val="22"/>
              <w:lang w:eastAsia="en-AU"/>
            </w:rPr>
          </w:pPr>
          <w:hyperlink w:anchor="_Toc112843946" w:history="1">
            <w:r w:rsidR="00DF4225" w:rsidRPr="0020009A">
              <w:rPr>
                <w:rStyle w:val="Hyperlink"/>
                <w:noProof/>
              </w:rPr>
              <w:t>Summary of findings from literature review</w:t>
            </w:r>
            <w:r w:rsidR="00DF4225">
              <w:rPr>
                <w:noProof/>
                <w:webHidden/>
              </w:rPr>
              <w:tab/>
            </w:r>
            <w:r w:rsidR="00DF4225">
              <w:rPr>
                <w:noProof/>
                <w:webHidden/>
              </w:rPr>
              <w:fldChar w:fldCharType="begin"/>
            </w:r>
            <w:r w:rsidR="00DF4225">
              <w:rPr>
                <w:noProof/>
                <w:webHidden/>
              </w:rPr>
              <w:instrText xml:space="preserve"> PAGEREF _Toc112843946 \h </w:instrText>
            </w:r>
            <w:r w:rsidR="00DF4225">
              <w:rPr>
                <w:noProof/>
                <w:webHidden/>
              </w:rPr>
            </w:r>
            <w:r w:rsidR="00DF4225">
              <w:rPr>
                <w:noProof/>
                <w:webHidden/>
              </w:rPr>
              <w:fldChar w:fldCharType="separate"/>
            </w:r>
            <w:r>
              <w:rPr>
                <w:noProof/>
                <w:webHidden/>
              </w:rPr>
              <w:t>90</w:t>
            </w:r>
            <w:r w:rsidR="00DF4225">
              <w:rPr>
                <w:noProof/>
                <w:webHidden/>
              </w:rPr>
              <w:fldChar w:fldCharType="end"/>
            </w:r>
          </w:hyperlink>
        </w:p>
        <w:p w14:paraId="500D02D0" w14:textId="6814D45F" w:rsidR="00DF4225" w:rsidRDefault="0091734E">
          <w:pPr>
            <w:pStyle w:val="TOC1"/>
            <w:rPr>
              <w:rFonts w:asciiTheme="minorHAnsi" w:eastAsiaTheme="minorEastAsia" w:hAnsiTheme="minorHAnsi"/>
              <w:noProof/>
              <w:sz w:val="22"/>
              <w:lang w:eastAsia="en-AU"/>
            </w:rPr>
          </w:pPr>
          <w:hyperlink w:anchor="_Toc112843947" w:history="1">
            <w:r w:rsidR="00DF4225" w:rsidRPr="0020009A">
              <w:rPr>
                <w:rStyle w:val="Hyperlink"/>
                <w:noProof/>
              </w:rPr>
              <w:t>5. Conclusions</w:t>
            </w:r>
            <w:r w:rsidR="00DF4225">
              <w:rPr>
                <w:noProof/>
                <w:webHidden/>
              </w:rPr>
              <w:tab/>
            </w:r>
            <w:r w:rsidR="00DF4225">
              <w:rPr>
                <w:noProof/>
                <w:webHidden/>
              </w:rPr>
              <w:fldChar w:fldCharType="begin"/>
            </w:r>
            <w:r w:rsidR="00DF4225">
              <w:rPr>
                <w:noProof/>
                <w:webHidden/>
              </w:rPr>
              <w:instrText xml:space="preserve"> PAGEREF _Toc112843947 \h </w:instrText>
            </w:r>
            <w:r w:rsidR="00DF4225">
              <w:rPr>
                <w:noProof/>
                <w:webHidden/>
              </w:rPr>
            </w:r>
            <w:r w:rsidR="00DF4225">
              <w:rPr>
                <w:noProof/>
                <w:webHidden/>
              </w:rPr>
              <w:fldChar w:fldCharType="separate"/>
            </w:r>
            <w:r>
              <w:rPr>
                <w:noProof/>
                <w:webHidden/>
              </w:rPr>
              <w:t>121</w:t>
            </w:r>
            <w:r w:rsidR="00DF4225">
              <w:rPr>
                <w:noProof/>
                <w:webHidden/>
              </w:rPr>
              <w:fldChar w:fldCharType="end"/>
            </w:r>
          </w:hyperlink>
        </w:p>
        <w:p w14:paraId="1E31C7B9" w14:textId="3FEB2B28" w:rsidR="00DF4225" w:rsidRDefault="0091734E">
          <w:pPr>
            <w:pStyle w:val="TOC1"/>
            <w:rPr>
              <w:rFonts w:asciiTheme="minorHAnsi" w:eastAsiaTheme="minorEastAsia" w:hAnsiTheme="minorHAnsi"/>
              <w:noProof/>
              <w:sz w:val="22"/>
              <w:lang w:eastAsia="en-AU"/>
            </w:rPr>
          </w:pPr>
          <w:hyperlink w:anchor="_Toc112843948" w:history="1">
            <w:r w:rsidR="00DF4225" w:rsidRPr="0020009A">
              <w:rPr>
                <w:rStyle w:val="Hyperlink"/>
                <w:noProof/>
              </w:rPr>
              <w:t>6. Recommendations to the TGA and to inform scheduling deliberations</w:t>
            </w:r>
            <w:r w:rsidR="00DF4225">
              <w:rPr>
                <w:noProof/>
                <w:webHidden/>
              </w:rPr>
              <w:tab/>
            </w:r>
            <w:r w:rsidR="00DF4225">
              <w:rPr>
                <w:noProof/>
                <w:webHidden/>
              </w:rPr>
              <w:fldChar w:fldCharType="begin"/>
            </w:r>
            <w:r w:rsidR="00DF4225">
              <w:rPr>
                <w:noProof/>
                <w:webHidden/>
              </w:rPr>
              <w:instrText xml:space="preserve"> PAGEREF _Toc112843948 \h </w:instrText>
            </w:r>
            <w:r w:rsidR="00DF4225">
              <w:rPr>
                <w:noProof/>
                <w:webHidden/>
              </w:rPr>
            </w:r>
            <w:r w:rsidR="00DF4225">
              <w:rPr>
                <w:noProof/>
                <w:webHidden/>
              </w:rPr>
              <w:fldChar w:fldCharType="separate"/>
            </w:r>
            <w:r>
              <w:rPr>
                <w:noProof/>
                <w:webHidden/>
              </w:rPr>
              <w:t>123</w:t>
            </w:r>
            <w:r w:rsidR="00DF4225">
              <w:rPr>
                <w:noProof/>
                <w:webHidden/>
              </w:rPr>
              <w:fldChar w:fldCharType="end"/>
            </w:r>
          </w:hyperlink>
        </w:p>
        <w:p w14:paraId="76C7B5BB" w14:textId="2289879E" w:rsidR="00DF4225" w:rsidRDefault="0091734E">
          <w:pPr>
            <w:pStyle w:val="TOC2"/>
            <w:rPr>
              <w:rFonts w:asciiTheme="minorHAnsi" w:eastAsiaTheme="minorEastAsia" w:hAnsiTheme="minorHAnsi"/>
              <w:noProof/>
              <w:sz w:val="22"/>
              <w:lang w:eastAsia="en-AU"/>
            </w:rPr>
          </w:pPr>
          <w:hyperlink w:anchor="_Toc112843949" w:history="1">
            <w:r w:rsidR="00DF4225" w:rsidRPr="0020009A">
              <w:rPr>
                <w:rStyle w:val="Hyperlink"/>
                <w:noProof/>
              </w:rPr>
              <w:t>6.1 Recommendations</w:t>
            </w:r>
            <w:r w:rsidR="00DF4225">
              <w:rPr>
                <w:noProof/>
                <w:webHidden/>
              </w:rPr>
              <w:tab/>
            </w:r>
            <w:r w:rsidR="00DF4225">
              <w:rPr>
                <w:noProof/>
                <w:webHidden/>
              </w:rPr>
              <w:fldChar w:fldCharType="begin"/>
            </w:r>
            <w:r w:rsidR="00DF4225">
              <w:rPr>
                <w:noProof/>
                <w:webHidden/>
              </w:rPr>
              <w:instrText xml:space="preserve"> PAGEREF _Toc112843949 \h </w:instrText>
            </w:r>
            <w:r w:rsidR="00DF4225">
              <w:rPr>
                <w:noProof/>
                <w:webHidden/>
              </w:rPr>
            </w:r>
            <w:r w:rsidR="00DF4225">
              <w:rPr>
                <w:noProof/>
                <w:webHidden/>
              </w:rPr>
              <w:fldChar w:fldCharType="separate"/>
            </w:r>
            <w:r>
              <w:rPr>
                <w:noProof/>
                <w:webHidden/>
              </w:rPr>
              <w:t>123</w:t>
            </w:r>
            <w:r w:rsidR="00DF4225">
              <w:rPr>
                <w:noProof/>
                <w:webHidden/>
              </w:rPr>
              <w:fldChar w:fldCharType="end"/>
            </w:r>
          </w:hyperlink>
        </w:p>
        <w:p w14:paraId="6693C99B" w14:textId="3F424B6A" w:rsidR="00DF4225" w:rsidRDefault="0091734E">
          <w:pPr>
            <w:pStyle w:val="TOC3"/>
            <w:rPr>
              <w:rFonts w:asciiTheme="minorHAnsi" w:eastAsiaTheme="minorEastAsia" w:hAnsiTheme="minorHAnsi"/>
              <w:noProof/>
              <w:sz w:val="22"/>
              <w:lang w:eastAsia="en-AU"/>
            </w:rPr>
          </w:pPr>
          <w:hyperlink w:anchor="_Toc112843950" w:history="1">
            <w:r w:rsidR="00DF4225" w:rsidRPr="0020009A">
              <w:rPr>
                <w:rStyle w:val="Hyperlink"/>
                <w:noProof/>
              </w:rPr>
              <w:t>Means restriction and harm minimisation interventions</w:t>
            </w:r>
            <w:r w:rsidR="00DF4225">
              <w:rPr>
                <w:noProof/>
                <w:webHidden/>
              </w:rPr>
              <w:tab/>
            </w:r>
            <w:r w:rsidR="00DF4225">
              <w:rPr>
                <w:noProof/>
                <w:webHidden/>
              </w:rPr>
              <w:fldChar w:fldCharType="begin"/>
            </w:r>
            <w:r w:rsidR="00DF4225">
              <w:rPr>
                <w:noProof/>
                <w:webHidden/>
              </w:rPr>
              <w:instrText xml:space="preserve"> PAGEREF _Toc112843950 \h </w:instrText>
            </w:r>
            <w:r w:rsidR="00DF4225">
              <w:rPr>
                <w:noProof/>
                <w:webHidden/>
              </w:rPr>
            </w:r>
            <w:r w:rsidR="00DF4225">
              <w:rPr>
                <w:noProof/>
                <w:webHidden/>
              </w:rPr>
              <w:fldChar w:fldCharType="separate"/>
            </w:r>
            <w:r>
              <w:rPr>
                <w:noProof/>
                <w:webHidden/>
              </w:rPr>
              <w:t>123</w:t>
            </w:r>
            <w:r w:rsidR="00DF4225">
              <w:rPr>
                <w:noProof/>
                <w:webHidden/>
              </w:rPr>
              <w:fldChar w:fldCharType="end"/>
            </w:r>
          </w:hyperlink>
        </w:p>
        <w:p w14:paraId="4EAA371E" w14:textId="4AF52A75" w:rsidR="00DF4225" w:rsidRDefault="0091734E">
          <w:pPr>
            <w:pStyle w:val="TOC3"/>
            <w:rPr>
              <w:rFonts w:asciiTheme="minorHAnsi" w:eastAsiaTheme="minorEastAsia" w:hAnsiTheme="minorHAnsi"/>
              <w:noProof/>
              <w:sz w:val="22"/>
              <w:lang w:eastAsia="en-AU"/>
            </w:rPr>
          </w:pPr>
          <w:hyperlink w:anchor="_Toc112843951" w:history="1">
            <w:r w:rsidR="00DF4225" w:rsidRPr="0020009A">
              <w:rPr>
                <w:rStyle w:val="Hyperlink"/>
                <w:noProof/>
              </w:rPr>
              <w:t>Non-medication specific recommendations to reduce self-poisoning</w:t>
            </w:r>
            <w:r w:rsidR="00DF4225">
              <w:rPr>
                <w:noProof/>
                <w:webHidden/>
              </w:rPr>
              <w:tab/>
            </w:r>
            <w:r w:rsidR="00DF4225">
              <w:rPr>
                <w:noProof/>
                <w:webHidden/>
              </w:rPr>
              <w:fldChar w:fldCharType="begin"/>
            </w:r>
            <w:r w:rsidR="00DF4225">
              <w:rPr>
                <w:noProof/>
                <w:webHidden/>
              </w:rPr>
              <w:instrText xml:space="preserve"> PAGEREF _Toc112843951 \h </w:instrText>
            </w:r>
            <w:r w:rsidR="00DF4225">
              <w:rPr>
                <w:noProof/>
                <w:webHidden/>
              </w:rPr>
            </w:r>
            <w:r w:rsidR="00DF4225">
              <w:rPr>
                <w:noProof/>
                <w:webHidden/>
              </w:rPr>
              <w:fldChar w:fldCharType="separate"/>
            </w:r>
            <w:r>
              <w:rPr>
                <w:noProof/>
                <w:webHidden/>
              </w:rPr>
              <w:t>124</w:t>
            </w:r>
            <w:r w:rsidR="00DF4225">
              <w:rPr>
                <w:noProof/>
                <w:webHidden/>
              </w:rPr>
              <w:fldChar w:fldCharType="end"/>
            </w:r>
          </w:hyperlink>
        </w:p>
        <w:p w14:paraId="731164BE" w14:textId="2B76EFE1" w:rsidR="00DF4225" w:rsidRDefault="0091734E">
          <w:pPr>
            <w:pStyle w:val="TOC2"/>
            <w:rPr>
              <w:rFonts w:asciiTheme="minorHAnsi" w:eastAsiaTheme="minorEastAsia" w:hAnsiTheme="minorHAnsi"/>
              <w:noProof/>
              <w:sz w:val="22"/>
              <w:lang w:eastAsia="en-AU"/>
            </w:rPr>
          </w:pPr>
          <w:hyperlink w:anchor="_Toc112843952" w:history="1">
            <w:r w:rsidR="00DF4225" w:rsidRPr="0020009A">
              <w:rPr>
                <w:rStyle w:val="Hyperlink"/>
                <w:noProof/>
              </w:rPr>
              <w:t>6.2 Other considerations</w:t>
            </w:r>
            <w:r w:rsidR="00DF4225">
              <w:rPr>
                <w:noProof/>
                <w:webHidden/>
              </w:rPr>
              <w:tab/>
            </w:r>
            <w:r w:rsidR="00DF4225">
              <w:rPr>
                <w:noProof/>
                <w:webHidden/>
              </w:rPr>
              <w:fldChar w:fldCharType="begin"/>
            </w:r>
            <w:r w:rsidR="00DF4225">
              <w:rPr>
                <w:noProof/>
                <w:webHidden/>
              </w:rPr>
              <w:instrText xml:space="preserve"> PAGEREF _Toc112843952 \h </w:instrText>
            </w:r>
            <w:r w:rsidR="00DF4225">
              <w:rPr>
                <w:noProof/>
                <w:webHidden/>
              </w:rPr>
            </w:r>
            <w:r w:rsidR="00DF4225">
              <w:rPr>
                <w:noProof/>
                <w:webHidden/>
              </w:rPr>
              <w:fldChar w:fldCharType="separate"/>
            </w:r>
            <w:r>
              <w:rPr>
                <w:noProof/>
                <w:webHidden/>
              </w:rPr>
              <w:t>125</w:t>
            </w:r>
            <w:r w:rsidR="00DF4225">
              <w:rPr>
                <w:noProof/>
                <w:webHidden/>
              </w:rPr>
              <w:fldChar w:fldCharType="end"/>
            </w:r>
          </w:hyperlink>
        </w:p>
        <w:p w14:paraId="7D52CDF9" w14:textId="223AAC87" w:rsidR="00DF4225" w:rsidRDefault="0091734E">
          <w:pPr>
            <w:pStyle w:val="TOC3"/>
            <w:rPr>
              <w:rFonts w:asciiTheme="minorHAnsi" w:eastAsiaTheme="minorEastAsia" w:hAnsiTheme="minorHAnsi"/>
              <w:noProof/>
              <w:sz w:val="22"/>
              <w:lang w:eastAsia="en-AU"/>
            </w:rPr>
          </w:pPr>
          <w:hyperlink w:anchor="_Toc112843953" w:history="1">
            <w:r w:rsidR="00DF4225" w:rsidRPr="0020009A">
              <w:rPr>
                <w:rStyle w:val="Hyperlink"/>
                <w:noProof/>
              </w:rPr>
              <w:t>6.2.1  Considerations related to current knowledge and data gaps</w:t>
            </w:r>
            <w:r w:rsidR="00DF4225">
              <w:rPr>
                <w:noProof/>
                <w:webHidden/>
              </w:rPr>
              <w:tab/>
            </w:r>
            <w:r w:rsidR="00DF4225">
              <w:rPr>
                <w:noProof/>
                <w:webHidden/>
              </w:rPr>
              <w:fldChar w:fldCharType="begin"/>
            </w:r>
            <w:r w:rsidR="00DF4225">
              <w:rPr>
                <w:noProof/>
                <w:webHidden/>
              </w:rPr>
              <w:instrText xml:space="preserve"> PAGEREF _Toc112843953 \h </w:instrText>
            </w:r>
            <w:r w:rsidR="00DF4225">
              <w:rPr>
                <w:noProof/>
                <w:webHidden/>
              </w:rPr>
            </w:r>
            <w:r w:rsidR="00DF4225">
              <w:rPr>
                <w:noProof/>
                <w:webHidden/>
              </w:rPr>
              <w:fldChar w:fldCharType="separate"/>
            </w:r>
            <w:r>
              <w:rPr>
                <w:noProof/>
                <w:webHidden/>
              </w:rPr>
              <w:t>125</w:t>
            </w:r>
            <w:r w:rsidR="00DF4225">
              <w:rPr>
                <w:noProof/>
                <w:webHidden/>
              </w:rPr>
              <w:fldChar w:fldCharType="end"/>
            </w:r>
          </w:hyperlink>
        </w:p>
        <w:p w14:paraId="6CB4BA85" w14:textId="633B0B27" w:rsidR="00DF4225" w:rsidRDefault="0091734E">
          <w:pPr>
            <w:pStyle w:val="TOC3"/>
            <w:rPr>
              <w:rFonts w:asciiTheme="minorHAnsi" w:eastAsiaTheme="minorEastAsia" w:hAnsiTheme="minorHAnsi"/>
              <w:noProof/>
              <w:sz w:val="22"/>
              <w:lang w:eastAsia="en-AU"/>
            </w:rPr>
          </w:pPr>
          <w:hyperlink w:anchor="_Toc112843954" w:history="1">
            <w:r w:rsidR="00DF4225" w:rsidRPr="0020009A">
              <w:rPr>
                <w:rStyle w:val="Hyperlink"/>
                <w:noProof/>
              </w:rPr>
              <w:t>6.2.2  Forward outlook</w:t>
            </w:r>
            <w:r w:rsidR="00DF4225">
              <w:rPr>
                <w:noProof/>
                <w:webHidden/>
              </w:rPr>
              <w:tab/>
            </w:r>
            <w:r w:rsidR="00DF4225">
              <w:rPr>
                <w:noProof/>
                <w:webHidden/>
              </w:rPr>
              <w:fldChar w:fldCharType="begin"/>
            </w:r>
            <w:r w:rsidR="00DF4225">
              <w:rPr>
                <w:noProof/>
                <w:webHidden/>
              </w:rPr>
              <w:instrText xml:space="preserve"> PAGEREF _Toc112843954 \h </w:instrText>
            </w:r>
            <w:r w:rsidR="00DF4225">
              <w:rPr>
                <w:noProof/>
                <w:webHidden/>
              </w:rPr>
            </w:r>
            <w:r w:rsidR="00DF4225">
              <w:rPr>
                <w:noProof/>
                <w:webHidden/>
              </w:rPr>
              <w:fldChar w:fldCharType="separate"/>
            </w:r>
            <w:r>
              <w:rPr>
                <w:noProof/>
                <w:webHidden/>
              </w:rPr>
              <w:t>127</w:t>
            </w:r>
            <w:r w:rsidR="00DF4225">
              <w:rPr>
                <w:noProof/>
                <w:webHidden/>
              </w:rPr>
              <w:fldChar w:fldCharType="end"/>
            </w:r>
          </w:hyperlink>
        </w:p>
        <w:p w14:paraId="6C648443" w14:textId="6F480E2B" w:rsidR="00DF4225" w:rsidRDefault="0091734E">
          <w:pPr>
            <w:pStyle w:val="TOC1"/>
            <w:rPr>
              <w:rFonts w:asciiTheme="minorHAnsi" w:eastAsiaTheme="minorEastAsia" w:hAnsiTheme="minorHAnsi"/>
              <w:noProof/>
              <w:sz w:val="22"/>
              <w:lang w:eastAsia="en-AU"/>
            </w:rPr>
          </w:pPr>
          <w:hyperlink w:anchor="_Toc112843955" w:history="1">
            <w:r w:rsidR="00DF4225" w:rsidRPr="0020009A">
              <w:rPr>
                <w:rStyle w:val="Hyperlink"/>
                <w:noProof/>
              </w:rPr>
              <w:t>References</w:t>
            </w:r>
            <w:r w:rsidR="00DF4225">
              <w:rPr>
                <w:noProof/>
                <w:webHidden/>
              </w:rPr>
              <w:tab/>
            </w:r>
            <w:r w:rsidR="00DF4225">
              <w:rPr>
                <w:noProof/>
                <w:webHidden/>
              </w:rPr>
              <w:fldChar w:fldCharType="begin"/>
            </w:r>
            <w:r w:rsidR="00DF4225">
              <w:rPr>
                <w:noProof/>
                <w:webHidden/>
              </w:rPr>
              <w:instrText xml:space="preserve"> PAGEREF _Toc112843955 \h </w:instrText>
            </w:r>
            <w:r w:rsidR="00DF4225">
              <w:rPr>
                <w:noProof/>
                <w:webHidden/>
              </w:rPr>
            </w:r>
            <w:r w:rsidR="00DF4225">
              <w:rPr>
                <w:noProof/>
                <w:webHidden/>
              </w:rPr>
              <w:fldChar w:fldCharType="separate"/>
            </w:r>
            <w:r>
              <w:rPr>
                <w:noProof/>
                <w:webHidden/>
              </w:rPr>
              <w:t>128</w:t>
            </w:r>
            <w:r w:rsidR="00DF4225">
              <w:rPr>
                <w:noProof/>
                <w:webHidden/>
              </w:rPr>
              <w:fldChar w:fldCharType="end"/>
            </w:r>
          </w:hyperlink>
        </w:p>
        <w:p w14:paraId="6732F998" w14:textId="56420E8A" w:rsidR="00DF4225" w:rsidRDefault="0091734E">
          <w:pPr>
            <w:pStyle w:val="TOC1"/>
            <w:rPr>
              <w:rFonts w:asciiTheme="minorHAnsi" w:eastAsiaTheme="minorEastAsia" w:hAnsiTheme="minorHAnsi"/>
              <w:noProof/>
              <w:sz w:val="22"/>
              <w:lang w:eastAsia="en-AU"/>
            </w:rPr>
          </w:pPr>
          <w:hyperlink w:anchor="_Toc112843956" w:history="1">
            <w:r w:rsidR="00DF4225" w:rsidRPr="0020009A">
              <w:rPr>
                <w:rStyle w:val="Hyperlink"/>
                <w:noProof/>
              </w:rPr>
              <w:t>Appendices</w:t>
            </w:r>
            <w:r w:rsidR="00DF4225">
              <w:rPr>
                <w:noProof/>
                <w:webHidden/>
              </w:rPr>
              <w:tab/>
            </w:r>
            <w:r w:rsidR="00DF4225">
              <w:rPr>
                <w:noProof/>
                <w:webHidden/>
              </w:rPr>
              <w:fldChar w:fldCharType="begin"/>
            </w:r>
            <w:r w:rsidR="00DF4225">
              <w:rPr>
                <w:noProof/>
                <w:webHidden/>
              </w:rPr>
              <w:instrText xml:space="preserve"> PAGEREF _Toc112843956 \h </w:instrText>
            </w:r>
            <w:r w:rsidR="00DF4225">
              <w:rPr>
                <w:noProof/>
                <w:webHidden/>
              </w:rPr>
            </w:r>
            <w:r w:rsidR="00DF4225">
              <w:rPr>
                <w:noProof/>
                <w:webHidden/>
              </w:rPr>
              <w:fldChar w:fldCharType="separate"/>
            </w:r>
            <w:r>
              <w:rPr>
                <w:noProof/>
                <w:webHidden/>
              </w:rPr>
              <w:t>137</w:t>
            </w:r>
            <w:r w:rsidR="00DF4225">
              <w:rPr>
                <w:noProof/>
                <w:webHidden/>
              </w:rPr>
              <w:fldChar w:fldCharType="end"/>
            </w:r>
          </w:hyperlink>
        </w:p>
        <w:p w14:paraId="299E34C8" w14:textId="6101C69A" w:rsidR="00DF4225" w:rsidRDefault="0091734E">
          <w:pPr>
            <w:pStyle w:val="TOC2"/>
            <w:rPr>
              <w:rFonts w:asciiTheme="minorHAnsi" w:eastAsiaTheme="minorEastAsia" w:hAnsiTheme="minorHAnsi"/>
              <w:noProof/>
              <w:sz w:val="22"/>
              <w:lang w:eastAsia="en-AU"/>
            </w:rPr>
          </w:pPr>
          <w:hyperlink w:anchor="_Toc112843957" w:history="1">
            <w:r w:rsidR="00DF4225" w:rsidRPr="0020009A">
              <w:rPr>
                <w:rStyle w:val="Hyperlink"/>
                <w:noProof/>
              </w:rPr>
              <w:t>Appendix A: Detailed longitudinal AIHW data in Tables</w:t>
            </w:r>
            <w:r w:rsidR="00DF4225">
              <w:rPr>
                <w:noProof/>
                <w:webHidden/>
              </w:rPr>
              <w:tab/>
            </w:r>
            <w:r w:rsidR="00DF4225">
              <w:rPr>
                <w:noProof/>
                <w:webHidden/>
              </w:rPr>
              <w:fldChar w:fldCharType="begin"/>
            </w:r>
            <w:r w:rsidR="00DF4225">
              <w:rPr>
                <w:noProof/>
                <w:webHidden/>
              </w:rPr>
              <w:instrText xml:space="preserve"> PAGEREF _Toc112843957 \h </w:instrText>
            </w:r>
            <w:r w:rsidR="00DF4225">
              <w:rPr>
                <w:noProof/>
                <w:webHidden/>
              </w:rPr>
            </w:r>
            <w:r w:rsidR="00DF4225">
              <w:rPr>
                <w:noProof/>
                <w:webHidden/>
              </w:rPr>
              <w:fldChar w:fldCharType="separate"/>
            </w:r>
            <w:r>
              <w:rPr>
                <w:noProof/>
                <w:webHidden/>
              </w:rPr>
              <w:t>137</w:t>
            </w:r>
            <w:r w:rsidR="00DF4225">
              <w:rPr>
                <w:noProof/>
                <w:webHidden/>
              </w:rPr>
              <w:fldChar w:fldCharType="end"/>
            </w:r>
          </w:hyperlink>
        </w:p>
        <w:p w14:paraId="355B9A19" w14:textId="0148D090" w:rsidR="00DF4225" w:rsidRDefault="0091734E">
          <w:pPr>
            <w:pStyle w:val="TOC2"/>
            <w:rPr>
              <w:rFonts w:asciiTheme="minorHAnsi" w:eastAsiaTheme="minorEastAsia" w:hAnsiTheme="minorHAnsi"/>
              <w:noProof/>
              <w:sz w:val="22"/>
              <w:lang w:eastAsia="en-AU"/>
            </w:rPr>
          </w:pPr>
          <w:hyperlink w:anchor="_Toc112843958" w:history="1">
            <w:r w:rsidR="00DF4225" w:rsidRPr="0020009A">
              <w:rPr>
                <w:rStyle w:val="Hyperlink"/>
                <w:noProof/>
              </w:rPr>
              <w:t>Appendix B: Detailed longitudinal NSW PIC data in Tables</w:t>
            </w:r>
            <w:r w:rsidR="00DF4225">
              <w:rPr>
                <w:noProof/>
                <w:webHidden/>
              </w:rPr>
              <w:tab/>
            </w:r>
            <w:r w:rsidR="00DF4225">
              <w:rPr>
                <w:noProof/>
                <w:webHidden/>
              </w:rPr>
              <w:fldChar w:fldCharType="begin"/>
            </w:r>
            <w:r w:rsidR="00DF4225">
              <w:rPr>
                <w:noProof/>
                <w:webHidden/>
              </w:rPr>
              <w:instrText xml:space="preserve"> PAGEREF _Toc112843958 \h </w:instrText>
            </w:r>
            <w:r w:rsidR="00DF4225">
              <w:rPr>
                <w:noProof/>
                <w:webHidden/>
              </w:rPr>
            </w:r>
            <w:r w:rsidR="00DF4225">
              <w:rPr>
                <w:noProof/>
                <w:webHidden/>
              </w:rPr>
              <w:fldChar w:fldCharType="separate"/>
            </w:r>
            <w:r>
              <w:rPr>
                <w:noProof/>
                <w:webHidden/>
              </w:rPr>
              <w:t>150</w:t>
            </w:r>
            <w:r w:rsidR="00DF4225">
              <w:rPr>
                <w:noProof/>
                <w:webHidden/>
              </w:rPr>
              <w:fldChar w:fldCharType="end"/>
            </w:r>
          </w:hyperlink>
        </w:p>
        <w:p w14:paraId="163388D3" w14:textId="034E3641" w:rsidR="00DF4225" w:rsidRDefault="0091734E">
          <w:pPr>
            <w:pStyle w:val="TOC2"/>
            <w:rPr>
              <w:rFonts w:asciiTheme="minorHAnsi" w:eastAsiaTheme="minorEastAsia" w:hAnsiTheme="minorHAnsi"/>
              <w:noProof/>
              <w:sz w:val="22"/>
              <w:lang w:eastAsia="en-AU"/>
            </w:rPr>
          </w:pPr>
          <w:hyperlink w:anchor="_Toc112843959" w:history="1">
            <w:r w:rsidR="00DF4225" w:rsidRPr="0020009A">
              <w:rPr>
                <w:rStyle w:val="Hyperlink"/>
                <w:noProof/>
              </w:rPr>
              <w:t xml:space="preserve">Appendix C: </w:t>
            </w:r>
            <w:r w:rsidR="00DF4225" w:rsidRPr="0020009A">
              <w:rPr>
                <w:rStyle w:val="Hyperlink"/>
                <w:bCs/>
                <w:iCs/>
                <w:noProof/>
              </w:rPr>
              <w:t xml:space="preserve">Tabulated </w:t>
            </w:r>
            <w:r w:rsidR="00DF4225" w:rsidRPr="0020009A">
              <w:rPr>
                <w:rStyle w:val="Hyperlink"/>
                <w:noProof/>
              </w:rPr>
              <w:t>data on Australian paracetamol sales from 2017 to 2021</w:t>
            </w:r>
            <w:r w:rsidR="00DF4225">
              <w:rPr>
                <w:noProof/>
                <w:webHidden/>
              </w:rPr>
              <w:tab/>
            </w:r>
            <w:r w:rsidR="00DF4225">
              <w:rPr>
                <w:noProof/>
                <w:webHidden/>
              </w:rPr>
              <w:fldChar w:fldCharType="begin"/>
            </w:r>
            <w:r w:rsidR="00DF4225">
              <w:rPr>
                <w:noProof/>
                <w:webHidden/>
              </w:rPr>
              <w:instrText xml:space="preserve"> PAGEREF _Toc112843959 \h </w:instrText>
            </w:r>
            <w:r w:rsidR="00DF4225">
              <w:rPr>
                <w:noProof/>
                <w:webHidden/>
              </w:rPr>
            </w:r>
            <w:r w:rsidR="00DF4225">
              <w:rPr>
                <w:noProof/>
                <w:webHidden/>
              </w:rPr>
              <w:fldChar w:fldCharType="separate"/>
            </w:r>
            <w:r>
              <w:rPr>
                <w:noProof/>
                <w:webHidden/>
              </w:rPr>
              <w:t>169</w:t>
            </w:r>
            <w:r w:rsidR="00DF4225">
              <w:rPr>
                <w:noProof/>
                <w:webHidden/>
              </w:rPr>
              <w:fldChar w:fldCharType="end"/>
            </w:r>
          </w:hyperlink>
        </w:p>
        <w:p w14:paraId="5214D507" w14:textId="685D6A5B" w:rsidR="00DF4225" w:rsidRDefault="0091734E">
          <w:pPr>
            <w:pStyle w:val="TOC2"/>
            <w:rPr>
              <w:rFonts w:asciiTheme="minorHAnsi" w:eastAsiaTheme="minorEastAsia" w:hAnsiTheme="minorHAnsi"/>
              <w:noProof/>
              <w:sz w:val="22"/>
              <w:lang w:eastAsia="en-AU"/>
            </w:rPr>
          </w:pPr>
          <w:hyperlink w:anchor="_Toc112843960" w:history="1">
            <w:r w:rsidR="00DF4225" w:rsidRPr="0020009A">
              <w:rPr>
                <w:rStyle w:val="Hyperlink"/>
                <w:noProof/>
              </w:rPr>
              <w:t>Appendix D: Combined Australian PIC data in Tables</w:t>
            </w:r>
            <w:r w:rsidR="00DF4225">
              <w:rPr>
                <w:noProof/>
                <w:webHidden/>
              </w:rPr>
              <w:tab/>
            </w:r>
            <w:r w:rsidR="00DF4225">
              <w:rPr>
                <w:noProof/>
                <w:webHidden/>
              </w:rPr>
              <w:fldChar w:fldCharType="begin"/>
            </w:r>
            <w:r w:rsidR="00DF4225">
              <w:rPr>
                <w:noProof/>
                <w:webHidden/>
              </w:rPr>
              <w:instrText xml:space="preserve"> PAGEREF _Toc112843960 \h </w:instrText>
            </w:r>
            <w:r w:rsidR="00DF4225">
              <w:rPr>
                <w:noProof/>
                <w:webHidden/>
              </w:rPr>
            </w:r>
            <w:r w:rsidR="00DF4225">
              <w:rPr>
                <w:noProof/>
                <w:webHidden/>
              </w:rPr>
              <w:fldChar w:fldCharType="separate"/>
            </w:r>
            <w:r>
              <w:rPr>
                <w:noProof/>
                <w:webHidden/>
              </w:rPr>
              <w:t>172</w:t>
            </w:r>
            <w:r w:rsidR="00DF4225">
              <w:rPr>
                <w:noProof/>
                <w:webHidden/>
              </w:rPr>
              <w:fldChar w:fldCharType="end"/>
            </w:r>
          </w:hyperlink>
        </w:p>
        <w:p w14:paraId="043D473C" w14:textId="6129AB37" w:rsidR="00DF4225" w:rsidRDefault="0091734E">
          <w:pPr>
            <w:pStyle w:val="TOC2"/>
            <w:rPr>
              <w:rFonts w:asciiTheme="minorHAnsi" w:eastAsiaTheme="minorEastAsia" w:hAnsiTheme="minorHAnsi"/>
              <w:noProof/>
              <w:sz w:val="22"/>
              <w:lang w:eastAsia="en-AU"/>
            </w:rPr>
          </w:pPr>
          <w:hyperlink w:anchor="_Toc112843961" w:history="1">
            <w:r w:rsidR="00DF4225" w:rsidRPr="0020009A">
              <w:rPr>
                <w:rStyle w:val="Hyperlink"/>
                <w:noProof/>
              </w:rPr>
              <w:t>Appendix E: Supplementary data on Scheduling overseas and international comparisons</w:t>
            </w:r>
            <w:r w:rsidR="00DF4225">
              <w:rPr>
                <w:noProof/>
                <w:webHidden/>
              </w:rPr>
              <w:tab/>
            </w:r>
            <w:r w:rsidR="00DF4225">
              <w:rPr>
                <w:noProof/>
                <w:webHidden/>
              </w:rPr>
              <w:fldChar w:fldCharType="begin"/>
            </w:r>
            <w:r w:rsidR="00DF4225">
              <w:rPr>
                <w:noProof/>
                <w:webHidden/>
              </w:rPr>
              <w:instrText xml:space="preserve"> PAGEREF _Toc112843961 \h </w:instrText>
            </w:r>
            <w:r w:rsidR="00DF4225">
              <w:rPr>
                <w:noProof/>
                <w:webHidden/>
              </w:rPr>
            </w:r>
            <w:r w:rsidR="00DF4225">
              <w:rPr>
                <w:noProof/>
                <w:webHidden/>
              </w:rPr>
              <w:fldChar w:fldCharType="separate"/>
            </w:r>
            <w:r>
              <w:rPr>
                <w:noProof/>
                <w:webHidden/>
              </w:rPr>
              <w:t>174</w:t>
            </w:r>
            <w:r w:rsidR="00DF4225">
              <w:rPr>
                <w:noProof/>
                <w:webHidden/>
              </w:rPr>
              <w:fldChar w:fldCharType="end"/>
            </w:r>
          </w:hyperlink>
        </w:p>
        <w:p w14:paraId="3DE28C88" w14:textId="38FE9C61" w:rsidR="00DF4225" w:rsidRDefault="0091734E">
          <w:pPr>
            <w:pStyle w:val="TOC2"/>
            <w:rPr>
              <w:rFonts w:asciiTheme="minorHAnsi" w:eastAsiaTheme="minorEastAsia" w:hAnsiTheme="minorHAnsi"/>
              <w:noProof/>
              <w:sz w:val="22"/>
              <w:lang w:eastAsia="en-AU"/>
            </w:rPr>
          </w:pPr>
          <w:hyperlink w:anchor="_Toc112843962" w:history="1">
            <w:r w:rsidR="00DF4225" w:rsidRPr="0020009A">
              <w:rPr>
                <w:rStyle w:val="Hyperlink"/>
                <w:noProof/>
              </w:rPr>
              <w:t>Appendix F: Literature review methodology</w:t>
            </w:r>
            <w:r w:rsidR="00DF4225">
              <w:rPr>
                <w:noProof/>
                <w:webHidden/>
              </w:rPr>
              <w:tab/>
            </w:r>
            <w:r w:rsidR="00DF4225">
              <w:rPr>
                <w:noProof/>
                <w:webHidden/>
              </w:rPr>
              <w:fldChar w:fldCharType="begin"/>
            </w:r>
            <w:r w:rsidR="00DF4225">
              <w:rPr>
                <w:noProof/>
                <w:webHidden/>
              </w:rPr>
              <w:instrText xml:space="preserve"> PAGEREF _Toc112843962 \h </w:instrText>
            </w:r>
            <w:r w:rsidR="00DF4225">
              <w:rPr>
                <w:noProof/>
                <w:webHidden/>
              </w:rPr>
            </w:r>
            <w:r w:rsidR="00DF4225">
              <w:rPr>
                <w:noProof/>
                <w:webHidden/>
              </w:rPr>
              <w:fldChar w:fldCharType="separate"/>
            </w:r>
            <w:r>
              <w:rPr>
                <w:noProof/>
                <w:webHidden/>
              </w:rPr>
              <w:t>181</w:t>
            </w:r>
            <w:r w:rsidR="00DF4225">
              <w:rPr>
                <w:noProof/>
                <w:webHidden/>
              </w:rPr>
              <w:fldChar w:fldCharType="end"/>
            </w:r>
          </w:hyperlink>
        </w:p>
        <w:p w14:paraId="74EAB745" w14:textId="37361F0A" w:rsidR="00DA241E" w:rsidRDefault="00DA241E">
          <w:r>
            <w:rPr>
              <w:b/>
              <w:bCs/>
              <w:noProof/>
            </w:rPr>
            <w:fldChar w:fldCharType="end"/>
          </w:r>
        </w:p>
      </w:sdtContent>
    </w:sdt>
    <w:p w14:paraId="6AD14584" w14:textId="77777777" w:rsidR="003277EE" w:rsidRDefault="003277EE">
      <w:pPr>
        <w:rPr>
          <w:rFonts w:cs="Times New Roman"/>
          <w:b/>
          <w:bCs/>
          <w:noProof/>
        </w:rPr>
      </w:pPr>
      <w:r>
        <w:rPr>
          <w:rFonts w:cs="Times New Roman"/>
          <w:b/>
          <w:bCs/>
          <w:noProof/>
        </w:rPr>
        <w:br w:type="page"/>
      </w:r>
    </w:p>
    <w:p w14:paraId="02CF1B73" w14:textId="3C2B0837" w:rsidR="00A470B7" w:rsidRPr="0091560A" w:rsidRDefault="00A470B7" w:rsidP="00D65071">
      <w:pPr>
        <w:pStyle w:val="Heading1"/>
      </w:pPr>
      <w:bookmarkStart w:id="7" w:name="_Toc112843896"/>
      <w:r w:rsidRPr="0091560A">
        <w:t>Table of Figures</w:t>
      </w:r>
      <w:bookmarkEnd w:id="7"/>
    </w:p>
    <w:p w14:paraId="720C17BD" w14:textId="77777777" w:rsidR="00FB253E" w:rsidRDefault="00FB253E">
      <w:pPr>
        <w:pStyle w:val="TableofFigures"/>
        <w:tabs>
          <w:tab w:val="right" w:leader="dot" w:pos="9016"/>
        </w:tabs>
        <w:rPr>
          <w:sz w:val="22"/>
        </w:rPr>
      </w:pPr>
    </w:p>
    <w:p w14:paraId="323C907E" w14:textId="1362C936" w:rsidR="00FB253E" w:rsidRDefault="002D5A1A">
      <w:pPr>
        <w:pStyle w:val="TableofFigures"/>
        <w:tabs>
          <w:tab w:val="right" w:leader="dot" w:pos="9016"/>
        </w:tabs>
        <w:rPr>
          <w:rFonts w:asciiTheme="minorHAnsi" w:eastAsiaTheme="minorEastAsia" w:hAnsiTheme="minorHAnsi"/>
          <w:noProof/>
          <w:sz w:val="22"/>
          <w:lang w:eastAsia="en-AU"/>
        </w:rPr>
      </w:pPr>
      <w:r w:rsidRPr="0091560A">
        <w:rPr>
          <w:sz w:val="22"/>
        </w:rPr>
        <w:fldChar w:fldCharType="begin"/>
      </w:r>
      <w:r w:rsidRPr="0091560A">
        <w:instrText xml:space="preserve"> TOC \h \z \c "Figure" </w:instrText>
      </w:r>
      <w:r w:rsidRPr="0091560A">
        <w:rPr>
          <w:sz w:val="22"/>
        </w:rPr>
        <w:fldChar w:fldCharType="separate"/>
      </w:r>
      <w:hyperlink w:anchor="_Toc114559962" w:history="1">
        <w:r w:rsidR="00FB253E" w:rsidRPr="00E637A1">
          <w:rPr>
            <w:rStyle w:val="Hyperlink"/>
            <w:noProof/>
          </w:rPr>
          <w:t>Figure 1 The paracetamol poisoning nomogram</w:t>
        </w:r>
        <w:r w:rsidR="00FB253E">
          <w:rPr>
            <w:noProof/>
            <w:webHidden/>
          </w:rPr>
          <w:tab/>
        </w:r>
        <w:r w:rsidR="00FB253E">
          <w:rPr>
            <w:noProof/>
            <w:webHidden/>
          </w:rPr>
          <w:fldChar w:fldCharType="begin"/>
        </w:r>
        <w:r w:rsidR="00FB253E">
          <w:rPr>
            <w:noProof/>
            <w:webHidden/>
          </w:rPr>
          <w:instrText xml:space="preserve"> PAGEREF _Toc114559962 \h </w:instrText>
        </w:r>
        <w:r w:rsidR="00FB253E">
          <w:rPr>
            <w:noProof/>
            <w:webHidden/>
          </w:rPr>
        </w:r>
        <w:r w:rsidR="00FB253E">
          <w:rPr>
            <w:noProof/>
            <w:webHidden/>
          </w:rPr>
          <w:fldChar w:fldCharType="separate"/>
        </w:r>
        <w:r w:rsidR="0091734E">
          <w:rPr>
            <w:noProof/>
            <w:webHidden/>
          </w:rPr>
          <w:t>17</w:t>
        </w:r>
        <w:r w:rsidR="00FB253E">
          <w:rPr>
            <w:noProof/>
            <w:webHidden/>
          </w:rPr>
          <w:fldChar w:fldCharType="end"/>
        </w:r>
      </w:hyperlink>
    </w:p>
    <w:p w14:paraId="587FFEA6" w14:textId="295B305D"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3" w:history="1">
        <w:r w:rsidR="00FB253E" w:rsidRPr="00E637A1">
          <w:rPr>
            <w:rStyle w:val="Hyperlink"/>
            <w:noProof/>
          </w:rPr>
          <w:t>Figure 2  Rates of liver injury following paracetamol poisoning stratified by paracetamol concentrations plotted against the nomogram in mg/L.(Cairney et al., 2016)</w:t>
        </w:r>
        <w:r w:rsidR="00FB253E">
          <w:rPr>
            <w:noProof/>
            <w:webHidden/>
          </w:rPr>
          <w:tab/>
        </w:r>
        <w:r w:rsidR="00FB253E">
          <w:rPr>
            <w:noProof/>
            <w:webHidden/>
          </w:rPr>
          <w:fldChar w:fldCharType="begin"/>
        </w:r>
        <w:r w:rsidR="00FB253E">
          <w:rPr>
            <w:noProof/>
            <w:webHidden/>
          </w:rPr>
          <w:instrText xml:space="preserve"> PAGEREF _Toc114559963 \h </w:instrText>
        </w:r>
        <w:r w:rsidR="00FB253E">
          <w:rPr>
            <w:noProof/>
            <w:webHidden/>
          </w:rPr>
        </w:r>
        <w:r w:rsidR="00FB253E">
          <w:rPr>
            <w:noProof/>
            <w:webHidden/>
          </w:rPr>
          <w:fldChar w:fldCharType="separate"/>
        </w:r>
        <w:r>
          <w:rPr>
            <w:noProof/>
            <w:webHidden/>
          </w:rPr>
          <w:t>18</w:t>
        </w:r>
        <w:r w:rsidR="00FB253E">
          <w:rPr>
            <w:noProof/>
            <w:webHidden/>
          </w:rPr>
          <w:fldChar w:fldCharType="end"/>
        </w:r>
      </w:hyperlink>
    </w:p>
    <w:p w14:paraId="41590E15" w14:textId="036EDDF9"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4" w:history="1">
        <w:r w:rsidR="00FB253E" w:rsidRPr="00E637A1">
          <w:rPr>
            <w:rStyle w:val="Hyperlink"/>
            <w:noProof/>
          </w:rPr>
          <w:t>Figure 3 Paracetamol poisoning admissions and deliberate self-poisoning admissions in Australia (AIHW NHMD 2009-2020)</w:t>
        </w:r>
        <w:r w:rsidR="00FB253E">
          <w:rPr>
            <w:noProof/>
            <w:webHidden/>
          </w:rPr>
          <w:tab/>
        </w:r>
        <w:r w:rsidR="00FB253E">
          <w:rPr>
            <w:noProof/>
            <w:webHidden/>
          </w:rPr>
          <w:fldChar w:fldCharType="begin"/>
        </w:r>
        <w:r w:rsidR="00FB253E">
          <w:rPr>
            <w:noProof/>
            <w:webHidden/>
          </w:rPr>
          <w:instrText xml:space="preserve"> PAGEREF _Toc114559964 \h </w:instrText>
        </w:r>
        <w:r w:rsidR="00FB253E">
          <w:rPr>
            <w:noProof/>
            <w:webHidden/>
          </w:rPr>
        </w:r>
        <w:r w:rsidR="00FB253E">
          <w:rPr>
            <w:noProof/>
            <w:webHidden/>
          </w:rPr>
          <w:fldChar w:fldCharType="separate"/>
        </w:r>
        <w:r>
          <w:rPr>
            <w:noProof/>
            <w:webHidden/>
          </w:rPr>
          <w:t>21</w:t>
        </w:r>
        <w:r w:rsidR="00FB253E">
          <w:rPr>
            <w:noProof/>
            <w:webHidden/>
          </w:rPr>
          <w:fldChar w:fldCharType="end"/>
        </w:r>
      </w:hyperlink>
    </w:p>
    <w:p w14:paraId="107E0510" w14:textId="55DA2BD1"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5" w:history="1">
        <w:r w:rsidR="00FB253E" w:rsidRPr="00E637A1">
          <w:rPr>
            <w:rStyle w:val="Hyperlink"/>
            <w:noProof/>
          </w:rPr>
          <w:t>Figure 4 Paracetamol poisoning admissions in Australia – males vs females  (AIHW NHMD 2009-2020)</w:t>
        </w:r>
        <w:r w:rsidR="00FB253E">
          <w:rPr>
            <w:noProof/>
            <w:webHidden/>
          </w:rPr>
          <w:tab/>
        </w:r>
        <w:r w:rsidR="00FB253E">
          <w:rPr>
            <w:noProof/>
            <w:webHidden/>
          </w:rPr>
          <w:fldChar w:fldCharType="begin"/>
        </w:r>
        <w:r w:rsidR="00FB253E">
          <w:rPr>
            <w:noProof/>
            <w:webHidden/>
          </w:rPr>
          <w:instrText xml:space="preserve"> PAGEREF _Toc114559965 \h </w:instrText>
        </w:r>
        <w:r w:rsidR="00FB253E">
          <w:rPr>
            <w:noProof/>
            <w:webHidden/>
          </w:rPr>
        </w:r>
        <w:r w:rsidR="00FB253E">
          <w:rPr>
            <w:noProof/>
            <w:webHidden/>
          </w:rPr>
          <w:fldChar w:fldCharType="separate"/>
        </w:r>
        <w:r>
          <w:rPr>
            <w:noProof/>
            <w:webHidden/>
          </w:rPr>
          <w:t>22</w:t>
        </w:r>
        <w:r w:rsidR="00FB253E">
          <w:rPr>
            <w:noProof/>
            <w:webHidden/>
          </w:rPr>
          <w:fldChar w:fldCharType="end"/>
        </w:r>
      </w:hyperlink>
    </w:p>
    <w:p w14:paraId="4D94EA96" w14:textId="17F02F63"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6" w:history="1">
        <w:r w:rsidR="00FB253E" w:rsidRPr="00E637A1">
          <w:rPr>
            <w:rStyle w:val="Hyperlink"/>
            <w:noProof/>
          </w:rPr>
          <w:t>Figure 5 Harms from hospitalised paracetamol poisoning admissions in Australia (AIHW NHMD 2009-2020)</w:t>
        </w:r>
        <w:r w:rsidR="00FB253E">
          <w:rPr>
            <w:noProof/>
            <w:webHidden/>
          </w:rPr>
          <w:tab/>
        </w:r>
        <w:r w:rsidR="00FB253E">
          <w:rPr>
            <w:noProof/>
            <w:webHidden/>
          </w:rPr>
          <w:fldChar w:fldCharType="begin"/>
        </w:r>
        <w:r w:rsidR="00FB253E">
          <w:rPr>
            <w:noProof/>
            <w:webHidden/>
          </w:rPr>
          <w:instrText xml:space="preserve"> PAGEREF _Toc114559966 \h </w:instrText>
        </w:r>
        <w:r w:rsidR="00FB253E">
          <w:rPr>
            <w:noProof/>
            <w:webHidden/>
          </w:rPr>
        </w:r>
        <w:r w:rsidR="00FB253E">
          <w:rPr>
            <w:noProof/>
            <w:webHidden/>
          </w:rPr>
          <w:fldChar w:fldCharType="separate"/>
        </w:r>
        <w:r>
          <w:rPr>
            <w:noProof/>
            <w:webHidden/>
          </w:rPr>
          <w:t>22</w:t>
        </w:r>
        <w:r w:rsidR="00FB253E">
          <w:rPr>
            <w:noProof/>
            <w:webHidden/>
          </w:rPr>
          <w:fldChar w:fldCharType="end"/>
        </w:r>
      </w:hyperlink>
    </w:p>
    <w:p w14:paraId="64F86A09" w14:textId="3A3DC6E7"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7" w:history="1">
        <w:r w:rsidR="00FB253E" w:rsidRPr="00E637A1">
          <w:rPr>
            <w:rStyle w:val="Hyperlink"/>
            <w:noProof/>
          </w:rPr>
          <w:t>Figure 6 Changes in total and intentional medicine poisoning admissions in Australia (AIHW NHMD 2009-2020)</w:t>
        </w:r>
        <w:r w:rsidR="00FB253E">
          <w:rPr>
            <w:noProof/>
            <w:webHidden/>
          </w:rPr>
          <w:tab/>
        </w:r>
        <w:r w:rsidR="00FB253E">
          <w:rPr>
            <w:noProof/>
            <w:webHidden/>
          </w:rPr>
          <w:fldChar w:fldCharType="begin"/>
        </w:r>
        <w:r w:rsidR="00FB253E">
          <w:rPr>
            <w:noProof/>
            <w:webHidden/>
          </w:rPr>
          <w:instrText xml:space="preserve"> PAGEREF _Toc114559967 \h </w:instrText>
        </w:r>
        <w:r w:rsidR="00FB253E">
          <w:rPr>
            <w:noProof/>
            <w:webHidden/>
          </w:rPr>
        </w:r>
        <w:r w:rsidR="00FB253E">
          <w:rPr>
            <w:noProof/>
            <w:webHidden/>
          </w:rPr>
          <w:fldChar w:fldCharType="separate"/>
        </w:r>
        <w:r>
          <w:rPr>
            <w:noProof/>
            <w:webHidden/>
          </w:rPr>
          <w:t>23</w:t>
        </w:r>
        <w:r w:rsidR="00FB253E">
          <w:rPr>
            <w:noProof/>
            <w:webHidden/>
          </w:rPr>
          <w:fldChar w:fldCharType="end"/>
        </w:r>
      </w:hyperlink>
    </w:p>
    <w:p w14:paraId="2908CA8A" w14:textId="17A68ACE"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8" w:history="1">
        <w:r w:rsidR="00FB253E" w:rsidRPr="00E637A1">
          <w:rPr>
            <w:rStyle w:val="Hyperlink"/>
            <w:noProof/>
          </w:rPr>
          <w:t>Figure 7 proportion of total and intentional medicine poisoning admissions in Australia due to paracetamol (by age group) (AIHW NHMD 2009-2020)</w:t>
        </w:r>
        <w:r w:rsidR="00FB253E">
          <w:rPr>
            <w:noProof/>
            <w:webHidden/>
          </w:rPr>
          <w:tab/>
        </w:r>
        <w:r w:rsidR="00FB253E">
          <w:rPr>
            <w:noProof/>
            <w:webHidden/>
          </w:rPr>
          <w:fldChar w:fldCharType="begin"/>
        </w:r>
        <w:r w:rsidR="00FB253E">
          <w:rPr>
            <w:noProof/>
            <w:webHidden/>
          </w:rPr>
          <w:instrText xml:space="preserve"> PAGEREF _Toc114559968 \h </w:instrText>
        </w:r>
        <w:r w:rsidR="00FB253E">
          <w:rPr>
            <w:noProof/>
            <w:webHidden/>
          </w:rPr>
        </w:r>
        <w:r w:rsidR="00FB253E">
          <w:rPr>
            <w:noProof/>
            <w:webHidden/>
          </w:rPr>
          <w:fldChar w:fldCharType="separate"/>
        </w:r>
        <w:r>
          <w:rPr>
            <w:noProof/>
            <w:webHidden/>
          </w:rPr>
          <w:t>23</w:t>
        </w:r>
        <w:r w:rsidR="00FB253E">
          <w:rPr>
            <w:noProof/>
            <w:webHidden/>
          </w:rPr>
          <w:fldChar w:fldCharType="end"/>
        </w:r>
      </w:hyperlink>
    </w:p>
    <w:p w14:paraId="514EDFDB" w14:textId="6F879859" w:rsidR="00FB253E" w:rsidRDefault="0091734E">
      <w:pPr>
        <w:pStyle w:val="TableofFigures"/>
        <w:tabs>
          <w:tab w:val="right" w:leader="dot" w:pos="9016"/>
        </w:tabs>
        <w:rPr>
          <w:rFonts w:asciiTheme="minorHAnsi" w:eastAsiaTheme="minorEastAsia" w:hAnsiTheme="minorHAnsi"/>
          <w:noProof/>
          <w:sz w:val="22"/>
          <w:lang w:eastAsia="en-AU"/>
        </w:rPr>
      </w:pPr>
      <w:hyperlink w:anchor="_Toc114559969" w:history="1">
        <w:r w:rsidR="00FB253E" w:rsidRPr="00E637A1">
          <w:rPr>
            <w:rStyle w:val="Hyperlink"/>
            <w:noProof/>
          </w:rPr>
          <w:t>Figure 8. Total paracetamol poisonings per month, and annual totals of combinations of paracetamol and opiates in Australia (by age group) (AIHW NHMD 2009-2020).</w:t>
        </w:r>
        <w:r w:rsidR="00FB253E">
          <w:rPr>
            <w:noProof/>
            <w:webHidden/>
          </w:rPr>
          <w:tab/>
        </w:r>
        <w:r w:rsidR="00FB253E">
          <w:rPr>
            <w:noProof/>
            <w:webHidden/>
          </w:rPr>
          <w:fldChar w:fldCharType="begin"/>
        </w:r>
        <w:r w:rsidR="00FB253E">
          <w:rPr>
            <w:noProof/>
            <w:webHidden/>
          </w:rPr>
          <w:instrText xml:space="preserve"> PAGEREF _Toc114559969 \h </w:instrText>
        </w:r>
        <w:r w:rsidR="00FB253E">
          <w:rPr>
            <w:noProof/>
            <w:webHidden/>
          </w:rPr>
        </w:r>
        <w:r w:rsidR="00FB253E">
          <w:rPr>
            <w:noProof/>
            <w:webHidden/>
          </w:rPr>
          <w:fldChar w:fldCharType="separate"/>
        </w:r>
        <w:r>
          <w:rPr>
            <w:noProof/>
            <w:webHidden/>
          </w:rPr>
          <w:t>24</w:t>
        </w:r>
        <w:r w:rsidR="00FB253E">
          <w:rPr>
            <w:noProof/>
            <w:webHidden/>
          </w:rPr>
          <w:fldChar w:fldCharType="end"/>
        </w:r>
      </w:hyperlink>
    </w:p>
    <w:p w14:paraId="59EEB896" w14:textId="7197EA57" w:rsidR="00FB253E" w:rsidRDefault="0091734E" w:rsidP="00FB253E">
      <w:pPr>
        <w:pStyle w:val="TableofXbody"/>
        <w:rPr>
          <w:rFonts w:asciiTheme="minorHAnsi" w:eastAsiaTheme="minorEastAsia" w:hAnsiTheme="minorHAnsi"/>
          <w:sz w:val="22"/>
          <w:lang w:eastAsia="en-AU"/>
        </w:rPr>
      </w:pPr>
      <w:hyperlink w:anchor="_Toc114559970" w:history="1">
        <w:r w:rsidR="00FB253E" w:rsidRPr="00E637A1">
          <w:rPr>
            <w:rStyle w:val="Hyperlink"/>
          </w:rPr>
          <w:t>Figure 9. ‘Other NSAID’ poisonings in Australia (by age group) (AIHW NHMD 2009-2020) – total and those in combination with ‘other opiates’.</w:t>
        </w:r>
        <w:r w:rsidR="00FB253E">
          <w:rPr>
            <w:webHidden/>
          </w:rPr>
          <w:tab/>
        </w:r>
        <w:r w:rsidR="00FB253E">
          <w:rPr>
            <w:webHidden/>
          </w:rPr>
          <w:fldChar w:fldCharType="begin"/>
        </w:r>
        <w:r w:rsidR="00FB253E">
          <w:rPr>
            <w:webHidden/>
          </w:rPr>
          <w:instrText xml:space="preserve"> PAGEREF _Toc114559970 \h </w:instrText>
        </w:r>
        <w:r w:rsidR="00FB253E">
          <w:rPr>
            <w:webHidden/>
          </w:rPr>
        </w:r>
        <w:r w:rsidR="00FB253E">
          <w:rPr>
            <w:webHidden/>
          </w:rPr>
          <w:fldChar w:fldCharType="separate"/>
        </w:r>
        <w:r>
          <w:rPr>
            <w:webHidden/>
          </w:rPr>
          <w:t>25</w:t>
        </w:r>
        <w:r w:rsidR="00FB253E">
          <w:rPr>
            <w:webHidden/>
          </w:rPr>
          <w:fldChar w:fldCharType="end"/>
        </w:r>
      </w:hyperlink>
    </w:p>
    <w:p w14:paraId="362C3F24" w14:textId="3E44FE6D" w:rsidR="00FB253E" w:rsidRDefault="0091734E" w:rsidP="00FB253E">
      <w:pPr>
        <w:pStyle w:val="TableofXbody"/>
        <w:rPr>
          <w:rFonts w:asciiTheme="minorHAnsi" w:eastAsiaTheme="minorEastAsia" w:hAnsiTheme="minorHAnsi"/>
          <w:sz w:val="22"/>
          <w:lang w:eastAsia="en-AU"/>
        </w:rPr>
      </w:pPr>
      <w:hyperlink w:anchor="_Toc114559971" w:history="1">
        <w:r w:rsidR="00FB253E" w:rsidRPr="00E637A1">
          <w:rPr>
            <w:rStyle w:val="Hyperlink"/>
          </w:rPr>
          <w:t>Figure 10. NCIS deaths where OTC analgesics are listed as ‘pharmaceutical agents causing injury’</w:t>
        </w:r>
        <w:r w:rsidR="00FB253E">
          <w:rPr>
            <w:webHidden/>
          </w:rPr>
          <w:tab/>
        </w:r>
        <w:r w:rsidR="00FB253E">
          <w:rPr>
            <w:webHidden/>
          </w:rPr>
          <w:fldChar w:fldCharType="begin"/>
        </w:r>
        <w:r w:rsidR="00FB253E">
          <w:rPr>
            <w:webHidden/>
          </w:rPr>
          <w:instrText xml:space="preserve"> PAGEREF _Toc114559971 \h </w:instrText>
        </w:r>
        <w:r w:rsidR="00FB253E">
          <w:rPr>
            <w:webHidden/>
          </w:rPr>
        </w:r>
        <w:r w:rsidR="00FB253E">
          <w:rPr>
            <w:webHidden/>
          </w:rPr>
          <w:fldChar w:fldCharType="separate"/>
        </w:r>
        <w:r>
          <w:rPr>
            <w:webHidden/>
          </w:rPr>
          <w:t>27</w:t>
        </w:r>
        <w:r w:rsidR="00FB253E">
          <w:rPr>
            <w:webHidden/>
          </w:rPr>
          <w:fldChar w:fldCharType="end"/>
        </w:r>
      </w:hyperlink>
    </w:p>
    <w:p w14:paraId="5A7F0A17" w14:textId="2151851E" w:rsidR="00FB253E" w:rsidRDefault="0091734E" w:rsidP="00FB253E">
      <w:pPr>
        <w:pStyle w:val="TableofXbody"/>
        <w:rPr>
          <w:rFonts w:asciiTheme="minorHAnsi" w:eastAsiaTheme="minorEastAsia" w:hAnsiTheme="minorHAnsi"/>
          <w:sz w:val="22"/>
          <w:lang w:eastAsia="en-AU"/>
        </w:rPr>
      </w:pPr>
      <w:hyperlink w:anchor="_Toc114559972" w:history="1">
        <w:r w:rsidR="00FB253E" w:rsidRPr="00E637A1">
          <w:rPr>
            <w:rStyle w:val="Hyperlink"/>
          </w:rPr>
          <w:t>Figure 11. High and low estimates on in-hospital (AIHW) and total (NCIS) deaths</w:t>
        </w:r>
        <w:r w:rsidR="00FB253E">
          <w:rPr>
            <w:webHidden/>
          </w:rPr>
          <w:tab/>
        </w:r>
        <w:r w:rsidR="00FB253E">
          <w:rPr>
            <w:webHidden/>
          </w:rPr>
          <w:fldChar w:fldCharType="begin"/>
        </w:r>
        <w:r w:rsidR="00FB253E">
          <w:rPr>
            <w:webHidden/>
          </w:rPr>
          <w:instrText xml:space="preserve"> PAGEREF _Toc114559972 \h </w:instrText>
        </w:r>
        <w:r w:rsidR="00FB253E">
          <w:rPr>
            <w:webHidden/>
          </w:rPr>
        </w:r>
        <w:r w:rsidR="00FB253E">
          <w:rPr>
            <w:webHidden/>
          </w:rPr>
          <w:fldChar w:fldCharType="separate"/>
        </w:r>
        <w:r>
          <w:rPr>
            <w:webHidden/>
          </w:rPr>
          <w:t>27</w:t>
        </w:r>
        <w:r w:rsidR="00FB253E">
          <w:rPr>
            <w:webHidden/>
          </w:rPr>
          <w:fldChar w:fldCharType="end"/>
        </w:r>
      </w:hyperlink>
    </w:p>
    <w:p w14:paraId="56B2EF2B" w14:textId="13EFA968" w:rsidR="00FB253E" w:rsidRDefault="0091734E" w:rsidP="00FB253E">
      <w:pPr>
        <w:pStyle w:val="TableofXbody"/>
        <w:rPr>
          <w:rFonts w:asciiTheme="minorHAnsi" w:eastAsiaTheme="minorEastAsia" w:hAnsiTheme="minorHAnsi"/>
          <w:sz w:val="22"/>
          <w:lang w:eastAsia="en-AU"/>
        </w:rPr>
      </w:pPr>
      <w:hyperlink w:anchor="_Toc114559973" w:history="1">
        <w:r w:rsidR="00FB253E" w:rsidRPr="00E637A1">
          <w:rPr>
            <w:rStyle w:val="Hyperlink"/>
          </w:rPr>
          <w:t>Figure 12 Changes in poisoning exposure events, overall, for paracetamol and for comparable categories. (NSW PIC 2011-2021)</w:t>
        </w:r>
        <w:r w:rsidR="00FB253E">
          <w:rPr>
            <w:webHidden/>
          </w:rPr>
          <w:tab/>
        </w:r>
        <w:r w:rsidR="00FB253E">
          <w:rPr>
            <w:webHidden/>
          </w:rPr>
          <w:fldChar w:fldCharType="begin"/>
        </w:r>
        <w:r w:rsidR="00FB253E">
          <w:rPr>
            <w:webHidden/>
          </w:rPr>
          <w:instrText xml:space="preserve"> PAGEREF _Toc114559973 \h </w:instrText>
        </w:r>
        <w:r w:rsidR="00FB253E">
          <w:rPr>
            <w:webHidden/>
          </w:rPr>
        </w:r>
        <w:r w:rsidR="00FB253E">
          <w:rPr>
            <w:webHidden/>
          </w:rPr>
          <w:fldChar w:fldCharType="separate"/>
        </w:r>
        <w:r>
          <w:rPr>
            <w:webHidden/>
          </w:rPr>
          <w:t>30</w:t>
        </w:r>
        <w:r w:rsidR="00FB253E">
          <w:rPr>
            <w:webHidden/>
          </w:rPr>
          <w:fldChar w:fldCharType="end"/>
        </w:r>
      </w:hyperlink>
    </w:p>
    <w:p w14:paraId="298E2428" w14:textId="58C18201" w:rsidR="00FB253E" w:rsidRDefault="0091734E" w:rsidP="00FB253E">
      <w:pPr>
        <w:pStyle w:val="TableofXbody"/>
        <w:rPr>
          <w:rFonts w:asciiTheme="minorHAnsi" w:eastAsiaTheme="minorEastAsia" w:hAnsiTheme="minorHAnsi"/>
          <w:sz w:val="22"/>
          <w:lang w:eastAsia="en-AU"/>
        </w:rPr>
      </w:pPr>
      <w:hyperlink w:anchor="_Toc114559974" w:history="1">
        <w:r w:rsidR="00FB253E" w:rsidRPr="00E637A1">
          <w:rPr>
            <w:rStyle w:val="Hyperlink"/>
          </w:rPr>
          <w:t>Figure 13 Single ingredient and combination product paracetamol poisoning exposure events. (NSW PIC 2011-2021)</w:t>
        </w:r>
        <w:r w:rsidR="00FB253E">
          <w:rPr>
            <w:webHidden/>
          </w:rPr>
          <w:tab/>
        </w:r>
        <w:r w:rsidR="00FB253E">
          <w:rPr>
            <w:webHidden/>
          </w:rPr>
          <w:fldChar w:fldCharType="begin"/>
        </w:r>
        <w:r w:rsidR="00FB253E">
          <w:rPr>
            <w:webHidden/>
          </w:rPr>
          <w:instrText xml:space="preserve"> PAGEREF _Toc114559974 \h </w:instrText>
        </w:r>
        <w:r w:rsidR="00FB253E">
          <w:rPr>
            <w:webHidden/>
          </w:rPr>
        </w:r>
        <w:r w:rsidR="00FB253E">
          <w:rPr>
            <w:webHidden/>
          </w:rPr>
          <w:fldChar w:fldCharType="separate"/>
        </w:r>
        <w:r>
          <w:rPr>
            <w:webHidden/>
          </w:rPr>
          <w:t>31</w:t>
        </w:r>
        <w:r w:rsidR="00FB253E">
          <w:rPr>
            <w:webHidden/>
          </w:rPr>
          <w:fldChar w:fldCharType="end"/>
        </w:r>
      </w:hyperlink>
    </w:p>
    <w:p w14:paraId="4D0DDCB6" w14:textId="6A01142E" w:rsidR="00FB253E" w:rsidRDefault="0091734E" w:rsidP="00FB253E">
      <w:pPr>
        <w:pStyle w:val="TableofXbody"/>
        <w:rPr>
          <w:rFonts w:asciiTheme="minorHAnsi" w:eastAsiaTheme="minorEastAsia" w:hAnsiTheme="minorHAnsi"/>
          <w:sz w:val="22"/>
          <w:lang w:eastAsia="en-AU"/>
        </w:rPr>
      </w:pPr>
      <w:hyperlink w:anchor="_Toc114559975" w:history="1">
        <w:r w:rsidR="00FB253E" w:rsidRPr="00E637A1">
          <w:rPr>
            <w:rStyle w:val="Hyperlink"/>
          </w:rPr>
          <w:t>Figure 14 Intentional single ingredient paracetamol poisoning exposure events  (NSW PIC 2011-2021)</w:t>
        </w:r>
        <w:r w:rsidR="00FB253E">
          <w:rPr>
            <w:webHidden/>
          </w:rPr>
          <w:tab/>
        </w:r>
        <w:r w:rsidR="00FB253E">
          <w:rPr>
            <w:webHidden/>
          </w:rPr>
          <w:fldChar w:fldCharType="begin"/>
        </w:r>
        <w:r w:rsidR="00FB253E">
          <w:rPr>
            <w:webHidden/>
          </w:rPr>
          <w:instrText xml:space="preserve"> PAGEREF _Toc114559975 \h </w:instrText>
        </w:r>
        <w:r w:rsidR="00FB253E">
          <w:rPr>
            <w:webHidden/>
          </w:rPr>
        </w:r>
        <w:r w:rsidR="00FB253E">
          <w:rPr>
            <w:webHidden/>
          </w:rPr>
          <w:fldChar w:fldCharType="separate"/>
        </w:r>
        <w:r>
          <w:rPr>
            <w:webHidden/>
          </w:rPr>
          <w:t>31</w:t>
        </w:r>
        <w:r w:rsidR="00FB253E">
          <w:rPr>
            <w:webHidden/>
          </w:rPr>
          <w:fldChar w:fldCharType="end"/>
        </w:r>
      </w:hyperlink>
    </w:p>
    <w:p w14:paraId="27D90537" w14:textId="528BE7FB" w:rsidR="00FB253E" w:rsidRDefault="0091734E" w:rsidP="00FB253E">
      <w:pPr>
        <w:pStyle w:val="TableofXbody"/>
        <w:rPr>
          <w:rFonts w:asciiTheme="minorHAnsi" w:eastAsiaTheme="minorEastAsia" w:hAnsiTheme="minorHAnsi"/>
          <w:sz w:val="22"/>
          <w:lang w:eastAsia="en-AU"/>
        </w:rPr>
      </w:pPr>
      <w:hyperlink w:anchor="_Toc114559976" w:history="1">
        <w:r w:rsidR="00FB253E" w:rsidRPr="00E637A1">
          <w:rPr>
            <w:rStyle w:val="Hyperlink"/>
          </w:rPr>
          <w:t>Figure 15 Non-intentional single ingredient paracetamol poisoning exposure events in those aged &gt; 5 (NSW PIC 2011-21)</w:t>
        </w:r>
        <w:r w:rsidR="00FB253E">
          <w:rPr>
            <w:webHidden/>
          </w:rPr>
          <w:tab/>
        </w:r>
        <w:r w:rsidR="00FB253E">
          <w:rPr>
            <w:webHidden/>
          </w:rPr>
          <w:fldChar w:fldCharType="begin"/>
        </w:r>
        <w:r w:rsidR="00FB253E">
          <w:rPr>
            <w:webHidden/>
          </w:rPr>
          <w:instrText xml:space="preserve"> PAGEREF _Toc114559976 \h </w:instrText>
        </w:r>
        <w:r w:rsidR="00FB253E">
          <w:rPr>
            <w:webHidden/>
          </w:rPr>
        </w:r>
        <w:r w:rsidR="00FB253E">
          <w:rPr>
            <w:webHidden/>
          </w:rPr>
          <w:fldChar w:fldCharType="separate"/>
        </w:r>
        <w:r>
          <w:rPr>
            <w:webHidden/>
          </w:rPr>
          <w:t>32</w:t>
        </w:r>
        <w:r w:rsidR="00FB253E">
          <w:rPr>
            <w:webHidden/>
          </w:rPr>
          <w:fldChar w:fldCharType="end"/>
        </w:r>
      </w:hyperlink>
    </w:p>
    <w:p w14:paraId="4BA9D351" w14:textId="6BE6580F" w:rsidR="00FB253E" w:rsidRDefault="0091734E" w:rsidP="00FB253E">
      <w:pPr>
        <w:pStyle w:val="TableofXbody"/>
        <w:rPr>
          <w:rFonts w:asciiTheme="minorHAnsi" w:eastAsiaTheme="minorEastAsia" w:hAnsiTheme="minorHAnsi"/>
          <w:sz w:val="22"/>
          <w:lang w:eastAsia="en-AU"/>
        </w:rPr>
      </w:pPr>
      <w:hyperlink w:anchor="_Toc114559977" w:history="1">
        <w:r w:rsidR="00FB253E" w:rsidRPr="00E637A1">
          <w:rPr>
            <w:rStyle w:val="Hyperlink"/>
          </w:rPr>
          <w:t>Figure 16 Intentional paracetamol combination product poisoning exposures generating calls (NSW PIC 2011-21)</w:t>
        </w:r>
        <w:r w:rsidR="00FB253E">
          <w:rPr>
            <w:webHidden/>
          </w:rPr>
          <w:tab/>
        </w:r>
        <w:r w:rsidR="00FB253E">
          <w:rPr>
            <w:webHidden/>
          </w:rPr>
          <w:fldChar w:fldCharType="begin"/>
        </w:r>
        <w:r w:rsidR="00FB253E">
          <w:rPr>
            <w:webHidden/>
          </w:rPr>
          <w:instrText xml:space="preserve"> PAGEREF _Toc114559977 \h </w:instrText>
        </w:r>
        <w:r w:rsidR="00FB253E">
          <w:rPr>
            <w:webHidden/>
          </w:rPr>
        </w:r>
        <w:r w:rsidR="00FB253E">
          <w:rPr>
            <w:webHidden/>
          </w:rPr>
          <w:fldChar w:fldCharType="separate"/>
        </w:r>
        <w:r>
          <w:rPr>
            <w:webHidden/>
          </w:rPr>
          <w:t>32</w:t>
        </w:r>
        <w:r w:rsidR="00FB253E">
          <w:rPr>
            <w:webHidden/>
          </w:rPr>
          <w:fldChar w:fldCharType="end"/>
        </w:r>
      </w:hyperlink>
    </w:p>
    <w:p w14:paraId="4D1C9714" w14:textId="1CF1CC10" w:rsidR="00FB253E" w:rsidRDefault="0091734E" w:rsidP="00FB253E">
      <w:pPr>
        <w:pStyle w:val="TableofXbody"/>
        <w:rPr>
          <w:rFonts w:asciiTheme="minorHAnsi" w:eastAsiaTheme="minorEastAsia" w:hAnsiTheme="minorHAnsi"/>
          <w:sz w:val="22"/>
          <w:lang w:eastAsia="en-AU"/>
        </w:rPr>
      </w:pPr>
      <w:hyperlink w:anchor="_Toc114559978" w:history="1">
        <w:r w:rsidR="00FB253E" w:rsidRPr="00E637A1">
          <w:rPr>
            <w:rStyle w:val="Hyperlink"/>
          </w:rPr>
          <w:t>Figure 17 Non-intentional paracetamol combination product poisoning exposures generating calls (NSW PIC 2011-21)</w:t>
        </w:r>
        <w:r w:rsidR="00FB253E">
          <w:rPr>
            <w:webHidden/>
          </w:rPr>
          <w:tab/>
        </w:r>
        <w:r w:rsidR="00FB253E">
          <w:rPr>
            <w:webHidden/>
          </w:rPr>
          <w:fldChar w:fldCharType="begin"/>
        </w:r>
        <w:r w:rsidR="00FB253E">
          <w:rPr>
            <w:webHidden/>
          </w:rPr>
          <w:instrText xml:space="preserve"> PAGEREF _Toc114559978 \h </w:instrText>
        </w:r>
        <w:r w:rsidR="00FB253E">
          <w:rPr>
            <w:webHidden/>
          </w:rPr>
        </w:r>
        <w:r w:rsidR="00FB253E">
          <w:rPr>
            <w:webHidden/>
          </w:rPr>
          <w:fldChar w:fldCharType="separate"/>
        </w:r>
        <w:r>
          <w:rPr>
            <w:webHidden/>
          </w:rPr>
          <w:t>33</w:t>
        </w:r>
        <w:r w:rsidR="00FB253E">
          <w:rPr>
            <w:webHidden/>
          </w:rPr>
          <w:fldChar w:fldCharType="end"/>
        </w:r>
      </w:hyperlink>
    </w:p>
    <w:p w14:paraId="5CDCAD23" w14:textId="2006DAD0" w:rsidR="00FB253E" w:rsidRDefault="0091734E" w:rsidP="00FB253E">
      <w:pPr>
        <w:pStyle w:val="TableofXbody"/>
        <w:rPr>
          <w:rFonts w:asciiTheme="minorHAnsi" w:eastAsiaTheme="minorEastAsia" w:hAnsiTheme="minorHAnsi"/>
          <w:sz w:val="22"/>
          <w:lang w:eastAsia="en-AU"/>
        </w:rPr>
      </w:pPr>
      <w:hyperlink w:anchor="_Toc114559979" w:history="1">
        <w:r w:rsidR="00FB253E" w:rsidRPr="00E637A1">
          <w:rPr>
            <w:rStyle w:val="Hyperlink"/>
          </w:rPr>
          <w:t>Figure 18. Annual NSW PIC calls about intentional paracetamol poisoning, showing the change in MR paracetamol and the reported dose ingested (2011-2021)</w:t>
        </w:r>
        <w:r w:rsidR="00FB253E">
          <w:rPr>
            <w:webHidden/>
          </w:rPr>
          <w:tab/>
        </w:r>
        <w:r w:rsidR="00FB253E">
          <w:rPr>
            <w:webHidden/>
          </w:rPr>
          <w:fldChar w:fldCharType="begin"/>
        </w:r>
        <w:r w:rsidR="00FB253E">
          <w:rPr>
            <w:webHidden/>
          </w:rPr>
          <w:instrText xml:space="preserve"> PAGEREF _Toc114559979 \h </w:instrText>
        </w:r>
        <w:r w:rsidR="00FB253E">
          <w:rPr>
            <w:webHidden/>
          </w:rPr>
        </w:r>
        <w:r w:rsidR="00FB253E">
          <w:rPr>
            <w:webHidden/>
          </w:rPr>
          <w:fldChar w:fldCharType="separate"/>
        </w:r>
        <w:r>
          <w:rPr>
            <w:webHidden/>
          </w:rPr>
          <w:t>33</w:t>
        </w:r>
        <w:r w:rsidR="00FB253E">
          <w:rPr>
            <w:webHidden/>
          </w:rPr>
          <w:fldChar w:fldCharType="end"/>
        </w:r>
      </w:hyperlink>
    </w:p>
    <w:p w14:paraId="18EAED83" w14:textId="5BAFE42A" w:rsidR="00FB253E" w:rsidRDefault="0091734E" w:rsidP="00FB253E">
      <w:pPr>
        <w:pStyle w:val="TableofXbody"/>
        <w:rPr>
          <w:rFonts w:asciiTheme="minorHAnsi" w:eastAsiaTheme="minorEastAsia" w:hAnsiTheme="minorHAnsi"/>
          <w:sz w:val="22"/>
          <w:lang w:eastAsia="en-AU"/>
        </w:rPr>
      </w:pPr>
      <w:hyperlink w:anchor="_Toc114559980" w:history="1">
        <w:r w:rsidR="00FB253E" w:rsidRPr="00E637A1">
          <w:rPr>
            <w:rStyle w:val="Hyperlink"/>
          </w:rPr>
          <w:t>Figure 19. Change in the reported dose ingested by age group (2011-2021).</w:t>
        </w:r>
        <w:r w:rsidR="00FB253E">
          <w:rPr>
            <w:webHidden/>
          </w:rPr>
          <w:tab/>
        </w:r>
        <w:r w:rsidR="00FB253E">
          <w:rPr>
            <w:webHidden/>
          </w:rPr>
          <w:fldChar w:fldCharType="begin"/>
        </w:r>
        <w:r w:rsidR="00FB253E">
          <w:rPr>
            <w:webHidden/>
          </w:rPr>
          <w:instrText xml:space="preserve"> PAGEREF _Toc114559980 \h </w:instrText>
        </w:r>
        <w:r w:rsidR="00FB253E">
          <w:rPr>
            <w:webHidden/>
          </w:rPr>
        </w:r>
        <w:r w:rsidR="00FB253E">
          <w:rPr>
            <w:webHidden/>
          </w:rPr>
          <w:fldChar w:fldCharType="separate"/>
        </w:r>
        <w:r>
          <w:rPr>
            <w:webHidden/>
          </w:rPr>
          <w:t>34</w:t>
        </w:r>
        <w:r w:rsidR="00FB253E">
          <w:rPr>
            <w:webHidden/>
          </w:rPr>
          <w:fldChar w:fldCharType="end"/>
        </w:r>
      </w:hyperlink>
    </w:p>
    <w:p w14:paraId="07A66D3F" w14:textId="3C8C6A48" w:rsidR="00FB253E" w:rsidRDefault="0091734E" w:rsidP="00FB253E">
      <w:pPr>
        <w:pStyle w:val="TableofXbody"/>
        <w:rPr>
          <w:rFonts w:asciiTheme="minorHAnsi" w:eastAsiaTheme="minorEastAsia" w:hAnsiTheme="minorHAnsi"/>
          <w:sz w:val="22"/>
          <w:lang w:eastAsia="en-AU"/>
        </w:rPr>
      </w:pPr>
      <w:hyperlink w:anchor="_Toc114559981" w:history="1">
        <w:r w:rsidR="00FB253E" w:rsidRPr="00E637A1">
          <w:rPr>
            <w:rStyle w:val="Hyperlink"/>
          </w:rPr>
          <w:t>Figure 20. Change in MR vs IR preparations ingested by age group (2011-2021)</w:t>
        </w:r>
        <w:r w:rsidR="00FB253E">
          <w:rPr>
            <w:webHidden/>
          </w:rPr>
          <w:tab/>
        </w:r>
        <w:r w:rsidR="00FB253E">
          <w:rPr>
            <w:webHidden/>
          </w:rPr>
          <w:fldChar w:fldCharType="begin"/>
        </w:r>
        <w:r w:rsidR="00FB253E">
          <w:rPr>
            <w:webHidden/>
          </w:rPr>
          <w:instrText xml:space="preserve"> PAGEREF _Toc114559981 \h </w:instrText>
        </w:r>
        <w:r w:rsidR="00FB253E">
          <w:rPr>
            <w:webHidden/>
          </w:rPr>
        </w:r>
        <w:r w:rsidR="00FB253E">
          <w:rPr>
            <w:webHidden/>
          </w:rPr>
          <w:fldChar w:fldCharType="separate"/>
        </w:r>
        <w:r>
          <w:rPr>
            <w:webHidden/>
          </w:rPr>
          <w:t>34</w:t>
        </w:r>
        <w:r w:rsidR="00FB253E">
          <w:rPr>
            <w:webHidden/>
          </w:rPr>
          <w:fldChar w:fldCharType="end"/>
        </w:r>
      </w:hyperlink>
    </w:p>
    <w:p w14:paraId="16B9B546" w14:textId="3E09A9FE" w:rsidR="00FB253E" w:rsidRDefault="0091734E" w:rsidP="00FB253E">
      <w:pPr>
        <w:pStyle w:val="TableofXbody"/>
        <w:rPr>
          <w:rFonts w:asciiTheme="minorHAnsi" w:eastAsiaTheme="minorEastAsia" w:hAnsiTheme="minorHAnsi"/>
          <w:sz w:val="22"/>
          <w:lang w:eastAsia="en-AU"/>
        </w:rPr>
      </w:pPr>
      <w:hyperlink w:anchor="_Toc114559982" w:history="1">
        <w:r w:rsidR="00FB253E" w:rsidRPr="00E637A1">
          <w:rPr>
            <w:rStyle w:val="Hyperlink"/>
          </w:rPr>
          <w:t>Figure 21. Combination product paracetamol poisonings per month (by intent and by age group) (NSW PIC 2011-2021).</w:t>
        </w:r>
        <w:r w:rsidR="00FB253E">
          <w:rPr>
            <w:webHidden/>
          </w:rPr>
          <w:tab/>
        </w:r>
        <w:r w:rsidR="00FB253E">
          <w:rPr>
            <w:webHidden/>
          </w:rPr>
          <w:fldChar w:fldCharType="begin"/>
        </w:r>
        <w:r w:rsidR="00FB253E">
          <w:rPr>
            <w:webHidden/>
          </w:rPr>
          <w:instrText xml:space="preserve"> PAGEREF _Toc114559982 \h </w:instrText>
        </w:r>
        <w:r w:rsidR="00FB253E">
          <w:rPr>
            <w:webHidden/>
          </w:rPr>
        </w:r>
        <w:r w:rsidR="00FB253E">
          <w:rPr>
            <w:webHidden/>
          </w:rPr>
          <w:fldChar w:fldCharType="separate"/>
        </w:r>
        <w:r>
          <w:rPr>
            <w:webHidden/>
          </w:rPr>
          <w:t>35</w:t>
        </w:r>
        <w:r w:rsidR="00FB253E">
          <w:rPr>
            <w:webHidden/>
          </w:rPr>
          <w:fldChar w:fldCharType="end"/>
        </w:r>
      </w:hyperlink>
    </w:p>
    <w:p w14:paraId="6D6BF86C" w14:textId="78C6A74B" w:rsidR="00FB253E" w:rsidRDefault="0091734E" w:rsidP="00FB253E">
      <w:pPr>
        <w:pStyle w:val="TableofXbody"/>
        <w:rPr>
          <w:rFonts w:asciiTheme="minorHAnsi" w:eastAsiaTheme="minorEastAsia" w:hAnsiTheme="minorHAnsi"/>
          <w:sz w:val="22"/>
          <w:lang w:eastAsia="en-AU"/>
        </w:rPr>
      </w:pPr>
      <w:hyperlink w:anchor="_Toc114559983" w:history="1">
        <w:r w:rsidR="00FB253E" w:rsidRPr="00E637A1">
          <w:rPr>
            <w:rStyle w:val="Hyperlink"/>
          </w:rPr>
          <w:t>Figure 22. Monthly single ingredient paracetamol poisonings by intent and age group per month (NSW PIC 2011-2021)</w:t>
        </w:r>
        <w:r w:rsidR="00FB253E">
          <w:rPr>
            <w:webHidden/>
          </w:rPr>
          <w:tab/>
        </w:r>
        <w:r w:rsidR="00FB253E">
          <w:rPr>
            <w:webHidden/>
          </w:rPr>
          <w:fldChar w:fldCharType="begin"/>
        </w:r>
        <w:r w:rsidR="00FB253E">
          <w:rPr>
            <w:webHidden/>
          </w:rPr>
          <w:instrText xml:space="preserve"> PAGEREF _Toc114559983 \h </w:instrText>
        </w:r>
        <w:r w:rsidR="00FB253E">
          <w:rPr>
            <w:webHidden/>
          </w:rPr>
        </w:r>
        <w:r w:rsidR="00FB253E">
          <w:rPr>
            <w:webHidden/>
          </w:rPr>
          <w:fldChar w:fldCharType="separate"/>
        </w:r>
        <w:r>
          <w:rPr>
            <w:webHidden/>
          </w:rPr>
          <w:t>35</w:t>
        </w:r>
        <w:r w:rsidR="00FB253E">
          <w:rPr>
            <w:webHidden/>
          </w:rPr>
          <w:fldChar w:fldCharType="end"/>
        </w:r>
      </w:hyperlink>
    </w:p>
    <w:p w14:paraId="622637B3" w14:textId="1E9AFF6E" w:rsidR="00FB253E" w:rsidRDefault="0091734E" w:rsidP="00FB253E">
      <w:pPr>
        <w:pStyle w:val="TableofXbody"/>
        <w:rPr>
          <w:rFonts w:asciiTheme="minorHAnsi" w:eastAsiaTheme="minorEastAsia" w:hAnsiTheme="minorHAnsi"/>
          <w:sz w:val="22"/>
          <w:lang w:eastAsia="en-AU"/>
        </w:rPr>
      </w:pPr>
      <w:hyperlink w:anchor="_Toc114559984" w:history="1">
        <w:r w:rsidR="00FB253E" w:rsidRPr="00E637A1">
          <w:rPr>
            <w:rStyle w:val="Hyperlink"/>
          </w:rPr>
          <w:t>Figure 23. Monthly NSW PIC calls about OTC available analgesic poisonings per month and change in total and proportion due to MR paracetamol (2017-1/2022)</w:t>
        </w:r>
        <w:r w:rsidR="00FB253E">
          <w:rPr>
            <w:webHidden/>
          </w:rPr>
          <w:tab/>
        </w:r>
        <w:r w:rsidR="00FB253E">
          <w:rPr>
            <w:webHidden/>
          </w:rPr>
          <w:fldChar w:fldCharType="begin"/>
        </w:r>
        <w:r w:rsidR="00FB253E">
          <w:rPr>
            <w:webHidden/>
          </w:rPr>
          <w:instrText xml:space="preserve"> PAGEREF _Toc114559984 \h </w:instrText>
        </w:r>
        <w:r w:rsidR="00FB253E">
          <w:rPr>
            <w:webHidden/>
          </w:rPr>
        </w:r>
        <w:r w:rsidR="00FB253E">
          <w:rPr>
            <w:webHidden/>
          </w:rPr>
          <w:fldChar w:fldCharType="separate"/>
        </w:r>
        <w:r>
          <w:rPr>
            <w:webHidden/>
          </w:rPr>
          <w:t>36</w:t>
        </w:r>
        <w:r w:rsidR="00FB253E">
          <w:rPr>
            <w:webHidden/>
          </w:rPr>
          <w:fldChar w:fldCharType="end"/>
        </w:r>
      </w:hyperlink>
    </w:p>
    <w:p w14:paraId="6F33C097" w14:textId="008465EA" w:rsidR="00FB253E" w:rsidRDefault="0091734E" w:rsidP="00FB253E">
      <w:pPr>
        <w:pStyle w:val="TableofXbody"/>
        <w:rPr>
          <w:rFonts w:asciiTheme="minorHAnsi" w:eastAsiaTheme="minorEastAsia" w:hAnsiTheme="minorHAnsi"/>
          <w:sz w:val="22"/>
          <w:lang w:eastAsia="en-AU"/>
        </w:rPr>
      </w:pPr>
      <w:hyperlink w:anchor="_Toc114559985" w:history="1">
        <w:r w:rsidR="00FB253E" w:rsidRPr="00E637A1">
          <w:rPr>
            <w:rStyle w:val="Hyperlink"/>
          </w:rPr>
          <w:t>Figure 24. Intentional ibuprofen poisoning events per month (by age group), and change in total and proportion due to ibuprofen combinations after 2018 codeine S4 scheduling  (NSW PIC 2011-21).</w:t>
        </w:r>
        <w:r w:rsidR="00FB253E">
          <w:rPr>
            <w:webHidden/>
          </w:rPr>
          <w:tab/>
        </w:r>
        <w:r w:rsidR="00FB253E">
          <w:rPr>
            <w:webHidden/>
          </w:rPr>
          <w:fldChar w:fldCharType="begin"/>
        </w:r>
        <w:r w:rsidR="00FB253E">
          <w:rPr>
            <w:webHidden/>
          </w:rPr>
          <w:instrText xml:space="preserve"> PAGEREF _Toc114559985 \h </w:instrText>
        </w:r>
        <w:r w:rsidR="00FB253E">
          <w:rPr>
            <w:webHidden/>
          </w:rPr>
        </w:r>
        <w:r w:rsidR="00FB253E">
          <w:rPr>
            <w:webHidden/>
          </w:rPr>
          <w:fldChar w:fldCharType="separate"/>
        </w:r>
        <w:r>
          <w:rPr>
            <w:webHidden/>
          </w:rPr>
          <w:t>37</w:t>
        </w:r>
        <w:r w:rsidR="00FB253E">
          <w:rPr>
            <w:webHidden/>
          </w:rPr>
          <w:fldChar w:fldCharType="end"/>
        </w:r>
      </w:hyperlink>
    </w:p>
    <w:p w14:paraId="2F7056A5" w14:textId="15AE155C" w:rsidR="00FB253E" w:rsidRDefault="0091734E" w:rsidP="00FB253E">
      <w:pPr>
        <w:pStyle w:val="TableofXbody"/>
        <w:rPr>
          <w:rFonts w:asciiTheme="minorHAnsi" w:eastAsiaTheme="minorEastAsia" w:hAnsiTheme="minorHAnsi"/>
          <w:sz w:val="22"/>
          <w:lang w:eastAsia="en-AU"/>
        </w:rPr>
      </w:pPr>
      <w:hyperlink w:anchor="_Toc114559986" w:history="1">
        <w:r w:rsidR="00FB253E" w:rsidRPr="00E637A1">
          <w:rPr>
            <w:rStyle w:val="Hyperlink"/>
          </w:rPr>
          <w:t>Figure 25. Peak paracetamol levels of 1513 cases where paracetamol level and known time of ingestion was documented in PIC call record.</w:t>
        </w:r>
        <w:r w:rsidR="00FB253E">
          <w:rPr>
            <w:webHidden/>
          </w:rPr>
          <w:tab/>
        </w:r>
        <w:r w:rsidR="00FB253E">
          <w:rPr>
            <w:webHidden/>
          </w:rPr>
          <w:fldChar w:fldCharType="begin"/>
        </w:r>
        <w:r w:rsidR="00FB253E">
          <w:rPr>
            <w:webHidden/>
          </w:rPr>
          <w:instrText xml:space="preserve"> PAGEREF _Toc114559986 \h </w:instrText>
        </w:r>
        <w:r w:rsidR="00FB253E">
          <w:rPr>
            <w:webHidden/>
          </w:rPr>
        </w:r>
        <w:r w:rsidR="00FB253E">
          <w:rPr>
            <w:webHidden/>
          </w:rPr>
          <w:fldChar w:fldCharType="separate"/>
        </w:r>
        <w:r>
          <w:rPr>
            <w:webHidden/>
          </w:rPr>
          <w:t>42</w:t>
        </w:r>
        <w:r w:rsidR="00FB253E">
          <w:rPr>
            <w:webHidden/>
          </w:rPr>
          <w:fldChar w:fldCharType="end"/>
        </w:r>
      </w:hyperlink>
    </w:p>
    <w:p w14:paraId="03B8C01A" w14:textId="18998FE7" w:rsidR="00FB253E" w:rsidRDefault="0091734E" w:rsidP="00FB253E">
      <w:pPr>
        <w:pStyle w:val="TableofXbody"/>
        <w:rPr>
          <w:rFonts w:asciiTheme="minorHAnsi" w:eastAsiaTheme="minorEastAsia" w:hAnsiTheme="minorHAnsi"/>
          <w:sz w:val="22"/>
          <w:lang w:eastAsia="en-AU"/>
        </w:rPr>
      </w:pPr>
      <w:hyperlink w:anchor="_Toc114559987" w:history="1">
        <w:r w:rsidR="00FB253E" w:rsidRPr="00E637A1">
          <w:rPr>
            <w:rStyle w:val="Hyperlink"/>
          </w:rPr>
          <w:t>Figure 26. Peak paracetamol levels (n=121 patients with detectable paracetamol level and known time of ingestion).</w:t>
        </w:r>
        <w:r w:rsidR="00FB253E">
          <w:rPr>
            <w:webHidden/>
          </w:rPr>
          <w:tab/>
        </w:r>
        <w:r w:rsidR="00FB253E">
          <w:rPr>
            <w:webHidden/>
          </w:rPr>
          <w:fldChar w:fldCharType="begin"/>
        </w:r>
        <w:r w:rsidR="00FB253E">
          <w:rPr>
            <w:webHidden/>
          </w:rPr>
          <w:instrText xml:space="preserve"> PAGEREF _Toc114559987 \h </w:instrText>
        </w:r>
        <w:r w:rsidR="00FB253E">
          <w:rPr>
            <w:webHidden/>
          </w:rPr>
        </w:r>
        <w:r w:rsidR="00FB253E">
          <w:rPr>
            <w:webHidden/>
          </w:rPr>
          <w:fldChar w:fldCharType="separate"/>
        </w:r>
        <w:r>
          <w:rPr>
            <w:webHidden/>
          </w:rPr>
          <w:t>46</w:t>
        </w:r>
        <w:r w:rsidR="00FB253E">
          <w:rPr>
            <w:webHidden/>
          </w:rPr>
          <w:fldChar w:fldCharType="end"/>
        </w:r>
      </w:hyperlink>
    </w:p>
    <w:p w14:paraId="61AE55D9" w14:textId="61C724BE" w:rsidR="00FB253E" w:rsidRDefault="0091734E" w:rsidP="00FB253E">
      <w:pPr>
        <w:pStyle w:val="TableofXbody"/>
        <w:rPr>
          <w:rFonts w:asciiTheme="minorHAnsi" w:eastAsiaTheme="minorEastAsia" w:hAnsiTheme="minorHAnsi"/>
          <w:sz w:val="22"/>
          <w:lang w:eastAsia="en-AU"/>
        </w:rPr>
      </w:pPr>
      <w:hyperlink w:anchor="_Toc114559988" w:history="1">
        <w:r w:rsidR="00FB253E" w:rsidRPr="00E637A1">
          <w:rPr>
            <w:rStyle w:val="Hyperlink"/>
          </w:rPr>
          <w:t>Figure 27. National PIC calls about paracetamol exposures – Trends by age 2017-21</w:t>
        </w:r>
        <w:r w:rsidR="00FB253E">
          <w:rPr>
            <w:webHidden/>
          </w:rPr>
          <w:tab/>
        </w:r>
        <w:r w:rsidR="00FB253E">
          <w:rPr>
            <w:webHidden/>
          </w:rPr>
          <w:fldChar w:fldCharType="begin"/>
        </w:r>
        <w:r w:rsidR="00FB253E">
          <w:rPr>
            <w:webHidden/>
          </w:rPr>
          <w:instrText xml:space="preserve"> PAGEREF _Toc114559988 \h </w:instrText>
        </w:r>
        <w:r w:rsidR="00FB253E">
          <w:rPr>
            <w:webHidden/>
          </w:rPr>
        </w:r>
        <w:r w:rsidR="00FB253E">
          <w:rPr>
            <w:webHidden/>
          </w:rPr>
          <w:fldChar w:fldCharType="separate"/>
        </w:r>
        <w:r>
          <w:rPr>
            <w:webHidden/>
          </w:rPr>
          <w:t>48</w:t>
        </w:r>
        <w:r w:rsidR="00FB253E">
          <w:rPr>
            <w:webHidden/>
          </w:rPr>
          <w:fldChar w:fldCharType="end"/>
        </w:r>
      </w:hyperlink>
    </w:p>
    <w:p w14:paraId="78204CB5" w14:textId="422F3F40" w:rsidR="00FB253E" w:rsidRDefault="0091734E" w:rsidP="00FB253E">
      <w:pPr>
        <w:pStyle w:val="TableofXbody"/>
        <w:rPr>
          <w:rFonts w:asciiTheme="minorHAnsi" w:eastAsiaTheme="minorEastAsia" w:hAnsiTheme="minorHAnsi"/>
          <w:sz w:val="22"/>
          <w:lang w:eastAsia="en-AU"/>
        </w:rPr>
      </w:pPr>
      <w:hyperlink w:anchor="_Toc114559989" w:history="1">
        <w:r w:rsidR="00FB253E" w:rsidRPr="00E637A1">
          <w:rPr>
            <w:rStyle w:val="Hyperlink"/>
          </w:rPr>
          <w:t>Figure 28. National PIC calls about paracetamol exposures – Trends by Intent 2017-21</w:t>
        </w:r>
        <w:r w:rsidR="00FB253E">
          <w:rPr>
            <w:webHidden/>
          </w:rPr>
          <w:tab/>
        </w:r>
        <w:r w:rsidR="00FB253E">
          <w:rPr>
            <w:webHidden/>
          </w:rPr>
          <w:fldChar w:fldCharType="begin"/>
        </w:r>
        <w:r w:rsidR="00FB253E">
          <w:rPr>
            <w:webHidden/>
          </w:rPr>
          <w:instrText xml:space="preserve"> PAGEREF _Toc114559989 \h </w:instrText>
        </w:r>
        <w:r w:rsidR="00FB253E">
          <w:rPr>
            <w:webHidden/>
          </w:rPr>
        </w:r>
        <w:r w:rsidR="00FB253E">
          <w:rPr>
            <w:webHidden/>
          </w:rPr>
          <w:fldChar w:fldCharType="separate"/>
        </w:r>
        <w:r>
          <w:rPr>
            <w:webHidden/>
          </w:rPr>
          <w:t>49</w:t>
        </w:r>
        <w:r w:rsidR="00FB253E">
          <w:rPr>
            <w:webHidden/>
          </w:rPr>
          <w:fldChar w:fldCharType="end"/>
        </w:r>
      </w:hyperlink>
    </w:p>
    <w:p w14:paraId="0A2BA4A8" w14:textId="20F4C3E4" w:rsidR="00FB253E" w:rsidRDefault="0091734E" w:rsidP="00FB253E">
      <w:pPr>
        <w:pStyle w:val="TableofXbody"/>
        <w:rPr>
          <w:rFonts w:asciiTheme="minorHAnsi" w:eastAsiaTheme="minorEastAsia" w:hAnsiTheme="minorHAnsi"/>
          <w:sz w:val="22"/>
          <w:lang w:eastAsia="en-AU"/>
        </w:rPr>
      </w:pPr>
      <w:hyperlink w:anchor="_Toc114559990" w:history="1">
        <w:r w:rsidR="00FB253E" w:rsidRPr="00E637A1">
          <w:rPr>
            <w:rStyle w:val="Hyperlink"/>
          </w:rPr>
          <w:t>Figure 29. National PIC calls about deliberate self-poisoning with paracetamol – Trends by Age 2017-21</w:t>
        </w:r>
        <w:r w:rsidR="00FB253E">
          <w:rPr>
            <w:webHidden/>
          </w:rPr>
          <w:tab/>
        </w:r>
        <w:r w:rsidR="00FB253E">
          <w:rPr>
            <w:webHidden/>
          </w:rPr>
          <w:fldChar w:fldCharType="begin"/>
        </w:r>
        <w:r w:rsidR="00FB253E">
          <w:rPr>
            <w:webHidden/>
          </w:rPr>
          <w:instrText xml:space="preserve"> PAGEREF _Toc114559990 \h </w:instrText>
        </w:r>
        <w:r w:rsidR="00FB253E">
          <w:rPr>
            <w:webHidden/>
          </w:rPr>
        </w:r>
        <w:r w:rsidR="00FB253E">
          <w:rPr>
            <w:webHidden/>
          </w:rPr>
          <w:fldChar w:fldCharType="separate"/>
        </w:r>
        <w:r>
          <w:rPr>
            <w:webHidden/>
          </w:rPr>
          <w:t>49</w:t>
        </w:r>
        <w:r w:rsidR="00FB253E">
          <w:rPr>
            <w:webHidden/>
          </w:rPr>
          <w:fldChar w:fldCharType="end"/>
        </w:r>
      </w:hyperlink>
    </w:p>
    <w:p w14:paraId="47587FE5" w14:textId="0461DE8B" w:rsidR="00FB253E" w:rsidRDefault="0091734E" w:rsidP="00FB253E">
      <w:pPr>
        <w:pStyle w:val="TableofXbody"/>
        <w:rPr>
          <w:rFonts w:asciiTheme="minorHAnsi" w:eastAsiaTheme="minorEastAsia" w:hAnsiTheme="minorHAnsi"/>
          <w:sz w:val="22"/>
          <w:lang w:eastAsia="en-AU"/>
        </w:rPr>
      </w:pPr>
      <w:hyperlink w:anchor="_Toc114559991" w:history="1">
        <w:r w:rsidR="00FB253E" w:rsidRPr="00E637A1">
          <w:rPr>
            <w:rStyle w:val="Hyperlink"/>
          </w:rPr>
          <w:t>Figure 30. Comparison of numbers of patients providing relevant data from the four PICs, 2017-21</w:t>
        </w:r>
        <w:r w:rsidR="00FB253E">
          <w:rPr>
            <w:webHidden/>
          </w:rPr>
          <w:tab/>
        </w:r>
        <w:r w:rsidR="00FB253E">
          <w:rPr>
            <w:webHidden/>
          </w:rPr>
          <w:fldChar w:fldCharType="begin"/>
        </w:r>
        <w:r w:rsidR="00FB253E">
          <w:rPr>
            <w:webHidden/>
          </w:rPr>
          <w:instrText xml:space="preserve"> PAGEREF _Toc114559991 \h </w:instrText>
        </w:r>
        <w:r w:rsidR="00FB253E">
          <w:rPr>
            <w:webHidden/>
          </w:rPr>
        </w:r>
        <w:r w:rsidR="00FB253E">
          <w:rPr>
            <w:webHidden/>
          </w:rPr>
          <w:fldChar w:fldCharType="separate"/>
        </w:r>
        <w:r>
          <w:rPr>
            <w:webHidden/>
          </w:rPr>
          <w:t>51</w:t>
        </w:r>
        <w:r w:rsidR="00FB253E">
          <w:rPr>
            <w:webHidden/>
          </w:rPr>
          <w:fldChar w:fldCharType="end"/>
        </w:r>
      </w:hyperlink>
    </w:p>
    <w:p w14:paraId="292F5D3E" w14:textId="42670F4E" w:rsidR="00FB253E" w:rsidRDefault="0091734E" w:rsidP="00FB253E">
      <w:pPr>
        <w:pStyle w:val="TableofXbody"/>
        <w:rPr>
          <w:rFonts w:asciiTheme="minorHAnsi" w:eastAsiaTheme="minorEastAsia" w:hAnsiTheme="minorHAnsi"/>
          <w:sz w:val="22"/>
          <w:lang w:eastAsia="en-AU"/>
        </w:rPr>
      </w:pPr>
      <w:hyperlink w:anchor="_Toc114559992" w:history="1">
        <w:r w:rsidR="00FB253E" w:rsidRPr="00E637A1">
          <w:rPr>
            <w:rStyle w:val="Hyperlink"/>
          </w:rPr>
          <w:t>Figure 31. Comparison of rates of exposures, paracetamol related calls, events and hospitalisations (All PIC data 2018-21).</w:t>
        </w:r>
        <w:r w:rsidR="00FB253E">
          <w:rPr>
            <w:webHidden/>
          </w:rPr>
          <w:tab/>
        </w:r>
        <w:r w:rsidR="00FB253E">
          <w:rPr>
            <w:webHidden/>
          </w:rPr>
          <w:fldChar w:fldCharType="begin"/>
        </w:r>
        <w:r w:rsidR="00FB253E">
          <w:rPr>
            <w:webHidden/>
          </w:rPr>
          <w:instrText xml:space="preserve"> PAGEREF _Toc114559992 \h </w:instrText>
        </w:r>
        <w:r w:rsidR="00FB253E">
          <w:rPr>
            <w:webHidden/>
          </w:rPr>
        </w:r>
        <w:r w:rsidR="00FB253E">
          <w:rPr>
            <w:webHidden/>
          </w:rPr>
          <w:fldChar w:fldCharType="separate"/>
        </w:r>
        <w:r>
          <w:rPr>
            <w:webHidden/>
          </w:rPr>
          <w:t>52</w:t>
        </w:r>
        <w:r w:rsidR="00FB253E">
          <w:rPr>
            <w:webHidden/>
          </w:rPr>
          <w:fldChar w:fldCharType="end"/>
        </w:r>
      </w:hyperlink>
    </w:p>
    <w:p w14:paraId="1918E054" w14:textId="0001C9D6" w:rsidR="00FB253E" w:rsidRDefault="0091734E" w:rsidP="00FB253E">
      <w:pPr>
        <w:pStyle w:val="TableofXbody"/>
        <w:rPr>
          <w:rFonts w:asciiTheme="minorHAnsi" w:eastAsiaTheme="minorEastAsia" w:hAnsiTheme="minorHAnsi"/>
          <w:sz w:val="22"/>
          <w:lang w:eastAsia="en-AU"/>
        </w:rPr>
      </w:pPr>
      <w:hyperlink w:anchor="_Toc114559993" w:history="1">
        <w:r w:rsidR="00FB253E" w:rsidRPr="00E637A1">
          <w:rPr>
            <w:rStyle w:val="Hyperlink"/>
          </w:rPr>
          <w:t>Figure 32. Unit sales of non-prescription analgesics, IQVIA 2017-2021</w:t>
        </w:r>
        <w:r w:rsidR="00FB253E">
          <w:rPr>
            <w:webHidden/>
          </w:rPr>
          <w:tab/>
        </w:r>
        <w:r w:rsidR="00FB253E">
          <w:rPr>
            <w:webHidden/>
          </w:rPr>
          <w:fldChar w:fldCharType="begin"/>
        </w:r>
        <w:r w:rsidR="00FB253E">
          <w:rPr>
            <w:webHidden/>
          </w:rPr>
          <w:instrText xml:space="preserve"> PAGEREF _Toc114559993 \h </w:instrText>
        </w:r>
        <w:r w:rsidR="00FB253E">
          <w:rPr>
            <w:webHidden/>
          </w:rPr>
        </w:r>
        <w:r w:rsidR="00FB253E">
          <w:rPr>
            <w:webHidden/>
          </w:rPr>
          <w:fldChar w:fldCharType="separate"/>
        </w:r>
        <w:r>
          <w:rPr>
            <w:webHidden/>
          </w:rPr>
          <w:t>58</w:t>
        </w:r>
        <w:r w:rsidR="00FB253E">
          <w:rPr>
            <w:webHidden/>
          </w:rPr>
          <w:fldChar w:fldCharType="end"/>
        </w:r>
      </w:hyperlink>
    </w:p>
    <w:p w14:paraId="6A62B0F5" w14:textId="691D9B1E" w:rsidR="00FB253E" w:rsidRDefault="0091734E" w:rsidP="00FB253E">
      <w:pPr>
        <w:pStyle w:val="TableofXbody"/>
        <w:rPr>
          <w:rFonts w:asciiTheme="minorHAnsi" w:eastAsiaTheme="minorEastAsia" w:hAnsiTheme="minorHAnsi"/>
          <w:sz w:val="22"/>
          <w:lang w:eastAsia="en-AU"/>
        </w:rPr>
      </w:pPr>
      <w:hyperlink w:anchor="_Toc114559994" w:history="1">
        <w:r w:rsidR="00FB253E" w:rsidRPr="00E637A1">
          <w:rPr>
            <w:rStyle w:val="Hyperlink"/>
          </w:rPr>
          <w:t>Figure 33. Pharmacy unit sales of non-prescription paracetamol by Schedule, IQVIA 2017-21</w:t>
        </w:r>
        <w:r w:rsidR="00FB253E">
          <w:rPr>
            <w:webHidden/>
          </w:rPr>
          <w:tab/>
        </w:r>
        <w:r w:rsidR="00FB253E">
          <w:rPr>
            <w:webHidden/>
          </w:rPr>
          <w:fldChar w:fldCharType="begin"/>
        </w:r>
        <w:r w:rsidR="00FB253E">
          <w:rPr>
            <w:webHidden/>
          </w:rPr>
          <w:instrText xml:space="preserve"> PAGEREF _Toc114559994 \h </w:instrText>
        </w:r>
        <w:r w:rsidR="00FB253E">
          <w:rPr>
            <w:webHidden/>
          </w:rPr>
        </w:r>
        <w:r w:rsidR="00FB253E">
          <w:rPr>
            <w:webHidden/>
          </w:rPr>
          <w:fldChar w:fldCharType="separate"/>
        </w:r>
        <w:r>
          <w:rPr>
            <w:webHidden/>
          </w:rPr>
          <w:t>59</w:t>
        </w:r>
        <w:r w:rsidR="00FB253E">
          <w:rPr>
            <w:webHidden/>
          </w:rPr>
          <w:fldChar w:fldCharType="end"/>
        </w:r>
      </w:hyperlink>
    </w:p>
    <w:p w14:paraId="672B9AEA" w14:textId="118931E8" w:rsidR="00FB253E" w:rsidRDefault="0091734E" w:rsidP="00FB253E">
      <w:pPr>
        <w:pStyle w:val="TableofXbody"/>
        <w:rPr>
          <w:rFonts w:asciiTheme="minorHAnsi" w:eastAsiaTheme="minorEastAsia" w:hAnsiTheme="minorHAnsi"/>
          <w:sz w:val="22"/>
          <w:lang w:eastAsia="en-AU"/>
        </w:rPr>
      </w:pPr>
      <w:hyperlink w:anchor="_Toc114559995" w:history="1">
        <w:r w:rsidR="00FB253E" w:rsidRPr="00E637A1">
          <w:rPr>
            <w:rStyle w:val="Hyperlink"/>
          </w:rPr>
          <w:t>Figure 34. Pack size of pharmacy sales of non-prescription paracetamol, IQVIA 2017-21, million units and tonnes of paracetamol</w:t>
        </w:r>
        <w:r w:rsidR="00FB253E">
          <w:rPr>
            <w:webHidden/>
          </w:rPr>
          <w:tab/>
        </w:r>
        <w:r w:rsidR="00FB253E">
          <w:rPr>
            <w:webHidden/>
          </w:rPr>
          <w:fldChar w:fldCharType="begin"/>
        </w:r>
        <w:r w:rsidR="00FB253E">
          <w:rPr>
            <w:webHidden/>
          </w:rPr>
          <w:instrText xml:space="preserve"> PAGEREF _Toc114559995 \h </w:instrText>
        </w:r>
        <w:r w:rsidR="00FB253E">
          <w:rPr>
            <w:webHidden/>
          </w:rPr>
        </w:r>
        <w:r w:rsidR="00FB253E">
          <w:rPr>
            <w:webHidden/>
          </w:rPr>
          <w:fldChar w:fldCharType="separate"/>
        </w:r>
        <w:r>
          <w:rPr>
            <w:webHidden/>
          </w:rPr>
          <w:t>59</w:t>
        </w:r>
        <w:r w:rsidR="00FB253E">
          <w:rPr>
            <w:webHidden/>
          </w:rPr>
          <w:fldChar w:fldCharType="end"/>
        </w:r>
      </w:hyperlink>
    </w:p>
    <w:p w14:paraId="0EE30323" w14:textId="23BFFA9C" w:rsidR="00FB253E" w:rsidRDefault="0091734E" w:rsidP="00FB253E">
      <w:pPr>
        <w:pStyle w:val="TableofXbody"/>
        <w:rPr>
          <w:rFonts w:asciiTheme="minorHAnsi" w:eastAsiaTheme="minorEastAsia" w:hAnsiTheme="minorHAnsi"/>
          <w:sz w:val="22"/>
          <w:lang w:eastAsia="en-AU"/>
        </w:rPr>
      </w:pPr>
      <w:hyperlink w:anchor="_Toc114559996" w:history="1">
        <w:r w:rsidR="00FB253E" w:rsidRPr="00E637A1">
          <w:rPr>
            <w:rStyle w:val="Hyperlink"/>
          </w:rPr>
          <w:t>Figure 35. Proportion getting more than one paracetamol item by unit pack size, IQVIA 2017-21.</w:t>
        </w:r>
        <w:r w:rsidR="00FB253E">
          <w:rPr>
            <w:webHidden/>
          </w:rPr>
          <w:tab/>
        </w:r>
        <w:r w:rsidR="00FB253E">
          <w:rPr>
            <w:webHidden/>
          </w:rPr>
          <w:fldChar w:fldCharType="begin"/>
        </w:r>
        <w:r w:rsidR="00FB253E">
          <w:rPr>
            <w:webHidden/>
          </w:rPr>
          <w:instrText xml:space="preserve"> PAGEREF _Toc114559996 \h </w:instrText>
        </w:r>
        <w:r w:rsidR="00FB253E">
          <w:rPr>
            <w:webHidden/>
          </w:rPr>
        </w:r>
        <w:r w:rsidR="00FB253E">
          <w:rPr>
            <w:webHidden/>
          </w:rPr>
          <w:fldChar w:fldCharType="separate"/>
        </w:r>
        <w:r>
          <w:rPr>
            <w:webHidden/>
          </w:rPr>
          <w:t>60</w:t>
        </w:r>
        <w:r w:rsidR="00FB253E">
          <w:rPr>
            <w:webHidden/>
          </w:rPr>
          <w:fldChar w:fldCharType="end"/>
        </w:r>
      </w:hyperlink>
    </w:p>
    <w:p w14:paraId="35FC206B" w14:textId="259E2F8A" w:rsidR="00FB253E" w:rsidRDefault="0091734E" w:rsidP="00FB253E">
      <w:pPr>
        <w:pStyle w:val="TableofXbody"/>
        <w:rPr>
          <w:rFonts w:asciiTheme="minorHAnsi" w:eastAsiaTheme="minorEastAsia" w:hAnsiTheme="minorHAnsi"/>
          <w:sz w:val="22"/>
          <w:lang w:eastAsia="en-AU"/>
        </w:rPr>
      </w:pPr>
      <w:hyperlink w:anchor="_Toc114559997" w:history="1">
        <w:r w:rsidR="00FB253E" w:rsidRPr="00E637A1">
          <w:rPr>
            <w:rStyle w:val="Hyperlink"/>
          </w:rPr>
          <w:t>Figure 36. Unit sales of non-prescription analgesics in grocery stores, IRI2017-2021</w:t>
        </w:r>
        <w:r w:rsidR="00FB253E">
          <w:rPr>
            <w:webHidden/>
          </w:rPr>
          <w:tab/>
        </w:r>
        <w:r w:rsidR="00FB253E">
          <w:rPr>
            <w:webHidden/>
          </w:rPr>
          <w:fldChar w:fldCharType="begin"/>
        </w:r>
        <w:r w:rsidR="00FB253E">
          <w:rPr>
            <w:webHidden/>
          </w:rPr>
          <w:instrText xml:space="preserve"> PAGEREF _Toc114559997 \h </w:instrText>
        </w:r>
        <w:r w:rsidR="00FB253E">
          <w:rPr>
            <w:webHidden/>
          </w:rPr>
        </w:r>
        <w:r w:rsidR="00FB253E">
          <w:rPr>
            <w:webHidden/>
          </w:rPr>
          <w:fldChar w:fldCharType="separate"/>
        </w:r>
        <w:r>
          <w:rPr>
            <w:webHidden/>
          </w:rPr>
          <w:t>61</w:t>
        </w:r>
        <w:r w:rsidR="00FB253E">
          <w:rPr>
            <w:webHidden/>
          </w:rPr>
          <w:fldChar w:fldCharType="end"/>
        </w:r>
      </w:hyperlink>
    </w:p>
    <w:p w14:paraId="24748662" w14:textId="4FBB1D62" w:rsidR="00FB253E" w:rsidRDefault="0091734E" w:rsidP="00FB253E">
      <w:pPr>
        <w:pStyle w:val="TableofXbody"/>
        <w:rPr>
          <w:rFonts w:asciiTheme="minorHAnsi" w:eastAsiaTheme="minorEastAsia" w:hAnsiTheme="minorHAnsi"/>
          <w:sz w:val="22"/>
          <w:lang w:eastAsia="en-AU"/>
        </w:rPr>
      </w:pPr>
      <w:hyperlink w:anchor="_Toc114559998" w:history="1">
        <w:r w:rsidR="00FB253E" w:rsidRPr="00E637A1">
          <w:rPr>
            <w:rStyle w:val="Hyperlink"/>
          </w:rPr>
          <w:t>Figure 37. Grocery sales of non-prescription paracetamol andIRI 2017-21, million units and tonnes of paracetamol</w:t>
        </w:r>
        <w:r w:rsidR="00FB253E">
          <w:rPr>
            <w:webHidden/>
          </w:rPr>
          <w:tab/>
        </w:r>
        <w:r w:rsidR="00FB253E">
          <w:rPr>
            <w:webHidden/>
          </w:rPr>
          <w:fldChar w:fldCharType="begin"/>
        </w:r>
        <w:r w:rsidR="00FB253E">
          <w:rPr>
            <w:webHidden/>
          </w:rPr>
          <w:instrText xml:space="preserve"> PAGEREF _Toc114559998 \h </w:instrText>
        </w:r>
        <w:r w:rsidR="00FB253E">
          <w:rPr>
            <w:webHidden/>
          </w:rPr>
        </w:r>
        <w:r w:rsidR="00FB253E">
          <w:rPr>
            <w:webHidden/>
          </w:rPr>
          <w:fldChar w:fldCharType="separate"/>
        </w:r>
        <w:r>
          <w:rPr>
            <w:webHidden/>
          </w:rPr>
          <w:t>62</w:t>
        </w:r>
        <w:r w:rsidR="00FB253E">
          <w:rPr>
            <w:webHidden/>
          </w:rPr>
          <w:fldChar w:fldCharType="end"/>
        </w:r>
      </w:hyperlink>
    </w:p>
    <w:p w14:paraId="25542B74" w14:textId="6D3FD9C7" w:rsidR="00FB253E" w:rsidRDefault="0091734E" w:rsidP="00FB253E">
      <w:pPr>
        <w:pStyle w:val="TableofXbody"/>
        <w:rPr>
          <w:rFonts w:asciiTheme="minorHAnsi" w:eastAsiaTheme="minorEastAsia" w:hAnsiTheme="minorHAnsi"/>
          <w:sz w:val="22"/>
          <w:lang w:eastAsia="en-AU"/>
        </w:rPr>
      </w:pPr>
      <w:hyperlink w:anchor="_Toc114559999" w:history="1">
        <w:r w:rsidR="00FB253E" w:rsidRPr="00E637A1">
          <w:rPr>
            <w:rStyle w:val="Hyperlink"/>
          </w:rPr>
          <w:t>Figure 38. Grocery sales of non-prescription paracetamol and IRI 2017-21, number of packs purchased when more than one item purchased.</w:t>
        </w:r>
        <w:r w:rsidR="00FB253E">
          <w:rPr>
            <w:webHidden/>
          </w:rPr>
          <w:tab/>
        </w:r>
        <w:r w:rsidR="00FB253E">
          <w:rPr>
            <w:webHidden/>
          </w:rPr>
          <w:fldChar w:fldCharType="begin"/>
        </w:r>
        <w:r w:rsidR="00FB253E">
          <w:rPr>
            <w:webHidden/>
          </w:rPr>
          <w:instrText xml:space="preserve"> PAGEREF _Toc114559999 \h </w:instrText>
        </w:r>
        <w:r w:rsidR="00FB253E">
          <w:rPr>
            <w:webHidden/>
          </w:rPr>
        </w:r>
        <w:r w:rsidR="00FB253E">
          <w:rPr>
            <w:webHidden/>
          </w:rPr>
          <w:fldChar w:fldCharType="separate"/>
        </w:r>
        <w:r>
          <w:rPr>
            <w:webHidden/>
          </w:rPr>
          <w:t>62</w:t>
        </w:r>
        <w:r w:rsidR="00FB253E">
          <w:rPr>
            <w:webHidden/>
          </w:rPr>
          <w:fldChar w:fldCharType="end"/>
        </w:r>
      </w:hyperlink>
    </w:p>
    <w:p w14:paraId="2913D06B" w14:textId="25B4EA5F" w:rsidR="00FB253E" w:rsidRDefault="0091734E" w:rsidP="00FB253E">
      <w:pPr>
        <w:pStyle w:val="TableofXbody"/>
        <w:rPr>
          <w:rFonts w:asciiTheme="minorHAnsi" w:eastAsiaTheme="minorEastAsia" w:hAnsiTheme="minorHAnsi"/>
          <w:sz w:val="22"/>
          <w:lang w:eastAsia="en-AU"/>
        </w:rPr>
      </w:pPr>
      <w:hyperlink w:anchor="_Toc114560000" w:history="1">
        <w:r w:rsidR="00FB253E" w:rsidRPr="00E637A1">
          <w:rPr>
            <w:rStyle w:val="Hyperlink"/>
          </w:rPr>
          <w:t>Figure 39. Scheduling status of paracetamol in selected other OECD countries</w:t>
        </w:r>
        <w:r w:rsidR="00FB253E">
          <w:rPr>
            <w:webHidden/>
          </w:rPr>
          <w:tab/>
        </w:r>
        <w:r w:rsidR="00FB253E">
          <w:rPr>
            <w:webHidden/>
          </w:rPr>
          <w:fldChar w:fldCharType="begin"/>
        </w:r>
        <w:r w:rsidR="00FB253E">
          <w:rPr>
            <w:webHidden/>
          </w:rPr>
          <w:instrText xml:space="preserve"> PAGEREF _Toc114560000 \h </w:instrText>
        </w:r>
        <w:r w:rsidR="00FB253E">
          <w:rPr>
            <w:webHidden/>
          </w:rPr>
        </w:r>
        <w:r w:rsidR="00FB253E">
          <w:rPr>
            <w:webHidden/>
          </w:rPr>
          <w:fldChar w:fldCharType="separate"/>
        </w:r>
        <w:r>
          <w:rPr>
            <w:webHidden/>
          </w:rPr>
          <w:t>70</w:t>
        </w:r>
        <w:r w:rsidR="00FB253E">
          <w:rPr>
            <w:webHidden/>
          </w:rPr>
          <w:fldChar w:fldCharType="end"/>
        </w:r>
      </w:hyperlink>
    </w:p>
    <w:p w14:paraId="782F5316" w14:textId="38C1405D" w:rsidR="00FB253E" w:rsidRDefault="0091734E" w:rsidP="00FB253E">
      <w:pPr>
        <w:pStyle w:val="TableofXbody"/>
        <w:rPr>
          <w:rFonts w:asciiTheme="minorHAnsi" w:eastAsiaTheme="minorEastAsia" w:hAnsiTheme="minorHAnsi"/>
          <w:sz w:val="22"/>
          <w:lang w:eastAsia="en-AU"/>
        </w:rPr>
      </w:pPr>
      <w:hyperlink w:anchor="_Toc114560001" w:history="1">
        <w:r w:rsidR="00FB253E" w:rsidRPr="00E637A1">
          <w:rPr>
            <w:rStyle w:val="Hyperlink"/>
          </w:rPr>
          <w:t>Figure 40. PRISMA flow diagram for study selection process</w:t>
        </w:r>
        <w:r w:rsidR="00FB253E">
          <w:rPr>
            <w:webHidden/>
          </w:rPr>
          <w:tab/>
        </w:r>
        <w:r w:rsidR="00FB253E">
          <w:rPr>
            <w:webHidden/>
          </w:rPr>
          <w:fldChar w:fldCharType="begin"/>
        </w:r>
        <w:r w:rsidR="00FB253E">
          <w:rPr>
            <w:webHidden/>
          </w:rPr>
          <w:instrText xml:space="preserve"> PAGEREF _Toc114560001 \h </w:instrText>
        </w:r>
        <w:r w:rsidR="00FB253E">
          <w:rPr>
            <w:webHidden/>
          </w:rPr>
        </w:r>
        <w:r w:rsidR="00FB253E">
          <w:rPr>
            <w:webHidden/>
          </w:rPr>
          <w:fldChar w:fldCharType="separate"/>
        </w:r>
        <w:r>
          <w:rPr>
            <w:webHidden/>
          </w:rPr>
          <w:t>185</w:t>
        </w:r>
        <w:r w:rsidR="00FB253E">
          <w:rPr>
            <w:webHidden/>
          </w:rPr>
          <w:fldChar w:fldCharType="end"/>
        </w:r>
      </w:hyperlink>
    </w:p>
    <w:p w14:paraId="0F224683" w14:textId="4A93785D" w:rsidR="001F049C" w:rsidRDefault="002D5A1A" w:rsidP="00186613">
      <w:pPr>
        <w:pStyle w:val="TableofXbody"/>
      </w:pPr>
      <w:r w:rsidRPr="0091560A">
        <w:fldChar w:fldCharType="end"/>
      </w:r>
    </w:p>
    <w:p w14:paraId="4D49CF23" w14:textId="77777777" w:rsidR="001F049C" w:rsidRDefault="001F049C">
      <w:pPr>
        <w:rPr>
          <w:rFonts w:asciiTheme="majorHAnsi" w:eastAsiaTheme="majorEastAsia" w:hAnsiTheme="majorHAnsi" w:cstheme="majorBidi"/>
          <w:noProof/>
          <w:color w:val="2F5496" w:themeColor="accent1" w:themeShade="BF"/>
          <w:sz w:val="32"/>
          <w:szCs w:val="32"/>
        </w:rPr>
      </w:pPr>
      <w:r>
        <w:rPr>
          <w:noProof/>
        </w:rPr>
        <w:br w:type="page"/>
      </w:r>
    </w:p>
    <w:p w14:paraId="543A7675" w14:textId="77777777" w:rsidR="00DC70E8" w:rsidRDefault="00AD6821" w:rsidP="00DC70E8">
      <w:pPr>
        <w:pStyle w:val="Heading1"/>
      </w:pPr>
      <w:bookmarkStart w:id="8" w:name="_Toc112843897"/>
      <w:r>
        <w:t>Table</w:t>
      </w:r>
      <w:r w:rsidR="00CF7C92">
        <w:t xml:space="preserve"> of Tables</w:t>
      </w:r>
      <w:bookmarkEnd w:id="8"/>
      <w:r w:rsidR="00CF7C92">
        <w:t xml:space="preserve"> </w:t>
      </w:r>
      <w:r w:rsidR="00CF7C92">
        <w:fldChar w:fldCharType="begin"/>
      </w:r>
      <w:r w:rsidR="00CF7C92">
        <w:instrText xml:space="preserve"> TOC \h \z \c "Table" </w:instrText>
      </w:r>
      <w:r w:rsidR="00CF7C92">
        <w:fldChar w:fldCharType="separate"/>
      </w:r>
    </w:p>
    <w:p w14:paraId="61DF3AB9" w14:textId="67470C9A" w:rsidR="00DC70E8" w:rsidRDefault="0091734E" w:rsidP="00DC70E8">
      <w:pPr>
        <w:pStyle w:val="TableofXbody"/>
        <w:rPr>
          <w:rFonts w:asciiTheme="minorHAnsi" w:eastAsiaTheme="minorEastAsia" w:hAnsiTheme="minorHAnsi"/>
          <w:sz w:val="22"/>
          <w:lang w:eastAsia="en-AU"/>
        </w:rPr>
      </w:pPr>
      <w:hyperlink w:anchor="_Toc114560116" w:history="1">
        <w:r w:rsidR="00DC70E8" w:rsidRPr="004E5360">
          <w:rPr>
            <w:rStyle w:val="Hyperlink"/>
          </w:rPr>
          <w:t>Table 1. Main original data sources used in this report and key limitations</w:t>
        </w:r>
        <w:r w:rsidR="00DC70E8">
          <w:rPr>
            <w:webHidden/>
          </w:rPr>
          <w:tab/>
        </w:r>
        <w:r w:rsidR="00DC70E8">
          <w:rPr>
            <w:webHidden/>
          </w:rPr>
          <w:fldChar w:fldCharType="begin"/>
        </w:r>
        <w:r w:rsidR="00DC70E8">
          <w:rPr>
            <w:webHidden/>
          </w:rPr>
          <w:instrText xml:space="preserve"> PAGEREF _Toc114560116 \h </w:instrText>
        </w:r>
        <w:r w:rsidR="00DC70E8">
          <w:rPr>
            <w:webHidden/>
          </w:rPr>
        </w:r>
        <w:r w:rsidR="00DC70E8">
          <w:rPr>
            <w:webHidden/>
          </w:rPr>
          <w:fldChar w:fldCharType="separate"/>
        </w:r>
        <w:r>
          <w:rPr>
            <w:webHidden/>
          </w:rPr>
          <w:t>19</w:t>
        </w:r>
        <w:r w:rsidR="00DC70E8">
          <w:rPr>
            <w:webHidden/>
          </w:rPr>
          <w:fldChar w:fldCharType="end"/>
        </w:r>
      </w:hyperlink>
    </w:p>
    <w:p w14:paraId="4BDCAB57" w14:textId="4B861021" w:rsidR="00DC70E8" w:rsidRDefault="0091734E" w:rsidP="00DC70E8">
      <w:pPr>
        <w:pStyle w:val="TableofXbody"/>
        <w:rPr>
          <w:rFonts w:asciiTheme="minorHAnsi" w:eastAsiaTheme="minorEastAsia" w:hAnsiTheme="minorHAnsi"/>
          <w:sz w:val="22"/>
          <w:lang w:eastAsia="en-AU"/>
        </w:rPr>
      </w:pPr>
      <w:hyperlink w:anchor="_Toc114560117" w:history="1">
        <w:r w:rsidR="00DC70E8" w:rsidRPr="004E5360">
          <w:rPr>
            <w:rStyle w:val="Hyperlink"/>
          </w:rPr>
          <w:t>Table 2. Highly variable mentions in NCIS and AIHW, indicating the importance of clear descriptions when examining data on deaths from poisoning.</w:t>
        </w:r>
        <w:r w:rsidR="00DC70E8">
          <w:rPr>
            <w:webHidden/>
          </w:rPr>
          <w:tab/>
        </w:r>
        <w:r w:rsidR="00DC70E8">
          <w:rPr>
            <w:webHidden/>
          </w:rPr>
          <w:fldChar w:fldCharType="begin"/>
        </w:r>
        <w:r w:rsidR="00DC70E8">
          <w:rPr>
            <w:webHidden/>
          </w:rPr>
          <w:instrText xml:space="preserve"> PAGEREF _Toc114560117 \h </w:instrText>
        </w:r>
        <w:r w:rsidR="00DC70E8">
          <w:rPr>
            <w:webHidden/>
          </w:rPr>
        </w:r>
        <w:r w:rsidR="00DC70E8">
          <w:rPr>
            <w:webHidden/>
          </w:rPr>
          <w:fldChar w:fldCharType="separate"/>
        </w:r>
        <w:r>
          <w:rPr>
            <w:webHidden/>
          </w:rPr>
          <w:t>26</w:t>
        </w:r>
        <w:r w:rsidR="00DC70E8">
          <w:rPr>
            <w:webHidden/>
          </w:rPr>
          <w:fldChar w:fldCharType="end"/>
        </w:r>
      </w:hyperlink>
    </w:p>
    <w:p w14:paraId="6BA6042A" w14:textId="4CF72D3F" w:rsidR="00DC70E8" w:rsidRDefault="0091734E" w:rsidP="00DC70E8">
      <w:pPr>
        <w:pStyle w:val="TableofXbody"/>
        <w:rPr>
          <w:rFonts w:asciiTheme="minorHAnsi" w:eastAsiaTheme="minorEastAsia" w:hAnsiTheme="minorHAnsi"/>
          <w:sz w:val="22"/>
          <w:lang w:eastAsia="en-AU"/>
        </w:rPr>
      </w:pPr>
      <w:hyperlink w:anchor="_Toc114560118" w:history="1">
        <w:r w:rsidR="00DC70E8" w:rsidRPr="004E5360">
          <w:rPr>
            <w:rStyle w:val="Hyperlink"/>
          </w:rPr>
          <w:t>Table 3. Poison severity score thresholds most relevant to paracetamol poisoning</w:t>
        </w:r>
        <w:r w:rsidR="00DC70E8">
          <w:rPr>
            <w:webHidden/>
          </w:rPr>
          <w:tab/>
        </w:r>
        <w:r w:rsidR="00DC70E8">
          <w:rPr>
            <w:webHidden/>
          </w:rPr>
          <w:fldChar w:fldCharType="begin"/>
        </w:r>
        <w:r w:rsidR="00DC70E8">
          <w:rPr>
            <w:webHidden/>
          </w:rPr>
          <w:instrText xml:space="preserve"> PAGEREF _Toc114560118 \h </w:instrText>
        </w:r>
        <w:r w:rsidR="00DC70E8">
          <w:rPr>
            <w:webHidden/>
          </w:rPr>
        </w:r>
        <w:r w:rsidR="00DC70E8">
          <w:rPr>
            <w:webHidden/>
          </w:rPr>
          <w:fldChar w:fldCharType="separate"/>
        </w:r>
        <w:r>
          <w:rPr>
            <w:webHidden/>
          </w:rPr>
          <w:t>29</w:t>
        </w:r>
        <w:r w:rsidR="00DC70E8">
          <w:rPr>
            <w:webHidden/>
          </w:rPr>
          <w:fldChar w:fldCharType="end"/>
        </w:r>
      </w:hyperlink>
    </w:p>
    <w:p w14:paraId="5AFABE1C" w14:textId="3CBCFCEF" w:rsidR="00DC70E8" w:rsidRDefault="0091734E" w:rsidP="00DC70E8">
      <w:pPr>
        <w:pStyle w:val="TableofXbody"/>
        <w:rPr>
          <w:rFonts w:asciiTheme="minorHAnsi" w:eastAsiaTheme="minorEastAsia" w:hAnsiTheme="minorHAnsi"/>
          <w:sz w:val="22"/>
          <w:lang w:eastAsia="en-AU"/>
        </w:rPr>
      </w:pPr>
      <w:hyperlink w:anchor="_Toc114560119" w:history="1">
        <w:r w:rsidR="00DC70E8" w:rsidRPr="004E5360">
          <w:rPr>
            <w:rStyle w:val="Hyperlink"/>
          </w:rPr>
          <w:t>Table 4. Poisons Severity Score (PSS) for single ingredient paracetamol poisonings.</w:t>
        </w:r>
        <w:r w:rsidR="00DC70E8">
          <w:rPr>
            <w:webHidden/>
          </w:rPr>
          <w:tab/>
        </w:r>
        <w:r w:rsidR="00DC70E8">
          <w:rPr>
            <w:webHidden/>
          </w:rPr>
          <w:fldChar w:fldCharType="begin"/>
        </w:r>
        <w:r w:rsidR="00DC70E8">
          <w:rPr>
            <w:webHidden/>
          </w:rPr>
          <w:instrText xml:space="preserve"> PAGEREF _Toc114560119 \h </w:instrText>
        </w:r>
        <w:r w:rsidR="00DC70E8">
          <w:rPr>
            <w:webHidden/>
          </w:rPr>
        </w:r>
        <w:r w:rsidR="00DC70E8">
          <w:rPr>
            <w:webHidden/>
          </w:rPr>
          <w:fldChar w:fldCharType="separate"/>
        </w:r>
        <w:r>
          <w:rPr>
            <w:webHidden/>
          </w:rPr>
          <w:t>38</w:t>
        </w:r>
        <w:r w:rsidR="00DC70E8">
          <w:rPr>
            <w:webHidden/>
          </w:rPr>
          <w:fldChar w:fldCharType="end"/>
        </w:r>
      </w:hyperlink>
    </w:p>
    <w:p w14:paraId="605C25F1" w14:textId="70809DCA" w:rsidR="00DC70E8" w:rsidRDefault="0091734E" w:rsidP="00DC70E8">
      <w:pPr>
        <w:pStyle w:val="TableofXbody"/>
        <w:rPr>
          <w:rFonts w:asciiTheme="minorHAnsi" w:eastAsiaTheme="minorEastAsia" w:hAnsiTheme="minorHAnsi"/>
          <w:sz w:val="22"/>
          <w:lang w:eastAsia="en-AU"/>
        </w:rPr>
      </w:pPr>
      <w:hyperlink w:anchor="_Toc114560120" w:history="1">
        <w:r w:rsidR="00DC70E8" w:rsidRPr="004E5360">
          <w:rPr>
            <w:rStyle w:val="Hyperlink"/>
          </w:rPr>
          <w:t>Table 5. Poisons Severity Score (PSS) for combination ingredient paracetamol poisonings.</w:t>
        </w:r>
        <w:r w:rsidR="00DC70E8">
          <w:rPr>
            <w:webHidden/>
          </w:rPr>
          <w:tab/>
        </w:r>
        <w:r w:rsidR="00DC70E8">
          <w:rPr>
            <w:webHidden/>
          </w:rPr>
          <w:fldChar w:fldCharType="begin"/>
        </w:r>
        <w:r w:rsidR="00DC70E8">
          <w:rPr>
            <w:webHidden/>
          </w:rPr>
          <w:instrText xml:space="preserve"> PAGEREF _Toc114560120 \h </w:instrText>
        </w:r>
        <w:r w:rsidR="00DC70E8">
          <w:rPr>
            <w:webHidden/>
          </w:rPr>
        </w:r>
        <w:r w:rsidR="00DC70E8">
          <w:rPr>
            <w:webHidden/>
          </w:rPr>
          <w:fldChar w:fldCharType="separate"/>
        </w:r>
        <w:r>
          <w:rPr>
            <w:webHidden/>
          </w:rPr>
          <w:t>38</w:t>
        </w:r>
        <w:r w:rsidR="00DC70E8">
          <w:rPr>
            <w:webHidden/>
          </w:rPr>
          <w:fldChar w:fldCharType="end"/>
        </w:r>
      </w:hyperlink>
    </w:p>
    <w:p w14:paraId="4A286C5C" w14:textId="4E154F3E" w:rsidR="00DC70E8" w:rsidRDefault="0091734E" w:rsidP="00DC70E8">
      <w:pPr>
        <w:pStyle w:val="TableofXbody"/>
        <w:rPr>
          <w:rFonts w:asciiTheme="minorHAnsi" w:eastAsiaTheme="minorEastAsia" w:hAnsiTheme="minorHAnsi"/>
          <w:sz w:val="22"/>
          <w:lang w:eastAsia="en-AU"/>
        </w:rPr>
      </w:pPr>
      <w:hyperlink w:anchor="_Toc114560121" w:history="1">
        <w:r w:rsidR="00DC70E8" w:rsidRPr="004E5360">
          <w:rPr>
            <w:rStyle w:val="Hyperlink"/>
          </w:rPr>
          <w:t>Table 6. Sex distribution of paracetamol intentional self-poisonings &gt; 10 g, by age group.</w:t>
        </w:r>
        <w:r w:rsidR="00DC70E8">
          <w:rPr>
            <w:webHidden/>
          </w:rPr>
          <w:tab/>
        </w:r>
        <w:r w:rsidR="00DC70E8">
          <w:rPr>
            <w:webHidden/>
          </w:rPr>
          <w:fldChar w:fldCharType="begin"/>
        </w:r>
        <w:r w:rsidR="00DC70E8">
          <w:rPr>
            <w:webHidden/>
          </w:rPr>
          <w:instrText xml:space="preserve"> PAGEREF _Toc114560121 \h </w:instrText>
        </w:r>
        <w:r w:rsidR="00DC70E8">
          <w:rPr>
            <w:webHidden/>
          </w:rPr>
        </w:r>
        <w:r w:rsidR="00DC70E8">
          <w:rPr>
            <w:webHidden/>
          </w:rPr>
          <w:fldChar w:fldCharType="separate"/>
        </w:r>
        <w:r>
          <w:rPr>
            <w:webHidden/>
          </w:rPr>
          <w:t>40</w:t>
        </w:r>
        <w:r w:rsidR="00DC70E8">
          <w:rPr>
            <w:webHidden/>
          </w:rPr>
          <w:fldChar w:fldCharType="end"/>
        </w:r>
      </w:hyperlink>
    </w:p>
    <w:p w14:paraId="0BD1EF26" w14:textId="39B957DC" w:rsidR="00DC70E8" w:rsidRDefault="0091734E" w:rsidP="00DC70E8">
      <w:pPr>
        <w:pStyle w:val="TableofXbody"/>
        <w:rPr>
          <w:rFonts w:asciiTheme="minorHAnsi" w:eastAsiaTheme="minorEastAsia" w:hAnsiTheme="minorHAnsi"/>
          <w:sz w:val="22"/>
          <w:lang w:eastAsia="en-AU"/>
        </w:rPr>
      </w:pPr>
      <w:hyperlink w:anchor="_Toc114560122" w:history="1">
        <w:r w:rsidR="00DC70E8" w:rsidRPr="004E5360">
          <w:rPr>
            <w:rStyle w:val="Hyperlink"/>
          </w:rPr>
          <w:t>Table 7. Acetylcysteine (NAC) dosing by age group.</w:t>
        </w:r>
        <w:r w:rsidR="00DC70E8">
          <w:rPr>
            <w:webHidden/>
          </w:rPr>
          <w:tab/>
        </w:r>
        <w:r w:rsidR="00DC70E8">
          <w:rPr>
            <w:webHidden/>
          </w:rPr>
          <w:fldChar w:fldCharType="begin"/>
        </w:r>
        <w:r w:rsidR="00DC70E8">
          <w:rPr>
            <w:webHidden/>
          </w:rPr>
          <w:instrText xml:space="preserve"> PAGEREF _Toc114560122 \h </w:instrText>
        </w:r>
        <w:r w:rsidR="00DC70E8">
          <w:rPr>
            <w:webHidden/>
          </w:rPr>
        </w:r>
        <w:r w:rsidR="00DC70E8">
          <w:rPr>
            <w:webHidden/>
          </w:rPr>
          <w:fldChar w:fldCharType="separate"/>
        </w:r>
        <w:r>
          <w:rPr>
            <w:webHidden/>
          </w:rPr>
          <w:t>40</w:t>
        </w:r>
        <w:r w:rsidR="00DC70E8">
          <w:rPr>
            <w:webHidden/>
          </w:rPr>
          <w:fldChar w:fldCharType="end"/>
        </w:r>
      </w:hyperlink>
    </w:p>
    <w:p w14:paraId="0FD04399" w14:textId="5636C1CC" w:rsidR="00DC70E8" w:rsidRDefault="0091734E" w:rsidP="00DC70E8">
      <w:pPr>
        <w:pStyle w:val="TableofXbody"/>
        <w:rPr>
          <w:rFonts w:asciiTheme="minorHAnsi" w:eastAsiaTheme="minorEastAsia" w:hAnsiTheme="minorHAnsi"/>
          <w:sz w:val="22"/>
          <w:lang w:eastAsia="en-AU"/>
        </w:rPr>
      </w:pPr>
      <w:hyperlink w:anchor="_Toc114560123" w:history="1">
        <w:r w:rsidR="00DC70E8" w:rsidRPr="004E5360">
          <w:rPr>
            <w:rStyle w:val="Hyperlink"/>
          </w:rPr>
          <w:t>Table 8. Time from exposure to presentation, paracetamol poisonings &gt; 10 g, by age group.</w:t>
        </w:r>
        <w:r w:rsidR="00DC70E8">
          <w:rPr>
            <w:webHidden/>
          </w:rPr>
          <w:tab/>
        </w:r>
        <w:r w:rsidR="00DC70E8">
          <w:rPr>
            <w:webHidden/>
          </w:rPr>
          <w:fldChar w:fldCharType="begin"/>
        </w:r>
        <w:r w:rsidR="00DC70E8">
          <w:rPr>
            <w:webHidden/>
          </w:rPr>
          <w:instrText xml:space="preserve"> PAGEREF _Toc114560123 \h </w:instrText>
        </w:r>
        <w:r w:rsidR="00DC70E8">
          <w:rPr>
            <w:webHidden/>
          </w:rPr>
        </w:r>
        <w:r w:rsidR="00DC70E8">
          <w:rPr>
            <w:webHidden/>
          </w:rPr>
          <w:fldChar w:fldCharType="separate"/>
        </w:r>
        <w:r>
          <w:rPr>
            <w:webHidden/>
          </w:rPr>
          <w:t>41</w:t>
        </w:r>
        <w:r w:rsidR="00DC70E8">
          <w:rPr>
            <w:webHidden/>
          </w:rPr>
          <w:fldChar w:fldCharType="end"/>
        </w:r>
      </w:hyperlink>
    </w:p>
    <w:p w14:paraId="43BE004D" w14:textId="0C1698A1" w:rsidR="00DC70E8" w:rsidRDefault="0091734E" w:rsidP="00DC70E8">
      <w:pPr>
        <w:pStyle w:val="TableofXbody"/>
        <w:rPr>
          <w:rFonts w:asciiTheme="minorHAnsi" w:eastAsiaTheme="minorEastAsia" w:hAnsiTheme="minorHAnsi"/>
          <w:sz w:val="22"/>
          <w:lang w:eastAsia="en-AU"/>
        </w:rPr>
      </w:pPr>
      <w:hyperlink w:anchor="_Toc114560124" w:history="1">
        <w:r w:rsidR="00DC70E8" w:rsidRPr="004E5360">
          <w:rPr>
            <w:rStyle w:val="Hyperlink"/>
          </w:rPr>
          <w:t>Table 9. Charcoal administration</w:t>
        </w:r>
        <w:r w:rsidR="00DC70E8">
          <w:rPr>
            <w:webHidden/>
          </w:rPr>
          <w:tab/>
        </w:r>
        <w:r w:rsidR="00DC70E8">
          <w:rPr>
            <w:webHidden/>
          </w:rPr>
          <w:fldChar w:fldCharType="begin"/>
        </w:r>
        <w:r w:rsidR="00DC70E8">
          <w:rPr>
            <w:webHidden/>
          </w:rPr>
          <w:instrText xml:space="preserve"> PAGEREF _Toc114560124 \h </w:instrText>
        </w:r>
        <w:r w:rsidR="00DC70E8">
          <w:rPr>
            <w:webHidden/>
          </w:rPr>
        </w:r>
        <w:r w:rsidR="00DC70E8">
          <w:rPr>
            <w:webHidden/>
          </w:rPr>
          <w:fldChar w:fldCharType="separate"/>
        </w:r>
        <w:r>
          <w:rPr>
            <w:webHidden/>
          </w:rPr>
          <w:t>41</w:t>
        </w:r>
        <w:r w:rsidR="00DC70E8">
          <w:rPr>
            <w:webHidden/>
          </w:rPr>
          <w:fldChar w:fldCharType="end"/>
        </w:r>
      </w:hyperlink>
    </w:p>
    <w:p w14:paraId="6B1E5AE5" w14:textId="02DCB447" w:rsidR="00DC70E8" w:rsidRDefault="0091734E" w:rsidP="00DC70E8">
      <w:pPr>
        <w:pStyle w:val="TableofXbody"/>
        <w:rPr>
          <w:rFonts w:asciiTheme="minorHAnsi" w:eastAsiaTheme="minorEastAsia" w:hAnsiTheme="minorHAnsi"/>
          <w:sz w:val="22"/>
          <w:lang w:eastAsia="en-AU"/>
        </w:rPr>
      </w:pPr>
      <w:hyperlink w:anchor="_Toc114560125" w:history="1">
        <w:r w:rsidR="00DC70E8" w:rsidRPr="004E5360">
          <w:rPr>
            <w:rStyle w:val="Hyperlink"/>
          </w:rPr>
          <w:t>Table 10. Time from exposure to presentation, cases with ALT &gt;1000</w:t>
        </w:r>
        <w:r w:rsidR="00DC70E8">
          <w:rPr>
            <w:webHidden/>
          </w:rPr>
          <w:tab/>
        </w:r>
        <w:r w:rsidR="00DC70E8">
          <w:rPr>
            <w:webHidden/>
          </w:rPr>
          <w:fldChar w:fldCharType="begin"/>
        </w:r>
        <w:r w:rsidR="00DC70E8">
          <w:rPr>
            <w:webHidden/>
          </w:rPr>
          <w:instrText xml:space="preserve"> PAGEREF _Toc114560125 \h </w:instrText>
        </w:r>
        <w:r w:rsidR="00DC70E8">
          <w:rPr>
            <w:webHidden/>
          </w:rPr>
        </w:r>
        <w:r w:rsidR="00DC70E8">
          <w:rPr>
            <w:webHidden/>
          </w:rPr>
          <w:fldChar w:fldCharType="separate"/>
        </w:r>
        <w:r>
          <w:rPr>
            <w:webHidden/>
          </w:rPr>
          <w:t>41</w:t>
        </w:r>
        <w:r w:rsidR="00DC70E8">
          <w:rPr>
            <w:webHidden/>
          </w:rPr>
          <w:fldChar w:fldCharType="end"/>
        </w:r>
      </w:hyperlink>
    </w:p>
    <w:p w14:paraId="0691E3A1" w14:textId="64F9BFA1" w:rsidR="00DC70E8" w:rsidRDefault="0091734E" w:rsidP="00DC70E8">
      <w:pPr>
        <w:pStyle w:val="TableofXbody"/>
        <w:rPr>
          <w:rFonts w:asciiTheme="minorHAnsi" w:eastAsiaTheme="minorEastAsia" w:hAnsiTheme="minorHAnsi"/>
          <w:sz w:val="22"/>
          <w:lang w:eastAsia="en-AU"/>
        </w:rPr>
      </w:pPr>
      <w:hyperlink w:anchor="_Toc114560126" w:history="1">
        <w:r w:rsidR="00DC70E8" w:rsidRPr="004E5360">
          <w:rPr>
            <w:rStyle w:val="Hyperlink"/>
          </w:rPr>
          <w:t>Table 11. Psychiatric diagnoses recorded in paracetamol self-poisonings</w:t>
        </w:r>
        <w:r w:rsidR="00DC70E8">
          <w:rPr>
            <w:webHidden/>
          </w:rPr>
          <w:tab/>
        </w:r>
        <w:r w:rsidR="00DC70E8">
          <w:rPr>
            <w:webHidden/>
          </w:rPr>
          <w:fldChar w:fldCharType="begin"/>
        </w:r>
        <w:r w:rsidR="00DC70E8">
          <w:rPr>
            <w:webHidden/>
          </w:rPr>
          <w:instrText xml:space="preserve"> PAGEREF _Toc114560126 \h </w:instrText>
        </w:r>
        <w:r w:rsidR="00DC70E8">
          <w:rPr>
            <w:webHidden/>
          </w:rPr>
        </w:r>
        <w:r w:rsidR="00DC70E8">
          <w:rPr>
            <w:webHidden/>
          </w:rPr>
          <w:fldChar w:fldCharType="separate"/>
        </w:r>
        <w:r>
          <w:rPr>
            <w:webHidden/>
          </w:rPr>
          <w:t>43</w:t>
        </w:r>
        <w:r w:rsidR="00DC70E8">
          <w:rPr>
            <w:webHidden/>
          </w:rPr>
          <w:fldChar w:fldCharType="end"/>
        </w:r>
      </w:hyperlink>
    </w:p>
    <w:p w14:paraId="25D64246" w14:textId="208D27E1" w:rsidR="00DC70E8" w:rsidRDefault="0091734E" w:rsidP="00DC70E8">
      <w:pPr>
        <w:pStyle w:val="TableofXbody"/>
        <w:rPr>
          <w:rFonts w:asciiTheme="minorHAnsi" w:eastAsiaTheme="minorEastAsia" w:hAnsiTheme="minorHAnsi"/>
          <w:sz w:val="22"/>
          <w:lang w:eastAsia="en-AU"/>
        </w:rPr>
      </w:pPr>
      <w:hyperlink w:anchor="_Toc114560127" w:history="1">
        <w:r w:rsidR="00DC70E8" w:rsidRPr="004E5360">
          <w:rPr>
            <w:rStyle w:val="Hyperlink"/>
          </w:rPr>
          <w:t>Table 12. Reason for exposure, and extent of planning</w:t>
        </w:r>
        <w:r w:rsidR="00DC70E8">
          <w:rPr>
            <w:webHidden/>
          </w:rPr>
          <w:tab/>
        </w:r>
        <w:r w:rsidR="00DC70E8">
          <w:rPr>
            <w:webHidden/>
          </w:rPr>
          <w:fldChar w:fldCharType="begin"/>
        </w:r>
        <w:r w:rsidR="00DC70E8">
          <w:rPr>
            <w:webHidden/>
          </w:rPr>
          <w:instrText xml:space="preserve"> PAGEREF _Toc114560127 \h </w:instrText>
        </w:r>
        <w:r w:rsidR="00DC70E8">
          <w:rPr>
            <w:webHidden/>
          </w:rPr>
        </w:r>
        <w:r w:rsidR="00DC70E8">
          <w:rPr>
            <w:webHidden/>
          </w:rPr>
          <w:fldChar w:fldCharType="separate"/>
        </w:r>
        <w:r>
          <w:rPr>
            <w:webHidden/>
          </w:rPr>
          <w:t>44</w:t>
        </w:r>
        <w:r w:rsidR="00DC70E8">
          <w:rPr>
            <w:webHidden/>
          </w:rPr>
          <w:fldChar w:fldCharType="end"/>
        </w:r>
      </w:hyperlink>
    </w:p>
    <w:p w14:paraId="27B94668" w14:textId="3DE83CD7" w:rsidR="00DC70E8" w:rsidRDefault="0091734E" w:rsidP="00DC70E8">
      <w:pPr>
        <w:pStyle w:val="TableofXbody"/>
        <w:rPr>
          <w:rFonts w:asciiTheme="minorHAnsi" w:eastAsiaTheme="minorEastAsia" w:hAnsiTheme="minorHAnsi"/>
          <w:sz w:val="22"/>
          <w:lang w:eastAsia="en-AU"/>
        </w:rPr>
      </w:pPr>
      <w:hyperlink w:anchor="_Toc114560128" w:history="1">
        <w:r w:rsidR="00DC70E8" w:rsidRPr="004E5360">
          <w:rPr>
            <w:rStyle w:val="Hyperlink"/>
          </w:rPr>
          <w:t>Table 13. Medical treatments and liver damage by age group.</w:t>
        </w:r>
        <w:r w:rsidR="00DC70E8">
          <w:rPr>
            <w:webHidden/>
          </w:rPr>
          <w:tab/>
        </w:r>
        <w:r w:rsidR="00DC70E8">
          <w:rPr>
            <w:webHidden/>
          </w:rPr>
          <w:fldChar w:fldCharType="begin"/>
        </w:r>
        <w:r w:rsidR="00DC70E8">
          <w:rPr>
            <w:webHidden/>
          </w:rPr>
          <w:instrText xml:space="preserve"> PAGEREF _Toc114560128 \h </w:instrText>
        </w:r>
        <w:r w:rsidR="00DC70E8">
          <w:rPr>
            <w:webHidden/>
          </w:rPr>
        </w:r>
        <w:r w:rsidR="00DC70E8">
          <w:rPr>
            <w:webHidden/>
          </w:rPr>
          <w:fldChar w:fldCharType="separate"/>
        </w:r>
        <w:r>
          <w:rPr>
            <w:webHidden/>
          </w:rPr>
          <w:t>45</w:t>
        </w:r>
        <w:r w:rsidR="00DC70E8">
          <w:rPr>
            <w:webHidden/>
          </w:rPr>
          <w:fldChar w:fldCharType="end"/>
        </w:r>
      </w:hyperlink>
    </w:p>
    <w:p w14:paraId="09CEC87E" w14:textId="7EDBDD08" w:rsidR="00DC70E8" w:rsidRDefault="0091734E" w:rsidP="00DC70E8">
      <w:pPr>
        <w:pStyle w:val="TableofXbody"/>
        <w:rPr>
          <w:rFonts w:asciiTheme="minorHAnsi" w:eastAsiaTheme="minorEastAsia" w:hAnsiTheme="minorHAnsi"/>
          <w:sz w:val="22"/>
          <w:lang w:eastAsia="en-AU"/>
        </w:rPr>
      </w:pPr>
      <w:hyperlink w:anchor="_Toc114560129" w:history="1">
        <w:r w:rsidR="00DC70E8" w:rsidRPr="004E5360">
          <w:rPr>
            <w:rStyle w:val="Hyperlink"/>
          </w:rPr>
          <w:t>Table 14.  Numbers of exposure calls to Australian PICs 2017-21</w:t>
        </w:r>
        <w:r w:rsidR="00DC70E8">
          <w:rPr>
            <w:webHidden/>
          </w:rPr>
          <w:tab/>
        </w:r>
        <w:r w:rsidR="00DC70E8">
          <w:rPr>
            <w:webHidden/>
          </w:rPr>
          <w:fldChar w:fldCharType="begin"/>
        </w:r>
        <w:r w:rsidR="00DC70E8">
          <w:rPr>
            <w:webHidden/>
          </w:rPr>
          <w:instrText xml:space="preserve"> PAGEREF _Toc114560129 \h </w:instrText>
        </w:r>
        <w:r w:rsidR="00DC70E8">
          <w:rPr>
            <w:webHidden/>
          </w:rPr>
        </w:r>
        <w:r w:rsidR="00DC70E8">
          <w:rPr>
            <w:webHidden/>
          </w:rPr>
          <w:fldChar w:fldCharType="separate"/>
        </w:r>
        <w:r>
          <w:rPr>
            <w:webHidden/>
          </w:rPr>
          <w:t>48</w:t>
        </w:r>
        <w:r w:rsidR="00DC70E8">
          <w:rPr>
            <w:webHidden/>
          </w:rPr>
          <w:fldChar w:fldCharType="end"/>
        </w:r>
      </w:hyperlink>
    </w:p>
    <w:p w14:paraId="5CEE52E7" w14:textId="58DA63D5" w:rsidR="00DC70E8" w:rsidRDefault="0091734E" w:rsidP="00DC70E8">
      <w:pPr>
        <w:pStyle w:val="TableofXbody"/>
        <w:rPr>
          <w:rFonts w:asciiTheme="minorHAnsi" w:eastAsiaTheme="minorEastAsia" w:hAnsiTheme="minorHAnsi"/>
          <w:sz w:val="22"/>
          <w:lang w:eastAsia="en-AU"/>
        </w:rPr>
      </w:pPr>
      <w:hyperlink w:anchor="_Toc114560130" w:history="1">
        <w:r w:rsidR="00DC70E8" w:rsidRPr="004E5360">
          <w:rPr>
            <w:rStyle w:val="Hyperlink"/>
          </w:rPr>
          <w:t>Table 15. Trends for single vs multiple agents</w:t>
        </w:r>
        <w:r w:rsidR="00DC70E8">
          <w:rPr>
            <w:webHidden/>
          </w:rPr>
          <w:tab/>
        </w:r>
        <w:r w:rsidR="00DC70E8">
          <w:rPr>
            <w:webHidden/>
          </w:rPr>
          <w:fldChar w:fldCharType="begin"/>
        </w:r>
        <w:r w:rsidR="00DC70E8">
          <w:rPr>
            <w:webHidden/>
          </w:rPr>
          <w:instrText xml:space="preserve"> PAGEREF _Toc114560130 \h </w:instrText>
        </w:r>
        <w:r w:rsidR="00DC70E8">
          <w:rPr>
            <w:webHidden/>
          </w:rPr>
        </w:r>
        <w:r w:rsidR="00DC70E8">
          <w:rPr>
            <w:webHidden/>
          </w:rPr>
          <w:fldChar w:fldCharType="separate"/>
        </w:r>
        <w:r>
          <w:rPr>
            <w:webHidden/>
          </w:rPr>
          <w:t>50</w:t>
        </w:r>
        <w:r w:rsidR="00DC70E8">
          <w:rPr>
            <w:webHidden/>
          </w:rPr>
          <w:fldChar w:fldCharType="end"/>
        </w:r>
      </w:hyperlink>
    </w:p>
    <w:p w14:paraId="3DEF4C8C" w14:textId="7F3EB2CF" w:rsidR="00DC70E8" w:rsidRDefault="0091734E" w:rsidP="00DC70E8">
      <w:pPr>
        <w:pStyle w:val="TableofXbody"/>
        <w:rPr>
          <w:rFonts w:asciiTheme="minorHAnsi" w:eastAsiaTheme="minorEastAsia" w:hAnsiTheme="minorHAnsi"/>
          <w:sz w:val="22"/>
          <w:lang w:eastAsia="en-AU"/>
        </w:rPr>
      </w:pPr>
      <w:hyperlink w:anchor="_Toc114560131" w:history="1">
        <w:r w:rsidR="00DC70E8" w:rsidRPr="004E5360">
          <w:rPr>
            <w:rStyle w:val="Hyperlink"/>
          </w:rPr>
          <w:t>Table 16. Demographics of poisoning where further questions on intent and source were answered.</w:t>
        </w:r>
        <w:r w:rsidR="00DC70E8">
          <w:rPr>
            <w:webHidden/>
          </w:rPr>
          <w:tab/>
        </w:r>
        <w:r w:rsidR="00DC70E8">
          <w:rPr>
            <w:webHidden/>
          </w:rPr>
          <w:fldChar w:fldCharType="begin"/>
        </w:r>
        <w:r w:rsidR="00DC70E8">
          <w:rPr>
            <w:webHidden/>
          </w:rPr>
          <w:instrText xml:space="preserve"> PAGEREF _Toc114560131 \h </w:instrText>
        </w:r>
        <w:r w:rsidR="00DC70E8">
          <w:rPr>
            <w:webHidden/>
          </w:rPr>
        </w:r>
        <w:r w:rsidR="00DC70E8">
          <w:rPr>
            <w:webHidden/>
          </w:rPr>
          <w:fldChar w:fldCharType="separate"/>
        </w:r>
        <w:r>
          <w:rPr>
            <w:webHidden/>
          </w:rPr>
          <w:t>54</w:t>
        </w:r>
        <w:r w:rsidR="00DC70E8">
          <w:rPr>
            <w:webHidden/>
          </w:rPr>
          <w:fldChar w:fldCharType="end"/>
        </w:r>
      </w:hyperlink>
    </w:p>
    <w:p w14:paraId="20586E87" w14:textId="013702DC" w:rsidR="00DC70E8" w:rsidRDefault="0091734E" w:rsidP="00DC70E8">
      <w:pPr>
        <w:pStyle w:val="TableofXbody"/>
        <w:rPr>
          <w:rFonts w:asciiTheme="minorHAnsi" w:eastAsiaTheme="minorEastAsia" w:hAnsiTheme="minorHAnsi"/>
          <w:sz w:val="22"/>
          <w:lang w:eastAsia="en-AU"/>
        </w:rPr>
      </w:pPr>
      <w:hyperlink w:anchor="_Toc114560132" w:history="1">
        <w:r w:rsidR="00DC70E8" w:rsidRPr="004E5360">
          <w:rPr>
            <w:rStyle w:val="Hyperlink"/>
          </w:rPr>
          <w:t>Table 17. Response to further questions on intent and source, by age group.</w:t>
        </w:r>
        <w:r w:rsidR="00DC70E8">
          <w:rPr>
            <w:webHidden/>
          </w:rPr>
          <w:tab/>
        </w:r>
        <w:r w:rsidR="00DC70E8">
          <w:rPr>
            <w:webHidden/>
          </w:rPr>
          <w:fldChar w:fldCharType="begin"/>
        </w:r>
        <w:r w:rsidR="00DC70E8">
          <w:rPr>
            <w:webHidden/>
          </w:rPr>
          <w:instrText xml:space="preserve"> PAGEREF _Toc114560132 \h </w:instrText>
        </w:r>
        <w:r w:rsidR="00DC70E8">
          <w:rPr>
            <w:webHidden/>
          </w:rPr>
        </w:r>
        <w:r w:rsidR="00DC70E8">
          <w:rPr>
            <w:webHidden/>
          </w:rPr>
          <w:fldChar w:fldCharType="separate"/>
        </w:r>
        <w:r>
          <w:rPr>
            <w:webHidden/>
          </w:rPr>
          <w:t>54</w:t>
        </w:r>
        <w:r w:rsidR="00DC70E8">
          <w:rPr>
            <w:webHidden/>
          </w:rPr>
          <w:fldChar w:fldCharType="end"/>
        </w:r>
      </w:hyperlink>
    </w:p>
    <w:p w14:paraId="7B94F872" w14:textId="4DD18D7B" w:rsidR="00DC70E8" w:rsidRDefault="0091734E" w:rsidP="00DC70E8">
      <w:pPr>
        <w:pStyle w:val="TableofXbody"/>
        <w:rPr>
          <w:rFonts w:asciiTheme="minorHAnsi" w:eastAsiaTheme="minorEastAsia" w:hAnsiTheme="minorHAnsi"/>
          <w:sz w:val="22"/>
          <w:lang w:eastAsia="en-AU"/>
        </w:rPr>
      </w:pPr>
      <w:hyperlink w:anchor="_Toc114560133" w:history="1">
        <w:r w:rsidR="00DC70E8" w:rsidRPr="004E5360">
          <w:rPr>
            <w:rStyle w:val="Hyperlink"/>
          </w:rPr>
          <w:t>Table 18. Number of packs purchased, where specifically purchased for the overdose</w:t>
        </w:r>
        <w:r w:rsidR="00DC70E8">
          <w:rPr>
            <w:webHidden/>
          </w:rPr>
          <w:tab/>
        </w:r>
        <w:r w:rsidR="00DC70E8">
          <w:rPr>
            <w:webHidden/>
          </w:rPr>
          <w:fldChar w:fldCharType="begin"/>
        </w:r>
        <w:r w:rsidR="00DC70E8">
          <w:rPr>
            <w:webHidden/>
          </w:rPr>
          <w:instrText xml:space="preserve"> PAGEREF _Toc114560133 \h </w:instrText>
        </w:r>
        <w:r w:rsidR="00DC70E8">
          <w:rPr>
            <w:webHidden/>
          </w:rPr>
        </w:r>
        <w:r w:rsidR="00DC70E8">
          <w:rPr>
            <w:webHidden/>
          </w:rPr>
          <w:fldChar w:fldCharType="separate"/>
        </w:r>
        <w:r>
          <w:rPr>
            <w:webHidden/>
          </w:rPr>
          <w:t>55</w:t>
        </w:r>
        <w:r w:rsidR="00DC70E8">
          <w:rPr>
            <w:webHidden/>
          </w:rPr>
          <w:fldChar w:fldCharType="end"/>
        </w:r>
      </w:hyperlink>
    </w:p>
    <w:p w14:paraId="1D0C3197" w14:textId="1DABEDE3" w:rsidR="00DC70E8" w:rsidRDefault="0091734E" w:rsidP="00DC70E8">
      <w:pPr>
        <w:pStyle w:val="TableofXbody"/>
        <w:rPr>
          <w:rFonts w:asciiTheme="minorHAnsi" w:eastAsiaTheme="minorEastAsia" w:hAnsiTheme="minorHAnsi"/>
          <w:sz w:val="22"/>
          <w:lang w:eastAsia="en-AU"/>
        </w:rPr>
      </w:pPr>
      <w:hyperlink w:anchor="_Toc114560134" w:history="1">
        <w:r w:rsidR="00DC70E8" w:rsidRPr="004E5360">
          <w:rPr>
            <w:rStyle w:val="Hyperlink"/>
          </w:rPr>
          <w:t>Table 19. Pack size of paracetamol taken in all ingestions</w:t>
        </w:r>
        <w:r w:rsidR="00DC70E8">
          <w:rPr>
            <w:webHidden/>
          </w:rPr>
          <w:tab/>
        </w:r>
        <w:r w:rsidR="00DC70E8">
          <w:rPr>
            <w:webHidden/>
          </w:rPr>
          <w:fldChar w:fldCharType="begin"/>
        </w:r>
        <w:r w:rsidR="00DC70E8">
          <w:rPr>
            <w:webHidden/>
          </w:rPr>
          <w:instrText xml:space="preserve"> PAGEREF _Toc114560134 \h </w:instrText>
        </w:r>
        <w:r w:rsidR="00DC70E8">
          <w:rPr>
            <w:webHidden/>
          </w:rPr>
        </w:r>
        <w:r w:rsidR="00DC70E8">
          <w:rPr>
            <w:webHidden/>
          </w:rPr>
          <w:fldChar w:fldCharType="separate"/>
        </w:r>
        <w:r>
          <w:rPr>
            <w:webHidden/>
          </w:rPr>
          <w:t>55</w:t>
        </w:r>
        <w:r w:rsidR="00DC70E8">
          <w:rPr>
            <w:webHidden/>
          </w:rPr>
          <w:fldChar w:fldCharType="end"/>
        </w:r>
      </w:hyperlink>
    </w:p>
    <w:p w14:paraId="77D73137" w14:textId="782F74E0" w:rsidR="00DC70E8" w:rsidRDefault="0091734E" w:rsidP="00DC70E8">
      <w:pPr>
        <w:pStyle w:val="TableofXbody"/>
        <w:rPr>
          <w:rFonts w:asciiTheme="minorHAnsi" w:eastAsiaTheme="minorEastAsia" w:hAnsiTheme="minorHAnsi"/>
          <w:sz w:val="22"/>
          <w:lang w:eastAsia="en-AU"/>
        </w:rPr>
      </w:pPr>
      <w:hyperlink w:anchor="_Toc114560135" w:history="1">
        <w:r w:rsidR="00DC70E8" w:rsidRPr="004E5360">
          <w:rPr>
            <w:rStyle w:val="Hyperlink"/>
          </w:rPr>
          <w:t>Table 20. Schedule of ingested products</w:t>
        </w:r>
        <w:r w:rsidR="00DC70E8">
          <w:rPr>
            <w:webHidden/>
          </w:rPr>
          <w:tab/>
        </w:r>
        <w:r w:rsidR="00DC70E8">
          <w:rPr>
            <w:webHidden/>
          </w:rPr>
          <w:fldChar w:fldCharType="begin"/>
        </w:r>
        <w:r w:rsidR="00DC70E8">
          <w:rPr>
            <w:webHidden/>
          </w:rPr>
          <w:instrText xml:space="preserve"> PAGEREF _Toc114560135 \h </w:instrText>
        </w:r>
        <w:r w:rsidR="00DC70E8">
          <w:rPr>
            <w:webHidden/>
          </w:rPr>
        </w:r>
        <w:r w:rsidR="00DC70E8">
          <w:rPr>
            <w:webHidden/>
          </w:rPr>
          <w:fldChar w:fldCharType="separate"/>
        </w:r>
        <w:r>
          <w:rPr>
            <w:webHidden/>
          </w:rPr>
          <w:t>56</w:t>
        </w:r>
        <w:r w:rsidR="00DC70E8">
          <w:rPr>
            <w:webHidden/>
          </w:rPr>
          <w:fldChar w:fldCharType="end"/>
        </w:r>
      </w:hyperlink>
    </w:p>
    <w:p w14:paraId="1587F023" w14:textId="52FEA89A" w:rsidR="00DC70E8" w:rsidRDefault="0091734E" w:rsidP="00DC70E8">
      <w:pPr>
        <w:pStyle w:val="TableofXbody"/>
        <w:rPr>
          <w:rFonts w:asciiTheme="minorHAnsi" w:eastAsiaTheme="minorEastAsia" w:hAnsiTheme="minorHAnsi"/>
          <w:sz w:val="22"/>
          <w:lang w:eastAsia="en-AU"/>
        </w:rPr>
      </w:pPr>
      <w:hyperlink w:anchor="_Toc114560136" w:history="1">
        <w:r w:rsidR="00DC70E8" w:rsidRPr="004E5360">
          <w:rPr>
            <w:rStyle w:val="Hyperlink"/>
          </w:rPr>
          <w:t>Table 21. Comparison of coverage and annual numbers from different sources in 2019/20.</w:t>
        </w:r>
        <w:r w:rsidR="00DC70E8">
          <w:rPr>
            <w:webHidden/>
          </w:rPr>
          <w:tab/>
        </w:r>
        <w:r w:rsidR="00DC70E8">
          <w:rPr>
            <w:webHidden/>
          </w:rPr>
          <w:fldChar w:fldCharType="begin"/>
        </w:r>
        <w:r w:rsidR="00DC70E8">
          <w:rPr>
            <w:webHidden/>
          </w:rPr>
          <w:instrText xml:space="preserve"> PAGEREF _Toc114560136 \h </w:instrText>
        </w:r>
        <w:r w:rsidR="00DC70E8">
          <w:rPr>
            <w:webHidden/>
          </w:rPr>
        </w:r>
        <w:r w:rsidR="00DC70E8">
          <w:rPr>
            <w:webHidden/>
          </w:rPr>
          <w:fldChar w:fldCharType="separate"/>
        </w:r>
        <w:r>
          <w:rPr>
            <w:webHidden/>
          </w:rPr>
          <w:t>57</w:t>
        </w:r>
        <w:r w:rsidR="00DC70E8">
          <w:rPr>
            <w:webHidden/>
          </w:rPr>
          <w:fldChar w:fldCharType="end"/>
        </w:r>
      </w:hyperlink>
    </w:p>
    <w:p w14:paraId="1B142A96" w14:textId="5314B286" w:rsidR="00DC70E8" w:rsidRDefault="0091734E" w:rsidP="00DC70E8">
      <w:pPr>
        <w:pStyle w:val="TableofXbody"/>
        <w:rPr>
          <w:rFonts w:asciiTheme="minorHAnsi" w:eastAsiaTheme="minorEastAsia" w:hAnsiTheme="minorHAnsi"/>
          <w:sz w:val="22"/>
          <w:lang w:eastAsia="en-AU"/>
        </w:rPr>
      </w:pPr>
      <w:hyperlink w:anchor="_Toc114560137" w:history="1">
        <w:r w:rsidR="00DC70E8" w:rsidRPr="004E5360">
          <w:rPr>
            <w:rStyle w:val="Hyperlink"/>
          </w:rPr>
          <w:t>Table 22. The number and proportion of paracetamol units sold through pharmacy, grocery and convenience stores in 2021 (IQVIA and IRI 2021).</w:t>
        </w:r>
        <w:r w:rsidR="00DC70E8">
          <w:rPr>
            <w:webHidden/>
          </w:rPr>
          <w:tab/>
        </w:r>
        <w:r w:rsidR="00DC70E8">
          <w:rPr>
            <w:webHidden/>
          </w:rPr>
          <w:fldChar w:fldCharType="begin"/>
        </w:r>
        <w:r w:rsidR="00DC70E8">
          <w:rPr>
            <w:webHidden/>
          </w:rPr>
          <w:instrText xml:space="preserve"> PAGEREF _Toc114560137 \h </w:instrText>
        </w:r>
        <w:r w:rsidR="00DC70E8">
          <w:rPr>
            <w:webHidden/>
          </w:rPr>
        </w:r>
        <w:r w:rsidR="00DC70E8">
          <w:rPr>
            <w:webHidden/>
          </w:rPr>
          <w:fldChar w:fldCharType="separate"/>
        </w:r>
        <w:r>
          <w:rPr>
            <w:webHidden/>
          </w:rPr>
          <w:t>61</w:t>
        </w:r>
        <w:r w:rsidR="00DC70E8">
          <w:rPr>
            <w:webHidden/>
          </w:rPr>
          <w:fldChar w:fldCharType="end"/>
        </w:r>
      </w:hyperlink>
    </w:p>
    <w:p w14:paraId="6FB274FC" w14:textId="2AA79165" w:rsidR="00DC70E8" w:rsidRDefault="0091734E" w:rsidP="00DC70E8">
      <w:pPr>
        <w:pStyle w:val="TableofXbody"/>
        <w:rPr>
          <w:rFonts w:asciiTheme="minorHAnsi" w:eastAsiaTheme="minorEastAsia" w:hAnsiTheme="minorHAnsi"/>
          <w:sz w:val="22"/>
          <w:lang w:eastAsia="en-AU"/>
        </w:rPr>
      </w:pPr>
      <w:hyperlink w:anchor="_Toc114560138" w:history="1">
        <w:r w:rsidR="00DC70E8" w:rsidRPr="004E5360">
          <w:rPr>
            <w:rStyle w:val="Hyperlink"/>
          </w:rPr>
          <w:t>Table 23. Units of paracetamol and other non-prescription analgesics sold in Australia by head of population</w:t>
        </w:r>
        <w:r w:rsidR="00DC70E8">
          <w:rPr>
            <w:webHidden/>
          </w:rPr>
          <w:tab/>
        </w:r>
        <w:r w:rsidR="00DC70E8">
          <w:rPr>
            <w:webHidden/>
          </w:rPr>
          <w:fldChar w:fldCharType="begin"/>
        </w:r>
        <w:r w:rsidR="00DC70E8">
          <w:rPr>
            <w:webHidden/>
          </w:rPr>
          <w:instrText xml:space="preserve"> PAGEREF _Toc114560138 \h </w:instrText>
        </w:r>
        <w:r w:rsidR="00DC70E8">
          <w:rPr>
            <w:webHidden/>
          </w:rPr>
        </w:r>
        <w:r w:rsidR="00DC70E8">
          <w:rPr>
            <w:webHidden/>
          </w:rPr>
          <w:fldChar w:fldCharType="separate"/>
        </w:r>
        <w:r>
          <w:rPr>
            <w:webHidden/>
          </w:rPr>
          <w:t>64</w:t>
        </w:r>
        <w:r w:rsidR="00DC70E8">
          <w:rPr>
            <w:webHidden/>
          </w:rPr>
          <w:fldChar w:fldCharType="end"/>
        </w:r>
      </w:hyperlink>
    </w:p>
    <w:p w14:paraId="2C3EE61A" w14:textId="7B801889" w:rsidR="00DC70E8" w:rsidRDefault="0091734E" w:rsidP="00DC70E8">
      <w:pPr>
        <w:pStyle w:val="TableofXbody"/>
        <w:rPr>
          <w:rFonts w:asciiTheme="minorHAnsi" w:eastAsiaTheme="minorEastAsia" w:hAnsiTheme="minorHAnsi"/>
          <w:sz w:val="22"/>
          <w:lang w:eastAsia="en-AU"/>
        </w:rPr>
      </w:pPr>
      <w:hyperlink w:anchor="_Toc114560139" w:history="1">
        <w:r w:rsidR="00DC70E8" w:rsidRPr="004E5360">
          <w:rPr>
            <w:rStyle w:val="Hyperlink"/>
          </w:rPr>
          <w:t>Table 24. AIHW admissions data by head of population</w:t>
        </w:r>
        <w:r w:rsidR="00DC70E8">
          <w:rPr>
            <w:webHidden/>
          </w:rPr>
          <w:tab/>
        </w:r>
        <w:r w:rsidR="00DC70E8">
          <w:rPr>
            <w:webHidden/>
          </w:rPr>
          <w:fldChar w:fldCharType="begin"/>
        </w:r>
        <w:r w:rsidR="00DC70E8">
          <w:rPr>
            <w:webHidden/>
          </w:rPr>
          <w:instrText xml:space="preserve"> PAGEREF _Toc114560139 \h </w:instrText>
        </w:r>
        <w:r w:rsidR="00DC70E8">
          <w:rPr>
            <w:webHidden/>
          </w:rPr>
        </w:r>
        <w:r w:rsidR="00DC70E8">
          <w:rPr>
            <w:webHidden/>
          </w:rPr>
          <w:fldChar w:fldCharType="separate"/>
        </w:r>
        <w:r>
          <w:rPr>
            <w:webHidden/>
          </w:rPr>
          <w:t>65</w:t>
        </w:r>
        <w:r w:rsidR="00DC70E8">
          <w:rPr>
            <w:webHidden/>
          </w:rPr>
          <w:fldChar w:fldCharType="end"/>
        </w:r>
      </w:hyperlink>
    </w:p>
    <w:p w14:paraId="040E4559" w14:textId="6170084E" w:rsidR="00DC70E8" w:rsidRDefault="0091734E" w:rsidP="00DC70E8">
      <w:pPr>
        <w:pStyle w:val="TableofXbody"/>
        <w:rPr>
          <w:rFonts w:asciiTheme="minorHAnsi" w:eastAsiaTheme="minorEastAsia" w:hAnsiTheme="minorHAnsi"/>
          <w:sz w:val="22"/>
          <w:lang w:eastAsia="en-AU"/>
        </w:rPr>
      </w:pPr>
      <w:hyperlink w:anchor="_Toc114560140" w:history="1">
        <w:r w:rsidR="00DC70E8" w:rsidRPr="004E5360">
          <w:rPr>
            <w:rStyle w:val="Hyperlink"/>
          </w:rPr>
          <w:t>Table 25. NCIS data by head of population</w:t>
        </w:r>
        <w:r w:rsidR="00DC70E8">
          <w:rPr>
            <w:webHidden/>
          </w:rPr>
          <w:tab/>
        </w:r>
        <w:r w:rsidR="00DC70E8">
          <w:rPr>
            <w:webHidden/>
          </w:rPr>
          <w:fldChar w:fldCharType="begin"/>
        </w:r>
        <w:r w:rsidR="00DC70E8">
          <w:rPr>
            <w:webHidden/>
          </w:rPr>
          <w:instrText xml:space="preserve"> PAGEREF _Toc114560140 \h </w:instrText>
        </w:r>
        <w:r w:rsidR="00DC70E8">
          <w:rPr>
            <w:webHidden/>
          </w:rPr>
        </w:r>
        <w:r w:rsidR="00DC70E8">
          <w:rPr>
            <w:webHidden/>
          </w:rPr>
          <w:fldChar w:fldCharType="separate"/>
        </w:r>
        <w:r>
          <w:rPr>
            <w:webHidden/>
          </w:rPr>
          <w:t>65</w:t>
        </w:r>
        <w:r w:rsidR="00DC70E8">
          <w:rPr>
            <w:webHidden/>
          </w:rPr>
          <w:fldChar w:fldCharType="end"/>
        </w:r>
      </w:hyperlink>
    </w:p>
    <w:p w14:paraId="328708E7" w14:textId="4AA7C85C" w:rsidR="00DC70E8" w:rsidRDefault="0091734E" w:rsidP="00DC70E8">
      <w:pPr>
        <w:pStyle w:val="TableofXbody"/>
        <w:rPr>
          <w:rFonts w:asciiTheme="minorHAnsi" w:eastAsiaTheme="minorEastAsia" w:hAnsiTheme="minorHAnsi"/>
          <w:sz w:val="22"/>
          <w:lang w:eastAsia="en-AU"/>
        </w:rPr>
      </w:pPr>
      <w:hyperlink w:anchor="_Toc114560141" w:history="1">
        <w:r w:rsidR="00DC70E8" w:rsidRPr="004E5360">
          <w:rPr>
            <w:rStyle w:val="Hyperlink"/>
          </w:rPr>
          <w:t>Table 26. Poisonings in Australia from all PIC data by head of population</w:t>
        </w:r>
        <w:r w:rsidR="00DC70E8">
          <w:rPr>
            <w:webHidden/>
          </w:rPr>
          <w:tab/>
        </w:r>
        <w:r w:rsidR="00DC70E8">
          <w:rPr>
            <w:webHidden/>
          </w:rPr>
          <w:fldChar w:fldCharType="begin"/>
        </w:r>
        <w:r w:rsidR="00DC70E8">
          <w:rPr>
            <w:webHidden/>
          </w:rPr>
          <w:instrText xml:space="preserve"> PAGEREF _Toc114560141 \h </w:instrText>
        </w:r>
        <w:r w:rsidR="00DC70E8">
          <w:rPr>
            <w:webHidden/>
          </w:rPr>
        </w:r>
        <w:r w:rsidR="00DC70E8">
          <w:rPr>
            <w:webHidden/>
          </w:rPr>
          <w:fldChar w:fldCharType="separate"/>
        </w:r>
        <w:r>
          <w:rPr>
            <w:webHidden/>
          </w:rPr>
          <w:t>66</w:t>
        </w:r>
        <w:r w:rsidR="00DC70E8">
          <w:rPr>
            <w:webHidden/>
          </w:rPr>
          <w:fldChar w:fldCharType="end"/>
        </w:r>
      </w:hyperlink>
    </w:p>
    <w:p w14:paraId="016D47C9" w14:textId="1AD8EC58" w:rsidR="00DC70E8" w:rsidRDefault="0091734E" w:rsidP="00DC70E8">
      <w:pPr>
        <w:pStyle w:val="TableofXbody"/>
        <w:rPr>
          <w:rFonts w:asciiTheme="minorHAnsi" w:eastAsiaTheme="minorEastAsia" w:hAnsiTheme="minorHAnsi"/>
          <w:sz w:val="22"/>
          <w:lang w:eastAsia="en-AU"/>
        </w:rPr>
      </w:pPr>
      <w:hyperlink w:anchor="_Toc114560142" w:history="1">
        <w:r w:rsidR="00DC70E8" w:rsidRPr="004E5360">
          <w:rPr>
            <w:rStyle w:val="Hyperlink"/>
          </w:rPr>
          <w:t>Table 27. Intentional single ingredient paracetamol poisoning exposure events by gender and age reported to NSW PIC by head of population</w:t>
        </w:r>
        <w:r w:rsidR="00DC70E8">
          <w:rPr>
            <w:webHidden/>
          </w:rPr>
          <w:tab/>
        </w:r>
        <w:r w:rsidR="00DC70E8">
          <w:rPr>
            <w:webHidden/>
          </w:rPr>
          <w:fldChar w:fldCharType="begin"/>
        </w:r>
        <w:r w:rsidR="00DC70E8">
          <w:rPr>
            <w:webHidden/>
          </w:rPr>
          <w:instrText xml:space="preserve"> PAGEREF _Toc114560142 \h </w:instrText>
        </w:r>
        <w:r w:rsidR="00DC70E8">
          <w:rPr>
            <w:webHidden/>
          </w:rPr>
        </w:r>
        <w:r w:rsidR="00DC70E8">
          <w:rPr>
            <w:webHidden/>
          </w:rPr>
          <w:fldChar w:fldCharType="separate"/>
        </w:r>
        <w:r>
          <w:rPr>
            <w:webHidden/>
          </w:rPr>
          <w:t>66</w:t>
        </w:r>
        <w:r w:rsidR="00DC70E8">
          <w:rPr>
            <w:webHidden/>
          </w:rPr>
          <w:fldChar w:fldCharType="end"/>
        </w:r>
      </w:hyperlink>
    </w:p>
    <w:p w14:paraId="58679088" w14:textId="1BF810BE" w:rsidR="00DC70E8" w:rsidRDefault="0091734E" w:rsidP="00DC70E8">
      <w:pPr>
        <w:pStyle w:val="TableofXbody"/>
        <w:rPr>
          <w:rFonts w:asciiTheme="minorHAnsi" w:eastAsiaTheme="minorEastAsia" w:hAnsiTheme="minorHAnsi"/>
          <w:sz w:val="22"/>
          <w:lang w:eastAsia="en-AU"/>
        </w:rPr>
      </w:pPr>
      <w:hyperlink w:anchor="_Toc114560143" w:history="1">
        <w:r w:rsidR="00DC70E8" w:rsidRPr="004E5360">
          <w:rPr>
            <w:rStyle w:val="Hyperlink"/>
          </w:rPr>
          <w:t>Table 28. AIHW admissions data per unit of paracetamol sold</w:t>
        </w:r>
        <w:r w:rsidR="00DC70E8">
          <w:rPr>
            <w:webHidden/>
          </w:rPr>
          <w:tab/>
        </w:r>
        <w:r w:rsidR="00DC70E8">
          <w:rPr>
            <w:webHidden/>
          </w:rPr>
          <w:fldChar w:fldCharType="begin"/>
        </w:r>
        <w:r w:rsidR="00DC70E8">
          <w:rPr>
            <w:webHidden/>
          </w:rPr>
          <w:instrText xml:space="preserve"> PAGEREF _Toc114560143 \h </w:instrText>
        </w:r>
        <w:r w:rsidR="00DC70E8">
          <w:rPr>
            <w:webHidden/>
          </w:rPr>
        </w:r>
        <w:r w:rsidR="00DC70E8">
          <w:rPr>
            <w:webHidden/>
          </w:rPr>
          <w:fldChar w:fldCharType="separate"/>
        </w:r>
        <w:r>
          <w:rPr>
            <w:webHidden/>
          </w:rPr>
          <w:t>67</w:t>
        </w:r>
        <w:r w:rsidR="00DC70E8">
          <w:rPr>
            <w:webHidden/>
          </w:rPr>
          <w:fldChar w:fldCharType="end"/>
        </w:r>
      </w:hyperlink>
    </w:p>
    <w:p w14:paraId="18209930" w14:textId="1ECFD092" w:rsidR="00DC70E8" w:rsidRDefault="0091734E" w:rsidP="00DC70E8">
      <w:pPr>
        <w:pStyle w:val="TableofXbody"/>
        <w:rPr>
          <w:rFonts w:asciiTheme="minorHAnsi" w:eastAsiaTheme="minorEastAsia" w:hAnsiTheme="minorHAnsi"/>
          <w:sz w:val="22"/>
          <w:lang w:eastAsia="en-AU"/>
        </w:rPr>
      </w:pPr>
      <w:hyperlink w:anchor="_Toc114560144" w:history="1">
        <w:r w:rsidR="00DC70E8" w:rsidRPr="004E5360">
          <w:rPr>
            <w:rStyle w:val="Hyperlink"/>
          </w:rPr>
          <w:t>Table 29. NCIS data per unit of paracetamol sold</w:t>
        </w:r>
        <w:r w:rsidR="00DC70E8">
          <w:rPr>
            <w:webHidden/>
          </w:rPr>
          <w:tab/>
        </w:r>
        <w:r w:rsidR="00DC70E8">
          <w:rPr>
            <w:webHidden/>
          </w:rPr>
          <w:fldChar w:fldCharType="begin"/>
        </w:r>
        <w:r w:rsidR="00DC70E8">
          <w:rPr>
            <w:webHidden/>
          </w:rPr>
          <w:instrText xml:space="preserve"> PAGEREF _Toc114560144 \h </w:instrText>
        </w:r>
        <w:r w:rsidR="00DC70E8">
          <w:rPr>
            <w:webHidden/>
          </w:rPr>
        </w:r>
        <w:r w:rsidR="00DC70E8">
          <w:rPr>
            <w:webHidden/>
          </w:rPr>
          <w:fldChar w:fldCharType="separate"/>
        </w:r>
        <w:r>
          <w:rPr>
            <w:webHidden/>
          </w:rPr>
          <w:t>68</w:t>
        </w:r>
        <w:r w:rsidR="00DC70E8">
          <w:rPr>
            <w:webHidden/>
          </w:rPr>
          <w:fldChar w:fldCharType="end"/>
        </w:r>
      </w:hyperlink>
    </w:p>
    <w:p w14:paraId="35A174F8" w14:textId="6A118334" w:rsidR="00DC70E8" w:rsidRDefault="0091734E" w:rsidP="00DC70E8">
      <w:pPr>
        <w:pStyle w:val="TableofXbody"/>
        <w:rPr>
          <w:rFonts w:asciiTheme="minorHAnsi" w:eastAsiaTheme="minorEastAsia" w:hAnsiTheme="minorHAnsi"/>
          <w:sz w:val="22"/>
          <w:lang w:eastAsia="en-AU"/>
        </w:rPr>
      </w:pPr>
      <w:hyperlink w:anchor="_Toc114560145" w:history="1">
        <w:r w:rsidR="00DC70E8" w:rsidRPr="004E5360">
          <w:rPr>
            <w:rStyle w:val="Hyperlink"/>
          </w:rPr>
          <w:t>Table 30. Combined PICs data per unit of paracetamol sold</w:t>
        </w:r>
        <w:r w:rsidR="00DC70E8">
          <w:rPr>
            <w:webHidden/>
          </w:rPr>
          <w:tab/>
        </w:r>
        <w:r w:rsidR="00DC70E8">
          <w:rPr>
            <w:webHidden/>
          </w:rPr>
          <w:fldChar w:fldCharType="begin"/>
        </w:r>
        <w:r w:rsidR="00DC70E8">
          <w:rPr>
            <w:webHidden/>
          </w:rPr>
          <w:instrText xml:space="preserve"> PAGEREF _Toc114560145 \h </w:instrText>
        </w:r>
        <w:r w:rsidR="00DC70E8">
          <w:rPr>
            <w:webHidden/>
          </w:rPr>
        </w:r>
        <w:r w:rsidR="00DC70E8">
          <w:rPr>
            <w:webHidden/>
          </w:rPr>
          <w:fldChar w:fldCharType="separate"/>
        </w:r>
        <w:r>
          <w:rPr>
            <w:webHidden/>
          </w:rPr>
          <w:t>68</w:t>
        </w:r>
        <w:r w:rsidR="00DC70E8">
          <w:rPr>
            <w:webHidden/>
          </w:rPr>
          <w:fldChar w:fldCharType="end"/>
        </w:r>
      </w:hyperlink>
    </w:p>
    <w:p w14:paraId="0E112038" w14:textId="78CCD4AF" w:rsidR="00DC70E8" w:rsidRDefault="0091734E" w:rsidP="00DC70E8">
      <w:pPr>
        <w:pStyle w:val="TableofXbody"/>
        <w:rPr>
          <w:rFonts w:asciiTheme="minorHAnsi" w:eastAsiaTheme="minorEastAsia" w:hAnsiTheme="minorHAnsi"/>
          <w:sz w:val="22"/>
          <w:lang w:eastAsia="en-AU"/>
        </w:rPr>
      </w:pPr>
      <w:hyperlink w:anchor="_Toc114560146" w:history="1">
        <w:r w:rsidR="00DC70E8" w:rsidRPr="004E5360">
          <w:rPr>
            <w:rStyle w:val="Hyperlink"/>
          </w:rPr>
          <w:t>Table 31. Studies examining characteristics associated with intentional self-poisoning with paracetamol or other non-opioid analgesics</w:t>
        </w:r>
        <w:r w:rsidR="00DC70E8">
          <w:rPr>
            <w:webHidden/>
          </w:rPr>
          <w:tab/>
        </w:r>
        <w:r w:rsidR="00DC70E8">
          <w:rPr>
            <w:webHidden/>
          </w:rPr>
          <w:fldChar w:fldCharType="begin"/>
        </w:r>
        <w:r w:rsidR="00DC70E8">
          <w:rPr>
            <w:webHidden/>
          </w:rPr>
          <w:instrText xml:space="preserve"> PAGEREF _Toc114560146 \h </w:instrText>
        </w:r>
        <w:r w:rsidR="00DC70E8">
          <w:rPr>
            <w:webHidden/>
          </w:rPr>
        </w:r>
        <w:r w:rsidR="00DC70E8">
          <w:rPr>
            <w:webHidden/>
          </w:rPr>
          <w:fldChar w:fldCharType="separate"/>
        </w:r>
        <w:r>
          <w:rPr>
            <w:webHidden/>
          </w:rPr>
          <w:t>92</w:t>
        </w:r>
        <w:r w:rsidR="00DC70E8">
          <w:rPr>
            <w:webHidden/>
          </w:rPr>
          <w:fldChar w:fldCharType="end"/>
        </w:r>
      </w:hyperlink>
    </w:p>
    <w:p w14:paraId="420DBAD1" w14:textId="05796C99" w:rsidR="00DC70E8" w:rsidRDefault="0091734E" w:rsidP="00DC70E8">
      <w:pPr>
        <w:pStyle w:val="TableofXbody"/>
        <w:rPr>
          <w:rFonts w:asciiTheme="minorHAnsi" w:eastAsiaTheme="minorEastAsia" w:hAnsiTheme="minorHAnsi"/>
          <w:sz w:val="22"/>
          <w:lang w:eastAsia="en-AU"/>
        </w:rPr>
      </w:pPr>
      <w:hyperlink w:anchor="_Toc114560147" w:history="1">
        <w:r w:rsidR="00DC70E8" w:rsidRPr="004E5360">
          <w:rPr>
            <w:rStyle w:val="Hyperlink"/>
          </w:rPr>
          <w:t>Table 32. Studies examining motivations, planning, and knowledge of harm associated with intentional self-poisoning with paracetamol or other non-opioid analgesics</w:t>
        </w:r>
        <w:r w:rsidR="00DC70E8">
          <w:rPr>
            <w:webHidden/>
          </w:rPr>
          <w:tab/>
        </w:r>
        <w:r w:rsidR="00DC70E8">
          <w:rPr>
            <w:webHidden/>
          </w:rPr>
          <w:fldChar w:fldCharType="begin"/>
        </w:r>
        <w:r w:rsidR="00DC70E8">
          <w:rPr>
            <w:webHidden/>
          </w:rPr>
          <w:instrText xml:space="preserve"> PAGEREF _Toc114560147 \h </w:instrText>
        </w:r>
        <w:r w:rsidR="00DC70E8">
          <w:rPr>
            <w:webHidden/>
          </w:rPr>
        </w:r>
        <w:r w:rsidR="00DC70E8">
          <w:rPr>
            <w:webHidden/>
          </w:rPr>
          <w:fldChar w:fldCharType="separate"/>
        </w:r>
        <w:r>
          <w:rPr>
            <w:webHidden/>
          </w:rPr>
          <w:t>105</w:t>
        </w:r>
        <w:r w:rsidR="00DC70E8">
          <w:rPr>
            <w:webHidden/>
          </w:rPr>
          <w:fldChar w:fldCharType="end"/>
        </w:r>
      </w:hyperlink>
    </w:p>
    <w:p w14:paraId="23C4BFCA" w14:textId="4828E0E7" w:rsidR="00DC70E8" w:rsidRDefault="0091734E" w:rsidP="00DC70E8">
      <w:pPr>
        <w:pStyle w:val="TableofXbody"/>
        <w:rPr>
          <w:rFonts w:asciiTheme="minorHAnsi" w:eastAsiaTheme="minorEastAsia" w:hAnsiTheme="minorHAnsi"/>
          <w:sz w:val="22"/>
          <w:lang w:eastAsia="en-AU"/>
        </w:rPr>
      </w:pPr>
      <w:hyperlink w:anchor="_Toc114560148" w:history="1">
        <w:r w:rsidR="00DC70E8" w:rsidRPr="004E5360">
          <w:rPr>
            <w:rStyle w:val="Hyperlink"/>
          </w:rPr>
          <w:t>Table 33. Studies examining the effect of restricting medication accessibility on overdoses and method substitution to other drugs (ordered based on restriction type)</w:t>
        </w:r>
        <w:r w:rsidR="00DC70E8">
          <w:rPr>
            <w:webHidden/>
          </w:rPr>
          <w:tab/>
        </w:r>
        <w:r w:rsidR="00DC70E8">
          <w:rPr>
            <w:webHidden/>
          </w:rPr>
          <w:fldChar w:fldCharType="begin"/>
        </w:r>
        <w:r w:rsidR="00DC70E8">
          <w:rPr>
            <w:webHidden/>
          </w:rPr>
          <w:instrText xml:space="preserve"> PAGEREF _Toc114560148 \h </w:instrText>
        </w:r>
        <w:r w:rsidR="00DC70E8">
          <w:rPr>
            <w:webHidden/>
          </w:rPr>
        </w:r>
        <w:r w:rsidR="00DC70E8">
          <w:rPr>
            <w:webHidden/>
          </w:rPr>
          <w:fldChar w:fldCharType="separate"/>
        </w:r>
        <w:r>
          <w:rPr>
            <w:webHidden/>
          </w:rPr>
          <w:t>110</w:t>
        </w:r>
        <w:r w:rsidR="00DC70E8">
          <w:rPr>
            <w:webHidden/>
          </w:rPr>
          <w:fldChar w:fldCharType="end"/>
        </w:r>
      </w:hyperlink>
    </w:p>
    <w:p w14:paraId="08615309" w14:textId="3F3C6A2F" w:rsidR="003F43A6" w:rsidRDefault="00CF7C92">
      <w:pPr>
        <w:rPr>
          <w:rFonts w:asciiTheme="majorHAnsi" w:eastAsiaTheme="majorEastAsia" w:hAnsiTheme="majorHAnsi" w:cstheme="majorBidi"/>
          <w:color w:val="2F5496" w:themeColor="accent1" w:themeShade="BF"/>
          <w:sz w:val="26"/>
          <w:szCs w:val="26"/>
        </w:rPr>
      </w:pPr>
      <w:r>
        <w:fldChar w:fldCharType="end"/>
      </w:r>
      <w:r w:rsidR="003F43A6">
        <w:br w:type="page"/>
      </w:r>
    </w:p>
    <w:p w14:paraId="78A8AD8C" w14:textId="0D1F648E" w:rsidR="003F43A6" w:rsidRPr="0091560A" w:rsidRDefault="003F43A6" w:rsidP="000A49C2">
      <w:pPr>
        <w:pStyle w:val="Heading1"/>
      </w:pPr>
      <w:bookmarkStart w:id="9" w:name="_Toc112843898"/>
      <w:r w:rsidRPr="0091560A">
        <w:t>Glossary of key terms</w:t>
      </w:r>
      <w:bookmarkEnd w:id="9"/>
      <w:r w:rsidRPr="0091560A">
        <w:t xml:space="preserve"> </w:t>
      </w:r>
    </w:p>
    <w:p w14:paraId="7A16DB67" w14:textId="77777777" w:rsidR="003F43A6" w:rsidRPr="0091560A" w:rsidRDefault="003F43A6" w:rsidP="003F43A6">
      <w:pPr>
        <w:spacing w:after="0"/>
        <w:rPr>
          <w:rFonts w:cs="Times New Roman"/>
          <w:szCs w:val="24"/>
        </w:rPr>
      </w:pPr>
      <w:r w:rsidRPr="0091560A">
        <w:rPr>
          <w:rFonts w:cs="Times New Roman"/>
          <w:b/>
          <w:bCs/>
          <w:szCs w:val="24"/>
        </w:rPr>
        <w:t>Aspirin:</w:t>
      </w:r>
      <w:r w:rsidRPr="0091560A">
        <w:rPr>
          <w:rFonts w:cs="Times New Roman"/>
          <w:szCs w:val="24"/>
        </w:rPr>
        <w:t xml:space="preserve"> (also acetylsalicylic acid) is a common analgesic that is available over-the-counter in pharmacies and in supermarkets in Australia. It is also classified as a non-steroidal anti-inflammatory medication.  </w:t>
      </w:r>
    </w:p>
    <w:p w14:paraId="59EBEEE2" w14:textId="77777777" w:rsidR="003F43A6" w:rsidRPr="0091560A" w:rsidRDefault="003F43A6" w:rsidP="003F43A6">
      <w:pPr>
        <w:spacing w:after="0"/>
        <w:rPr>
          <w:rFonts w:cs="Times New Roman"/>
          <w:szCs w:val="24"/>
        </w:rPr>
      </w:pPr>
    </w:p>
    <w:p w14:paraId="4B3846AB" w14:textId="77777777" w:rsidR="003F43A6" w:rsidRPr="0091560A" w:rsidRDefault="003F43A6" w:rsidP="003F43A6">
      <w:pPr>
        <w:spacing w:after="0"/>
        <w:rPr>
          <w:rFonts w:cs="Times New Roman"/>
          <w:szCs w:val="24"/>
        </w:rPr>
      </w:pPr>
      <w:r w:rsidRPr="0091560A">
        <w:rPr>
          <w:rFonts w:cs="Times New Roman"/>
          <w:b/>
          <w:bCs/>
          <w:szCs w:val="24"/>
        </w:rPr>
        <w:t>Ibuprofen:</w:t>
      </w:r>
      <w:r w:rsidRPr="0091560A">
        <w:rPr>
          <w:rFonts w:cs="Times New Roman"/>
          <w:szCs w:val="24"/>
        </w:rPr>
        <w:t xml:space="preserve"> is a common analgesic that is available over-the-counter in pharmacies and in supermarkets in Australia. It is also classified as a non-steroidal anti-inflammatory medication.  </w:t>
      </w:r>
    </w:p>
    <w:p w14:paraId="48FBDD8B" w14:textId="77777777" w:rsidR="003F43A6" w:rsidRPr="0091560A" w:rsidRDefault="003F43A6" w:rsidP="003F43A6">
      <w:pPr>
        <w:spacing w:after="0"/>
        <w:rPr>
          <w:rFonts w:cs="Times New Roman"/>
          <w:szCs w:val="24"/>
        </w:rPr>
      </w:pPr>
    </w:p>
    <w:p w14:paraId="016F0C05" w14:textId="77777777" w:rsidR="003F43A6" w:rsidRPr="0091560A" w:rsidRDefault="003F43A6" w:rsidP="003F43A6">
      <w:pPr>
        <w:spacing w:after="0"/>
        <w:rPr>
          <w:rFonts w:cs="Times New Roman"/>
          <w:szCs w:val="24"/>
        </w:rPr>
      </w:pPr>
      <w:r w:rsidRPr="0091560A">
        <w:rPr>
          <w:rFonts w:cs="Times New Roman"/>
          <w:b/>
          <w:bCs/>
          <w:szCs w:val="24"/>
        </w:rPr>
        <w:t xml:space="preserve">Intentional self-poisoning: </w:t>
      </w:r>
      <w:r w:rsidRPr="0091560A">
        <w:rPr>
          <w:rFonts w:cs="Times New Roman"/>
          <w:szCs w:val="24"/>
        </w:rPr>
        <w:t xml:space="preserve">(also deliberate self-poisoning; intentional overdose) refers to deliberate self-exposure to a substance with potential to cause harm in the exposed quantity. This review focuses on intentional self-poisoning by ingestion of paracetamol or similar medication in a quantity exceeding the therapeutic dose. The purpose of intentional self-poisoning is most often self-harm or a suicide attempt, but it may also include intentional misuse or recreational use. </w:t>
      </w:r>
    </w:p>
    <w:p w14:paraId="1C2CCC39" w14:textId="77777777" w:rsidR="003F43A6" w:rsidRPr="0091560A" w:rsidRDefault="003F43A6" w:rsidP="003F43A6">
      <w:pPr>
        <w:spacing w:after="0"/>
        <w:rPr>
          <w:rFonts w:cs="Times New Roman"/>
          <w:szCs w:val="24"/>
        </w:rPr>
      </w:pPr>
    </w:p>
    <w:p w14:paraId="7DA36738" w14:textId="77777777" w:rsidR="003F43A6" w:rsidRPr="0091560A" w:rsidRDefault="003F43A6" w:rsidP="003F43A6">
      <w:pPr>
        <w:spacing w:after="0"/>
        <w:rPr>
          <w:rFonts w:cs="Times New Roman"/>
          <w:szCs w:val="24"/>
        </w:rPr>
      </w:pPr>
      <w:r w:rsidRPr="0091560A">
        <w:rPr>
          <w:rFonts w:cs="Times New Roman"/>
          <w:b/>
          <w:bCs/>
          <w:szCs w:val="24"/>
        </w:rPr>
        <w:t xml:space="preserve">Method substitution: </w:t>
      </w:r>
      <w:r w:rsidRPr="0091560A">
        <w:rPr>
          <w:rFonts w:cs="Times New Roman"/>
          <w:szCs w:val="24"/>
        </w:rPr>
        <w:t xml:space="preserve">refers to the use of an alternate method of self-harm, or suicide following the restriction of access to another means. For example, this review focuses on whether restricting access to paracetamol or other similar medications (e.g., via up-scheduling) results in a ‘switching’ to alternative unrestricted medications or alternate methods of self-harm and suicide. </w:t>
      </w:r>
    </w:p>
    <w:p w14:paraId="00BBC3C0" w14:textId="77777777" w:rsidR="003F43A6" w:rsidRPr="0091560A" w:rsidRDefault="003F43A6" w:rsidP="003F43A6">
      <w:pPr>
        <w:spacing w:after="0"/>
        <w:rPr>
          <w:rFonts w:cs="Times New Roman"/>
          <w:szCs w:val="24"/>
        </w:rPr>
      </w:pPr>
    </w:p>
    <w:p w14:paraId="3E5143F0" w14:textId="77777777" w:rsidR="003F43A6" w:rsidRPr="0091560A" w:rsidRDefault="003F43A6" w:rsidP="003F43A6">
      <w:pPr>
        <w:spacing w:after="0"/>
        <w:rPr>
          <w:rFonts w:cs="Times New Roman"/>
          <w:szCs w:val="24"/>
        </w:rPr>
      </w:pPr>
      <w:r w:rsidRPr="0091560A">
        <w:rPr>
          <w:rFonts w:cs="Times New Roman"/>
          <w:b/>
          <w:bCs/>
          <w:szCs w:val="24"/>
        </w:rPr>
        <w:t xml:space="preserve">Over-the-counter medication: </w:t>
      </w:r>
      <w:r w:rsidRPr="0091560A">
        <w:rPr>
          <w:rFonts w:cs="Times New Roman"/>
          <w:szCs w:val="24"/>
        </w:rPr>
        <w:t>refers to a medication freely accessible at point-of-purchase without the need for a prescription from a health professional.</w:t>
      </w:r>
    </w:p>
    <w:p w14:paraId="4EA827F4" w14:textId="77777777" w:rsidR="003F43A6" w:rsidRPr="0091560A" w:rsidRDefault="003F43A6" w:rsidP="003F43A6">
      <w:pPr>
        <w:spacing w:after="0"/>
        <w:rPr>
          <w:rFonts w:cs="Times New Roman"/>
          <w:szCs w:val="24"/>
        </w:rPr>
      </w:pPr>
    </w:p>
    <w:p w14:paraId="241191CF" w14:textId="77777777" w:rsidR="003F43A6" w:rsidRPr="0091560A" w:rsidRDefault="003F43A6" w:rsidP="003F43A6">
      <w:pPr>
        <w:spacing w:after="0"/>
        <w:rPr>
          <w:rFonts w:cs="Times New Roman"/>
          <w:b/>
          <w:bCs/>
          <w:szCs w:val="24"/>
        </w:rPr>
      </w:pPr>
      <w:r w:rsidRPr="0091560A">
        <w:rPr>
          <w:rFonts w:cs="Times New Roman"/>
          <w:b/>
          <w:bCs/>
          <w:szCs w:val="24"/>
        </w:rPr>
        <w:t xml:space="preserve">Over-the-counter analgesics: </w:t>
      </w:r>
      <w:r w:rsidRPr="0091560A">
        <w:rPr>
          <w:rFonts w:cs="Times New Roman"/>
          <w:szCs w:val="24"/>
        </w:rPr>
        <w:t>refers to medications belonging to the analgesic category that are available without prescription. In Australia, this category includes paracetamol, aspirin</w:t>
      </w:r>
      <w:r>
        <w:rPr>
          <w:rFonts w:cs="Times New Roman"/>
          <w:szCs w:val="24"/>
        </w:rPr>
        <w:t xml:space="preserve"> and</w:t>
      </w:r>
      <w:r w:rsidRPr="0091560A">
        <w:rPr>
          <w:rFonts w:cs="Times New Roman"/>
          <w:szCs w:val="24"/>
        </w:rPr>
        <w:t xml:space="preserve"> ibuprofen. </w:t>
      </w:r>
    </w:p>
    <w:p w14:paraId="511387B1" w14:textId="77777777" w:rsidR="003F43A6" w:rsidRPr="0091560A" w:rsidRDefault="003F43A6" w:rsidP="003F43A6">
      <w:pPr>
        <w:spacing w:after="0"/>
        <w:rPr>
          <w:rFonts w:cs="Times New Roman"/>
          <w:szCs w:val="24"/>
        </w:rPr>
      </w:pPr>
    </w:p>
    <w:p w14:paraId="754974CD" w14:textId="77777777" w:rsidR="003F43A6" w:rsidRPr="0091560A" w:rsidRDefault="003F43A6" w:rsidP="003F43A6">
      <w:pPr>
        <w:spacing w:after="0"/>
        <w:rPr>
          <w:rFonts w:cs="Times New Roman"/>
          <w:szCs w:val="24"/>
        </w:rPr>
      </w:pPr>
      <w:r w:rsidRPr="0091560A">
        <w:rPr>
          <w:rFonts w:cs="Times New Roman"/>
          <w:b/>
          <w:bCs/>
          <w:szCs w:val="24"/>
        </w:rPr>
        <w:t xml:space="preserve">Pack size: </w:t>
      </w:r>
      <w:r w:rsidRPr="0091560A">
        <w:rPr>
          <w:rFonts w:cs="Times New Roman"/>
          <w:szCs w:val="24"/>
        </w:rPr>
        <w:t xml:space="preserve">refers to the number of tablets or capsules sold within a single packet of a medication. </w:t>
      </w:r>
    </w:p>
    <w:p w14:paraId="1E12E512" w14:textId="77777777" w:rsidR="003F43A6" w:rsidRPr="0091560A" w:rsidRDefault="003F43A6" w:rsidP="003F43A6">
      <w:pPr>
        <w:spacing w:after="0"/>
        <w:rPr>
          <w:rFonts w:cs="Times New Roman"/>
          <w:szCs w:val="24"/>
        </w:rPr>
      </w:pPr>
    </w:p>
    <w:p w14:paraId="55EA9C1C" w14:textId="77777777" w:rsidR="003F43A6" w:rsidRPr="0091560A" w:rsidRDefault="003F43A6" w:rsidP="003F43A6">
      <w:pPr>
        <w:spacing w:after="0"/>
        <w:rPr>
          <w:rFonts w:cs="Times New Roman"/>
          <w:szCs w:val="24"/>
        </w:rPr>
      </w:pPr>
      <w:r w:rsidRPr="0091560A">
        <w:rPr>
          <w:rFonts w:cs="Times New Roman"/>
          <w:b/>
          <w:bCs/>
          <w:szCs w:val="24"/>
        </w:rPr>
        <w:t xml:space="preserve">Paracetamol: </w:t>
      </w:r>
      <w:r w:rsidRPr="0091560A">
        <w:rPr>
          <w:rFonts w:cs="Times New Roman"/>
          <w:szCs w:val="24"/>
        </w:rPr>
        <w:t xml:space="preserve">(also acetaminophen) is a common analgesic that is available over-the-counter in pharmacies and in supermarkets in Australia. It is the most common over-the-counter painkiller used in Australia. </w:t>
      </w:r>
    </w:p>
    <w:p w14:paraId="2473BD55" w14:textId="77777777" w:rsidR="003F43A6" w:rsidRPr="0091560A" w:rsidRDefault="003F43A6" w:rsidP="003F43A6">
      <w:pPr>
        <w:spacing w:after="0"/>
        <w:rPr>
          <w:rFonts w:cs="Times New Roman"/>
          <w:szCs w:val="24"/>
        </w:rPr>
      </w:pPr>
    </w:p>
    <w:p w14:paraId="07333395" w14:textId="77777777" w:rsidR="003F43A6" w:rsidRPr="0091560A" w:rsidRDefault="003F43A6" w:rsidP="003F43A6">
      <w:pPr>
        <w:spacing w:after="0"/>
        <w:rPr>
          <w:rFonts w:cs="Times New Roman"/>
          <w:szCs w:val="24"/>
        </w:rPr>
      </w:pPr>
      <w:r w:rsidRPr="0091560A">
        <w:rPr>
          <w:rFonts w:cs="Times New Roman"/>
          <w:b/>
          <w:bCs/>
          <w:szCs w:val="24"/>
        </w:rPr>
        <w:t xml:space="preserve">Scheduling, Up-scheduling, Down-scheduling: </w:t>
      </w:r>
      <w:r w:rsidRPr="0091560A">
        <w:rPr>
          <w:rFonts w:cs="Times New Roman"/>
          <w:szCs w:val="24"/>
        </w:rPr>
        <w:t xml:space="preserve">Scheduling is a national classification system that controls the availability of various medications (and poisons) to the general public. Up-scheduling refers to a change in classification of medication from a less strict to a </w:t>
      </w:r>
      <w:bookmarkStart w:id="10" w:name="_Int_o3HX4JRK"/>
      <w:r w:rsidRPr="0091560A">
        <w:rPr>
          <w:rFonts w:cs="Times New Roman"/>
          <w:szCs w:val="24"/>
        </w:rPr>
        <w:t>more strict</w:t>
      </w:r>
      <w:bookmarkEnd w:id="10"/>
      <w:r w:rsidRPr="0091560A">
        <w:rPr>
          <w:rFonts w:cs="Times New Roman"/>
          <w:szCs w:val="24"/>
        </w:rPr>
        <w:t xml:space="preserve"> category, making the medication more difficult to access. For example, up-scheduling occurred in Australia in 2018 when low-strength codeine products were reclassified from Schedule 3 (Pharmacist Only Medicine) to Schedule 4 (Prescription Only Medicine). Down-scheduling refers to a change in classification of a medication from a more strict category to a less strict category, making the medication more accessible.  </w:t>
      </w:r>
    </w:p>
    <w:p w14:paraId="524E9C77" w14:textId="77777777" w:rsidR="003F43A6" w:rsidRPr="0091560A" w:rsidRDefault="003F43A6" w:rsidP="003F43A6">
      <w:pPr>
        <w:spacing w:after="0"/>
        <w:rPr>
          <w:rFonts w:cs="Times New Roman"/>
          <w:szCs w:val="24"/>
        </w:rPr>
      </w:pPr>
    </w:p>
    <w:p w14:paraId="2CD56A0F" w14:textId="77777777" w:rsidR="003F43A6" w:rsidRPr="0091560A" w:rsidRDefault="003F43A6" w:rsidP="003F43A6">
      <w:pPr>
        <w:spacing w:after="0"/>
        <w:rPr>
          <w:rFonts w:cs="Times New Roman"/>
          <w:szCs w:val="24"/>
        </w:rPr>
      </w:pPr>
      <w:r w:rsidRPr="0091560A">
        <w:rPr>
          <w:rFonts w:cs="Times New Roman"/>
          <w:b/>
          <w:bCs/>
          <w:szCs w:val="24"/>
        </w:rPr>
        <w:t xml:space="preserve">Self-harm: </w:t>
      </w:r>
      <w:r w:rsidRPr="0091560A">
        <w:rPr>
          <w:rFonts w:cs="Times New Roman"/>
          <w:szCs w:val="24"/>
        </w:rPr>
        <w:t>refers to intentional infliction of injury or harm to oneself to cope with, or express emotional distress and internal turmoil. Self-harm may not necessarily involve suicidal intent but can result in fatal outcomes.</w:t>
      </w:r>
    </w:p>
    <w:p w14:paraId="12527959" w14:textId="77777777" w:rsidR="003F43A6" w:rsidRPr="0091560A" w:rsidRDefault="003F43A6" w:rsidP="003F43A6">
      <w:pPr>
        <w:spacing w:after="0"/>
        <w:rPr>
          <w:rFonts w:cs="Times New Roman"/>
          <w:szCs w:val="24"/>
        </w:rPr>
      </w:pPr>
    </w:p>
    <w:p w14:paraId="01061225" w14:textId="77777777" w:rsidR="003F43A6" w:rsidRPr="0091560A" w:rsidRDefault="003F43A6" w:rsidP="003F43A6">
      <w:pPr>
        <w:spacing w:after="0"/>
        <w:rPr>
          <w:rFonts w:cs="Times New Roman"/>
          <w:szCs w:val="24"/>
        </w:rPr>
      </w:pPr>
      <w:r w:rsidRPr="0091560A">
        <w:rPr>
          <w:rFonts w:cs="Times New Roman"/>
          <w:b/>
          <w:bCs/>
          <w:szCs w:val="24"/>
        </w:rPr>
        <w:t xml:space="preserve">Suicidal ideation: </w:t>
      </w:r>
      <w:r w:rsidRPr="0091560A">
        <w:rPr>
          <w:rFonts w:cs="Times New Roman"/>
          <w:szCs w:val="24"/>
        </w:rPr>
        <w:t>refers to thoughts of ending one’s life.</w:t>
      </w:r>
    </w:p>
    <w:p w14:paraId="60F2BB81" w14:textId="77777777" w:rsidR="003F43A6" w:rsidRPr="0091560A" w:rsidRDefault="003F43A6" w:rsidP="003F43A6">
      <w:pPr>
        <w:spacing w:after="0"/>
        <w:rPr>
          <w:rFonts w:cs="Times New Roman"/>
          <w:szCs w:val="24"/>
        </w:rPr>
      </w:pPr>
    </w:p>
    <w:p w14:paraId="5B102831" w14:textId="26F46449" w:rsidR="003F43A6" w:rsidRDefault="003F43A6" w:rsidP="003F43A6">
      <w:pPr>
        <w:spacing w:after="0"/>
        <w:rPr>
          <w:rFonts w:cs="Times New Roman"/>
          <w:szCs w:val="24"/>
        </w:rPr>
      </w:pPr>
      <w:r w:rsidRPr="0091560A">
        <w:rPr>
          <w:rFonts w:cs="Times New Roman"/>
          <w:b/>
          <w:bCs/>
          <w:szCs w:val="24"/>
        </w:rPr>
        <w:t xml:space="preserve">Unintentional self-poisoning: </w:t>
      </w:r>
      <w:r w:rsidRPr="0091560A">
        <w:rPr>
          <w:rFonts w:cs="Times New Roman"/>
          <w:szCs w:val="24"/>
        </w:rPr>
        <w:t xml:space="preserve">(also accidental self-poisoning; unintentional overdose) refers to accidental self-exposure to a substance with potential to cause harm in the exposed quantity. This can include accidental ingestion (common in children) or unintentional ingestion of more than the recommended dosage (i.e., therapeutic misadventure) that is either acute or occurs over time.  </w:t>
      </w:r>
    </w:p>
    <w:p w14:paraId="368CA851" w14:textId="77777777" w:rsidR="00A6269C" w:rsidRDefault="00A6269C">
      <w:pPr>
        <w:rPr>
          <w:rFonts w:asciiTheme="majorHAnsi" w:eastAsiaTheme="majorEastAsia" w:hAnsiTheme="majorHAnsi" w:cstheme="majorBidi"/>
          <w:color w:val="2F5496" w:themeColor="accent1" w:themeShade="BF"/>
          <w:sz w:val="26"/>
          <w:szCs w:val="26"/>
        </w:rPr>
      </w:pPr>
      <w:r>
        <w:br w:type="page"/>
      </w:r>
    </w:p>
    <w:p w14:paraId="08B804BD" w14:textId="4F818308" w:rsidR="003F43A6" w:rsidRDefault="003F43A6" w:rsidP="00CA00B2">
      <w:pPr>
        <w:pStyle w:val="Heading1"/>
      </w:pPr>
      <w:bookmarkStart w:id="11" w:name="_Toc112843899"/>
      <w:r>
        <w:t>Abbreviations</w:t>
      </w:r>
      <w:bookmarkEnd w:id="11"/>
    </w:p>
    <w:p w14:paraId="2DA11D68" w14:textId="70E71A57" w:rsidR="00E12824" w:rsidRPr="00E12824" w:rsidRDefault="00E12824" w:rsidP="00E12824">
      <w:pPr>
        <w:spacing w:after="0"/>
        <w:rPr>
          <w:rFonts w:cs="Times New Roman"/>
          <w:noProof/>
          <w:szCs w:val="24"/>
        </w:rPr>
      </w:pPr>
      <w:r w:rsidRPr="00E12824">
        <w:rPr>
          <w:rFonts w:cs="Times New Roman"/>
          <w:noProof/>
          <w:szCs w:val="24"/>
        </w:rPr>
        <w:t xml:space="preserve">A &amp; E </w:t>
      </w:r>
      <w:r w:rsidR="00787E88">
        <w:rPr>
          <w:rFonts w:cs="Times New Roman"/>
          <w:noProof/>
          <w:szCs w:val="24"/>
        </w:rPr>
        <w:t>–</w:t>
      </w:r>
      <w:r w:rsidRPr="00E12824">
        <w:rPr>
          <w:rFonts w:cs="Times New Roman"/>
          <w:noProof/>
          <w:szCs w:val="24"/>
        </w:rPr>
        <w:t xml:space="preserve"> Accident and Emergency</w:t>
      </w:r>
    </w:p>
    <w:p w14:paraId="18F1E571" w14:textId="76B15327" w:rsidR="00E12824" w:rsidRPr="00E12824" w:rsidRDefault="00E12824" w:rsidP="00E12824">
      <w:pPr>
        <w:spacing w:after="0"/>
        <w:rPr>
          <w:rFonts w:cs="Times New Roman"/>
          <w:szCs w:val="24"/>
        </w:rPr>
      </w:pPr>
      <w:r w:rsidRPr="00E12824">
        <w:rPr>
          <w:rFonts w:cs="Times New Roman"/>
          <w:szCs w:val="24"/>
        </w:rPr>
        <w:t xml:space="preserve">ACT </w:t>
      </w:r>
      <w:r w:rsidRPr="00E12824" w:rsidDel="00AA5000">
        <w:rPr>
          <w:rFonts w:cs="Times New Roman"/>
          <w:szCs w:val="24"/>
        </w:rPr>
        <w:t xml:space="preserve">– </w:t>
      </w:r>
      <w:r w:rsidRPr="00E12824">
        <w:rPr>
          <w:rFonts w:cs="Times New Roman"/>
          <w:szCs w:val="24"/>
        </w:rPr>
        <w:t>Australian Capital Territory</w:t>
      </w:r>
    </w:p>
    <w:p w14:paraId="12FBDE8B" w14:textId="449EBB9B" w:rsidR="00E12824" w:rsidRPr="00E12824" w:rsidRDefault="00E12824" w:rsidP="00E12824">
      <w:pPr>
        <w:spacing w:after="0"/>
        <w:rPr>
          <w:rFonts w:cs="Times New Roman"/>
          <w:szCs w:val="24"/>
        </w:rPr>
      </w:pPr>
      <w:r w:rsidRPr="00E12824">
        <w:rPr>
          <w:rFonts w:cs="Times New Roman"/>
          <w:szCs w:val="24"/>
        </w:rPr>
        <w:t xml:space="preserve">ADHD </w:t>
      </w:r>
      <w:r w:rsidRPr="00E12824" w:rsidDel="00AA5000">
        <w:rPr>
          <w:rFonts w:cs="Times New Roman"/>
          <w:szCs w:val="24"/>
        </w:rPr>
        <w:t>–</w:t>
      </w:r>
      <w:r w:rsidRPr="00E12824">
        <w:rPr>
          <w:rFonts w:cs="Times New Roman"/>
          <w:szCs w:val="24"/>
        </w:rPr>
        <w:t xml:space="preserve"> Attention deficit hyperactivity disorder</w:t>
      </w:r>
    </w:p>
    <w:p w14:paraId="6D75D058" w14:textId="6679CA1F" w:rsidR="00E12824" w:rsidRPr="00E12824" w:rsidRDefault="00E12824" w:rsidP="00E12824">
      <w:pPr>
        <w:spacing w:after="0"/>
        <w:rPr>
          <w:szCs w:val="24"/>
        </w:rPr>
      </w:pPr>
      <w:r w:rsidRPr="00E12824">
        <w:rPr>
          <w:szCs w:val="24"/>
        </w:rPr>
        <w:t xml:space="preserve">AIHW </w:t>
      </w:r>
      <w:r w:rsidRPr="00E12824" w:rsidDel="00AA5000">
        <w:rPr>
          <w:szCs w:val="24"/>
        </w:rPr>
        <w:t>–</w:t>
      </w:r>
      <w:r w:rsidRPr="00E12824">
        <w:rPr>
          <w:szCs w:val="24"/>
        </w:rPr>
        <w:t xml:space="preserve"> Australian Institute of Health and Welfare</w:t>
      </w:r>
    </w:p>
    <w:p w14:paraId="639540B4" w14:textId="24B312CF" w:rsidR="00E12824" w:rsidRPr="00E12824" w:rsidRDefault="00E12824" w:rsidP="00E12824">
      <w:pPr>
        <w:spacing w:after="0"/>
        <w:rPr>
          <w:rFonts w:cs="Times New Roman"/>
          <w:noProof/>
          <w:szCs w:val="24"/>
        </w:rPr>
      </w:pPr>
      <w:r w:rsidRPr="00E12824">
        <w:rPr>
          <w:rFonts w:cs="Times New Roman"/>
          <w:noProof/>
          <w:szCs w:val="24"/>
        </w:rPr>
        <w:t xml:space="preserve">ALT </w:t>
      </w:r>
      <w:r w:rsidRPr="00E12824" w:rsidDel="00AA5000">
        <w:rPr>
          <w:rFonts w:cs="Times New Roman"/>
          <w:noProof/>
          <w:szCs w:val="24"/>
        </w:rPr>
        <w:t>–</w:t>
      </w:r>
      <w:r w:rsidRPr="00E12824">
        <w:rPr>
          <w:rFonts w:cs="Times New Roman"/>
          <w:noProof/>
          <w:szCs w:val="24"/>
        </w:rPr>
        <w:t xml:space="preserve"> alanine transaminase (a liver enzyme &amp; injury biomarker)</w:t>
      </w:r>
    </w:p>
    <w:p w14:paraId="6FE01ACB" w14:textId="6E7D2781" w:rsidR="00E12824" w:rsidRPr="00E12824" w:rsidRDefault="00E12824" w:rsidP="00E12824">
      <w:pPr>
        <w:spacing w:after="0"/>
        <w:rPr>
          <w:rFonts w:cs="Times New Roman"/>
          <w:noProof/>
          <w:szCs w:val="24"/>
        </w:rPr>
      </w:pPr>
      <w:r w:rsidRPr="00E12824">
        <w:rPr>
          <w:rFonts w:cs="Times New Roman"/>
          <w:szCs w:val="24"/>
        </w:rPr>
        <w:t xml:space="preserve">AST </w:t>
      </w:r>
      <w:r w:rsidRPr="00E12824" w:rsidDel="00AA5000">
        <w:rPr>
          <w:rFonts w:cs="Times New Roman"/>
          <w:szCs w:val="24"/>
        </w:rPr>
        <w:t>–</w:t>
      </w:r>
      <w:r w:rsidRPr="00E12824">
        <w:rPr>
          <w:rFonts w:cs="Times New Roman"/>
          <w:szCs w:val="24"/>
        </w:rPr>
        <w:t xml:space="preserve"> aspartate aminotransferase </w:t>
      </w:r>
      <w:r w:rsidRPr="00E12824">
        <w:rPr>
          <w:rFonts w:cs="Times New Roman"/>
          <w:noProof/>
          <w:szCs w:val="24"/>
        </w:rPr>
        <w:t>(a liver enzyme &amp; injury biomarker)</w:t>
      </w:r>
    </w:p>
    <w:p w14:paraId="0370E30C" w14:textId="7D506DD3" w:rsidR="00E12824" w:rsidRPr="00E12824" w:rsidRDefault="00E12824" w:rsidP="00E12824">
      <w:pPr>
        <w:spacing w:after="0"/>
        <w:rPr>
          <w:rFonts w:cs="Times New Roman"/>
          <w:noProof/>
          <w:szCs w:val="24"/>
        </w:rPr>
      </w:pPr>
      <w:r w:rsidRPr="00E12824">
        <w:rPr>
          <w:rFonts w:cs="Times New Roman"/>
          <w:noProof/>
          <w:szCs w:val="24"/>
        </w:rPr>
        <w:t xml:space="preserve">CYP </w:t>
      </w:r>
      <w:r w:rsidRPr="00E12824" w:rsidDel="00AA5000">
        <w:rPr>
          <w:rFonts w:cs="Times New Roman"/>
          <w:noProof/>
          <w:szCs w:val="24"/>
        </w:rPr>
        <w:t>–</w:t>
      </w:r>
      <w:r w:rsidRPr="00E12824">
        <w:rPr>
          <w:rFonts w:cs="Times New Roman"/>
          <w:noProof/>
          <w:szCs w:val="24"/>
        </w:rPr>
        <w:t xml:space="preserve"> cytochrome P450 (liver enzymes that make toxic metabolite)</w:t>
      </w:r>
    </w:p>
    <w:p w14:paraId="1CC2FC3C" w14:textId="119231CA" w:rsidR="00E12824" w:rsidRPr="00E12824" w:rsidRDefault="00E12824" w:rsidP="00E12824">
      <w:pPr>
        <w:spacing w:after="0"/>
        <w:rPr>
          <w:rFonts w:eastAsia="Times New Roman" w:cs="Times New Roman"/>
          <w:b/>
          <w:bCs/>
          <w:color w:val="000000" w:themeColor="text1"/>
          <w:szCs w:val="24"/>
          <w:lang w:eastAsia="en-AU"/>
        </w:rPr>
      </w:pPr>
      <w:r w:rsidRPr="00E12824">
        <w:rPr>
          <w:rFonts w:eastAsia="Times New Roman" w:cs="Times New Roman"/>
          <w:color w:val="000000" w:themeColor="text1"/>
          <w:szCs w:val="24"/>
          <w:lang w:eastAsia="en-AU"/>
        </w:rPr>
        <w:t xml:space="preserve">DDD </w:t>
      </w:r>
      <w:r w:rsidR="00787E88">
        <w:rPr>
          <w:rFonts w:eastAsia="Times New Roman" w:cs="Times New Roman"/>
          <w:color w:val="000000" w:themeColor="text1"/>
          <w:szCs w:val="24"/>
          <w:lang w:eastAsia="en-AU"/>
        </w:rPr>
        <w:t>–</w:t>
      </w:r>
      <w:r w:rsidRPr="00E12824">
        <w:rPr>
          <w:rFonts w:eastAsia="Times New Roman" w:cs="Times New Roman"/>
          <w:color w:val="000000" w:themeColor="text1"/>
          <w:szCs w:val="24"/>
          <w:lang w:eastAsia="en-AU"/>
        </w:rPr>
        <w:t xml:space="preserve"> defined daily dose</w:t>
      </w:r>
      <w:r w:rsidRPr="00E12824">
        <w:rPr>
          <w:rFonts w:eastAsia="Times New Roman" w:cs="Times New Roman"/>
          <w:b/>
          <w:bCs/>
          <w:color w:val="000000" w:themeColor="text1"/>
          <w:szCs w:val="24"/>
          <w:lang w:eastAsia="en-AU"/>
        </w:rPr>
        <w:t xml:space="preserve">, </w:t>
      </w:r>
    </w:p>
    <w:p w14:paraId="7F533819" w14:textId="308CC8DB" w:rsidR="00E12824" w:rsidRPr="00E12824" w:rsidRDefault="00E12824" w:rsidP="00E12824">
      <w:pPr>
        <w:spacing w:after="0"/>
        <w:rPr>
          <w:rFonts w:eastAsia="Times New Roman" w:cs="Times New Roman"/>
          <w:b/>
          <w:bCs/>
          <w:color w:val="000000" w:themeColor="text1"/>
          <w:szCs w:val="24"/>
          <w:lang w:eastAsia="en-AU"/>
        </w:rPr>
      </w:pPr>
      <w:r w:rsidRPr="00E12824">
        <w:rPr>
          <w:rFonts w:cs="Times New Roman"/>
          <w:noProof/>
          <w:szCs w:val="24"/>
        </w:rPr>
        <w:t xml:space="preserve">DSP </w:t>
      </w:r>
      <w:r w:rsidR="00787E88">
        <w:rPr>
          <w:rFonts w:cs="Times New Roman"/>
          <w:noProof/>
          <w:szCs w:val="24"/>
        </w:rPr>
        <w:t>–</w:t>
      </w:r>
      <w:r w:rsidRPr="00E12824">
        <w:rPr>
          <w:rFonts w:cs="Times New Roman"/>
          <w:noProof/>
          <w:szCs w:val="24"/>
        </w:rPr>
        <w:t xml:space="preserve"> deliberate self-poisoning</w:t>
      </w:r>
    </w:p>
    <w:p w14:paraId="369C2107" w14:textId="2402556C" w:rsidR="00E12824" w:rsidRPr="00E12824" w:rsidRDefault="00E12824" w:rsidP="00E12824">
      <w:pPr>
        <w:spacing w:after="0"/>
        <w:rPr>
          <w:rFonts w:cs="Times New Roman"/>
          <w:noProof/>
          <w:szCs w:val="24"/>
        </w:rPr>
      </w:pPr>
      <w:r w:rsidRPr="00E12824">
        <w:rPr>
          <w:rFonts w:eastAsia="Times New Roman" w:cs="Times New Roman"/>
          <w:color w:val="000000" w:themeColor="text1"/>
          <w:szCs w:val="24"/>
          <w:lang w:eastAsia="en-AU"/>
        </w:rPr>
        <w:t xml:space="preserve">ED </w:t>
      </w:r>
      <w:r w:rsidR="00787E88">
        <w:rPr>
          <w:rFonts w:eastAsia="Times New Roman" w:cs="Times New Roman"/>
          <w:color w:val="000000" w:themeColor="text1"/>
          <w:szCs w:val="24"/>
          <w:lang w:eastAsia="en-AU"/>
        </w:rPr>
        <w:t>–</w:t>
      </w:r>
      <w:r w:rsidRPr="00E12824">
        <w:rPr>
          <w:rFonts w:eastAsia="Times New Roman" w:cs="Times New Roman"/>
          <w:color w:val="000000" w:themeColor="text1"/>
          <w:szCs w:val="24"/>
          <w:lang w:eastAsia="en-AU"/>
        </w:rPr>
        <w:t xml:space="preserve"> emergency department</w:t>
      </w:r>
    </w:p>
    <w:p w14:paraId="1EABCC75" w14:textId="0893DE3D" w:rsidR="00E12824" w:rsidRPr="00E12824" w:rsidRDefault="00E12824" w:rsidP="00E12824">
      <w:pPr>
        <w:spacing w:after="0"/>
        <w:rPr>
          <w:rFonts w:cs="Times New Roman"/>
          <w:noProof/>
          <w:szCs w:val="24"/>
        </w:rPr>
      </w:pPr>
      <w:r w:rsidRPr="00E12824">
        <w:rPr>
          <w:rFonts w:cs="Times New Roman"/>
          <w:noProof/>
          <w:szCs w:val="24"/>
        </w:rPr>
        <w:t xml:space="preserve">eMR </w:t>
      </w:r>
      <w:r w:rsidR="00787E88">
        <w:rPr>
          <w:rFonts w:cs="Times New Roman"/>
          <w:noProof/>
          <w:szCs w:val="24"/>
        </w:rPr>
        <w:t>–</w:t>
      </w:r>
      <w:r w:rsidRPr="00E12824">
        <w:rPr>
          <w:rFonts w:cs="Times New Roman"/>
          <w:noProof/>
          <w:szCs w:val="24"/>
        </w:rPr>
        <w:t xml:space="preserve"> electronic medical record </w:t>
      </w:r>
    </w:p>
    <w:p w14:paraId="720C24C3" w14:textId="397F0211" w:rsidR="00E12824" w:rsidRPr="00E12824" w:rsidRDefault="00E12824" w:rsidP="00E12824">
      <w:pPr>
        <w:spacing w:after="0"/>
        <w:rPr>
          <w:szCs w:val="24"/>
        </w:rPr>
      </w:pPr>
      <w:r w:rsidRPr="00E12824">
        <w:rPr>
          <w:szCs w:val="24"/>
        </w:rPr>
        <w:t xml:space="preserve">EU </w:t>
      </w:r>
      <w:r w:rsidRPr="00E12824" w:rsidDel="00AA5000">
        <w:rPr>
          <w:szCs w:val="24"/>
        </w:rPr>
        <w:t>–</w:t>
      </w:r>
      <w:r w:rsidRPr="00E12824">
        <w:rPr>
          <w:szCs w:val="24"/>
        </w:rPr>
        <w:t xml:space="preserve"> European Union</w:t>
      </w:r>
    </w:p>
    <w:p w14:paraId="3FCF5FD9" w14:textId="587F25EF" w:rsidR="00E12824" w:rsidRPr="00E12824" w:rsidRDefault="00E12824" w:rsidP="00E12824">
      <w:pPr>
        <w:spacing w:after="0"/>
        <w:rPr>
          <w:rFonts w:cs="Times New Roman"/>
          <w:noProof/>
          <w:szCs w:val="24"/>
        </w:rPr>
      </w:pPr>
      <w:r w:rsidRPr="00E12824">
        <w:rPr>
          <w:rFonts w:eastAsia="Times New Roman" w:cs="Times New Roman"/>
          <w:szCs w:val="24"/>
        </w:rPr>
        <w:t xml:space="preserve">HATS </w:t>
      </w:r>
      <w:r w:rsidR="00787E88">
        <w:rPr>
          <w:rFonts w:eastAsia="Times New Roman" w:cs="Times New Roman"/>
          <w:szCs w:val="24"/>
        </w:rPr>
        <w:t>–</w:t>
      </w:r>
      <w:r w:rsidRPr="00E12824">
        <w:rPr>
          <w:rFonts w:eastAsia="Times New Roman" w:cs="Times New Roman"/>
          <w:szCs w:val="24"/>
        </w:rPr>
        <w:t xml:space="preserve"> Hunter Area Toxicology Service</w:t>
      </w:r>
    </w:p>
    <w:p w14:paraId="119CDC48" w14:textId="20DF20E9" w:rsidR="00E12824" w:rsidRPr="00E12824" w:rsidRDefault="00E12824" w:rsidP="00E12824">
      <w:pPr>
        <w:spacing w:after="0"/>
        <w:rPr>
          <w:rFonts w:cs="Times New Roman"/>
          <w:noProof/>
          <w:szCs w:val="24"/>
        </w:rPr>
      </w:pPr>
      <w:r w:rsidRPr="00E12824">
        <w:rPr>
          <w:rFonts w:cs="Times New Roman"/>
          <w:noProof/>
          <w:szCs w:val="24"/>
        </w:rPr>
        <w:t xml:space="preserve">ICD </w:t>
      </w:r>
      <w:r w:rsidR="00787E88">
        <w:rPr>
          <w:rFonts w:cs="Times New Roman"/>
          <w:noProof/>
          <w:szCs w:val="24"/>
        </w:rPr>
        <w:t>–</w:t>
      </w:r>
      <w:r w:rsidRPr="00E12824">
        <w:rPr>
          <w:rFonts w:cs="Times New Roman"/>
          <w:noProof/>
          <w:szCs w:val="24"/>
        </w:rPr>
        <w:t xml:space="preserve"> International Classification of Diseases (coding system for hospital/death data – current Australian version is ICD-10-AM)</w:t>
      </w:r>
    </w:p>
    <w:p w14:paraId="49BB5E78" w14:textId="7421841C" w:rsidR="00E12824" w:rsidRPr="00E12824" w:rsidRDefault="00E12824" w:rsidP="00E12824">
      <w:pPr>
        <w:spacing w:after="0"/>
        <w:rPr>
          <w:rFonts w:cs="Times New Roman"/>
          <w:noProof/>
          <w:szCs w:val="24"/>
        </w:rPr>
      </w:pPr>
      <w:r w:rsidRPr="00E12824">
        <w:rPr>
          <w:rFonts w:cs="Times New Roman"/>
          <w:noProof/>
          <w:szCs w:val="24"/>
        </w:rPr>
        <w:t xml:space="preserve">INR </w:t>
      </w:r>
      <w:r w:rsidR="00787E88">
        <w:rPr>
          <w:rFonts w:cs="Times New Roman"/>
          <w:noProof/>
          <w:szCs w:val="24"/>
        </w:rPr>
        <w:t>–</w:t>
      </w:r>
      <w:r w:rsidRPr="00E12824">
        <w:rPr>
          <w:rFonts w:cs="Times New Roman"/>
          <w:noProof/>
          <w:szCs w:val="24"/>
        </w:rPr>
        <w:t xml:space="preserve"> </w:t>
      </w:r>
      <w:r w:rsidR="00A922F3">
        <w:rPr>
          <w:rFonts w:cs="Times New Roman"/>
          <w:noProof/>
          <w:szCs w:val="24"/>
        </w:rPr>
        <w:t>I</w:t>
      </w:r>
      <w:r w:rsidRPr="00E12824">
        <w:rPr>
          <w:rFonts w:cs="Times New Roman"/>
          <w:noProof/>
          <w:szCs w:val="24"/>
        </w:rPr>
        <w:t>nternational normalised ratio (a test of clotting function)</w:t>
      </w:r>
    </w:p>
    <w:p w14:paraId="3423F0CB" w14:textId="44D62E77" w:rsidR="00E12824" w:rsidRPr="00E12824" w:rsidRDefault="00E12824" w:rsidP="00E12824">
      <w:pPr>
        <w:spacing w:after="0"/>
        <w:rPr>
          <w:rFonts w:cs="Times New Roman"/>
          <w:noProof/>
          <w:szCs w:val="24"/>
        </w:rPr>
      </w:pPr>
      <w:r w:rsidRPr="00E12824">
        <w:rPr>
          <w:rFonts w:cs="Times New Roman"/>
          <w:noProof/>
          <w:szCs w:val="24"/>
        </w:rPr>
        <w:t xml:space="preserve">ICU </w:t>
      </w:r>
      <w:r w:rsidR="00787E88">
        <w:rPr>
          <w:rFonts w:cs="Times New Roman"/>
          <w:noProof/>
          <w:szCs w:val="24"/>
        </w:rPr>
        <w:t>–</w:t>
      </w:r>
      <w:r w:rsidRPr="00E12824">
        <w:rPr>
          <w:rFonts w:cs="Times New Roman"/>
          <w:noProof/>
          <w:szCs w:val="24"/>
        </w:rPr>
        <w:t xml:space="preserve"> Intensive care unit </w:t>
      </w:r>
    </w:p>
    <w:p w14:paraId="61D9755C" w14:textId="03A51A51" w:rsidR="00E12824" w:rsidRPr="00E12824" w:rsidRDefault="00E12824" w:rsidP="00E12824">
      <w:pPr>
        <w:spacing w:after="0"/>
        <w:rPr>
          <w:rFonts w:cs="Times New Roman"/>
          <w:noProof/>
          <w:szCs w:val="24"/>
        </w:rPr>
      </w:pPr>
      <w:r w:rsidRPr="00E12824">
        <w:rPr>
          <w:rFonts w:cs="Times New Roman"/>
          <w:noProof/>
          <w:szCs w:val="24"/>
        </w:rPr>
        <w:t xml:space="preserve">IQR </w:t>
      </w:r>
      <w:r w:rsidRPr="00E12824" w:rsidDel="00AA5000">
        <w:rPr>
          <w:rFonts w:cs="Times New Roman"/>
          <w:noProof/>
          <w:szCs w:val="24"/>
        </w:rPr>
        <w:t>–</w:t>
      </w:r>
      <w:r w:rsidRPr="00E12824">
        <w:rPr>
          <w:rFonts w:cs="Times New Roman"/>
          <w:noProof/>
          <w:szCs w:val="24"/>
        </w:rPr>
        <w:t xml:space="preserve"> interquartile range</w:t>
      </w:r>
    </w:p>
    <w:p w14:paraId="6E782D8D" w14:textId="08F21B36" w:rsidR="00E12824" w:rsidRPr="00E12824" w:rsidRDefault="00E12824" w:rsidP="00E12824">
      <w:pPr>
        <w:spacing w:after="0"/>
        <w:rPr>
          <w:rFonts w:cs="Times New Roman"/>
          <w:noProof/>
          <w:szCs w:val="24"/>
        </w:rPr>
      </w:pPr>
      <w:r w:rsidRPr="00E12824">
        <w:rPr>
          <w:rFonts w:cs="Times New Roman"/>
          <w:noProof/>
          <w:szCs w:val="24"/>
        </w:rPr>
        <w:t xml:space="preserve">IQVIA </w:t>
      </w:r>
      <w:r w:rsidRPr="00E12824" w:rsidDel="00AA5000">
        <w:rPr>
          <w:rFonts w:cs="Times New Roman"/>
          <w:noProof/>
          <w:szCs w:val="24"/>
        </w:rPr>
        <w:t>–</w:t>
      </w:r>
      <w:r w:rsidRPr="00E12824">
        <w:rPr>
          <w:rFonts w:cs="Times New Roman"/>
          <w:noProof/>
          <w:szCs w:val="24"/>
        </w:rPr>
        <w:t xml:space="preserve"> company providing </w:t>
      </w:r>
      <w:r w:rsidR="00B160B0">
        <w:rPr>
          <w:rFonts w:cs="Times New Roman"/>
          <w:noProof/>
          <w:szCs w:val="24"/>
        </w:rPr>
        <w:t>n</w:t>
      </w:r>
      <w:r w:rsidRPr="00E12824">
        <w:rPr>
          <w:rFonts w:cs="Times New Roman"/>
          <w:noProof/>
          <w:szCs w:val="24"/>
        </w:rPr>
        <w:t xml:space="preserve">ational sales data from </w:t>
      </w:r>
      <w:r w:rsidR="00B160B0">
        <w:rPr>
          <w:rFonts w:cs="Times New Roman"/>
          <w:noProof/>
          <w:szCs w:val="24"/>
        </w:rPr>
        <w:t>p</w:t>
      </w:r>
      <w:r w:rsidRPr="00E12824">
        <w:rPr>
          <w:rFonts w:cs="Times New Roman"/>
          <w:noProof/>
          <w:szCs w:val="24"/>
        </w:rPr>
        <w:t>harmacies</w:t>
      </w:r>
    </w:p>
    <w:p w14:paraId="13785FFA" w14:textId="78AF3AB1" w:rsidR="00E12824" w:rsidRPr="00E12824" w:rsidRDefault="00E12824" w:rsidP="00E12824">
      <w:pPr>
        <w:spacing w:after="0"/>
        <w:rPr>
          <w:rFonts w:cs="Times New Roman"/>
          <w:noProof/>
          <w:szCs w:val="24"/>
        </w:rPr>
      </w:pPr>
      <w:r w:rsidRPr="00E12824">
        <w:rPr>
          <w:rFonts w:cs="Times New Roman"/>
          <w:noProof/>
          <w:szCs w:val="24"/>
        </w:rPr>
        <w:t xml:space="preserve">IRI </w:t>
      </w:r>
      <w:r w:rsidR="00787E88">
        <w:rPr>
          <w:rFonts w:cs="Times New Roman"/>
          <w:noProof/>
          <w:szCs w:val="24"/>
        </w:rPr>
        <w:t>–</w:t>
      </w:r>
      <w:r w:rsidRPr="00E12824">
        <w:rPr>
          <w:rFonts w:cs="Times New Roman"/>
          <w:noProof/>
          <w:szCs w:val="24"/>
        </w:rPr>
        <w:t xml:space="preserve"> company providing data on </w:t>
      </w:r>
      <w:r w:rsidR="00B160B0">
        <w:rPr>
          <w:rFonts w:cs="Times New Roman"/>
          <w:noProof/>
          <w:szCs w:val="24"/>
        </w:rPr>
        <w:t>g</w:t>
      </w:r>
      <w:r w:rsidRPr="00E12824">
        <w:rPr>
          <w:rFonts w:cs="Times New Roman"/>
          <w:noProof/>
          <w:szCs w:val="24"/>
        </w:rPr>
        <w:t>rocery/convenience store sales</w:t>
      </w:r>
    </w:p>
    <w:p w14:paraId="0C06C713" w14:textId="177100C8" w:rsidR="00E12824" w:rsidRPr="00E12824" w:rsidRDefault="00E12824" w:rsidP="00E12824">
      <w:pPr>
        <w:spacing w:after="0"/>
        <w:rPr>
          <w:rFonts w:cs="Times New Roman"/>
          <w:noProof/>
          <w:szCs w:val="24"/>
        </w:rPr>
      </w:pPr>
      <w:r w:rsidRPr="00E12824">
        <w:rPr>
          <w:rFonts w:cs="Times New Roman"/>
          <w:noProof/>
          <w:szCs w:val="24"/>
        </w:rPr>
        <w:t xml:space="preserve">IR </w:t>
      </w:r>
      <w:r w:rsidR="00787E88">
        <w:rPr>
          <w:rFonts w:cs="Times New Roman"/>
          <w:noProof/>
          <w:szCs w:val="24"/>
        </w:rPr>
        <w:t>–</w:t>
      </w:r>
      <w:r w:rsidR="00B160B0">
        <w:rPr>
          <w:rFonts w:cs="Times New Roman"/>
          <w:noProof/>
          <w:szCs w:val="24"/>
        </w:rPr>
        <w:t xml:space="preserve"> i</w:t>
      </w:r>
      <w:r w:rsidRPr="00E12824">
        <w:rPr>
          <w:rFonts w:cs="Times New Roman"/>
          <w:noProof/>
          <w:szCs w:val="24"/>
        </w:rPr>
        <w:t>mmediate release</w:t>
      </w:r>
    </w:p>
    <w:p w14:paraId="7B0FE1CA" w14:textId="28375375" w:rsidR="00E12824" w:rsidRPr="00E12824" w:rsidRDefault="00E12824" w:rsidP="00E12824">
      <w:pPr>
        <w:spacing w:after="0"/>
        <w:rPr>
          <w:rFonts w:cs="Times New Roman"/>
          <w:noProof/>
          <w:szCs w:val="24"/>
        </w:rPr>
      </w:pPr>
      <w:r w:rsidRPr="00E12824">
        <w:rPr>
          <w:rFonts w:cs="Times New Roman"/>
          <w:noProof/>
          <w:szCs w:val="24"/>
        </w:rPr>
        <w:t xml:space="preserve">MR </w:t>
      </w:r>
      <w:r w:rsidR="00787E88">
        <w:rPr>
          <w:rFonts w:cs="Times New Roman"/>
          <w:noProof/>
          <w:szCs w:val="24"/>
        </w:rPr>
        <w:t>–</w:t>
      </w:r>
      <w:r w:rsidRPr="00E12824">
        <w:rPr>
          <w:rFonts w:cs="Times New Roman"/>
          <w:noProof/>
          <w:szCs w:val="24"/>
        </w:rPr>
        <w:t xml:space="preserve"> </w:t>
      </w:r>
      <w:r w:rsidRPr="00E12824" w:rsidDel="00B160B0">
        <w:rPr>
          <w:rFonts w:cs="Times New Roman"/>
          <w:noProof/>
          <w:szCs w:val="24"/>
        </w:rPr>
        <w:t>m</w:t>
      </w:r>
      <w:r w:rsidRPr="00E12824">
        <w:rPr>
          <w:rFonts w:cs="Times New Roman"/>
          <w:noProof/>
          <w:szCs w:val="24"/>
        </w:rPr>
        <w:t>odified release</w:t>
      </w:r>
    </w:p>
    <w:p w14:paraId="2B5603EF" w14:textId="5052A78C" w:rsidR="00E12824" w:rsidRPr="00E12824" w:rsidRDefault="00E12824" w:rsidP="00E12824">
      <w:pPr>
        <w:spacing w:after="0"/>
        <w:rPr>
          <w:rFonts w:cs="Times New Roman"/>
          <w:noProof/>
          <w:szCs w:val="24"/>
        </w:rPr>
      </w:pPr>
      <w:r w:rsidRPr="00E12824">
        <w:rPr>
          <w:rFonts w:cs="Times New Roman"/>
          <w:noProof/>
          <w:szCs w:val="24"/>
        </w:rPr>
        <w:t xml:space="preserve">NAPQI </w:t>
      </w:r>
      <w:r w:rsidRPr="00E12824" w:rsidDel="00AA5000">
        <w:rPr>
          <w:rFonts w:cs="Times New Roman"/>
          <w:noProof/>
          <w:szCs w:val="24"/>
        </w:rPr>
        <w:t>–</w:t>
      </w:r>
      <w:r w:rsidRPr="00E12824">
        <w:rPr>
          <w:rFonts w:cs="Times New Roman"/>
          <w:noProof/>
          <w:szCs w:val="24"/>
        </w:rPr>
        <w:t xml:space="preserve"> N-acetyl-P benzoquinonamine (toxic metabolite of paracetamol)</w:t>
      </w:r>
    </w:p>
    <w:p w14:paraId="1DE1C3EA" w14:textId="299E58C6" w:rsidR="00E12824" w:rsidRPr="00E12824" w:rsidRDefault="00A17385" w:rsidP="00E12824">
      <w:pPr>
        <w:spacing w:after="0"/>
        <w:rPr>
          <w:rFonts w:cs="Times New Roman"/>
          <w:noProof/>
          <w:szCs w:val="24"/>
        </w:rPr>
      </w:pPr>
      <w:r>
        <w:rPr>
          <w:rFonts w:cs="Times New Roman"/>
          <w:noProof/>
          <w:szCs w:val="24"/>
        </w:rPr>
        <w:t xml:space="preserve">NCIS </w:t>
      </w:r>
      <w:r w:rsidR="00787E88">
        <w:rPr>
          <w:rFonts w:cs="Times New Roman"/>
          <w:noProof/>
          <w:szCs w:val="24"/>
        </w:rPr>
        <w:t>–</w:t>
      </w:r>
      <w:r>
        <w:rPr>
          <w:rFonts w:cs="Times New Roman"/>
          <w:noProof/>
          <w:szCs w:val="24"/>
        </w:rPr>
        <w:t xml:space="preserve"> </w:t>
      </w:r>
      <w:r w:rsidR="00E12824" w:rsidRPr="00E12824">
        <w:rPr>
          <w:rFonts w:cs="Times New Roman"/>
          <w:noProof/>
          <w:szCs w:val="24"/>
        </w:rPr>
        <w:t>National Coronial Information System</w:t>
      </w:r>
    </w:p>
    <w:p w14:paraId="7925A48C" w14:textId="3AC05DDA" w:rsidR="00E12824" w:rsidRPr="00E12824" w:rsidRDefault="00076B96" w:rsidP="00E12824">
      <w:pPr>
        <w:spacing w:after="0"/>
        <w:rPr>
          <w:szCs w:val="24"/>
        </w:rPr>
      </w:pPr>
      <w:r>
        <w:rPr>
          <w:szCs w:val="24"/>
        </w:rPr>
        <w:t xml:space="preserve">NHMD </w:t>
      </w:r>
      <w:r w:rsidR="00787E88">
        <w:rPr>
          <w:szCs w:val="24"/>
        </w:rPr>
        <w:t>–</w:t>
      </w:r>
      <w:r>
        <w:rPr>
          <w:szCs w:val="24"/>
        </w:rPr>
        <w:t xml:space="preserve"> </w:t>
      </w:r>
      <w:r w:rsidR="00E12824" w:rsidRPr="00E12824">
        <w:rPr>
          <w:szCs w:val="24"/>
        </w:rPr>
        <w:t>National Hospital Morbidity Database (NHMD)</w:t>
      </w:r>
    </w:p>
    <w:p w14:paraId="34268612" w14:textId="77777777" w:rsidR="00E12824" w:rsidRPr="00E12824" w:rsidRDefault="00E12824" w:rsidP="00E12824">
      <w:pPr>
        <w:spacing w:after="0"/>
        <w:rPr>
          <w:rFonts w:cs="Times New Roman"/>
          <w:noProof/>
          <w:szCs w:val="24"/>
        </w:rPr>
      </w:pPr>
      <w:r w:rsidRPr="00E12824">
        <w:rPr>
          <w:rFonts w:cs="Times New Roman"/>
          <w:noProof/>
          <w:szCs w:val="24"/>
        </w:rPr>
        <w:t>NAC- acetylcysteine (also widely referred to as N-acetylcysteine)</w:t>
      </w:r>
    </w:p>
    <w:p w14:paraId="44F23A14" w14:textId="00DD3756" w:rsidR="00E12824" w:rsidRPr="00E12824" w:rsidRDefault="00E12824" w:rsidP="00E12824">
      <w:pPr>
        <w:spacing w:after="0"/>
        <w:rPr>
          <w:rFonts w:cs="Times New Roman"/>
          <w:noProof/>
          <w:szCs w:val="24"/>
        </w:rPr>
      </w:pPr>
      <w:r w:rsidRPr="00E12824">
        <w:rPr>
          <w:rFonts w:cs="Times New Roman"/>
          <w:noProof/>
          <w:szCs w:val="24"/>
        </w:rPr>
        <w:t xml:space="preserve">NSAID </w:t>
      </w:r>
      <w:r w:rsidR="00787E88">
        <w:rPr>
          <w:rFonts w:cs="Times New Roman"/>
          <w:noProof/>
          <w:szCs w:val="24"/>
        </w:rPr>
        <w:t>–</w:t>
      </w:r>
      <w:r w:rsidRPr="00E12824">
        <w:rPr>
          <w:rFonts w:cs="Times New Roman"/>
          <w:noProof/>
          <w:szCs w:val="24"/>
        </w:rPr>
        <w:t xml:space="preserve"> Nonsteroidal anti-inflammatory drug</w:t>
      </w:r>
    </w:p>
    <w:p w14:paraId="6ECFA5FC" w14:textId="41A08821" w:rsidR="00E12824" w:rsidRPr="00E12824" w:rsidRDefault="00E12824" w:rsidP="00E12824">
      <w:pPr>
        <w:spacing w:after="0"/>
        <w:rPr>
          <w:szCs w:val="24"/>
        </w:rPr>
      </w:pPr>
      <w:r w:rsidRPr="00E12824">
        <w:rPr>
          <w:szCs w:val="24"/>
        </w:rPr>
        <w:t xml:space="preserve">NSW </w:t>
      </w:r>
      <w:r w:rsidR="00787E88">
        <w:rPr>
          <w:szCs w:val="24"/>
        </w:rPr>
        <w:t>–</w:t>
      </w:r>
      <w:r w:rsidRPr="00E12824">
        <w:rPr>
          <w:szCs w:val="24"/>
        </w:rPr>
        <w:t xml:space="preserve"> New South Wales</w:t>
      </w:r>
    </w:p>
    <w:p w14:paraId="4FC4A000" w14:textId="46932212" w:rsidR="00E12824" w:rsidRPr="00E12824" w:rsidRDefault="00E12824" w:rsidP="00E12824">
      <w:pPr>
        <w:spacing w:after="0"/>
        <w:rPr>
          <w:szCs w:val="24"/>
        </w:rPr>
      </w:pPr>
      <w:r w:rsidRPr="00E12824">
        <w:rPr>
          <w:szCs w:val="24"/>
        </w:rPr>
        <w:t xml:space="preserve">OECD </w:t>
      </w:r>
      <w:r w:rsidR="00787E88">
        <w:rPr>
          <w:szCs w:val="24"/>
        </w:rPr>
        <w:t>–</w:t>
      </w:r>
      <w:r w:rsidRPr="00E12824">
        <w:rPr>
          <w:szCs w:val="24"/>
        </w:rPr>
        <w:t xml:space="preserve"> </w:t>
      </w:r>
      <w:r w:rsidRPr="00E12824">
        <w:rPr>
          <w:rFonts w:cs="Times New Roman"/>
          <w:noProof/>
          <w:szCs w:val="24"/>
        </w:rPr>
        <w:t>Organisation for Economic Co-operation and Development</w:t>
      </w:r>
    </w:p>
    <w:p w14:paraId="52C279BF" w14:textId="265F8674" w:rsidR="00E12824" w:rsidRPr="00E12824" w:rsidRDefault="00E12824" w:rsidP="00E12824">
      <w:pPr>
        <w:spacing w:after="0"/>
        <w:rPr>
          <w:rFonts w:cs="Times New Roman"/>
          <w:noProof/>
          <w:szCs w:val="24"/>
        </w:rPr>
      </w:pPr>
      <w:r w:rsidRPr="00E12824">
        <w:rPr>
          <w:rFonts w:cs="Times New Roman"/>
          <w:noProof/>
          <w:szCs w:val="24"/>
        </w:rPr>
        <w:t xml:space="preserve">OTC </w:t>
      </w:r>
      <w:r w:rsidRPr="00E12824" w:rsidDel="00AA5000">
        <w:rPr>
          <w:rFonts w:cs="Times New Roman"/>
          <w:noProof/>
          <w:szCs w:val="24"/>
        </w:rPr>
        <w:t>–</w:t>
      </w:r>
      <w:r w:rsidRPr="00E12824">
        <w:rPr>
          <w:rFonts w:cs="Times New Roman"/>
          <w:noProof/>
          <w:szCs w:val="24"/>
        </w:rPr>
        <w:t xml:space="preserve"> over-the-counter</w:t>
      </w:r>
    </w:p>
    <w:p w14:paraId="453AEEAD" w14:textId="39B5E7F5" w:rsidR="00E12824" w:rsidRPr="00E12824" w:rsidRDefault="00E12824" w:rsidP="00E12824">
      <w:pPr>
        <w:spacing w:after="0"/>
        <w:rPr>
          <w:szCs w:val="24"/>
        </w:rPr>
      </w:pPr>
      <w:r w:rsidRPr="00E12824">
        <w:rPr>
          <w:szCs w:val="24"/>
        </w:rPr>
        <w:t xml:space="preserve">PIC </w:t>
      </w:r>
      <w:r w:rsidR="00787E88">
        <w:rPr>
          <w:szCs w:val="24"/>
        </w:rPr>
        <w:t>–</w:t>
      </w:r>
      <w:r w:rsidRPr="00E12824">
        <w:rPr>
          <w:szCs w:val="24"/>
        </w:rPr>
        <w:t xml:space="preserve"> Poisons Information Centre</w:t>
      </w:r>
    </w:p>
    <w:p w14:paraId="0763587A" w14:textId="1290775A" w:rsidR="00E12824" w:rsidRPr="00E12824" w:rsidRDefault="00E12824" w:rsidP="00E12824">
      <w:pPr>
        <w:spacing w:after="0"/>
        <w:rPr>
          <w:rFonts w:cs="Times New Roman"/>
          <w:szCs w:val="24"/>
        </w:rPr>
      </w:pPr>
      <w:r w:rsidRPr="00E12824">
        <w:rPr>
          <w:rFonts w:cs="Times New Roman"/>
          <w:szCs w:val="24"/>
        </w:rPr>
        <w:t xml:space="preserve">PSS </w:t>
      </w:r>
      <w:r w:rsidR="00787E88">
        <w:rPr>
          <w:rFonts w:cs="Times New Roman"/>
          <w:szCs w:val="24"/>
        </w:rPr>
        <w:t>–</w:t>
      </w:r>
      <w:r w:rsidRPr="00E12824">
        <w:rPr>
          <w:rFonts w:cs="Times New Roman"/>
          <w:szCs w:val="24"/>
        </w:rPr>
        <w:t xml:space="preserve"> poisons severity score</w:t>
      </w:r>
    </w:p>
    <w:p w14:paraId="0945E6B0" w14:textId="00E59AA8" w:rsidR="00E12824" w:rsidRPr="00E12824" w:rsidRDefault="00E12824" w:rsidP="00E12824">
      <w:pPr>
        <w:spacing w:after="0"/>
        <w:rPr>
          <w:rFonts w:cs="Times New Roman"/>
          <w:szCs w:val="24"/>
        </w:rPr>
      </w:pPr>
      <w:r w:rsidRPr="00E12824">
        <w:rPr>
          <w:rFonts w:cs="Times New Roman"/>
          <w:szCs w:val="24"/>
        </w:rPr>
        <w:t>PTSD</w:t>
      </w:r>
      <w:r w:rsidR="00076B96">
        <w:rPr>
          <w:rFonts w:cs="Times New Roman"/>
          <w:szCs w:val="24"/>
        </w:rPr>
        <w:t xml:space="preserve"> </w:t>
      </w:r>
      <w:r w:rsidR="00787E88">
        <w:rPr>
          <w:rFonts w:cs="Times New Roman"/>
          <w:szCs w:val="24"/>
        </w:rPr>
        <w:t>–</w:t>
      </w:r>
      <w:r w:rsidRPr="00E12824" w:rsidDel="00076B96">
        <w:rPr>
          <w:rFonts w:cs="Times New Roman"/>
          <w:szCs w:val="24"/>
        </w:rPr>
        <w:t xml:space="preserve"> </w:t>
      </w:r>
      <w:r w:rsidRPr="00E12824" w:rsidDel="00BA6502">
        <w:rPr>
          <w:rFonts w:cs="Times New Roman"/>
          <w:szCs w:val="24"/>
        </w:rPr>
        <w:t>post</w:t>
      </w:r>
      <w:r w:rsidR="00BA6502" w:rsidRPr="00E12824">
        <w:rPr>
          <w:rFonts w:cs="Times New Roman"/>
          <w:szCs w:val="24"/>
        </w:rPr>
        <w:t>-traumatic</w:t>
      </w:r>
      <w:r w:rsidRPr="00E12824">
        <w:rPr>
          <w:rFonts w:cs="Times New Roman"/>
          <w:szCs w:val="24"/>
        </w:rPr>
        <w:t xml:space="preserve"> stress disorder</w:t>
      </w:r>
    </w:p>
    <w:p w14:paraId="59AFA169" w14:textId="036AD7E8" w:rsidR="00E12824" w:rsidRPr="00E12824" w:rsidRDefault="00E12824" w:rsidP="00E12824">
      <w:pPr>
        <w:spacing w:after="0"/>
        <w:rPr>
          <w:rFonts w:cs="Times New Roman"/>
          <w:noProof/>
          <w:szCs w:val="24"/>
        </w:rPr>
      </w:pPr>
      <w:r w:rsidRPr="00E12824">
        <w:rPr>
          <w:rFonts w:cs="Times New Roman"/>
          <w:szCs w:val="24"/>
        </w:rPr>
        <w:t xml:space="preserve">Rx </w:t>
      </w:r>
      <w:r w:rsidR="00787E88">
        <w:rPr>
          <w:rFonts w:cs="Times New Roman"/>
          <w:szCs w:val="24"/>
        </w:rPr>
        <w:t>–</w:t>
      </w:r>
      <w:r w:rsidRPr="00E12824">
        <w:rPr>
          <w:rFonts w:cs="Times New Roman"/>
          <w:szCs w:val="24"/>
        </w:rPr>
        <w:t xml:space="preserve"> prescription</w:t>
      </w:r>
    </w:p>
    <w:p w14:paraId="41D0312E" w14:textId="7EE9A291" w:rsidR="00E12824" w:rsidRPr="00E12824" w:rsidRDefault="00E12824" w:rsidP="00E12824">
      <w:pPr>
        <w:spacing w:after="0"/>
        <w:rPr>
          <w:rFonts w:cs="Times New Roman"/>
          <w:noProof/>
          <w:szCs w:val="24"/>
        </w:rPr>
      </w:pPr>
      <w:r w:rsidRPr="00E12824">
        <w:rPr>
          <w:rFonts w:cs="Times New Roman"/>
          <w:noProof/>
          <w:szCs w:val="24"/>
        </w:rPr>
        <w:t xml:space="preserve">S2 </w:t>
      </w:r>
      <w:r w:rsidRPr="00E12824" w:rsidDel="00AA5000">
        <w:rPr>
          <w:rFonts w:cs="Times New Roman"/>
          <w:noProof/>
          <w:szCs w:val="24"/>
        </w:rPr>
        <w:t>–</w:t>
      </w:r>
      <w:r w:rsidRPr="00E12824">
        <w:rPr>
          <w:rFonts w:cs="Times New Roman"/>
          <w:noProof/>
          <w:szCs w:val="24"/>
        </w:rPr>
        <w:t xml:space="preserve"> Schedule 2 (pharmacy only)</w:t>
      </w:r>
    </w:p>
    <w:p w14:paraId="6AFB8B19" w14:textId="1C0C9910" w:rsidR="00E12824" w:rsidRPr="00E12824" w:rsidRDefault="00E12824" w:rsidP="00E12824">
      <w:pPr>
        <w:spacing w:after="0"/>
        <w:rPr>
          <w:rFonts w:cs="Times New Roman"/>
          <w:noProof/>
          <w:szCs w:val="24"/>
        </w:rPr>
      </w:pPr>
      <w:r w:rsidRPr="00E12824">
        <w:rPr>
          <w:rFonts w:cs="Times New Roman"/>
          <w:noProof/>
          <w:szCs w:val="24"/>
        </w:rPr>
        <w:t xml:space="preserve">S3 </w:t>
      </w:r>
      <w:r w:rsidRPr="00E12824" w:rsidDel="00AA5000">
        <w:rPr>
          <w:rFonts w:cs="Times New Roman"/>
          <w:noProof/>
          <w:szCs w:val="24"/>
        </w:rPr>
        <w:t>–</w:t>
      </w:r>
      <w:r w:rsidRPr="00E12824">
        <w:rPr>
          <w:rFonts w:cs="Times New Roman"/>
          <w:noProof/>
          <w:szCs w:val="24"/>
        </w:rPr>
        <w:t xml:space="preserve"> Schedule 3 (pharmacist only)</w:t>
      </w:r>
    </w:p>
    <w:p w14:paraId="4F1432AB" w14:textId="27373DA7" w:rsidR="00E12824" w:rsidRPr="00E12824" w:rsidRDefault="00E12824" w:rsidP="00E12824">
      <w:pPr>
        <w:spacing w:after="0"/>
        <w:rPr>
          <w:rFonts w:cs="Times New Roman"/>
          <w:noProof/>
          <w:szCs w:val="24"/>
        </w:rPr>
      </w:pPr>
      <w:r w:rsidRPr="00E12824">
        <w:rPr>
          <w:rFonts w:cs="Times New Roman"/>
          <w:noProof/>
          <w:szCs w:val="24"/>
        </w:rPr>
        <w:t xml:space="preserve">S4 </w:t>
      </w:r>
      <w:r w:rsidRPr="00E12824" w:rsidDel="00AA5000">
        <w:rPr>
          <w:rFonts w:cs="Times New Roman"/>
          <w:noProof/>
          <w:szCs w:val="24"/>
        </w:rPr>
        <w:t>–</w:t>
      </w:r>
      <w:r w:rsidRPr="00E12824">
        <w:rPr>
          <w:rFonts w:cs="Times New Roman"/>
          <w:noProof/>
          <w:szCs w:val="24"/>
        </w:rPr>
        <w:t xml:space="preserve"> Schedule 4 (prescription only)</w:t>
      </w:r>
    </w:p>
    <w:p w14:paraId="54E8BC3C" w14:textId="0D44EC37" w:rsidR="00E12824" w:rsidRPr="00E12824" w:rsidRDefault="00E12824" w:rsidP="00E12824">
      <w:pPr>
        <w:spacing w:after="0"/>
        <w:rPr>
          <w:rFonts w:cs="Times New Roman"/>
          <w:noProof/>
          <w:szCs w:val="24"/>
        </w:rPr>
      </w:pPr>
      <w:r w:rsidRPr="00E12824">
        <w:rPr>
          <w:rFonts w:cs="Times New Roman"/>
          <w:noProof/>
          <w:szCs w:val="24"/>
        </w:rPr>
        <w:t xml:space="preserve">SD </w:t>
      </w:r>
      <w:r w:rsidR="00787E88">
        <w:rPr>
          <w:rFonts w:cs="Times New Roman"/>
          <w:noProof/>
          <w:szCs w:val="24"/>
        </w:rPr>
        <w:t>–</w:t>
      </w:r>
      <w:r w:rsidRPr="00E12824">
        <w:rPr>
          <w:rFonts w:cs="Times New Roman"/>
          <w:noProof/>
          <w:szCs w:val="24"/>
        </w:rPr>
        <w:t xml:space="preserve"> Standard deviation</w:t>
      </w:r>
    </w:p>
    <w:p w14:paraId="7F8A3C22" w14:textId="2826A477" w:rsidR="00E12824" w:rsidRPr="00E12824" w:rsidRDefault="00E12824" w:rsidP="00E12824">
      <w:pPr>
        <w:spacing w:after="0"/>
        <w:rPr>
          <w:rFonts w:cs="Times New Roman"/>
          <w:noProof/>
          <w:szCs w:val="24"/>
        </w:rPr>
      </w:pPr>
      <w:r w:rsidRPr="00E12824">
        <w:rPr>
          <w:rFonts w:cs="Times New Roman"/>
          <w:noProof/>
          <w:szCs w:val="24"/>
        </w:rPr>
        <w:t xml:space="preserve">SE </w:t>
      </w:r>
      <w:r w:rsidR="00787E88">
        <w:rPr>
          <w:rFonts w:cs="Times New Roman"/>
          <w:noProof/>
          <w:szCs w:val="24"/>
        </w:rPr>
        <w:t>–</w:t>
      </w:r>
      <w:r w:rsidRPr="00E12824">
        <w:rPr>
          <w:rFonts w:cs="Times New Roman"/>
          <w:noProof/>
          <w:szCs w:val="24"/>
        </w:rPr>
        <w:t xml:space="preserve"> standard error, </w:t>
      </w:r>
    </w:p>
    <w:p w14:paraId="7531EB98" w14:textId="6D8042B1" w:rsidR="00E12824" w:rsidRPr="00E12824" w:rsidRDefault="00E12824" w:rsidP="00E12824">
      <w:pPr>
        <w:spacing w:after="0"/>
        <w:rPr>
          <w:rFonts w:cs="Times New Roman"/>
          <w:noProof/>
          <w:szCs w:val="24"/>
        </w:rPr>
      </w:pPr>
      <w:r w:rsidRPr="00E12824">
        <w:rPr>
          <w:rFonts w:cs="Times New Roman"/>
          <w:noProof/>
          <w:szCs w:val="24"/>
        </w:rPr>
        <w:t xml:space="preserve">SIS </w:t>
      </w:r>
      <w:r w:rsidR="00787E88">
        <w:rPr>
          <w:rFonts w:cs="Times New Roman"/>
          <w:noProof/>
          <w:szCs w:val="24"/>
        </w:rPr>
        <w:t>–</w:t>
      </w:r>
      <w:r w:rsidRPr="00E12824">
        <w:rPr>
          <w:rFonts w:cs="Times New Roman"/>
          <w:noProof/>
          <w:szCs w:val="24"/>
        </w:rPr>
        <w:t xml:space="preserve"> Suicidal Intent Scale</w:t>
      </w:r>
    </w:p>
    <w:p w14:paraId="1728212E" w14:textId="6C8B7BDB" w:rsidR="00E12824" w:rsidRPr="00E12824" w:rsidRDefault="00E12824" w:rsidP="00E12824">
      <w:pPr>
        <w:spacing w:after="0"/>
        <w:rPr>
          <w:rFonts w:cs="Times New Roman"/>
          <w:noProof/>
          <w:szCs w:val="24"/>
        </w:rPr>
      </w:pPr>
      <w:r w:rsidRPr="00E12824">
        <w:rPr>
          <w:rFonts w:cs="Times New Roman"/>
          <w:noProof/>
          <w:szCs w:val="24"/>
        </w:rPr>
        <w:t xml:space="preserve">SSRI </w:t>
      </w:r>
      <w:r w:rsidR="00787E88">
        <w:rPr>
          <w:rFonts w:cs="Times New Roman"/>
          <w:noProof/>
          <w:szCs w:val="24"/>
        </w:rPr>
        <w:t>–</w:t>
      </w:r>
      <w:r w:rsidRPr="00E12824">
        <w:rPr>
          <w:rFonts w:cs="Times New Roman"/>
          <w:noProof/>
          <w:szCs w:val="24"/>
        </w:rPr>
        <w:t xml:space="preserve"> selective serotonin reuptake inhibitor</w:t>
      </w:r>
    </w:p>
    <w:p w14:paraId="798D9808" w14:textId="3D6FE9E2" w:rsidR="00E12824" w:rsidRPr="00E12824" w:rsidRDefault="00E12824" w:rsidP="00E12824">
      <w:pPr>
        <w:spacing w:after="0"/>
        <w:rPr>
          <w:szCs w:val="24"/>
        </w:rPr>
      </w:pPr>
      <w:r w:rsidRPr="00E12824">
        <w:rPr>
          <w:rFonts w:cs="Times New Roman"/>
          <w:noProof/>
          <w:szCs w:val="24"/>
        </w:rPr>
        <w:t xml:space="preserve">TGA </w:t>
      </w:r>
      <w:r w:rsidRPr="00E12824" w:rsidDel="00AA5000">
        <w:rPr>
          <w:rFonts w:cs="Times New Roman"/>
          <w:noProof/>
          <w:szCs w:val="24"/>
        </w:rPr>
        <w:t>–</w:t>
      </w:r>
      <w:r w:rsidRPr="00E12824">
        <w:rPr>
          <w:rFonts w:cs="Times New Roman"/>
          <w:noProof/>
          <w:szCs w:val="24"/>
        </w:rPr>
        <w:t xml:space="preserve"> Therapeutic Goods Adminstration</w:t>
      </w:r>
    </w:p>
    <w:p w14:paraId="793086C0" w14:textId="1E2AB03B" w:rsidR="0077579A" w:rsidRPr="00E12824" w:rsidRDefault="0077579A" w:rsidP="00E12824">
      <w:pPr>
        <w:spacing w:after="0"/>
        <w:rPr>
          <w:szCs w:val="24"/>
        </w:rPr>
      </w:pPr>
      <w:r w:rsidRPr="00E12824">
        <w:rPr>
          <w:szCs w:val="24"/>
        </w:rPr>
        <w:t xml:space="preserve">UK </w:t>
      </w:r>
      <w:r w:rsidRPr="00E12824" w:rsidDel="00AA5000">
        <w:rPr>
          <w:szCs w:val="24"/>
        </w:rPr>
        <w:t>–</w:t>
      </w:r>
      <w:r w:rsidRPr="00E12824">
        <w:rPr>
          <w:szCs w:val="24"/>
        </w:rPr>
        <w:t xml:space="preserve"> United Kingdom</w:t>
      </w:r>
    </w:p>
    <w:p w14:paraId="3047C3A2" w14:textId="2CE0F58B" w:rsidR="0047654E" w:rsidRDefault="0077579A" w:rsidP="0047654E">
      <w:pPr>
        <w:spacing w:after="0"/>
        <w:rPr>
          <w:szCs w:val="24"/>
        </w:rPr>
      </w:pPr>
      <w:r w:rsidRPr="00E12824">
        <w:rPr>
          <w:szCs w:val="24"/>
        </w:rPr>
        <w:t xml:space="preserve">USA </w:t>
      </w:r>
      <w:r w:rsidR="00787E88">
        <w:rPr>
          <w:szCs w:val="24"/>
        </w:rPr>
        <w:t>–</w:t>
      </w:r>
      <w:r w:rsidRPr="00E12824">
        <w:rPr>
          <w:szCs w:val="24"/>
        </w:rPr>
        <w:t xml:space="preserve"> United States of America</w:t>
      </w:r>
      <w:r w:rsidR="0047654E">
        <w:rPr>
          <w:szCs w:val="24"/>
        </w:rPr>
        <w:br w:type="page"/>
      </w:r>
    </w:p>
    <w:p w14:paraId="00AE6B82" w14:textId="6FF418AD" w:rsidR="007D0EFD" w:rsidRDefault="00191247" w:rsidP="00D65071">
      <w:pPr>
        <w:pStyle w:val="Heading1"/>
      </w:pPr>
      <w:bookmarkStart w:id="12" w:name="_Toc112843900"/>
      <w:r>
        <w:t>1</w:t>
      </w:r>
      <w:r w:rsidR="00B949BE">
        <w:t>.</w:t>
      </w:r>
      <w:r>
        <w:t xml:space="preserve"> </w:t>
      </w:r>
      <w:r w:rsidR="007D0EFD" w:rsidRPr="0091560A">
        <w:t>Introduction</w:t>
      </w:r>
      <w:bookmarkEnd w:id="12"/>
    </w:p>
    <w:p w14:paraId="41C8BEBA" w14:textId="6FDE59A9" w:rsidR="0025453C" w:rsidRPr="00061434" w:rsidRDefault="00E47B2D" w:rsidP="00D308C0">
      <w:pPr>
        <w:pStyle w:val="Heading2"/>
      </w:pPr>
      <w:bookmarkStart w:id="13" w:name="_Toc112843901"/>
      <w:r>
        <w:t xml:space="preserve">1.1 </w:t>
      </w:r>
      <w:r w:rsidR="0025453C">
        <w:t>Background</w:t>
      </w:r>
      <w:bookmarkEnd w:id="13"/>
    </w:p>
    <w:p w14:paraId="022FDD65" w14:textId="78194900" w:rsidR="001A36D9" w:rsidRPr="0091560A" w:rsidRDefault="00137E3A" w:rsidP="00A561C3">
      <w:r w:rsidRPr="0091560A">
        <w:t xml:space="preserve">Paracetamol is the most common drug taken in overdose in Australia. </w:t>
      </w:r>
      <w:r w:rsidR="003069EB" w:rsidRPr="0091560A">
        <w:t>We have effective treatments</w:t>
      </w:r>
      <w:r w:rsidR="00D25500" w:rsidRPr="0091560A">
        <w:t xml:space="preserve"> (e.g.</w:t>
      </w:r>
      <w:r w:rsidR="008C683F">
        <w:t>,</w:t>
      </w:r>
      <w:r w:rsidR="00D25500" w:rsidRPr="0091560A">
        <w:t xml:space="preserve"> activated charcoal to reduce absorption, acetylcysteine to reduce liver damage</w:t>
      </w:r>
      <w:r w:rsidR="00AD281C" w:rsidRPr="0091560A">
        <w:t>,</w:t>
      </w:r>
      <w:r w:rsidR="00D25500" w:rsidRPr="0091560A">
        <w:t xml:space="preserve"> intensive care)</w:t>
      </w:r>
      <w:r w:rsidR="00AD281C" w:rsidRPr="0091560A">
        <w:t xml:space="preserve"> and these</w:t>
      </w:r>
      <w:r w:rsidR="003069EB" w:rsidRPr="0091560A">
        <w:t xml:space="preserve"> work extremely well if people have taken moderate size overdoses </w:t>
      </w:r>
      <w:r w:rsidR="00AD281C" w:rsidRPr="0091560A">
        <w:t>of standard preparations (&lt; 30</w:t>
      </w:r>
      <w:r w:rsidR="002B2998" w:rsidRPr="0091560A">
        <w:t xml:space="preserve"> g</w:t>
      </w:r>
      <w:r w:rsidR="00AD281C" w:rsidRPr="0091560A">
        <w:t xml:space="preserve">) </w:t>
      </w:r>
      <w:r w:rsidR="003069EB" w:rsidRPr="0091560A">
        <w:t>and present within 4-8 hours</w:t>
      </w:r>
      <w:r w:rsidR="00100AB8" w:rsidRPr="0091560A">
        <w:t>. However, there is still morbidity</w:t>
      </w:r>
      <w:r w:rsidR="000E2CAE" w:rsidRPr="0091560A">
        <w:t xml:space="preserve"> and the need for hospitalisation,</w:t>
      </w:r>
      <w:r w:rsidR="00100AB8" w:rsidRPr="0091560A">
        <w:t xml:space="preserve"> and p</w:t>
      </w:r>
      <w:r w:rsidRPr="0091560A">
        <w:t xml:space="preserve">aracetamol </w:t>
      </w:r>
      <w:r w:rsidR="008F3008" w:rsidRPr="0091560A">
        <w:t xml:space="preserve">poisoning </w:t>
      </w:r>
      <w:r w:rsidRPr="0091560A">
        <w:t xml:space="preserve">is </w:t>
      </w:r>
      <w:r w:rsidR="001A36D9" w:rsidRPr="0091560A">
        <w:t xml:space="preserve">still </w:t>
      </w:r>
      <w:r w:rsidRPr="0091560A">
        <w:t xml:space="preserve">the most common cause of acute liver failure in </w:t>
      </w:r>
      <w:r w:rsidR="008F3008" w:rsidRPr="0091560A">
        <w:t>most</w:t>
      </w:r>
      <w:r w:rsidR="0007653E" w:rsidRPr="0091560A">
        <w:t xml:space="preserve"> of the Organisation for Economic Co-operation and Development</w:t>
      </w:r>
      <w:r w:rsidRPr="0091560A">
        <w:t xml:space="preserve"> </w:t>
      </w:r>
      <w:r w:rsidR="0007653E" w:rsidRPr="0091560A">
        <w:t>(</w:t>
      </w:r>
      <w:r w:rsidR="008F3008" w:rsidRPr="0091560A">
        <w:t>OECD</w:t>
      </w:r>
      <w:r w:rsidR="0007653E" w:rsidRPr="0091560A">
        <w:t>)</w:t>
      </w:r>
      <w:r w:rsidR="008F3008" w:rsidRPr="0091560A">
        <w:t xml:space="preserve"> countries</w:t>
      </w:r>
      <w:r w:rsidRPr="0091560A">
        <w:t xml:space="preserve">. </w:t>
      </w:r>
    </w:p>
    <w:p w14:paraId="29646FFD" w14:textId="4D5BDDA7" w:rsidR="0047589A" w:rsidRPr="0091560A" w:rsidRDefault="00137E3A" w:rsidP="00A561C3">
      <w:r w:rsidRPr="0091560A">
        <w:t xml:space="preserve">In Australia, </w:t>
      </w:r>
      <w:r w:rsidR="00F87649" w:rsidRPr="0091560A">
        <w:t xml:space="preserve">unlimited numbers of </w:t>
      </w:r>
      <w:r w:rsidR="0091477E" w:rsidRPr="0091560A">
        <w:t xml:space="preserve">packs </w:t>
      </w:r>
      <w:r w:rsidRPr="0091560A">
        <w:t>of paracetamol can be purchased without a prescription</w:t>
      </w:r>
      <w:r w:rsidR="003C1228" w:rsidRPr="0091560A">
        <w:t xml:space="preserve"> </w:t>
      </w:r>
      <w:r w:rsidR="00A9751F" w:rsidRPr="0091560A">
        <w:t>at</w:t>
      </w:r>
      <w:r w:rsidR="003C1228" w:rsidRPr="0091560A">
        <w:t xml:space="preserve"> pharmacies</w:t>
      </w:r>
      <w:r w:rsidR="008743F5" w:rsidRPr="0091560A">
        <w:t xml:space="preserve"> (</w:t>
      </w:r>
      <w:r w:rsidR="00834502">
        <w:t xml:space="preserve">purchases are </w:t>
      </w:r>
      <w:r w:rsidR="00AA4E02" w:rsidRPr="0091560A">
        <w:t xml:space="preserve">commonly </w:t>
      </w:r>
      <w:r w:rsidR="00834502">
        <w:t xml:space="preserve">of </w:t>
      </w:r>
      <w:r w:rsidR="00AA4E02" w:rsidRPr="0091560A">
        <w:t xml:space="preserve">96 or </w:t>
      </w:r>
      <w:r w:rsidR="008743F5" w:rsidRPr="0091560A">
        <w:t>100</w:t>
      </w:r>
      <w:r w:rsidR="00834502">
        <w:t>-</w:t>
      </w:r>
      <w:r w:rsidR="008743F5" w:rsidRPr="0091560A">
        <w:t>tablet packs)</w:t>
      </w:r>
      <w:r w:rsidR="00A9751F" w:rsidRPr="0091560A">
        <w:t xml:space="preserve"> or supermarkets (</w:t>
      </w:r>
      <w:r w:rsidR="00AA4E02" w:rsidRPr="0091560A">
        <w:t xml:space="preserve">commonly </w:t>
      </w:r>
      <w:r w:rsidR="008743F5" w:rsidRPr="0091560A">
        <w:t>20</w:t>
      </w:r>
      <w:r w:rsidR="00834502">
        <w:t>-</w:t>
      </w:r>
      <w:r w:rsidR="008743F5" w:rsidRPr="0091560A">
        <w:t>tablet packs)</w:t>
      </w:r>
      <w:r w:rsidRPr="0091560A">
        <w:t xml:space="preserve">. Many countries, including the </w:t>
      </w:r>
      <w:r w:rsidR="00387C51" w:rsidRPr="0091560A">
        <w:t xml:space="preserve">EU, </w:t>
      </w:r>
      <w:r w:rsidRPr="0091560A">
        <w:t>UK,</w:t>
      </w:r>
      <w:r w:rsidR="00387C51" w:rsidRPr="0091560A">
        <w:t xml:space="preserve"> and New Zealand</w:t>
      </w:r>
      <w:r w:rsidRPr="0091560A">
        <w:t xml:space="preserve"> have introduced </w:t>
      </w:r>
      <w:r w:rsidR="00387C51" w:rsidRPr="0091560A">
        <w:t xml:space="preserve">some </w:t>
      </w:r>
      <w:r w:rsidRPr="0091560A">
        <w:t xml:space="preserve">restrictions </w:t>
      </w:r>
      <w:r w:rsidR="00F1310A" w:rsidRPr="0091560A">
        <w:t>to target the problem</w:t>
      </w:r>
      <w:r w:rsidR="00387C51" w:rsidRPr="0091560A">
        <w:t xml:space="preserve">. </w:t>
      </w:r>
      <w:r w:rsidR="00A9751F" w:rsidRPr="0091560A">
        <w:t>For example, t</w:t>
      </w:r>
      <w:r w:rsidR="00387C51" w:rsidRPr="0091560A">
        <w:t xml:space="preserve">his includes greater restrictions on modified release (MR) preparations and </w:t>
      </w:r>
      <w:r w:rsidR="00AC1A77" w:rsidRPr="0091560A">
        <w:t xml:space="preserve">tighter </w:t>
      </w:r>
      <w:r w:rsidR="00387C51" w:rsidRPr="0091560A">
        <w:t>limits on</w:t>
      </w:r>
      <w:r w:rsidRPr="0091560A">
        <w:t xml:space="preserve"> paracetamol pack sizes</w:t>
      </w:r>
      <w:r w:rsidR="00387C51" w:rsidRPr="0091560A">
        <w:t xml:space="preserve"> or </w:t>
      </w:r>
      <w:r w:rsidR="009E5CD1" w:rsidRPr="0091560A">
        <w:t>packs sold</w:t>
      </w:r>
      <w:r w:rsidRPr="0091560A">
        <w:t xml:space="preserve">. </w:t>
      </w:r>
    </w:p>
    <w:p w14:paraId="61DBD0FA" w14:textId="74C36250" w:rsidR="00137E3A" w:rsidRPr="0091560A" w:rsidRDefault="000074E9" w:rsidP="00A561C3">
      <w:r>
        <w:t>In Au</w:t>
      </w:r>
      <w:r w:rsidR="0093271C">
        <w:t>s</w:t>
      </w:r>
      <w:r>
        <w:t>tralia, m</w:t>
      </w:r>
      <w:r w:rsidR="008003A8" w:rsidRPr="0091560A">
        <w:t xml:space="preserve">edicine </w:t>
      </w:r>
      <w:r w:rsidR="002755C2">
        <w:t xml:space="preserve">access </w:t>
      </w:r>
      <w:r w:rsidR="008003A8" w:rsidRPr="0091560A">
        <w:t>r</w:t>
      </w:r>
      <w:r w:rsidR="00FE5D08" w:rsidRPr="0091560A">
        <w:t xml:space="preserve">estrictions </w:t>
      </w:r>
      <w:r w:rsidR="0047589A" w:rsidRPr="0091560A">
        <w:t xml:space="preserve">are most commonly </w:t>
      </w:r>
      <w:r w:rsidR="008003A8" w:rsidRPr="0091560A">
        <w:t>implemented</w:t>
      </w:r>
      <w:r w:rsidR="0047589A" w:rsidRPr="0091560A">
        <w:t xml:space="preserve"> through s</w:t>
      </w:r>
      <w:r w:rsidR="00FE5D08" w:rsidRPr="0091560A">
        <w:t>cheduling</w:t>
      </w:r>
      <w:r w:rsidR="0047589A" w:rsidRPr="0091560A">
        <w:t>. This</w:t>
      </w:r>
      <w:r w:rsidR="00FE5D08" w:rsidRPr="0091560A">
        <w:t xml:space="preserve"> is a national classification system that controls how medicines and chemicals are made available to the public. Medicines and chemicals are classified into </w:t>
      </w:r>
      <w:r w:rsidR="00D1055B">
        <w:t>S</w:t>
      </w:r>
      <w:r w:rsidR="00FE5D08" w:rsidRPr="0091560A">
        <w:t xml:space="preserve">chedules in the Poisons Standard </w:t>
      </w:r>
      <w:r w:rsidR="005B0B38" w:rsidRPr="0091560A">
        <w:t xml:space="preserve">based on </w:t>
      </w:r>
      <w:r w:rsidR="00F023B3" w:rsidRPr="0091560A">
        <w:t xml:space="preserve">intended use </w:t>
      </w:r>
      <w:r w:rsidR="006155EF" w:rsidRPr="0091560A">
        <w:t xml:space="preserve">and </w:t>
      </w:r>
      <w:r w:rsidR="00FE5D08" w:rsidRPr="0091560A">
        <w:t>risk</w:t>
      </w:r>
      <w:r w:rsidR="00F023B3" w:rsidRPr="0091560A">
        <w:t>s</w:t>
      </w:r>
      <w:r w:rsidR="00FE5D08" w:rsidRPr="0091560A">
        <w:t xml:space="preserve"> of harm</w:t>
      </w:r>
      <w:r w:rsidR="006155EF" w:rsidRPr="0091560A">
        <w:t>. This determines</w:t>
      </w:r>
      <w:r w:rsidR="00FE5D08" w:rsidRPr="0091560A">
        <w:t xml:space="preserve"> the </w:t>
      </w:r>
      <w:r w:rsidR="005F4F99" w:rsidRPr="0091560A">
        <w:t>ease</w:t>
      </w:r>
      <w:r w:rsidR="00FE5D08" w:rsidRPr="0091560A">
        <w:t xml:space="preserve"> of access </w:t>
      </w:r>
      <w:r w:rsidR="008E0913" w:rsidRPr="0091560A">
        <w:t>and aims to</w:t>
      </w:r>
      <w:r w:rsidR="00FE5D08" w:rsidRPr="0091560A">
        <w:t xml:space="preserve"> protect public health and safety.</w:t>
      </w:r>
    </w:p>
    <w:p w14:paraId="245E4F96" w14:textId="5786E57F" w:rsidR="00A9751F" w:rsidRPr="0091560A" w:rsidRDefault="00DC3E2F" w:rsidP="00A561C3">
      <w:r w:rsidRPr="0091560A">
        <w:t>This report aims are to</w:t>
      </w:r>
    </w:p>
    <w:p w14:paraId="41A7B62C" w14:textId="1239759F" w:rsidR="00384AAF" w:rsidRPr="0091560A" w:rsidRDefault="00DC3E2F" w:rsidP="00A561C3">
      <w:pPr>
        <w:pStyle w:val="ListParagraph"/>
        <w:numPr>
          <w:ilvl w:val="0"/>
          <w:numId w:val="8"/>
        </w:numPr>
        <w:ind w:left="714" w:hanging="357"/>
        <w:rPr>
          <w:rFonts w:cs="Times New Roman"/>
          <w:noProof/>
        </w:rPr>
      </w:pPr>
      <w:r w:rsidRPr="0091560A">
        <w:rPr>
          <w:rFonts w:cs="Times New Roman"/>
          <w:noProof/>
        </w:rPr>
        <w:t xml:space="preserve">Provide an overview of </w:t>
      </w:r>
      <w:r w:rsidR="00384AAF" w:rsidRPr="0091560A">
        <w:rPr>
          <w:rFonts w:cs="Times New Roman"/>
          <w:noProof/>
        </w:rPr>
        <w:t xml:space="preserve">clinical aspects of </w:t>
      </w:r>
      <w:r w:rsidRPr="0091560A">
        <w:rPr>
          <w:rFonts w:cs="Times New Roman"/>
          <w:noProof/>
        </w:rPr>
        <w:t>paracetamol toxicity</w:t>
      </w:r>
      <w:r w:rsidR="00384AAF" w:rsidRPr="0091560A">
        <w:rPr>
          <w:rFonts w:cs="Times New Roman"/>
          <w:noProof/>
        </w:rPr>
        <w:t xml:space="preserve"> and current treatment.</w:t>
      </w:r>
    </w:p>
    <w:p w14:paraId="316133D5" w14:textId="12C9BDCE" w:rsidR="0064681A" w:rsidRPr="0091560A" w:rsidRDefault="00C95556" w:rsidP="00A561C3">
      <w:pPr>
        <w:pStyle w:val="ListParagraph"/>
        <w:numPr>
          <w:ilvl w:val="0"/>
          <w:numId w:val="8"/>
        </w:numPr>
        <w:ind w:left="714" w:hanging="357"/>
        <w:rPr>
          <w:rFonts w:cs="Times New Roman"/>
          <w:noProof/>
        </w:rPr>
      </w:pPr>
      <w:r w:rsidRPr="0091560A">
        <w:rPr>
          <w:rFonts w:cs="Times New Roman"/>
          <w:noProof/>
        </w:rPr>
        <w:t xml:space="preserve">Examine contemporary Australian data </w:t>
      </w:r>
      <w:r w:rsidR="0064681A" w:rsidRPr="0091560A">
        <w:rPr>
          <w:rFonts w:cs="Times New Roman"/>
          <w:noProof/>
        </w:rPr>
        <w:t xml:space="preserve">on the burden of </w:t>
      </w:r>
      <w:r w:rsidR="000B7197" w:rsidRPr="0091560A">
        <w:rPr>
          <w:rFonts w:cs="Times New Roman"/>
          <w:noProof/>
        </w:rPr>
        <w:t xml:space="preserve">paracetamol poisoning </w:t>
      </w:r>
      <w:r w:rsidR="0064681A" w:rsidRPr="0091560A">
        <w:rPr>
          <w:rFonts w:cs="Times New Roman"/>
          <w:noProof/>
        </w:rPr>
        <w:t>from a range of sources, identifying high risk groups for poisoning and toxicity</w:t>
      </w:r>
      <w:r w:rsidR="00D91E37">
        <w:rPr>
          <w:rFonts w:cs="Times New Roman"/>
          <w:noProof/>
        </w:rPr>
        <w:t>.</w:t>
      </w:r>
    </w:p>
    <w:p w14:paraId="514B30B5" w14:textId="77777777" w:rsidR="00A20531" w:rsidRPr="0091560A" w:rsidRDefault="00A20531" w:rsidP="00A561C3">
      <w:pPr>
        <w:pStyle w:val="ListParagraph"/>
        <w:numPr>
          <w:ilvl w:val="0"/>
          <w:numId w:val="8"/>
        </w:numPr>
        <w:ind w:left="714" w:hanging="357"/>
        <w:rPr>
          <w:rFonts w:cs="Times New Roman"/>
          <w:noProof/>
        </w:rPr>
      </w:pPr>
      <w:r w:rsidRPr="0091560A">
        <w:rPr>
          <w:rFonts w:cs="Times New Roman"/>
          <w:noProof/>
        </w:rPr>
        <w:t xml:space="preserve">Review relevant literature on the burden of paracetamol poisoning internationally and how this has tracked in relation to access, including any recent regulatory changes. </w:t>
      </w:r>
    </w:p>
    <w:p w14:paraId="6D1F0C3B" w14:textId="29997884" w:rsidR="00DC3E2F" w:rsidRDefault="00DC14A6" w:rsidP="00A561C3">
      <w:pPr>
        <w:pStyle w:val="ListParagraph"/>
        <w:numPr>
          <w:ilvl w:val="0"/>
          <w:numId w:val="8"/>
        </w:numPr>
        <w:ind w:left="714" w:hanging="357"/>
        <w:rPr>
          <w:rFonts w:cs="Times New Roman"/>
          <w:noProof/>
        </w:rPr>
      </w:pPr>
      <w:r w:rsidRPr="0091560A">
        <w:rPr>
          <w:rFonts w:cs="Times New Roman"/>
          <w:noProof/>
        </w:rPr>
        <w:t xml:space="preserve">Review relevant literature </w:t>
      </w:r>
      <w:r w:rsidR="00454163" w:rsidRPr="0091560A">
        <w:rPr>
          <w:rFonts w:cs="Times New Roman"/>
          <w:noProof/>
        </w:rPr>
        <w:t>on options for and effectiveness of restrictions</w:t>
      </w:r>
      <w:r w:rsidR="003C5A86" w:rsidRPr="0091560A">
        <w:rPr>
          <w:rFonts w:cs="Times New Roman"/>
          <w:noProof/>
        </w:rPr>
        <w:t xml:space="preserve"> and other str</w:t>
      </w:r>
      <w:r w:rsidR="00251BA6">
        <w:rPr>
          <w:rFonts w:cs="Times New Roman"/>
          <w:noProof/>
        </w:rPr>
        <w:t>a</w:t>
      </w:r>
      <w:r w:rsidR="003C5A86" w:rsidRPr="0091560A">
        <w:rPr>
          <w:rFonts w:cs="Times New Roman"/>
          <w:noProof/>
        </w:rPr>
        <w:t>tegies to reduce harms.</w:t>
      </w:r>
      <w:r w:rsidR="00DC3E2F" w:rsidRPr="0091560A">
        <w:rPr>
          <w:rFonts w:cs="Times New Roman"/>
          <w:noProof/>
        </w:rPr>
        <w:t xml:space="preserve"> </w:t>
      </w:r>
    </w:p>
    <w:p w14:paraId="7FB13511" w14:textId="65283F46" w:rsidR="00FF4FBC" w:rsidRPr="0091560A" w:rsidRDefault="00FF4FBC" w:rsidP="00A561C3">
      <w:pPr>
        <w:pStyle w:val="ListParagraph"/>
        <w:numPr>
          <w:ilvl w:val="0"/>
          <w:numId w:val="8"/>
        </w:numPr>
        <w:ind w:left="714" w:hanging="357"/>
        <w:rPr>
          <w:rFonts w:cs="Times New Roman"/>
          <w:noProof/>
        </w:rPr>
      </w:pPr>
      <w:r w:rsidRPr="0091560A">
        <w:rPr>
          <w:rFonts w:cs="Times New Roman"/>
          <w:noProof/>
        </w:rPr>
        <w:t xml:space="preserve">Review relevant literature on </w:t>
      </w:r>
      <w:r>
        <w:rPr>
          <w:rFonts w:cs="Times New Roman"/>
          <w:noProof/>
        </w:rPr>
        <w:t xml:space="preserve">the </w:t>
      </w:r>
      <w:r w:rsidR="0012636D">
        <w:rPr>
          <w:rFonts w:cs="Times New Roman"/>
          <w:noProof/>
        </w:rPr>
        <w:t xml:space="preserve">intent and underlying social/psychiatric </w:t>
      </w:r>
      <w:r w:rsidR="003F3FD1">
        <w:rPr>
          <w:rFonts w:cs="Times New Roman"/>
          <w:noProof/>
        </w:rPr>
        <w:t>issues</w:t>
      </w:r>
      <w:r w:rsidR="007150CE">
        <w:rPr>
          <w:rFonts w:cs="Times New Roman"/>
          <w:noProof/>
        </w:rPr>
        <w:t xml:space="preserve"> experienced by those engaging in paracetamol self-poisoning to inform</w:t>
      </w:r>
      <w:r w:rsidR="003F3FD1">
        <w:rPr>
          <w:rFonts w:cs="Times New Roman"/>
          <w:noProof/>
        </w:rPr>
        <w:t xml:space="preserve"> whether other </w:t>
      </w:r>
      <w:r w:rsidRPr="0091560A">
        <w:rPr>
          <w:rFonts w:cs="Times New Roman"/>
          <w:noProof/>
        </w:rPr>
        <w:t>str</w:t>
      </w:r>
      <w:r>
        <w:rPr>
          <w:rFonts w:cs="Times New Roman"/>
          <w:noProof/>
        </w:rPr>
        <w:t>a</w:t>
      </w:r>
      <w:r w:rsidRPr="0091560A">
        <w:rPr>
          <w:rFonts w:cs="Times New Roman"/>
          <w:noProof/>
        </w:rPr>
        <w:t>tegies to reduce harms</w:t>
      </w:r>
      <w:r w:rsidR="00476609">
        <w:rPr>
          <w:rFonts w:cs="Times New Roman"/>
          <w:noProof/>
        </w:rPr>
        <w:t xml:space="preserve"> from inten</w:t>
      </w:r>
      <w:r w:rsidR="007150CE">
        <w:rPr>
          <w:rFonts w:cs="Times New Roman"/>
          <w:noProof/>
        </w:rPr>
        <w:t>t</w:t>
      </w:r>
      <w:r w:rsidR="00476609">
        <w:rPr>
          <w:rFonts w:cs="Times New Roman"/>
          <w:noProof/>
        </w:rPr>
        <w:t>ional self-poisoning</w:t>
      </w:r>
      <w:r w:rsidR="007150CE">
        <w:rPr>
          <w:rFonts w:cs="Times New Roman"/>
          <w:noProof/>
        </w:rPr>
        <w:t xml:space="preserve"> are needed</w:t>
      </w:r>
      <w:r w:rsidR="00476609">
        <w:rPr>
          <w:rFonts w:cs="Times New Roman"/>
          <w:noProof/>
        </w:rPr>
        <w:t>.</w:t>
      </w:r>
    </w:p>
    <w:p w14:paraId="7D6765E4" w14:textId="07AFB865" w:rsidR="003B14BD" w:rsidRPr="0091560A" w:rsidRDefault="003B14BD" w:rsidP="00A561C3">
      <w:pPr>
        <w:pStyle w:val="ListParagraph"/>
        <w:numPr>
          <w:ilvl w:val="0"/>
          <w:numId w:val="8"/>
        </w:numPr>
        <w:ind w:left="714" w:hanging="357"/>
        <w:rPr>
          <w:rFonts w:cs="Times New Roman"/>
          <w:noProof/>
        </w:rPr>
      </w:pPr>
      <w:r w:rsidRPr="0091560A">
        <w:rPr>
          <w:rFonts w:cs="Times New Roman"/>
          <w:noProof/>
        </w:rPr>
        <w:t xml:space="preserve">Critically analyse the balance of the benefits and risks of the current access to paracetamol on the Australian market in relation to intentional self-poisoning, particularly in regard to paracetamol available by general sale. </w:t>
      </w:r>
    </w:p>
    <w:p w14:paraId="35BBB6FA" w14:textId="7810585A" w:rsidR="003B14BD" w:rsidRPr="0091560A" w:rsidRDefault="003B14BD" w:rsidP="00A561C3">
      <w:pPr>
        <w:pStyle w:val="ListParagraph"/>
        <w:numPr>
          <w:ilvl w:val="0"/>
          <w:numId w:val="8"/>
        </w:numPr>
        <w:ind w:left="714" w:hanging="357"/>
        <w:rPr>
          <w:rFonts w:cs="Times New Roman"/>
          <w:noProof/>
        </w:rPr>
      </w:pPr>
      <w:r w:rsidRPr="0091560A">
        <w:rPr>
          <w:rFonts w:cs="Times New Roman"/>
          <w:noProof/>
        </w:rPr>
        <w:t>Discuss the possible outcomes in the community of restricting general sale access or purchasing controls to paracetamol, including deliberate self-poisoning with other medicines.</w:t>
      </w:r>
    </w:p>
    <w:p w14:paraId="0BD26CCB" w14:textId="4F66BB1C" w:rsidR="007D0EFD" w:rsidRPr="0091560A" w:rsidRDefault="00BA6502" w:rsidP="00D308C0">
      <w:pPr>
        <w:pStyle w:val="Heading2"/>
      </w:pPr>
      <w:bookmarkStart w:id="14" w:name="_Toc112843902"/>
      <w:r>
        <w:t xml:space="preserve">1.2 </w:t>
      </w:r>
      <w:r w:rsidR="00334009" w:rsidRPr="0091560A">
        <w:t>Overview of clinical aspects of paracetamol toxicity</w:t>
      </w:r>
      <w:bookmarkEnd w:id="14"/>
    </w:p>
    <w:p w14:paraId="4996FFBD" w14:textId="37054753" w:rsidR="001E222E" w:rsidRPr="0091560A" w:rsidRDefault="00B07D44" w:rsidP="00782DB2">
      <w:r w:rsidRPr="0091560A">
        <w:t xml:space="preserve">The major </w:t>
      </w:r>
      <w:r w:rsidR="004F44D6" w:rsidRPr="0091560A">
        <w:t>risk</w:t>
      </w:r>
      <w:r w:rsidRPr="0091560A">
        <w:t xml:space="preserve"> from paracetamol poisoning is </w:t>
      </w:r>
      <w:r w:rsidR="004F44D6" w:rsidRPr="0091560A">
        <w:t xml:space="preserve">acute </w:t>
      </w:r>
      <w:r w:rsidRPr="0091560A">
        <w:t>liver toxicity</w:t>
      </w:r>
      <w:r w:rsidR="004F44D6" w:rsidRPr="0091560A">
        <w:t xml:space="preserve">. </w:t>
      </w:r>
      <w:r w:rsidR="008B4B0A" w:rsidRPr="0091560A">
        <w:t>This is caused by a minor toxic metabolite of paracetamol (NAPQI)</w:t>
      </w:r>
      <w:r w:rsidR="00F900E0" w:rsidRPr="0091560A">
        <w:t xml:space="preserve"> produced in the liver</w:t>
      </w:r>
      <w:r w:rsidR="008B4B0A" w:rsidRPr="0091560A">
        <w:t>.</w:t>
      </w:r>
      <w:r w:rsidR="004F44D6" w:rsidRPr="0091560A">
        <w:t xml:space="preserve"> </w:t>
      </w:r>
      <w:r w:rsidR="00B949D1" w:rsidRPr="0091560A">
        <w:t>This metabolite accounts for much less than 10% of paracetamol metabolism and in therapeutic doses is readily detoxified</w:t>
      </w:r>
      <w:r w:rsidR="0083528C" w:rsidRPr="0091560A">
        <w:t xml:space="preserve"> by the antioxidant glutathione.</w:t>
      </w:r>
      <w:r w:rsidR="00051BAB" w:rsidRPr="0091560A">
        <w:t xml:space="preserve"> In overdose glutathione levels may be insuffi</w:t>
      </w:r>
      <w:r w:rsidR="00AA0D2A">
        <w:t>ci</w:t>
      </w:r>
      <w:r w:rsidR="00051BAB" w:rsidRPr="0091560A">
        <w:t xml:space="preserve">ent to detoxify NAPQI and </w:t>
      </w:r>
      <w:r w:rsidR="001D7A11" w:rsidRPr="0091560A">
        <w:t>it binds to a wide range of proteins</w:t>
      </w:r>
      <w:r w:rsidR="00F900E0" w:rsidRPr="0091560A">
        <w:t xml:space="preserve"> in the liver causing acute liver injury.</w:t>
      </w:r>
      <w:r w:rsidR="001D7A11" w:rsidRPr="0091560A">
        <w:t xml:space="preserve"> </w:t>
      </w:r>
      <w:r w:rsidR="00B949D1" w:rsidRPr="0091560A">
        <w:t xml:space="preserve"> </w:t>
      </w:r>
    </w:p>
    <w:p w14:paraId="6B53BE12" w14:textId="1C97DD6E" w:rsidR="008966C9" w:rsidRPr="0091560A" w:rsidRDefault="004F44D6" w:rsidP="002F243A">
      <w:r w:rsidRPr="0091560A">
        <w:t xml:space="preserve">The </w:t>
      </w:r>
      <w:r w:rsidR="009E2E9E" w:rsidRPr="0091560A">
        <w:t xml:space="preserve">minimum </w:t>
      </w:r>
      <w:r w:rsidRPr="0091560A">
        <w:t xml:space="preserve">toxic </w:t>
      </w:r>
      <w:r w:rsidR="009E2E9E" w:rsidRPr="0091560A">
        <w:t>over</w:t>
      </w:r>
      <w:r w:rsidRPr="0091560A">
        <w:t xml:space="preserve">dose is </w:t>
      </w:r>
      <w:r w:rsidR="009E2E9E" w:rsidRPr="0091560A">
        <w:t xml:space="preserve">generally regarded as </w:t>
      </w:r>
      <w:r w:rsidRPr="0091560A">
        <w:t>10 g (or 200 mg/kg in patients under 50 kg).</w:t>
      </w:r>
      <w:r w:rsidR="003F696A" w:rsidRPr="0091560A">
        <w:t xml:space="preserve"> </w:t>
      </w:r>
      <w:r w:rsidR="0021479B" w:rsidRPr="0091560A">
        <w:t xml:space="preserve">This is typically the minimum amount that leads to a concentration over the paracetamol nomogram line. </w:t>
      </w:r>
      <w:r w:rsidR="00D2583A" w:rsidRPr="0091560A">
        <w:t xml:space="preserve">The nomogram </w:t>
      </w:r>
      <w:r w:rsidR="002137BA" w:rsidRPr="0091560A">
        <w:t xml:space="preserve">(Figure </w:t>
      </w:r>
      <w:r w:rsidR="00476609">
        <w:t>1</w:t>
      </w:r>
      <w:r w:rsidR="002137BA" w:rsidRPr="0091560A">
        <w:t xml:space="preserve">) </w:t>
      </w:r>
      <w:r w:rsidR="00D2583A" w:rsidRPr="0091560A">
        <w:t xml:space="preserve">is used to </w:t>
      </w:r>
      <w:r w:rsidR="00D5114B">
        <w:t xml:space="preserve">confirm that a toxic dose has been ingested </w:t>
      </w:r>
      <w:r w:rsidR="00B917DA">
        <w:t xml:space="preserve">and thus </w:t>
      </w:r>
      <w:r w:rsidR="00AA0D2A">
        <w:t>indicates</w:t>
      </w:r>
      <w:r w:rsidR="00D2583A" w:rsidRPr="0091560A">
        <w:t xml:space="preserve"> the need for </w:t>
      </w:r>
      <w:r w:rsidR="001E222E" w:rsidRPr="0091560A">
        <w:t xml:space="preserve">antidote </w:t>
      </w:r>
      <w:r w:rsidR="00D2583A" w:rsidRPr="0091560A">
        <w:t xml:space="preserve">treatment </w:t>
      </w:r>
      <w:r w:rsidR="001E222E" w:rsidRPr="0091560A">
        <w:t>with acetylcysteine.</w:t>
      </w:r>
      <w:r w:rsidR="001D43F3">
        <w:fldChar w:fldCharType="begin">
          <w:fldData xml:space="preserve">PEVuZE5vdGU+PENpdGU+PEF1dGhvcj5CdWNrbGV5PC9BdXRob3I+PFllYXI+MjAyMDwvWWVhcj48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</w:fldData>
        </w:fldChar>
      </w:r>
      <w:r w:rsidR="006E08D8">
        <w:instrText xml:space="preserve"> ADDIN EN.CITE </w:instrText>
      </w:r>
      <w:r w:rsidR="006E08D8">
        <w:fldChar w:fldCharType="begin">
          <w:fldData xml:space="preserve">PEVuZE5vdGU+PENpdGU+PEF1dGhvcj5CdWNrbGV5PC9BdXRob3I+PFllYXI+MjAyMDwvWWVhcj48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</w:fldData>
        </w:fldChar>
      </w:r>
      <w:r w:rsidR="006E08D8">
        <w:instrText xml:space="preserve"> ADDIN EN.CITE.DATA </w:instrText>
      </w:r>
      <w:r w:rsidR="006E08D8">
        <w:fldChar w:fldCharType="end"/>
      </w:r>
      <w:r w:rsidR="001D43F3">
        <w:fldChar w:fldCharType="separate"/>
      </w:r>
      <w:r w:rsidR="00FB3D39">
        <w:t>(Buckley et al., 2020; Chiew et al., 2020)</w:t>
      </w:r>
      <w:r w:rsidR="001D43F3">
        <w:fldChar w:fldCharType="end"/>
      </w:r>
      <w:r w:rsidR="000C1CEA" w:rsidRPr="0091560A">
        <w:t xml:space="preserve"> </w:t>
      </w:r>
      <w:r w:rsidR="00587B5D" w:rsidRPr="0091560A">
        <w:t>Acetylcysteine replenishes glutathione sto</w:t>
      </w:r>
      <w:r w:rsidR="00A20AB2" w:rsidRPr="0091560A">
        <w:t>res and also directly detoxifies paracetam</w:t>
      </w:r>
      <w:r w:rsidR="00911FD0" w:rsidRPr="0091560A">
        <w:t>ol</w:t>
      </w:r>
      <w:r w:rsidR="00F028FB" w:rsidRPr="0091560A">
        <w:t>.</w:t>
      </w:r>
      <w:r w:rsidR="008966C9" w:rsidRPr="0091560A">
        <w:t xml:space="preserve"> </w:t>
      </w:r>
    </w:p>
    <w:p w14:paraId="04D16B37" w14:textId="1976C157" w:rsidR="00A20AB2" w:rsidRPr="0091560A" w:rsidRDefault="00A20AB2" w:rsidP="00F716E4">
      <w:pPr>
        <w:pStyle w:val="Caption"/>
      </w:pPr>
      <w:r w:rsidRPr="0091560A">
        <w:rPr>
          <w:noProof/>
        </w:rPr>
        <w:drawing>
          <wp:inline distT="0" distB="0" distL="0" distR="0" wp14:anchorId="1D319163" wp14:editId="2BCFE8E4">
            <wp:extent cx="5438644" cy="3737610"/>
            <wp:effectExtent l="0" t="0" r="0" b="0"/>
            <wp:docPr id="3"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38" r="8530"/>
                    <a:stretch/>
                  </pic:blipFill>
                  <pic:spPr bwMode="auto">
                    <a:xfrm>
                      <a:off x="0" y="0"/>
                      <a:ext cx="5456373" cy="3749794"/>
                    </a:xfrm>
                    <a:prstGeom prst="rect">
                      <a:avLst/>
                    </a:prstGeom>
                    <a:noFill/>
                    <a:ln>
                      <a:noFill/>
                    </a:ln>
                    <a:extLst>
                      <a:ext uri="{53640926-AAD7-44D8-BBD7-CCE9431645EC}">
                        <a14:shadowObscured xmlns:a14="http://schemas.microsoft.com/office/drawing/2010/main"/>
                      </a:ext>
                    </a:extLst>
                  </pic:spPr>
                </pic:pic>
              </a:graphicData>
            </a:graphic>
          </wp:inline>
        </w:drawing>
      </w:r>
      <w:r w:rsidRPr="0091560A">
        <w:t>.</w:t>
      </w:r>
    </w:p>
    <w:p w14:paraId="7556BB00" w14:textId="615196CC" w:rsidR="009F448B" w:rsidRPr="008B2763" w:rsidRDefault="009F448B" w:rsidP="00AA0D2A">
      <w:pPr>
        <w:pStyle w:val="FigureCaption"/>
      </w:pPr>
      <w:bookmarkStart w:id="15" w:name="_Toc114559962"/>
      <w:r w:rsidRPr="008B2763">
        <w:t xml:space="preserve">Figure </w:t>
      </w:r>
      <w:r w:rsidRPr="00882746">
        <w:fldChar w:fldCharType="begin"/>
      </w:r>
      <w:r w:rsidRPr="008B2763">
        <w:instrText xml:space="preserve"> SEQ Figure \* ARABIC </w:instrText>
      </w:r>
      <w:r w:rsidRPr="00882746">
        <w:fldChar w:fldCharType="separate"/>
      </w:r>
      <w:r w:rsidR="0091734E">
        <w:rPr>
          <w:noProof/>
        </w:rPr>
        <w:t>1</w:t>
      </w:r>
      <w:r w:rsidRPr="00882746">
        <w:rPr>
          <w:noProof/>
        </w:rPr>
        <w:fldChar w:fldCharType="end"/>
      </w:r>
      <w:r w:rsidRPr="008B2763">
        <w:t xml:space="preserve"> The paracetamol poisoning nomogram</w:t>
      </w:r>
      <w:bookmarkEnd w:id="15"/>
    </w:p>
    <w:p w14:paraId="4023874C" w14:textId="412D5480" w:rsidR="00131B2E" w:rsidRDefault="00131B2E" w:rsidP="00AA0D2A">
      <w:pPr>
        <w:pStyle w:val="Figurenote"/>
      </w:pPr>
      <w:r>
        <w:t>NB. Right hand axis units are not shown, all conce</w:t>
      </w:r>
      <w:r w:rsidR="00607A63">
        <w:t>n</w:t>
      </w:r>
      <w:r>
        <w:t>trations mentioned in the report are in mg/L</w:t>
      </w:r>
      <w:r w:rsidR="00EA6297">
        <w:t>.</w:t>
      </w:r>
    </w:p>
    <w:p w14:paraId="11D294F5" w14:textId="60171E74" w:rsidR="00FB3D39" w:rsidRDefault="00FB3D39" w:rsidP="00AA0D2A">
      <w:r w:rsidRPr="0091560A">
        <w:t xml:space="preserve">A few people who have low glutathione stores or metabolise to NAPQI in greater than usual amounts may be susceptible to toxicity with lower </w:t>
      </w:r>
      <w:r w:rsidR="00737699" w:rsidRPr="0091560A">
        <w:t>overdoses</w:t>
      </w:r>
      <w:r w:rsidRPr="0091560A">
        <w:t>, but this is not a frequent problem. Generally, starting treatment with acetylcysteine within 8 hours for those over the nomogram line leads to complete protection.</w:t>
      </w:r>
      <w:r>
        <w:fldChar w:fldCharType="begin">
          <w:fldData xml:space="preserve">PEVuZE5vdGU+PENpdGU+PEF1dGhvcj5DaGlldzwvQXV0aG9yPjxZZWFyPjIwMjE8L1llYXI+PFJl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</w:fldData>
        </w:fldChar>
      </w:r>
      <w:r w:rsidR="006E08D8">
        <w:instrText xml:space="preserve"> ADDIN EN.CITE </w:instrText>
      </w:r>
      <w:r w:rsidR="006E08D8">
        <w:fldChar w:fldCharType="begin">
          <w:fldData xml:space="preserve">PEVuZE5vdGU+PENpdGU+PEF1dGhvcj5DaGlldzwvQXV0aG9yPjxZZWFyPjIwMjE8L1llYXI+PFJl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</w:fldData>
        </w:fldChar>
      </w:r>
      <w:r w:rsidR="006E08D8">
        <w:instrText xml:space="preserve"> ADDIN EN.CITE.DATA </w:instrText>
      </w:r>
      <w:r w:rsidR="006E08D8">
        <w:fldChar w:fldCharType="end"/>
      </w:r>
      <w:r>
        <w:fldChar w:fldCharType="separate"/>
      </w:r>
      <w:r>
        <w:t>(Chiew &amp; Buckley, 2021; Chiew, Gluud, Brok, &amp; Buckley, 2018)</w:t>
      </w:r>
      <w:r>
        <w:fldChar w:fldCharType="end"/>
      </w:r>
      <w:r>
        <w:t xml:space="preserve"> </w:t>
      </w:r>
      <w:r w:rsidRPr="0091560A">
        <w:t>People with much higher ingestions, manifested as higher concentrations on the nomogram, are at higher risk despite standard treatment</w:t>
      </w:r>
      <w:r>
        <w:t>.</w:t>
      </w:r>
      <w:r>
        <w:fldChar w:fldCharType="begin">
          <w:fldData xml:space="preserve">PEVuZE5vdGU+PENpdGU+PEF1dGhvcj5DaGlldzwvQXV0aG9yPjxZZWFyPjIwMTc8L1llYXI+PFJl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=
</w:fldData>
        </w:fldChar>
      </w:r>
      <w:r w:rsidR="006E08D8">
        <w:instrText xml:space="preserve"> ADDIN EN.CITE </w:instrText>
      </w:r>
      <w:r w:rsidR="006E08D8">
        <w:fldChar w:fldCharType="begin">
          <w:fldData xml:space="preserve">PEVuZE5vdGU+PENpdGU+PEF1dGhvcj5DaGlldzwvQXV0aG9yPjxZZWFyPjIwMTc8L1llYXI+PFJl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=
</w:fldData>
        </w:fldChar>
      </w:r>
      <w:r w:rsidR="006E08D8">
        <w:instrText xml:space="preserve"> ADDIN EN.CITE.DATA </w:instrText>
      </w:r>
      <w:r w:rsidR="006E08D8">
        <w:fldChar w:fldCharType="end"/>
      </w:r>
      <w:r>
        <w:fldChar w:fldCharType="separate"/>
      </w:r>
      <w:r>
        <w:t>(Cairney et al., 2016; Chiew et al., 2017)</w:t>
      </w:r>
      <w:r>
        <w:fldChar w:fldCharType="end"/>
      </w:r>
      <w:r w:rsidRPr="0091560A">
        <w:t xml:space="preserve"> The figure demonstrates this risk – those with mg/L concentrations double (‘301-500’) or triple (‘501+’) the nomogram line have a risk of toxicity despite treatment within 8 hours and even if they have no evidence of liver toxicity </w:t>
      </w:r>
      <w:r w:rsidR="006D075A">
        <w:t xml:space="preserve">(a normal ALT) </w:t>
      </w:r>
      <w:r w:rsidRPr="0091560A">
        <w:t xml:space="preserve">on arrival. (Figure </w:t>
      </w:r>
      <w:r>
        <w:t>2</w:t>
      </w:r>
      <w:r w:rsidRPr="0091560A">
        <w:t>). This risk is reduced by giving higher than usual acetylcysteine doses.</w:t>
      </w:r>
      <w:r>
        <w:fldChar w:fldCharType="begin">
          <w:fldData xml:space="preserve">PEVuZE5vdGU+PENpdGU+PEF1dGhvcj5DaGlldzwvQXV0aG9yPjxZZWFyPjIwMTc8L1llYXI+PFJl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</w:fldData>
        </w:fldChar>
      </w:r>
      <w:r w:rsidR="006E08D8">
        <w:instrText xml:space="preserve"> ADDIN EN.CITE </w:instrText>
      </w:r>
      <w:r w:rsidR="006E08D8">
        <w:fldChar w:fldCharType="begin">
          <w:fldData xml:space="preserve">PEVuZE5vdGU+PENpdGU+PEF1dGhvcj5DaGlldzwvQXV0aG9yPjxZZWFyPjIwMTc8L1llYXI+PFJl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</w:fldData>
        </w:fldChar>
      </w:r>
      <w:r w:rsidR="006E08D8">
        <w:instrText xml:space="preserve"> ADDIN EN.CITE.DATA </w:instrText>
      </w:r>
      <w:r w:rsidR="006E08D8">
        <w:fldChar w:fldCharType="end"/>
      </w:r>
      <w:r>
        <w:fldChar w:fldCharType="separate"/>
      </w:r>
      <w:r>
        <w:t>(Chiew et al., 2017)</w:t>
      </w:r>
      <w:r>
        <w:fldChar w:fldCharType="end"/>
      </w:r>
      <w:r w:rsidR="00587F73">
        <w:rPr>
          <w:noProof/>
        </w:rPr>
        <w:t>.</w:t>
      </w:r>
    </w:p>
    <w:p w14:paraId="03ECCCEC" w14:textId="2EC03D36" w:rsidR="00FB3D39" w:rsidRDefault="00FB3D39">
      <w:pPr>
        <w:rPr>
          <w:rFonts w:cs="Times New Roman"/>
          <w:i/>
          <w:iCs/>
          <w:color w:val="44546A" w:themeColor="text2"/>
          <w:sz w:val="18"/>
          <w:szCs w:val="18"/>
        </w:rPr>
      </w:pPr>
    </w:p>
    <w:p w14:paraId="47814894" w14:textId="425D4F3C" w:rsidR="005574FE" w:rsidRDefault="005574FE">
      <w:pPr>
        <w:pStyle w:val="Caption"/>
      </w:pPr>
      <w:r>
        <w:rPr>
          <w:noProof/>
        </w:rPr>
        <mc:AlternateContent>
          <mc:Choice Requires="wpg">
            <w:drawing>
              <wp:inline distT="0" distB="0" distL="0" distR="0" wp14:anchorId="794356F6" wp14:editId="21E479BE">
                <wp:extent cx="5619750" cy="2190750"/>
                <wp:effectExtent l="0" t="0" r="0" b="0"/>
                <wp:docPr id="33" name="Group 3"/>
                <wp:cNvGraphicFramePr/>
                <a:graphic xmlns:a="http://schemas.openxmlformats.org/drawingml/2006/main">
                  <a:graphicData uri="http://schemas.microsoft.com/office/word/2010/wordprocessingGroup">
                    <wpg:wgp>
                      <wpg:cNvGrpSpPr/>
                      <wpg:grpSpPr>
                        <a:xfrm>
                          <a:off x="0" y="0"/>
                          <a:ext cx="5619750" cy="2190750"/>
                          <a:chOff x="0" y="0"/>
                          <a:chExt cx="5619750" cy="2190750"/>
                        </a:xfrm>
                      </wpg:grpSpPr>
                      <pic:pic xmlns:pic="http://schemas.openxmlformats.org/drawingml/2006/picture">
                        <pic:nvPicPr>
                          <pic:cNvPr id="34" name="Picture 4" descr="Macintosh HD:Users:jamesdear:OneDriveBusiness:David Cairney:Final paper:V3:Figure 3.eps"/>
                          <pic:cNvPicPr/>
                        </pic:nvPicPr>
                        <pic:blipFill rotWithShape="1">
                          <a:blip r:embed="rId13" cstate="print">
                            <a:extLst>
                              <a:ext uri="{28A0092B-C50C-407E-A947-70E740481C1C}">
                                <a14:useLocalDpi xmlns:a14="http://schemas.microsoft.com/office/drawing/2010/main" val="0"/>
                              </a:ext>
                            </a:extLst>
                          </a:blip>
                          <a:srcRect b="52594"/>
                          <a:stretch/>
                        </pic:blipFill>
                        <pic:spPr bwMode="auto">
                          <a:xfrm>
                            <a:off x="0" y="0"/>
                            <a:ext cx="2752725" cy="21526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5" name="Picture 4" descr="Macintosh HD:Users:jamesdear:OneDriveBusiness:David Cairney:Final paper:V3:Figure 3.eps"/>
                          <pic:cNvPicPr/>
                        </pic:nvPicPr>
                        <pic:blipFill rotWithShape="1">
                          <a:blip r:embed="rId13" cstate="print">
                            <a:extLst>
                              <a:ext uri="{28A0092B-C50C-407E-A947-70E740481C1C}">
                                <a14:useLocalDpi xmlns:a14="http://schemas.microsoft.com/office/drawing/2010/main" val="0"/>
                              </a:ext>
                            </a:extLst>
                          </a:blip>
                          <a:srcRect t="52021"/>
                          <a:stretch/>
                        </pic:blipFill>
                        <pic:spPr bwMode="auto">
                          <a:xfrm>
                            <a:off x="2838450" y="0"/>
                            <a:ext cx="2781300" cy="2190750"/>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xmlns:w16sdtdh="http://schemas.microsoft.com/office/word/2020/wordml/sdtdatahash" xmlns:oel="http://schemas.microsoft.com/office/2019/extlst" xmlns:arto="http://schemas.microsoft.com/office/word/2006/arto" xmlns:a16="http://schemas.microsoft.com/office/drawing/2014/main" xmlns:a14="http://schemas.microsoft.com/office/drawing/2010/main" xmlns:pic="http://schemas.openxmlformats.org/drawingml/2006/picture" xmlns:a="http://schemas.openxmlformats.org/drawingml/2006/main">
            <w:pict w14:anchorId="48046F72">
              <v:group id="Group 3" style="width:442.5pt;height:172.5pt;mso-position-horizontal-relative:char;mso-position-vertical-relative:line" coordsize="56197,21907" o:spid="_x0000_s1026" w14:anchorId="429A18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 style="position:absolute;width:27527;height:21526;visibility:visible;mso-wrap-style:square" alt="Macintosh HD:Users:jamesdear:OneDriveBusiness:David Cairney:Final paper:V3:Figure 3.eps"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">
                  <v:imagedata cropbottom="34468f" o:title="Figure 3" r:id="rId17"/>
                </v:shape>
                <v:shape id="Picture 4" style="position:absolute;left:28384;width:27813;height:21907;visibility:visible;mso-wrap-style:square" alt="Macintosh HD:Users:jamesdear:OneDriveBusiness:David Cairney:Final paper:V3:Figure 3.eps"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">
                  <v:imagedata croptop="34092f" o:title="Figure 3" r:id="rId17"/>
                </v:shape>
                <w10:anchorlock/>
              </v:group>
            </w:pict>
          </mc:Fallback>
        </mc:AlternateContent>
      </w:r>
    </w:p>
    <w:p w14:paraId="2B5DAD9D" w14:textId="4200CCF8" w:rsidR="001E413E" w:rsidRDefault="00F716E4" w:rsidP="00AA0D2A">
      <w:pPr>
        <w:pStyle w:val="FigureCaption"/>
        <w:rPr>
          <w:noProof/>
        </w:rPr>
      </w:pPr>
      <w:bookmarkStart w:id="16" w:name="_Toc114559963"/>
      <w:r w:rsidRPr="0091560A">
        <w:t xml:space="preserve">Figure </w:t>
      </w:r>
      <w:r>
        <w:fldChar w:fldCharType="begin"/>
      </w:r>
      <w:r>
        <w:instrText>SEQ Figure \* ARABIC</w:instrText>
      </w:r>
      <w:r>
        <w:fldChar w:fldCharType="separate"/>
      </w:r>
      <w:r w:rsidR="0091734E">
        <w:rPr>
          <w:noProof/>
        </w:rPr>
        <w:t>2</w:t>
      </w:r>
      <w:r>
        <w:fldChar w:fldCharType="end"/>
      </w:r>
      <w:r w:rsidRPr="0091560A">
        <w:t xml:space="preserve"> </w:t>
      </w:r>
      <w:r w:rsidR="006F60EA" w:rsidRPr="0091560A">
        <w:t xml:space="preserve"> Rates of liver injury following paracetamol poisoning </w:t>
      </w:r>
      <w:r w:rsidR="006504C9" w:rsidRPr="0091560A">
        <w:t xml:space="preserve">stratified by </w:t>
      </w:r>
      <w:r w:rsidR="00DC41A3" w:rsidRPr="0091560A">
        <w:t>paracetamol c</w:t>
      </w:r>
      <w:r w:rsidR="006504C9" w:rsidRPr="0091560A">
        <w:t>oncentrations</w:t>
      </w:r>
      <w:r w:rsidR="006D6767" w:rsidRPr="0091560A">
        <w:t xml:space="preserve"> plotted against the nomogram</w:t>
      </w:r>
      <w:r w:rsidR="00A4762F" w:rsidRPr="0091560A">
        <w:t xml:space="preserve"> in mg/L</w:t>
      </w:r>
      <w:r w:rsidR="006D6767" w:rsidRPr="0091560A">
        <w:t>.</w:t>
      </w:r>
      <w:r w:rsidR="000956AD">
        <w:fldChar w:fldCharType="begin">
          <w:fldData xml:space="preserve">PEVuZE5vdGU+PENpdGU+PEF1dGhvcj5DYWlybmV5PC9BdXRob3I+PFllYXI+MjAxNjwvWWVhcj48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</w:fldData>
        </w:fldChar>
      </w:r>
      <w:r w:rsidR="006E08D8">
        <w:instrText xml:space="preserve"> ADDIN EN.CITE </w:instrText>
      </w:r>
      <w:r w:rsidR="006E08D8">
        <w:fldChar w:fldCharType="begin">
          <w:fldData xml:space="preserve">PEVuZE5vdGU+PENpdGU+PEF1dGhvcj5DYWlybmV5PC9BdXRob3I+PFllYXI+MjAxNjwvWWVhcj48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</w:fldData>
        </w:fldChar>
      </w:r>
      <w:r w:rsidR="006E08D8">
        <w:instrText xml:space="preserve"> ADDIN EN.CITE.DATA </w:instrText>
      </w:r>
      <w:r w:rsidR="006E08D8">
        <w:fldChar w:fldCharType="end"/>
      </w:r>
      <w:r w:rsidR="000956AD">
        <w:fldChar w:fldCharType="separate"/>
      </w:r>
      <w:r w:rsidR="000956AD">
        <w:t>(Cairney et al., 2016)</w:t>
      </w:r>
      <w:bookmarkEnd w:id="16"/>
      <w:r w:rsidR="000956AD">
        <w:fldChar w:fldCharType="end"/>
      </w:r>
      <w:r w:rsidR="006D6767" w:rsidRPr="0091560A">
        <w:t xml:space="preserve"> </w:t>
      </w:r>
    </w:p>
    <w:p w14:paraId="27B6D03B" w14:textId="29C05812" w:rsidR="00013DD6" w:rsidRPr="0091560A" w:rsidRDefault="006D6767" w:rsidP="00AA0D2A">
      <w:pPr>
        <w:pStyle w:val="Figurenote"/>
      </w:pPr>
      <w:r w:rsidRPr="0091560A">
        <w:t xml:space="preserve">Note the standard Australian </w:t>
      </w:r>
      <w:r w:rsidR="00266A2D" w:rsidRPr="0091560A">
        <w:t xml:space="preserve">nomogram line is a ‘150 line’ reflecting </w:t>
      </w:r>
      <w:r w:rsidR="007A156B" w:rsidRPr="0091560A">
        <w:t xml:space="preserve">that </w:t>
      </w:r>
      <w:r w:rsidR="00266A2D" w:rsidRPr="0091560A">
        <w:t>it starts at 150mg/L at 4 hours.</w:t>
      </w:r>
    </w:p>
    <w:p w14:paraId="5A38F5F3" w14:textId="71F83C34" w:rsidR="00F6367D" w:rsidRPr="0091560A" w:rsidRDefault="00E14E7E">
      <w:r w:rsidRPr="0091560A">
        <w:t xml:space="preserve">This means most people who develop liver toxicity </w:t>
      </w:r>
      <w:r w:rsidR="0091345F" w:rsidRPr="0091560A">
        <w:t xml:space="preserve">are those who </w:t>
      </w:r>
      <w:r w:rsidRPr="0091560A">
        <w:t>have taken very large</w:t>
      </w:r>
      <w:r w:rsidR="00213B0C" w:rsidRPr="0091560A">
        <w:t xml:space="preserve"> overdoses</w:t>
      </w:r>
      <w:r w:rsidRPr="0091560A">
        <w:t xml:space="preserve"> </w:t>
      </w:r>
      <w:r w:rsidR="0091345F" w:rsidRPr="0091560A">
        <w:t>(</w:t>
      </w:r>
      <w:r w:rsidR="009F6E2D" w:rsidRPr="0091560A">
        <w:t>i.</w:t>
      </w:r>
      <w:r w:rsidR="00F51D78" w:rsidRPr="0091560A">
        <w:t>e.</w:t>
      </w:r>
      <w:r w:rsidR="00737699">
        <w:t>,</w:t>
      </w:r>
      <w:r w:rsidR="00F51D78" w:rsidRPr="0091560A">
        <w:t xml:space="preserve"> </w:t>
      </w:r>
      <w:r w:rsidR="00807107" w:rsidRPr="0091560A">
        <w:t>&gt;</w:t>
      </w:r>
      <w:r w:rsidR="0040583A">
        <w:t xml:space="preserve"> </w:t>
      </w:r>
      <w:r w:rsidR="00807107" w:rsidRPr="0091560A">
        <w:t>2 to 3 times the minimum toxic dose</w:t>
      </w:r>
      <w:r w:rsidR="00F51D78" w:rsidRPr="0091560A">
        <w:t>)</w:t>
      </w:r>
      <w:r w:rsidRPr="0091560A">
        <w:t xml:space="preserve">. Modified release </w:t>
      </w:r>
      <w:r w:rsidR="003875E8" w:rsidRPr="0091560A">
        <w:t>paracetamol tablets contain larger amounts of paracetamol and also appear to lead to a higher risk of li</w:t>
      </w:r>
      <w:r w:rsidR="009E0DC2" w:rsidRPr="0091560A">
        <w:t>v</w:t>
      </w:r>
      <w:r w:rsidR="003875E8" w:rsidRPr="0091560A">
        <w:t>er injury.</w:t>
      </w:r>
      <w:r w:rsidR="009B6E89">
        <w:fldChar w:fldCharType="begin">
          <w:fldData xml:space="preserve">PEVuZE5vdGU+PENpdGU+PEF1dGhvcj5DaGlldzwvQXV0aG9yPjxZZWFyPjIwMTg8L1llYXI+PFJl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</w:fldData>
        </w:fldChar>
      </w:r>
      <w:r w:rsidR="006E08D8">
        <w:instrText xml:space="preserve"> ADDIN EN.CITE </w:instrText>
      </w:r>
      <w:r w:rsidR="006E08D8">
        <w:fldChar w:fldCharType="begin">
          <w:fldData xml:space="preserve">PEVuZE5vdGU+PENpdGU+PEF1dGhvcj5DaGlldzwvQXV0aG9yPjxZZWFyPjIwMTg8L1llYXI+PFJl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</w:fldData>
        </w:fldChar>
      </w:r>
      <w:r w:rsidR="006E08D8">
        <w:instrText xml:space="preserve"> ADDIN EN.CITE.DATA </w:instrText>
      </w:r>
      <w:r w:rsidR="006E08D8">
        <w:fldChar w:fldCharType="end"/>
      </w:r>
      <w:r w:rsidR="009B6E89">
        <w:fldChar w:fldCharType="separate"/>
      </w:r>
      <w:r w:rsidR="009B6E89">
        <w:t>(Chiew, Isbister, et al., 2018)</w:t>
      </w:r>
      <w:r w:rsidR="009B6E89">
        <w:fldChar w:fldCharType="end"/>
      </w:r>
      <w:r w:rsidR="003875E8" w:rsidRPr="0091560A">
        <w:t xml:space="preserve"> The acute liver injury </w:t>
      </w:r>
      <w:r w:rsidR="00350C08" w:rsidRPr="0091560A">
        <w:t>may be fatal, although the ma</w:t>
      </w:r>
      <w:r w:rsidR="006A310A" w:rsidRPr="0091560A">
        <w:t>j</w:t>
      </w:r>
      <w:r w:rsidR="00350C08" w:rsidRPr="0091560A">
        <w:t xml:space="preserve">ority of people with </w:t>
      </w:r>
      <w:r w:rsidR="006A310A" w:rsidRPr="0091560A">
        <w:t xml:space="preserve">severe </w:t>
      </w:r>
      <w:r w:rsidR="00350C08" w:rsidRPr="0091560A">
        <w:t xml:space="preserve">acute liver injury </w:t>
      </w:r>
      <w:r w:rsidR="0096677C" w:rsidRPr="0091560A">
        <w:t>recover</w:t>
      </w:r>
      <w:r w:rsidR="006A310A" w:rsidRPr="0091560A">
        <w:t xml:space="preserve"> after several days</w:t>
      </w:r>
      <w:r w:rsidR="00FC1464" w:rsidRPr="0091560A">
        <w:t>.</w:t>
      </w:r>
      <w:r w:rsidR="001F3D4F">
        <w:fldChar w:fldCharType="begin"/>
      </w:r>
      <w:r w:rsidR="006E08D8">
        <w:instrText xml:space="preserve"> ADDIN EN.CITE &lt;EndNote&gt;&lt;Cite&gt;&lt;Author&gt;Chiew&lt;/Author&gt;&lt;Year&gt;2021&lt;/Year&gt;&lt;RecNum&gt;959&lt;/RecNum&gt;&lt;DisplayText&gt;(Chiew &amp;amp; Buckley, 2021)&lt;/DisplayText&gt;&lt;record&gt;&lt;rec-number&gt;959&lt;/rec-number&gt;&lt;foreign-keys&gt;&lt;key app="EN" db-id="90p22wx96ddedpe0r9pxtt9gzz05dd5ev299" timestamp="1658472126"&gt;959&lt;/key&gt;&lt;/foreign-keys&gt;&lt;ref-type name="Journal Article"&gt;17&lt;/ref-type&gt;&lt;contributors&gt;&lt;authors&gt;&lt;author&gt;Chiew, A. L.&lt;/author&gt;&lt;author&gt;Buckley, N. A.&lt;/author&gt;&lt;/authors&gt;&lt;/contributors&gt;&lt;auth-address&gt;Clinical Toxicology Unit, Prince of Wales Hospital, Barker Street, Randwick, New South Wales 2031, Australia. Electronic address: angela.chiew@health.nsw.gov.au.&amp;#xD;Pharmacology and Biomedical Informatics and Digital Health, Faculty of Medicine and Health, University of Sydney, Camperdown, New South Wales 2050, Australia.&lt;/auth-address&gt;&lt;titles&gt;&lt;title&gt;Acetaminophen Poisoning&lt;/title&gt;&lt;secondary-title&gt;Crit Care Clin&lt;/secondary-title&gt;&lt;/titles&gt;&lt;periodical&gt;&lt;full-title&gt;Crit Care Clin&lt;/full-title&gt;&lt;/periodical&gt;&lt;pages&gt;543-561&lt;/pages&gt;&lt;volume&gt;37&lt;/volume&gt;&lt;number&gt;3&lt;/number&gt;&lt;edition&gt;2021/06/01&lt;/edition&gt;&lt;keywords&gt;&lt;keyword&gt;Acetaminophen&lt;/keyword&gt;&lt;keyword&gt;Acetylcysteine&lt;/keyword&gt;&lt;keyword&gt;Acute liver injury&lt;/keyword&gt;&lt;keyword&gt;Hepatotoxicity&lt;/keyword&gt;&lt;keyword&gt;Poisoning&lt;/keyword&gt;&lt;keyword&gt;this article to disclose.&lt;/keyword&gt;&lt;/keywords&gt;&lt;dates&gt;&lt;year&gt;2021&lt;/year&gt;&lt;pub-dates&gt;&lt;date&gt;Jul&lt;/date&gt;&lt;/pub-dates&gt;&lt;/dates&gt;&lt;isbn&gt;0749-0704&lt;/isbn&gt;&lt;accession-num&gt;34053705&lt;/accession-num&gt;&lt;urls&gt;&lt;/urls&gt;&lt;electronic-resource-num&gt;10.1016/j.ccc.2021.03.005&lt;/electronic-resource-num&gt;&lt;remote-database-provider&gt;NLM&lt;/remote-database-provider&gt;&lt;language&gt;eng&lt;/language&gt;&lt;/record&gt;&lt;/Cite&gt;&lt;/EndNote&gt;</w:instrText>
      </w:r>
      <w:r w:rsidR="001F3D4F">
        <w:fldChar w:fldCharType="separate"/>
      </w:r>
      <w:r w:rsidR="001F3D4F">
        <w:t>(Chiew &amp; Buckley, 2021)</w:t>
      </w:r>
      <w:r w:rsidR="001F3D4F">
        <w:fldChar w:fldCharType="end"/>
      </w:r>
      <w:r w:rsidR="00FC1464" w:rsidRPr="0091560A">
        <w:t xml:space="preserve"> However, </w:t>
      </w:r>
      <w:r w:rsidR="0096677C" w:rsidRPr="0091560A">
        <w:t xml:space="preserve">they may require prolonged </w:t>
      </w:r>
      <w:r w:rsidR="006A310A" w:rsidRPr="0091560A">
        <w:t>intensive care</w:t>
      </w:r>
      <w:r w:rsidR="00FC1464" w:rsidRPr="0091560A">
        <w:t xml:space="preserve"> </w:t>
      </w:r>
      <w:r w:rsidR="00F92522" w:rsidRPr="0091560A">
        <w:t xml:space="preserve">and occasionally </w:t>
      </w:r>
      <w:r w:rsidR="008E1D2F">
        <w:t xml:space="preserve">they </w:t>
      </w:r>
      <w:r w:rsidR="00F92522" w:rsidRPr="0091560A">
        <w:t>receive a liver transplant</w:t>
      </w:r>
      <w:r w:rsidR="006A310A" w:rsidRPr="0091560A">
        <w:t xml:space="preserve">. </w:t>
      </w:r>
      <w:r w:rsidR="0096677C" w:rsidRPr="0091560A">
        <w:t xml:space="preserve"> </w:t>
      </w:r>
      <w:r w:rsidRPr="0091560A">
        <w:t xml:space="preserve"> </w:t>
      </w:r>
    </w:p>
    <w:p w14:paraId="6093DDB7" w14:textId="5547FE5C" w:rsidR="002501FF" w:rsidRPr="0091560A" w:rsidRDefault="001D0A6A" w:rsidP="002501FF">
      <w:r w:rsidRPr="0091560A">
        <w:t xml:space="preserve">The peak demographic group for deliberate self-poisoning generally </w:t>
      </w:r>
      <w:r w:rsidR="009D42D9" w:rsidRPr="0091560A">
        <w:t>is adolescent females (considered further below). The h</w:t>
      </w:r>
      <w:r w:rsidR="002501FF" w:rsidRPr="0091560A">
        <w:t>igh</w:t>
      </w:r>
      <w:r w:rsidR="00497791" w:rsidRPr="0091560A">
        <w:t>est</w:t>
      </w:r>
      <w:r w:rsidR="002501FF" w:rsidRPr="0091560A">
        <w:t xml:space="preserve"> risk groups </w:t>
      </w:r>
      <w:r w:rsidR="009D42D9" w:rsidRPr="0091560A">
        <w:t>for li</w:t>
      </w:r>
      <w:r w:rsidR="00AE7B74" w:rsidRPr="0091560A">
        <w:t>v</w:t>
      </w:r>
      <w:r w:rsidR="009D42D9" w:rsidRPr="0091560A">
        <w:t xml:space="preserve">er toxicity </w:t>
      </w:r>
      <w:r w:rsidR="003C5A86" w:rsidRPr="0091560A">
        <w:t xml:space="preserve">after poisoning, </w:t>
      </w:r>
      <w:r w:rsidR="002501FF" w:rsidRPr="0091560A">
        <w:t xml:space="preserve">are </w:t>
      </w:r>
      <w:r w:rsidR="00497791" w:rsidRPr="0091560A">
        <w:t xml:space="preserve">very </w:t>
      </w:r>
      <w:r w:rsidR="002501FF" w:rsidRPr="0091560A">
        <w:t xml:space="preserve">large overdoses, MR paracetamol overdoses, </w:t>
      </w:r>
      <w:r w:rsidR="00BE7CED" w:rsidRPr="0091560A">
        <w:t xml:space="preserve">late presenters, </w:t>
      </w:r>
      <w:r w:rsidR="00AE7B74" w:rsidRPr="0091560A">
        <w:t xml:space="preserve">and those </w:t>
      </w:r>
      <w:r w:rsidR="006204E8" w:rsidRPr="0091560A">
        <w:t xml:space="preserve">with </w:t>
      </w:r>
      <w:r w:rsidR="00BE7CED" w:rsidRPr="0091560A">
        <w:t>underlying risk factors (</w:t>
      </w:r>
      <w:r w:rsidR="006204E8" w:rsidRPr="0091560A">
        <w:t xml:space="preserve">conditions </w:t>
      </w:r>
      <w:r w:rsidR="00497791" w:rsidRPr="0091560A">
        <w:t xml:space="preserve">leading to </w:t>
      </w:r>
      <w:r w:rsidR="00BE7CED" w:rsidRPr="0091560A">
        <w:t>malnutrition</w:t>
      </w:r>
      <w:r w:rsidR="006204E8" w:rsidRPr="0091560A">
        <w:t xml:space="preserve"> and/or</w:t>
      </w:r>
      <w:r w:rsidR="00BE7CED" w:rsidRPr="0091560A">
        <w:t xml:space="preserve"> </w:t>
      </w:r>
      <w:r w:rsidR="00497791" w:rsidRPr="0091560A">
        <w:t>induced CYP enzymes)</w:t>
      </w:r>
      <w:r w:rsidR="006204E8" w:rsidRPr="0091560A">
        <w:t>.</w:t>
      </w:r>
      <w:r w:rsidR="001F3D4F">
        <w:fldChar w:fldCharType="begin"/>
      </w:r>
      <w:r w:rsidR="006E08D8">
        <w:instrText xml:space="preserve"> ADDIN EN.CITE &lt;EndNote&gt;&lt;Cite&gt;&lt;Author&gt;Chiew&lt;/Author&gt;&lt;Year&gt;2021&lt;/Year&gt;&lt;RecNum&gt;959&lt;/RecNum&gt;&lt;DisplayText&gt;(Chiew &amp;amp; Buckley, 2021)&lt;/DisplayText&gt;&lt;record&gt;&lt;rec-number&gt;959&lt;/rec-number&gt;&lt;foreign-keys&gt;&lt;key app="EN" db-id="90p22wx96ddedpe0r9pxtt9gzz05dd5ev299" timestamp="1658472126"&gt;959&lt;/key&gt;&lt;/foreign-keys&gt;&lt;ref-type name="Journal Article"&gt;17&lt;/ref-type&gt;&lt;contributors&gt;&lt;authors&gt;&lt;author&gt;Chiew, A. L.&lt;/author&gt;&lt;author&gt;Buckley, N. A.&lt;/author&gt;&lt;/authors&gt;&lt;/contributors&gt;&lt;auth-address&gt;Clinical Toxicology Unit, Prince of Wales Hospital, Barker Street, Randwick, New South Wales 2031, Australia. Electronic address: angela.chiew@health.nsw.gov.au.&amp;#xD;Pharmacology and Biomedical Informatics and Digital Health, Faculty of Medicine and Health, University of Sydney, Camperdown, New South Wales 2050, Australia.&lt;/auth-address&gt;&lt;titles&gt;&lt;title&gt;Acetaminophen Poisoning&lt;/title&gt;&lt;secondary-title&gt;Crit Care Clin&lt;/secondary-title&gt;&lt;/titles&gt;&lt;periodical&gt;&lt;full-title&gt;Crit Care Clin&lt;/full-title&gt;&lt;/periodical&gt;&lt;pages&gt;543-561&lt;/pages&gt;&lt;volume&gt;37&lt;/volume&gt;&lt;number&gt;3&lt;/number&gt;&lt;edition&gt;2021/06/01&lt;/edition&gt;&lt;keywords&gt;&lt;keyword&gt;Acetaminophen&lt;/keyword&gt;&lt;keyword&gt;Acetylcysteine&lt;/keyword&gt;&lt;keyword&gt;Acute liver injury&lt;/keyword&gt;&lt;keyword&gt;Hepatotoxicity&lt;/keyword&gt;&lt;keyword&gt;Poisoning&lt;/keyword&gt;&lt;keyword&gt;this article to disclose.&lt;/keyword&gt;&lt;/keywords&gt;&lt;dates&gt;&lt;year&gt;2021&lt;/year&gt;&lt;pub-dates&gt;&lt;date&gt;Jul&lt;/date&gt;&lt;/pub-dates&gt;&lt;/dates&gt;&lt;isbn&gt;0749-0704&lt;/isbn&gt;&lt;accession-num&gt;34053705&lt;/accession-num&gt;&lt;urls&gt;&lt;/urls&gt;&lt;electronic-resource-num&gt;10.1016/j.ccc.2021.03.005&lt;/electronic-resource-num&gt;&lt;remote-database-provider&gt;NLM&lt;/remote-database-provider&gt;&lt;language&gt;eng&lt;/language&gt;&lt;/record&gt;&lt;/Cite&gt;&lt;/EndNote&gt;</w:instrText>
      </w:r>
      <w:r w:rsidR="001F3D4F">
        <w:fldChar w:fldCharType="separate"/>
      </w:r>
      <w:r w:rsidR="001F3D4F">
        <w:t>(Chiew &amp; Buckley, 2021)</w:t>
      </w:r>
      <w:r w:rsidR="001F3D4F">
        <w:fldChar w:fldCharType="end"/>
      </w:r>
    </w:p>
    <w:p w14:paraId="6EA5E1B0" w14:textId="77777777" w:rsidR="00F20AF8" w:rsidRDefault="00F20AF8">
      <w:pPr>
        <w:rPr>
          <w:rFonts w:asciiTheme="majorHAnsi" w:eastAsiaTheme="majorEastAsia" w:hAnsiTheme="majorHAnsi" w:cstheme="majorBidi"/>
          <w:color w:val="2F5496" w:themeColor="accent1" w:themeShade="BF"/>
          <w:sz w:val="32"/>
          <w:szCs w:val="32"/>
        </w:rPr>
      </w:pPr>
      <w:r>
        <w:br w:type="page"/>
      </w:r>
    </w:p>
    <w:p w14:paraId="2463B19A" w14:textId="78F7FB85" w:rsidR="00754413" w:rsidRDefault="00CA04B4" w:rsidP="00D65071">
      <w:pPr>
        <w:pStyle w:val="Heading1"/>
      </w:pPr>
      <w:bookmarkStart w:id="17" w:name="_Toc112843903"/>
      <w:r>
        <w:t>2</w:t>
      </w:r>
      <w:r w:rsidR="00632463">
        <w:t>.</w:t>
      </w:r>
      <w:r>
        <w:t xml:space="preserve"> </w:t>
      </w:r>
      <w:r w:rsidR="007F0D52" w:rsidRPr="0091560A">
        <w:t>Latest data on extent and nature of the problems</w:t>
      </w:r>
      <w:bookmarkEnd w:id="17"/>
    </w:p>
    <w:p w14:paraId="64C3ABBD" w14:textId="70E2EE66" w:rsidR="0025453C" w:rsidRPr="00AA1F61" w:rsidRDefault="0025453C" w:rsidP="00D308C0">
      <w:pPr>
        <w:pStyle w:val="Heading2"/>
      </w:pPr>
      <w:bookmarkStart w:id="18" w:name="_Toc112843904"/>
      <w:r>
        <w:t>2.1 Data sources</w:t>
      </w:r>
      <w:bookmarkEnd w:id="18"/>
    </w:p>
    <w:p w14:paraId="6CE31A6C" w14:textId="376C8C57" w:rsidR="00481825" w:rsidRPr="0091560A" w:rsidRDefault="00481825" w:rsidP="005625FA">
      <w:r w:rsidRPr="0091560A">
        <w:t xml:space="preserve">We have </w:t>
      </w:r>
      <w:r w:rsidR="00AB2779" w:rsidRPr="0091560A">
        <w:t xml:space="preserve">triangulated </w:t>
      </w:r>
      <w:r w:rsidRPr="0091560A">
        <w:t xml:space="preserve">multiple </w:t>
      </w:r>
      <w:r w:rsidR="008E1D2F">
        <w:t xml:space="preserve">Australian </w:t>
      </w:r>
      <w:r w:rsidRPr="0091560A">
        <w:t xml:space="preserve">sources to </w:t>
      </w:r>
      <w:r w:rsidR="00AB2779" w:rsidRPr="0091560A">
        <w:t xml:space="preserve">provide </w:t>
      </w:r>
      <w:r w:rsidR="001C232A" w:rsidRPr="0091560A">
        <w:t xml:space="preserve">data that is as </w:t>
      </w:r>
      <w:r w:rsidR="00AB2779" w:rsidRPr="0091560A">
        <w:t>up</w:t>
      </w:r>
      <w:r w:rsidR="001C232A" w:rsidRPr="0091560A">
        <w:t>-</w:t>
      </w:r>
      <w:r w:rsidR="00AB2779" w:rsidRPr="0091560A">
        <w:t>to</w:t>
      </w:r>
      <w:r w:rsidR="001C232A" w:rsidRPr="0091560A">
        <w:t>-</w:t>
      </w:r>
      <w:r w:rsidR="00AB2779" w:rsidRPr="0091560A">
        <w:t>date</w:t>
      </w:r>
      <w:r w:rsidR="001C232A" w:rsidRPr="0091560A">
        <w:t>,</w:t>
      </w:r>
      <w:r w:rsidR="00AB2779" w:rsidRPr="0091560A">
        <w:t xml:space="preserve"> accurate </w:t>
      </w:r>
      <w:r w:rsidR="001C232A" w:rsidRPr="0091560A">
        <w:t>and complete as possible</w:t>
      </w:r>
      <w:r w:rsidR="00860E6F" w:rsidRPr="0091560A">
        <w:t xml:space="preserve"> (Table </w:t>
      </w:r>
      <w:r w:rsidR="008E1D2F">
        <w:t>1</w:t>
      </w:r>
      <w:r w:rsidR="00860E6F" w:rsidRPr="0091560A">
        <w:t>)</w:t>
      </w:r>
      <w:r w:rsidR="001C232A" w:rsidRPr="0091560A">
        <w:t>.</w:t>
      </w:r>
      <w:r w:rsidR="001C232A" w:rsidRPr="0091560A" w:rsidDel="00DA5131">
        <w:t xml:space="preserve"> </w:t>
      </w:r>
      <w:r w:rsidR="001C232A" w:rsidRPr="0091560A">
        <w:t xml:space="preserve">All these sources have </w:t>
      </w:r>
      <w:r w:rsidR="004F7BB9" w:rsidRPr="0091560A">
        <w:t xml:space="preserve">quite different coverage and also </w:t>
      </w:r>
      <w:r w:rsidR="001C232A" w:rsidRPr="0091560A">
        <w:t>significant limitations</w:t>
      </w:r>
      <w:r w:rsidR="0068203F" w:rsidRPr="0091560A">
        <w:t xml:space="preserve"> in terms of currency, accuracy or completeness – and these should be considered when </w:t>
      </w:r>
      <w:r w:rsidR="00CE72CE" w:rsidRPr="0091560A">
        <w:t>reading the results from each section below.</w:t>
      </w:r>
    </w:p>
    <w:p w14:paraId="5E8120AA" w14:textId="7E5A8237" w:rsidR="002A537B" w:rsidRPr="0091560A" w:rsidRDefault="00932FEE" w:rsidP="00D308C0">
      <w:pPr>
        <w:pStyle w:val="Caption"/>
      </w:pPr>
      <w:bookmarkStart w:id="19" w:name="_Ref110167654"/>
      <w:bookmarkStart w:id="20" w:name="_Toc114560116"/>
      <w:r>
        <w:t xml:space="preserve">Table </w:t>
      </w:r>
      <w:r>
        <w:fldChar w:fldCharType="begin"/>
      </w:r>
      <w:r>
        <w:instrText>SEQ Table \* ARABIC</w:instrText>
      </w:r>
      <w:r>
        <w:fldChar w:fldCharType="separate"/>
      </w:r>
      <w:r w:rsidR="0091734E">
        <w:rPr>
          <w:noProof/>
        </w:rPr>
        <w:t>1</w:t>
      </w:r>
      <w:r>
        <w:fldChar w:fldCharType="end"/>
      </w:r>
      <w:bookmarkEnd w:id="19"/>
      <w:r w:rsidRPr="0091560A">
        <w:t xml:space="preserve">. </w:t>
      </w:r>
      <w:r w:rsidR="00E43FE6" w:rsidRPr="0091560A">
        <w:t xml:space="preserve">Main original data sources used in this report and </w:t>
      </w:r>
      <w:r w:rsidR="002B6397" w:rsidRPr="0091560A">
        <w:t xml:space="preserve">key </w:t>
      </w:r>
      <w:r w:rsidR="00E43FE6" w:rsidRPr="0091560A">
        <w:t>limitations</w:t>
      </w:r>
      <w:bookmarkEnd w:id="20"/>
    </w:p>
    <w:tbl>
      <w:tblPr>
        <w:tblStyle w:val="ListTable6Colorful"/>
        <w:tblW w:w="9072" w:type="dxa"/>
        <w:tblLook w:val="04A0" w:firstRow="1" w:lastRow="0" w:firstColumn="1" w:lastColumn="0" w:noHBand="0" w:noVBand="1"/>
      </w:tblPr>
      <w:tblGrid>
        <w:gridCol w:w="2564"/>
        <w:gridCol w:w="1587"/>
        <w:gridCol w:w="861"/>
        <w:gridCol w:w="4060"/>
      </w:tblGrid>
      <w:tr w:rsidR="00C4634B" w:rsidRPr="0091560A" w14:paraId="04CC0D2A" w14:textId="77777777" w:rsidTr="008827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shd w:val="clear" w:color="auto" w:fill="595959" w:themeFill="text1" w:themeFillTint="A6"/>
          </w:tcPr>
          <w:p w14:paraId="4D82830B" w14:textId="638B9D90" w:rsidR="00C4634B" w:rsidRPr="00882746" w:rsidRDefault="00C4634B" w:rsidP="00477395">
            <w:pPr>
              <w:rPr>
                <w:rFonts w:cs="Times New Roman"/>
                <w:i/>
                <w:color w:val="FFFFFF" w:themeColor="background1"/>
              </w:rPr>
            </w:pPr>
            <w:r w:rsidRPr="00882746">
              <w:rPr>
                <w:rFonts w:cs="Times New Roman"/>
                <w:i/>
                <w:color w:val="FFFFFF" w:themeColor="background1"/>
              </w:rPr>
              <w:t>Data source</w:t>
            </w:r>
          </w:p>
        </w:tc>
        <w:tc>
          <w:tcPr>
            <w:tcW w:w="0" w:type="dxa"/>
            <w:shd w:val="clear" w:color="auto" w:fill="595959" w:themeFill="text1" w:themeFillTint="A6"/>
          </w:tcPr>
          <w:p w14:paraId="22EA121E" w14:textId="246B0B03" w:rsidR="00C4634B" w:rsidRPr="00882746" w:rsidRDefault="00C4634B" w:rsidP="00477395">
            <w:pPr>
              <w:cnfStyle w:val="100000000000" w:firstRow="1" w:lastRow="0" w:firstColumn="0" w:lastColumn="0" w:oddVBand="0" w:evenVBand="0" w:oddHBand="0" w:evenHBand="0" w:firstRowFirstColumn="0" w:firstRowLastColumn="0" w:lastRowFirstColumn="0" w:lastRowLastColumn="0"/>
              <w:rPr>
                <w:rFonts w:cs="Times New Roman"/>
                <w:i/>
                <w:color w:val="FFFFFF" w:themeColor="background1"/>
              </w:rPr>
            </w:pPr>
            <w:r w:rsidRPr="00882746">
              <w:rPr>
                <w:rFonts w:cs="Times New Roman"/>
                <w:i/>
                <w:color w:val="FFFFFF" w:themeColor="background1"/>
              </w:rPr>
              <w:t>Coverage</w:t>
            </w:r>
          </w:p>
        </w:tc>
        <w:tc>
          <w:tcPr>
            <w:tcW w:w="0" w:type="dxa"/>
            <w:shd w:val="clear" w:color="auto" w:fill="595959" w:themeFill="text1" w:themeFillTint="A6"/>
          </w:tcPr>
          <w:p w14:paraId="08C5C991" w14:textId="607BAF61" w:rsidR="00C4634B" w:rsidRPr="00882746" w:rsidRDefault="00C4634B" w:rsidP="00477395">
            <w:pPr>
              <w:cnfStyle w:val="100000000000" w:firstRow="1" w:lastRow="0" w:firstColumn="0" w:lastColumn="0" w:oddVBand="0" w:evenVBand="0" w:oddHBand="0" w:evenHBand="0" w:firstRowFirstColumn="0" w:firstRowLastColumn="0" w:lastRowFirstColumn="0" w:lastRowLastColumn="0"/>
              <w:rPr>
                <w:rFonts w:cs="Times New Roman"/>
                <w:i/>
                <w:color w:val="FFFFFF" w:themeColor="background1"/>
              </w:rPr>
            </w:pPr>
            <w:r w:rsidRPr="00882746">
              <w:rPr>
                <w:rFonts w:cs="Times New Roman"/>
                <w:i/>
                <w:color w:val="FFFFFF" w:themeColor="background1"/>
              </w:rPr>
              <w:t>Years</w:t>
            </w:r>
            <w:r w:rsidR="005625FA" w:rsidRPr="00882746">
              <w:rPr>
                <w:rFonts w:cs="Times New Roman"/>
                <w:i/>
                <w:color w:val="FFFFFF" w:themeColor="background1"/>
              </w:rPr>
              <w:t xml:space="preserve"> </w:t>
            </w:r>
          </w:p>
        </w:tc>
        <w:tc>
          <w:tcPr>
            <w:tcW w:w="0" w:type="dxa"/>
            <w:shd w:val="clear" w:color="auto" w:fill="595959" w:themeFill="text1" w:themeFillTint="A6"/>
          </w:tcPr>
          <w:p w14:paraId="26D269CA" w14:textId="15855B5B" w:rsidR="00C4634B" w:rsidRPr="00882746" w:rsidRDefault="00C4634B" w:rsidP="00477395">
            <w:pPr>
              <w:cnfStyle w:val="100000000000" w:firstRow="1" w:lastRow="0" w:firstColumn="0" w:lastColumn="0" w:oddVBand="0" w:evenVBand="0" w:oddHBand="0" w:evenHBand="0" w:firstRowFirstColumn="0" w:firstRowLastColumn="0" w:lastRowFirstColumn="0" w:lastRowLastColumn="0"/>
              <w:rPr>
                <w:rFonts w:cs="Times New Roman"/>
                <w:i/>
                <w:color w:val="FFFFFF" w:themeColor="background1"/>
              </w:rPr>
            </w:pPr>
            <w:r w:rsidRPr="00882746">
              <w:rPr>
                <w:rFonts w:cs="Times New Roman"/>
                <w:i/>
                <w:color w:val="FFFFFF" w:themeColor="background1"/>
              </w:rPr>
              <w:t>Limitations</w:t>
            </w:r>
          </w:p>
        </w:tc>
      </w:tr>
      <w:tr w:rsidR="00C4634B" w:rsidRPr="0091560A" w14:paraId="45C0E339" w14:textId="77777777" w:rsidTr="0088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0C0C295E" w14:textId="25F5AF44" w:rsidR="008D24AF" w:rsidRPr="0091560A" w:rsidRDefault="004F7BB9" w:rsidP="00477395">
            <w:pPr>
              <w:rPr>
                <w:rFonts w:cs="Times New Roman"/>
                <w:b w:val="0"/>
                <w:bCs w:val="0"/>
                <w:i/>
                <w:iCs/>
                <w:noProof/>
              </w:rPr>
            </w:pPr>
            <w:r w:rsidRPr="0091560A">
              <w:rPr>
                <w:rFonts w:cs="Times New Roman"/>
                <w:i/>
                <w:iCs/>
                <w:noProof/>
              </w:rPr>
              <w:t>Australian Institu</w:t>
            </w:r>
            <w:r w:rsidR="00A173EF" w:rsidRPr="0091560A">
              <w:rPr>
                <w:rFonts w:cs="Times New Roman"/>
                <w:i/>
                <w:iCs/>
                <w:noProof/>
              </w:rPr>
              <w:t>te of Health and Welfare (</w:t>
            </w:r>
            <w:r w:rsidR="00C4634B" w:rsidRPr="0091560A">
              <w:rPr>
                <w:rFonts w:cs="Times New Roman"/>
                <w:i/>
                <w:iCs/>
                <w:noProof/>
              </w:rPr>
              <w:t>AIHW</w:t>
            </w:r>
            <w:r w:rsidR="00A173EF" w:rsidRPr="0091560A">
              <w:rPr>
                <w:rFonts w:cs="Times New Roman"/>
                <w:i/>
                <w:iCs/>
                <w:noProof/>
              </w:rPr>
              <w:t>)</w:t>
            </w:r>
            <w:r w:rsidR="00C4634B" w:rsidRPr="0091560A">
              <w:rPr>
                <w:rFonts w:cs="Times New Roman"/>
                <w:i/>
                <w:iCs/>
                <w:noProof/>
              </w:rPr>
              <w:t xml:space="preserve">- </w:t>
            </w:r>
          </w:p>
          <w:p w14:paraId="2321CA05" w14:textId="3F54D2DB" w:rsidR="00C4634B" w:rsidRPr="0091560A" w:rsidRDefault="008D24AF" w:rsidP="00477395">
            <w:pPr>
              <w:rPr>
                <w:rFonts w:cs="Times New Roman"/>
                <w:i/>
                <w:iCs/>
                <w:noProof/>
              </w:rPr>
            </w:pPr>
            <w:r w:rsidRPr="0091560A">
              <w:rPr>
                <w:rFonts w:cs="Times New Roman"/>
                <w:i/>
                <w:iCs/>
                <w:noProof/>
              </w:rPr>
              <w:t>National Hospital Morbidity Database (</w:t>
            </w:r>
            <w:r w:rsidR="00C4634B" w:rsidRPr="0091560A">
              <w:rPr>
                <w:rFonts w:cs="Times New Roman"/>
                <w:i/>
                <w:iCs/>
                <w:noProof/>
              </w:rPr>
              <w:t>NHMD</w:t>
            </w:r>
            <w:r w:rsidRPr="0091560A">
              <w:rPr>
                <w:rFonts w:cs="Times New Roman"/>
                <w:i/>
                <w:iCs/>
                <w:noProof/>
              </w:rPr>
              <w:t>)</w:t>
            </w:r>
          </w:p>
        </w:tc>
        <w:tc>
          <w:tcPr>
            <w:tcW w:w="0" w:type="dxa"/>
          </w:tcPr>
          <w:p w14:paraId="624FD969" w14:textId="60BFCD3D" w:rsidR="00C4634B" w:rsidRPr="0091560A" w:rsidRDefault="00C4634B"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All Australian public hospital</w:t>
            </w:r>
            <w:r w:rsidR="00956839" w:rsidRPr="0091560A">
              <w:rPr>
                <w:rFonts w:cs="Times New Roman"/>
                <w:i/>
                <w:iCs/>
                <w:noProof/>
              </w:rPr>
              <w:t xml:space="preserve"> poisoning admissions</w:t>
            </w:r>
          </w:p>
        </w:tc>
        <w:tc>
          <w:tcPr>
            <w:tcW w:w="0" w:type="dxa"/>
          </w:tcPr>
          <w:p w14:paraId="2C5488CE" w14:textId="4041795C" w:rsidR="00C4634B" w:rsidRPr="0091560A" w:rsidRDefault="00C4634B"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2011-June 2020</w:t>
            </w:r>
          </w:p>
        </w:tc>
        <w:tc>
          <w:tcPr>
            <w:tcW w:w="3657" w:type="dxa"/>
          </w:tcPr>
          <w:p w14:paraId="6409640B" w14:textId="5B7AACEE" w:rsidR="00C4634B" w:rsidRPr="0091560A" w:rsidRDefault="00C4634B"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Does not capture non-admitted presentations, out of hospital deaths</w:t>
            </w:r>
            <w:r w:rsidR="00A14835" w:rsidRPr="0091560A">
              <w:rPr>
                <w:rFonts w:cs="Times New Roman"/>
                <w:i/>
                <w:iCs/>
                <w:noProof/>
              </w:rPr>
              <w:t>.</w:t>
            </w:r>
          </w:p>
          <w:p w14:paraId="421123BF" w14:textId="5D20C495" w:rsidR="00C4634B" w:rsidRPr="0091560A" w:rsidRDefault="00C4634B"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 xml:space="preserve">Coding </w:t>
            </w:r>
            <w:r w:rsidR="008A5442" w:rsidRPr="0091560A">
              <w:rPr>
                <w:rFonts w:cs="Times New Roman"/>
                <w:i/>
                <w:iCs/>
                <w:noProof/>
              </w:rPr>
              <w:t xml:space="preserve">of most medicines </w:t>
            </w:r>
            <w:r w:rsidR="00956839" w:rsidRPr="0091560A">
              <w:rPr>
                <w:rFonts w:cs="Times New Roman"/>
                <w:i/>
                <w:iCs/>
                <w:noProof/>
              </w:rPr>
              <w:t xml:space="preserve">other than paracetamol </w:t>
            </w:r>
            <w:r w:rsidR="008A5442" w:rsidRPr="0091560A">
              <w:rPr>
                <w:rFonts w:cs="Times New Roman"/>
                <w:i/>
                <w:iCs/>
                <w:noProof/>
              </w:rPr>
              <w:t xml:space="preserve">is </w:t>
            </w:r>
            <w:r w:rsidR="00956839" w:rsidRPr="0091560A">
              <w:rPr>
                <w:rFonts w:cs="Times New Roman"/>
                <w:i/>
                <w:iCs/>
                <w:noProof/>
              </w:rPr>
              <w:t xml:space="preserve">very </w:t>
            </w:r>
            <w:r w:rsidR="008A5442" w:rsidRPr="0091560A">
              <w:rPr>
                <w:rFonts w:cs="Times New Roman"/>
                <w:i/>
                <w:iCs/>
                <w:noProof/>
              </w:rPr>
              <w:t>imprecise</w:t>
            </w:r>
            <w:r w:rsidR="00F6379E">
              <w:rPr>
                <w:rFonts w:cs="Times New Roman"/>
                <w:i/>
                <w:iCs/>
                <w:noProof/>
              </w:rPr>
              <w:t>.</w:t>
            </w:r>
          </w:p>
        </w:tc>
      </w:tr>
      <w:tr w:rsidR="009225DC" w:rsidRPr="0091560A" w14:paraId="2D06FCE7" w14:textId="77777777" w:rsidTr="00882746">
        <w:tc>
          <w:tcPr>
            <w:cnfStyle w:val="001000000000" w:firstRow="0" w:lastRow="0" w:firstColumn="1" w:lastColumn="0" w:oddVBand="0" w:evenVBand="0" w:oddHBand="0" w:evenHBand="0" w:firstRowFirstColumn="0" w:firstRowLastColumn="0" w:lastRowFirstColumn="0" w:lastRowLastColumn="0"/>
            <w:tcW w:w="0" w:type="dxa"/>
          </w:tcPr>
          <w:p w14:paraId="209CE634" w14:textId="1C93D3B7" w:rsidR="009225DC" w:rsidRPr="0091560A" w:rsidRDefault="009225DC" w:rsidP="00477395">
            <w:pPr>
              <w:rPr>
                <w:rFonts w:cs="Times New Roman"/>
                <w:i/>
                <w:iCs/>
                <w:noProof/>
              </w:rPr>
            </w:pPr>
            <w:r w:rsidRPr="0091560A">
              <w:rPr>
                <w:rFonts w:cs="Times New Roman"/>
                <w:i/>
                <w:iCs/>
                <w:noProof/>
              </w:rPr>
              <w:t>National Coronial Information System</w:t>
            </w:r>
            <w:r w:rsidR="00481825" w:rsidRPr="0091560A">
              <w:rPr>
                <w:rFonts w:cs="Times New Roman"/>
                <w:i/>
                <w:iCs/>
                <w:noProof/>
              </w:rPr>
              <w:t xml:space="preserve"> (NCIS)</w:t>
            </w:r>
          </w:p>
        </w:tc>
        <w:tc>
          <w:tcPr>
            <w:tcW w:w="0" w:type="dxa"/>
          </w:tcPr>
          <w:p w14:paraId="3E38138F" w14:textId="09C511E4" w:rsidR="009225DC" w:rsidRPr="0091560A" w:rsidRDefault="009225DC"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 xml:space="preserve">All </w:t>
            </w:r>
            <w:r w:rsidR="00D910B0" w:rsidRPr="0091560A">
              <w:rPr>
                <w:rFonts w:cs="Times New Roman"/>
                <w:i/>
                <w:iCs/>
                <w:noProof/>
              </w:rPr>
              <w:t xml:space="preserve">notified deaths in </w:t>
            </w:r>
            <w:r w:rsidRPr="0091560A">
              <w:rPr>
                <w:rFonts w:cs="Times New Roman"/>
                <w:i/>
                <w:iCs/>
                <w:noProof/>
              </w:rPr>
              <w:t>Australia</w:t>
            </w:r>
          </w:p>
        </w:tc>
        <w:tc>
          <w:tcPr>
            <w:tcW w:w="0" w:type="dxa"/>
          </w:tcPr>
          <w:p w14:paraId="08533769" w14:textId="4C77607E" w:rsidR="009225DC" w:rsidRPr="0091560A" w:rsidRDefault="009225DC"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2008-June 2020</w:t>
            </w:r>
          </w:p>
        </w:tc>
        <w:tc>
          <w:tcPr>
            <w:tcW w:w="3657" w:type="dxa"/>
          </w:tcPr>
          <w:p w14:paraId="76C96A0C" w14:textId="77777777" w:rsidR="002527B3" w:rsidRPr="0091560A" w:rsidRDefault="00DF4689"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 xml:space="preserve">Several </w:t>
            </w:r>
            <w:r w:rsidR="002527B3" w:rsidRPr="0091560A">
              <w:rPr>
                <w:rFonts w:cs="Times New Roman"/>
                <w:i/>
                <w:iCs/>
                <w:noProof/>
              </w:rPr>
              <w:t>fields of varying uncertanity implicating paracetamol.</w:t>
            </w:r>
          </w:p>
          <w:p w14:paraId="7B815E2E" w14:textId="16DBBA07" w:rsidR="009225DC" w:rsidRPr="0091560A" w:rsidRDefault="00DF4689"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 xml:space="preserve">Very variable degrees of </w:t>
            </w:r>
            <w:r w:rsidR="00BD64D4" w:rsidRPr="0091560A">
              <w:rPr>
                <w:rFonts w:cs="Times New Roman"/>
                <w:i/>
                <w:iCs/>
                <w:noProof/>
              </w:rPr>
              <w:t xml:space="preserve">documented </w:t>
            </w:r>
            <w:r w:rsidRPr="0091560A">
              <w:rPr>
                <w:rFonts w:cs="Times New Roman"/>
                <w:i/>
                <w:iCs/>
                <w:noProof/>
              </w:rPr>
              <w:t xml:space="preserve">evidence supporting </w:t>
            </w:r>
            <w:r w:rsidR="00BD64D4" w:rsidRPr="0091560A">
              <w:rPr>
                <w:rFonts w:cs="Times New Roman"/>
                <w:i/>
                <w:iCs/>
                <w:noProof/>
              </w:rPr>
              <w:t>paracetamol as a cause of death.</w:t>
            </w:r>
          </w:p>
        </w:tc>
      </w:tr>
      <w:tr w:rsidR="008A5442" w:rsidRPr="0091560A" w14:paraId="01FC7F05" w14:textId="77777777" w:rsidTr="0088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8FDB78A" w14:textId="15F1E2A9" w:rsidR="008A5442" w:rsidRPr="0091560A" w:rsidRDefault="005625FA" w:rsidP="00477395">
            <w:pPr>
              <w:rPr>
                <w:rFonts w:cs="Times New Roman"/>
                <w:i/>
                <w:iCs/>
                <w:noProof/>
              </w:rPr>
            </w:pPr>
            <w:r w:rsidRPr="0091560A">
              <w:rPr>
                <w:rFonts w:cs="Times New Roman"/>
                <w:i/>
                <w:iCs/>
                <w:noProof/>
              </w:rPr>
              <w:t>NSW PIC database</w:t>
            </w:r>
          </w:p>
        </w:tc>
        <w:tc>
          <w:tcPr>
            <w:tcW w:w="0" w:type="dxa"/>
          </w:tcPr>
          <w:p w14:paraId="287701B3" w14:textId="571E2843" w:rsidR="008A5442" w:rsidRPr="0091560A" w:rsidRDefault="005955F8"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 xml:space="preserve">All calls about exposures to paracetamol </w:t>
            </w:r>
          </w:p>
        </w:tc>
        <w:tc>
          <w:tcPr>
            <w:tcW w:w="0" w:type="dxa"/>
          </w:tcPr>
          <w:p w14:paraId="7888FE53" w14:textId="52D09B1C" w:rsidR="008A5442" w:rsidRPr="0091560A" w:rsidRDefault="005625FA"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2011-2021</w:t>
            </w:r>
          </w:p>
        </w:tc>
        <w:tc>
          <w:tcPr>
            <w:tcW w:w="3657" w:type="dxa"/>
          </w:tcPr>
          <w:p w14:paraId="5BAB4449" w14:textId="6E15A41C" w:rsidR="008A5442" w:rsidRPr="0091560A" w:rsidRDefault="005955F8"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Referral biases</w:t>
            </w:r>
            <w:r w:rsidR="007820C5">
              <w:rPr>
                <w:rFonts w:cs="Times New Roman"/>
                <w:i/>
                <w:iCs/>
                <w:noProof/>
              </w:rPr>
              <w:t>.</w:t>
            </w:r>
          </w:p>
          <w:p w14:paraId="16601F25" w14:textId="77777777" w:rsidR="005955F8" w:rsidRPr="0091560A" w:rsidRDefault="005955F8"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 xml:space="preserve">Around 45-50% of </w:t>
            </w:r>
            <w:r w:rsidR="00956839" w:rsidRPr="0091560A">
              <w:rPr>
                <w:rFonts w:cs="Times New Roman"/>
                <w:i/>
                <w:iCs/>
                <w:noProof/>
              </w:rPr>
              <w:t>national PIC calls</w:t>
            </w:r>
            <w:r w:rsidR="00BD64D4" w:rsidRPr="0091560A">
              <w:rPr>
                <w:rFonts w:cs="Times New Roman"/>
                <w:i/>
                <w:iCs/>
                <w:noProof/>
              </w:rPr>
              <w:t>.</w:t>
            </w:r>
          </w:p>
          <w:p w14:paraId="3A91AF3D" w14:textId="16C47540" w:rsidR="00BD64D4" w:rsidRPr="0091560A" w:rsidRDefault="00444748"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No routine follow up</w:t>
            </w:r>
            <w:r w:rsidR="0008485B">
              <w:rPr>
                <w:rFonts w:cs="Times New Roman"/>
                <w:i/>
                <w:iCs/>
                <w:noProof/>
              </w:rPr>
              <w:t>.</w:t>
            </w:r>
          </w:p>
        </w:tc>
      </w:tr>
      <w:tr w:rsidR="00956839" w:rsidRPr="0091560A" w14:paraId="4D05381A" w14:textId="77777777" w:rsidTr="00882746">
        <w:tc>
          <w:tcPr>
            <w:cnfStyle w:val="001000000000" w:firstRow="0" w:lastRow="0" w:firstColumn="1" w:lastColumn="0" w:oddVBand="0" w:evenVBand="0" w:oddHBand="0" w:evenHBand="0" w:firstRowFirstColumn="0" w:firstRowLastColumn="0" w:lastRowFirstColumn="0" w:lastRowLastColumn="0"/>
            <w:tcW w:w="0" w:type="dxa"/>
          </w:tcPr>
          <w:p w14:paraId="6DE63320" w14:textId="6CAAE936" w:rsidR="00956839" w:rsidRPr="0091560A" w:rsidRDefault="00444748" w:rsidP="00477395">
            <w:pPr>
              <w:rPr>
                <w:rFonts w:cs="Times New Roman"/>
                <w:i/>
                <w:iCs/>
                <w:noProof/>
              </w:rPr>
            </w:pPr>
            <w:r w:rsidRPr="0091560A">
              <w:rPr>
                <w:rFonts w:cs="Times New Roman"/>
                <w:i/>
                <w:iCs/>
                <w:noProof/>
              </w:rPr>
              <w:t xml:space="preserve">NSW + </w:t>
            </w:r>
            <w:r w:rsidR="009225DC" w:rsidRPr="0091560A">
              <w:rPr>
                <w:rFonts w:cs="Times New Roman"/>
                <w:i/>
                <w:iCs/>
                <w:noProof/>
              </w:rPr>
              <w:t xml:space="preserve">Other </w:t>
            </w:r>
            <w:r w:rsidRPr="0091560A">
              <w:rPr>
                <w:rFonts w:cs="Times New Roman"/>
                <w:i/>
                <w:iCs/>
                <w:noProof/>
              </w:rPr>
              <w:t>PIC</w:t>
            </w:r>
            <w:r w:rsidR="00E1551B" w:rsidRPr="0091560A">
              <w:rPr>
                <w:rFonts w:cs="Times New Roman"/>
                <w:i/>
                <w:iCs/>
                <w:noProof/>
              </w:rPr>
              <w:t xml:space="preserve"> requested datasets</w:t>
            </w:r>
          </w:p>
        </w:tc>
        <w:tc>
          <w:tcPr>
            <w:tcW w:w="0" w:type="dxa"/>
          </w:tcPr>
          <w:p w14:paraId="33444C4F" w14:textId="5F333DF9" w:rsidR="00956839" w:rsidRPr="0091560A" w:rsidRDefault="00444748"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All calls about exposures to paracetamol</w:t>
            </w:r>
          </w:p>
        </w:tc>
        <w:tc>
          <w:tcPr>
            <w:tcW w:w="0" w:type="dxa"/>
          </w:tcPr>
          <w:p w14:paraId="5E304BF0" w14:textId="30E55CEA" w:rsidR="00956839" w:rsidRPr="0091560A" w:rsidRDefault="00444748"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2017-2021</w:t>
            </w:r>
          </w:p>
        </w:tc>
        <w:tc>
          <w:tcPr>
            <w:tcW w:w="3657" w:type="dxa"/>
          </w:tcPr>
          <w:p w14:paraId="6B38E175" w14:textId="77777777" w:rsidR="00303102" w:rsidRPr="0091560A" w:rsidRDefault="00303102"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Different databases providing data.</w:t>
            </w:r>
          </w:p>
          <w:p w14:paraId="174661D1" w14:textId="4F45C5A0" w:rsidR="00303102" w:rsidRPr="0091560A" w:rsidRDefault="00303102"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Age recorded in broad categories</w:t>
            </w:r>
            <w:r w:rsidR="007820C5">
              <w:rPr>
                <w:rFonts w:cs="Times New Roman"/>
                <w:i/>
                <w:iCs/>
                <w:noProof/>
              </w:rPr>
              <w:t>.</w:t>
            </w:r>
          </w:p>
          <w:p w14:paraId="7DDE1CD6" w14:textId="42BB63EA" w:rsidR="00303102" w:rsidRPr="0091560A" w:rsidRDefault="00303102"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Sex data not provided</w:t>
            </w:r>
            <w:r w:rsidR="007820C5">
              <w:rPr>
                <w:rFonts w:cs="Times New Roman"/>
                <w:i/>
                <w:iCs/>
                <w:noProof/>
              </w:rPr>
              <w:t>.</w:t>
            </w:r>
          </w:p>
        </w:tc>
      </w:tr>
      <w:tr w:rsidR="00E1551B" w:rsidRPr="0091560A" w14:paraId="5A0A9C13" w14:textId="77777777" w:rsidTr="0088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775EFD1" w14:textId="20839219" w:rsidR="00E1551B" w:rsidRPr="0091560A" w:rsidRDefault="00F263B3" w:rsidP="00477395">
            <w:pPr>
              <w:rPr>
                <w:rFonts w:cs="Times New Roman"/>
                <w:i/>
                <w:iCs/>
                <w:noProof/>
              </w:rPr>
            </w:pPr>
            <w:r w:rsidRPr="0091560A">
              <w:rPr>
                <w:rFonts w:cs="Times New Roman"/>
                <w:i/>
                <w:iCs/>
                <w:noProof/>
              </w:rPr>
              <w:t xml:space="preserve">NSW PIC with </w:t>
            </w:r>
            <w:r w:rsidR="00591888">
              <w:rPr>
                <w:rFonts w:cs="Times New Roman"/>
                <w:i/>
                <w:iCs/>
                <w:noProof/>
              </w:rPr>
              <w:t>electronic medical record (</w:t>
            </w:r>
            <w:r w:rsidRPr="0091560A">
              <w:rPr>
                <w:rFonts w:cs="Times New Roman"/>
                <w:i/>
                <w:iCs/>
                <w:noProof/>
              </w:rPr>
              <w:t>eMR</w:t>
            </w:r>
            <w:r w:rsidR="00591888">
              <w:rPr>
                <w:rFonts w:cs="Times New Roman"/>
                <w:i/>
                <w:iCs/>
                <w:noProof/>
              </w:rPr>
              <w:t>)</w:t>
            </w:r>
            <w:r w:rsidRPr="0091560A">
              <w:rPr>
                <w:rFonts w:cs="Times New Roman"/>
                <w:i/>
                <w:iCs/>
                <w:noProof/>
              </w:rPr>
              <w:t xml:space="preserve"> review</w:t>
            </w:r>
          </w:p>
        </w:tc>
        <w:tc>
          <w:tcPr>
            <w:tcW w:w="0" w:type="dxa"/>
          </w:tcPr>
          <w:p w14:paraId="027E188B" w14:textId="4E22B0BC" w:rsidR="00E1551B" w:rsidRPr="0091560A" w:rsidRDefault="00196525"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Deliberate self poisoning calls</w:t>
            </w:r>
          </w:p>
        </w:tc>
        <w:tc>
          <w:tcPr>
            <w:tcW w:w="0" w:type="dxa"/>
          </w:tcPr>
          <w:p w14:paraId="3A804A76" w14:textId="3FE3CA9A" w:rsidR="00E1551B" w:rsidRPr="0091560A" w:rsidRDefault="00F263B3"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2022</w:t>
            </w:r>
          </w:p>
        </w:tc>
        <w:tc>
          <w:tcPr>
            <w:tcW w:w="3657" w:type="dxa"/>
          </w:tcPr>
          <w:p w14:paraId="33F06357" w14:textId="77777777" w:rsidR="007820C5" w:rsidRDefault="00196525"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Limited numbers, NSW</w:t>
            </w:r>
            <w:r w:rsidR="00E1333B" w:rsidRPr="0091560A">
              <w:rPr>
                <w:rFonts w:cs="Times New Roman"/>
                <w:i/>
                <w:iCs/>
                <w:noProof/>
              </w:rPr>
              <w:t xml:space="preserve"> </w:t>
            </w:r>
            <w:r w:rsidR="00792EAB" w:rsidRPr="0091560A">
              <w:rPr>
                <w:rFonts w:cs="Times New Roman"/>
                <w:i/>
                <w:iCs/>
                <w:noProof/>
              </w:rPr>
              <w:t xml:space="preserve">admissions </w:t>
            </w:r>
            <w:r w:rsidRPr="0091560A">
              <w:rPr>
                <w:rFonts w:cs="Times New Roman"/>
                <w:i/>
                <w:iCs/>
                <w:noProof/>
              </w:rPr>
              <w:t>data only.</w:t>
            </w:r>
            <w:r w:rsidR="00591888">
              <w:rPr>
                <w:rFonts w:cs="Times New Roman"/>
                <w:i/>
                <w:iCs/>
                <w:noProof/>
              </w:rPr>
              <w:t xml:space="preserve">  </w:t>
            </w:r>
          </w:p>
          <w:p w14:paraId="66B57306" w14:textId="281FC996" w:rsidR="00E1551B" w:rsidRPr="0091560A" w:rsidRDefault="00591888"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Pr>
                <w:rFonts w:cs="Times New Roman"/>
                <w:i/>
                <w:iCs/>
                <w:noProof/>
              </w:rPr>
              <w:t>Referral bias</w:t>
            </w:r>
            <w:r w:rsidR="007820C5">
              <w:rPr>
                <w:rFonts w:cs="Times New Roman"/>
                <w:i/>
                <w:iCs/>
                <w:noProof/>
              </w:rPr>
              <w:t>.</w:t>
            </w:r>
          </w:p>
        </w:tc>
      </w:tr>
      <w:tr w:rsidR="003877A9" w:rsidRPr="0091560A" w14:paraId="69D8E2E1" w14:textId="77777777" w:rsidTr="00882746">
        <w:tc>
          <w:tcPr>
            <w:cnfStyle w:val="001000000000" w:firstRow="0" w:lastRow="0" w:firstColumn="1" w:lastColumn="0" w:oddVBand="0" w:evenVBand="0" w:oddHBand="0" w:evenHBand="0" w:firstRowFirstColumn="0" w:firstRowLastColumn="0" w:lastRowFirstColumn="0" w:lastRowLastColumn="0"/>
            <w:tcW w:w="0" w:type="dxa"/>
          </w:tcPr>
          <w:p w14:paraId="54A0C3B5" w14:textId="50CB0C67" w:rsidR="003877A9" w:rsidRPr="0091560A" w:rsidRDefault="003877A9" w:rsidP="00477395">
            <w:pPr>
              <w:rPr>
                <w:rFonts w:cs="Times New Roman"/>
                <w:i/>
                <w:iCs/>
                <w:noProof/>
              </w:rPr>
            </w:pPr>
            <w:r w:rsidRPr="0091560A">
              <w:rPr>
                <w:rFonts w:cs="Times New Roman"/>
                <w:i/>
                <w:iCs/>
                <w:noProof/>
              </w:rPr>
              <w:t>NSW PIC prospective survey</w:t>
            </w:r>
          </w:p>
        </w:tc>
        <w:tc>
          <w:tcPr>
            <w:tcW w:w="0" w:type="dxa"/>
          </w:tcPr>
          <w:p w14:paraId="3680E3ED" w14:textId="6F72104F" w:rsidR="003877A9" w:rsidRPr="0091560A" w:rsidRDefault="003877A9"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Deliberate self poisoning calls</w:t>
            </w:r>
          </w:p>
        </w:tc>
        <w:tc>
          <w:tcPr>
            <w:tcW w:w="0" w:type="dxa"/>
          </w:tcPr>
          <w:p w14:paraId="09B4C787" w14:textId="003E9CA4" w:rsidR="003877A9" w:rsidRPr="0091560A" w:rsidRDefault="003877A9" w:rsidP="00477395">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2022</w:t>
            </w:r>
          </w:p>
        </w:tc>
        <w:tc>
          <w:tcPr>
            <w:tcW w:w="3657" w:type="dxa"/>
          </w:tcPr>
          <w:p w14:paraId="244828FC" w14:textId="77777777" w:rsidR="007820C5" w:rsidRDefault="003877A9" w:rsidP="00792EAB">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 xml:space="preserve">Limited numbers, NSW </w:t>
            </w:r>
            <w:r w:rsidR="00792EAB" w:rsidRPr="0091560A">
              <w:rPr>
                <w:rFonts w:cs="Times New Roman"/>
                <w:i/>
                <w:iCs/>
                <w:noProof/>
              </w:rPr>
              <w:t xml:space="preserve">PIC call </w:t>
            </w:r>
            <w:r w:rsidRPr="0091560A">
              <w:rPr>
                <w:rFonts w:cs="Times New Roman"/>
                <w:i/>
                <w:iCs/>
                <w:noProof/>
              </w:rPr>
              <w:t>data only</w:t>
            </w:r>
            <w:r w:rsidR="00792EAB" w:rsidRPr="0091560A">
              <w:rPr>
                <w:rFonts w:cs="Times New Roman"/>
                <w:i/>
                <w:iCs/>
                <w:noProof/>
              </w:rPr>
              <w:t xml:space="preserve">. </w:t>
            </w:r>
          </w:p>
          <w:p w14:paraId="77574401" w14:textId="44B6D542" w:rsidR="003877A9" w:rsidRPr="0091560A" w:rsidRDefault="003877A9" w:rsidP="00792EAB">
            <w:pPr>
              <w:cnfStyle w:val="000000000000" w:firstRow="0" w:lastRow="0" w:firstColumn="0" w:lastColumn="0" w:oddVBand="0" w:evenVBand="0" w:oddHBand="0" w:evenHBand="0" w:firstRowFirstColumn="0" w:firstRowLastColumn="0" w:lastRowFirstColumn="0" w:lastRowLastColumn="0"/>
              <w:rPr>
                <w:rFonts w:cs="Times New Roman"/>
                <w:i/>
                <w:iCs/>
                <w:noProof/>
              </w:rPr>
            </w:pPr>
            <w:r w:rsidRPr="0091560A">
              <w:rPr>
                <w:rFonts w:cs="Times New Roman"/>
                <w:i/>
                <w:iCs/>
                <w:noProof/>
              </w:rPr>
              <w:t xml:space="preserve">Survey data often not able to be provided </w:t>
            </w:r>
            <w:r w:rsidR="00787E88">
              <w:rPr>
                <w:rFonts w:cs="Times New Roman"/>
                <w:i/>
                <w:iCs/>
                <w:noProof/>
              </w:rPr>
              <w:t>–</w:t>
            </w:r>
            <w:r w:rsidRPr="0091560A">
              <w:rPr>
                <w:rFonts w:cs="Times New Roman"/>
                <w:i/>
                <w:iCs/>
                <w:noProof/>
              </w:rPr>
              <w:t xml:space="preserve"> ‘unknown</w:t>
            </w:r>
            <w:r w:rsidR="007820C5">
              <w:rPr>
                <w:rFonts w:cs="Times New Roman"/>
                <w:i/>
                <w:iCs/>
                <w:noProof/>
              </w:rPr>
              <w:t>.</w:t>
            </w:r>
            <w:r w:rsidRPr="0091560A">
              <w:rPr>
                <w:rFonts w:cs="Times New Roman"/>
                <w:i/>
                <w:iCs/>
                <w:noProof/>
              </w:rPr>
              <w:t>’</w:t>
            </w:r>
          </w:p>
        </w:tc>
      </w:tr>
      <w:tr w:rsidR="003877A9" w:rsidRPr="0091560A" w14:paraId="730A5C32" w14:textId="77777777" w:rsidTr="008827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124856AD" w14:textId="77777777" w:rsidR="003877A9" w:rsidRPr="0091560A" w:rsidRDefault="003877A9" w:rsidP="00477395">
            <w:pPr>
              <w:rPr>
                <w:rFonts w:cs="Times New Roman"/>
                <w:b w:val="0"/>
                <w:bCs w:val="0"/>
                <w:i/>
                <w:iCs/>
                <w:noProof/>
              </w:rPr>
            </w:pPr>
            <w:r w:rsidRPr="0091560A">
              <w:rPr>
                <w:rFonts w:cs="Times New Roman"/>
                <w:i/>
                <w:iCs/>
                <w:noProof/>
              </w:rPr>
              <w:t>National sales data</w:t>
            </w:r>
          </w:p>
          <w:p w14:paraId="6E2D2EA7" w14:textId="77777777" w:rsidR="00B8774F" w:rsidRPr="0091560A" w:rsidRDefault="00B8774F" w:rsidP="00477395">
            <w:pPr>
              <w:rPr>
                <w:rFonts w:cs="Times New Roman"/>
                <w:b w:val="0"/>
                <w:bCs w:val="0"/>
                <w:i/>
                <w:iCs/>
                <w:noProof/>
              </w:rPr>
            </w:pPr>
            <w:r w:rsidRPr="0091560A">
              <w:rPr>
                <w:rFonts w:cs="Times New Roman"/>
                <w:i/>
                <w:iCs/>
                <w:noProof/>
              </w:rPr>
              <w:t>Pharmacies (IQVIA)</w:t>
            </w:r>
          </w:p>
          <w:p w14:paraId="7FC6A9D2" w14:textId="77777777" w:rsidR="00B8774F" w:rsidRPr="0091560A" w:rsidRDefault="00B8774F" w:rsidP="00477395">
            <w:pPr>
              <w:rPr>
                <w:rFonts w:cs="Times New Roman"/>
                <w:b w:val="0"/>
                <w:bCs w:val="0"/>
                <w:i/>
                <w:iCs/>
                <w:noProof/>
              </w:rPr>
            </w:pPr>
            <w:r w:rsidRPr="0091560A">
              <w:rPr>
                <w:rFonts w:cs="Times New Roman"/>
                <w:i/>
                <w:iCs/>
                <w:noProof/>
              </w:rPr>
              <w:t>Grocer</w:t>
            </w:r>
            <w:r w:rsidR="002D4DBA" w:rsidRPr="0091560A">
              <w:rPr>
                <w:rFonts w:cs="Times New Roman"/>
                <w:i/>
                <w:iCs/>
                <w:noProof/>
              </w:rPr>
              <w:t>y/convenience</w:t>
            </w:r>
          </w:p>
          <w:p w14:paraId="5FA63009" w14:textId="1EF1F4DF" w:rsidR="002D4DBA" w:rsidRPr="0091560A" w:rsidRDefault="007D2B61" w:rsidP="00477395">
            <w:pPr>
              <w:rPr>
                <w:rFonts w:cs="Times New Roman"/>
                <w:i/>
                <w:iCs/>
                <w:noProof/>
              </w:rPr>
            </w:pPr>
            <w:r>
              <w:rPr>
                <w:rFonts w:cs="Times New Roman"/>
                <w:i/>
                <w:iCs/>
                <w:noProof/>
              </w:rPr>
              <w:t>s</w:t>
            </w:r>
            <w:r w:rsidR="002D4DBA" w:rsidRPr="0091560A">
              <w:rPr>
                <w:rFonts w:cs="Times New Roman"/>
                <w:i/>
                <w:iCs/>
                <w:noProof/>
              </w:rPr>
              <w:t>tores</w:t>
            </w:r>
            <w:r w:rsidR="00E32182">
              <w:rPr>
                <w:rFonts w:cs="Times New Roman"/>
                <w:i/>
                <w:iCs/>
                <w:noProof/>
              </w:rPr>
              <w:t xml:space="preserve"> </w:t>
            </w:r>
            <w:r w:rsidR="005B605B">
              <w:rPr>
                <w:rFonts w:cs="Times New Roman"/>
                <w:i/>
                <w:iCs/>
                <w:noProof/>
              </w:rPr>
              <w:t>(IRI)</w:t>
            </w:r>
          </w:p>
        </w:tc>
        <w:tc>
          <w:tcPr>
            <w:tcW w:w="0" w:type="dxa"/>
          </w:tcPr>
          <w:p w14:paraId="058DAF53" w14:textId="4D49D09B" w:rsidR="003877A9" w:rsidRPr="0091560A" w:rsidRDefault="003877A9"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Sales of paracetamol products</w:t>
            </w:r>
          </w:p>
        </w:tc>
        <w:tc>
          <w:tcPr>
            <w:tcW w:w="0" w:type="dxa"/>
          </w:tcPr>
          <w:p w14:paraId="278BC5C4" w14:textId="2F9CABA5" w:rsidR="003877A9" w:rsidRPr="0091560A" w:rsidRDefault="003877A9"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2017-21</w:t>
            </w:r>
          </w:p>
        </w:tc>
        <w:tc>
          <w:tcPr>
            <w:tcW w:w="3657" w:type="dxa"/>
          </w:tcPr>
          <w:p w14:paraId="382EB609" w14:textId="336226F5" w:rsidR="003877A9" w:rsidRPr="0091560A" w:rsidRDefault="00E9037E" w:rsidP="00477395">
            <w:pPr>
              <w:cnfStyle w:val="000000100000" w:firstRow="0" w:lastRow="0" w:firstColumn="0" w:lastColumn="0" w:oddVBand="0" w:evenVBand="0" w:oddHBand="1" w:evenHBand="0" w:firstRowFirstColumn="0" w:firstRowLastColumn="0" w:lastRowFirstColumn="0" w:lastRowLastColumn="0"/>
              <w:rPr>
                <w:rFonts w:cs="Times New Roman"/>
                <w:i/>
                <w:iCs/>
                <w:noProof/>
              </w:rPr>
            </w:pPr>
            <w:r w:rsidRPr="0091560A">
              <w:rPr>
                <w:rFonts w:cs="Times New Roman"/>
                <w:i/>
                <w:iCs/>
                <w:noProof/>
              </w:rPr>
              <w:t>Data grouped</w:t>
            </w:r>
            <w:r w:rsidR="00CA1DB0" w:rsidRPr="0091560A">
              <w:rPr>
                <w:rFonts w:cs="Times New Roman"/>
                <w:i/>
                <w:iCs/>
                <w:noProof/>
              </w:rPr>
              <w:t xml:space="preserve"> into similar products </w:t>
            </w:r>
            <w:r w:rsidRPr="0091560A">
              <w:rPr>
                <w:rFonts w:cs="Times New Roman"/>
                <w:i/>
                <w:iCs/>
                <w:noProof/>
              </w:rPr>
              <w:t xml:space="preserve"> – specific brands</w:t>
            </w:r>
            <w:r w:rsidR="00CA1DB0" w:rsidRPr="0091560A">
              <w:rPr>
                <w:rFonts w:cs="Times New Roman"/>
                <w:i/>
                <w:iCs/>
                <w:noProof/>
              </w:rPr>
              <w:t xml:space="preserve"> not identifiable. </w:t>
            </w:r>
            <w:r w:rsidRPr="0091560A">
              <w:rPr>
                <w:rFonts w:cs="Times New Roman"/>
                <w:i/>
                <w:iCs/>
                <w:noProof/>
              </w:rPr>
              <w:t xml:space="preserve"> </w:t>
            </w:r>
          </w:p>
        </w:tc>
      </w:tr>
    </w:tbl>
    <w:p w14:paraId="7E687CA6" w14:textId="50F1792F" w:rsidR="005631CC" w:rsidRPr="0091560A" w:rsidRDefault="005631CC" w:rsidP="00477395">
      <w:pPr>
        <w:spacing w:line="240" w:lineRule="auto"/>
        <w:rPr>
          <w:rFonts w:cs="Times New Roman"/>
          <w:i/>
          <w:iCs/>
          <w:noProof/>
        </w:rPr>
      </w:pPr>
    </w:p>
    <w:p w14:paraId="364F533E" w14:textId="77777777" w:rsidR="00664B71" w:rsidRPr="0091560A" w:rsidRDefault="00664B71" w:rsidP="00477395">
      <w:pPr>
        <w:spacing w:line="240" w:lineRule="auto"/>
        <w:rPr>
          <w:rFonts w:cs="Times New Roman"/>
          <w:i/>
          <w:iCs/>
          <w:noProof/>
        </w:rPr>
      </w:pPr>
    </w:p>
    <w:p w14:paraId="03219A56" w14:textId="058126D6" w:rsidR="00EE660E" w:rsidRDefault="007833C9" w:rsidP="00882746">
      <w:pPr>
        <w:pStyle w:val="Heading2"/>
        <w:keepLines w:val="0"/>
        <w:numPr>
          <w:ilvl w:val="1"/>
          <w:numId w:val="81"/>
        </w:numPr>
        <w:ind w:left="357" w:hanging="357"/>
      </w:pPr>
      <w:bookmarkStart w:id="21" w:name="_Toc112843905"/>
      <w:r>
        <w:t xml:space="preserve">Hospital admissions - </w:t>
      </w:r>
      <w:r w:rsidR="008E6775" w:rsidRPr="0091560A">
        <w:t>Australian Institu</w:t>
      </w:r>
      <w:r w:rsidR="00C372EE" w:rsidRPr="0091560A">
        <w:t>te of Health and Welfare (</w:t>
      </w:r>
      <w:r w:rsidR="009C0D00" w:rsidRPr="0091560A">
        <w:t>AIHW</w:t>
      </w:r>
      <w:r w:rsidR="00C372EE" w:rsidRPr="0091560A">
        <w:t xml:space="preserve">) </w:t>
      </w:r>
      <w:r w:rsidR="009C0D00" w:rsidRPr="0091560A">
        <w:t>data</w:t>
      </w:r>
      <w:bookmarkEnd w:id="21"/>
    </w:p>
    <w:tbl>
      <w:tblPr>
        <w:tblStyle w:val="TableGrid"/>
        <w:tblW w:w="0" w:type="auto"/>
        <w:shd w:val="clear" w:color="auto" w:fill="EDEDED" w:themeFill="accent3" w:themeFillTint="33"/>
        <w:tblLook w:val="04A0" w:firstRow="1" w:lastRow="0" w:firstColumn="1" w:lastColumn="0" w:noHBand="0" w:noVBand="1"/>
      </w:tblPr>
      <w:tblGrid>
        <w:gridCol w:w="9016"/>
      </w:tblGrid>
      <w:tr w:rsidR="0016131F" w14:paraId="00ED1F43" w14:textId="77777777" w:rsidTr="00DC259D">
        <w:tc>
          <w:tcPr>
            <w:tcW w:w="9016" w:type="dxa"/>
            <w:shd w:val="clear" w:color="auto" w:fill="EDEDED" w:themeFill="accent3" w:themeFillTint="33"/>
          </w:tcPr>
          <w:p w14:paraId="2F017335" w14:textId="31251EE5" w:rsidR="00AB22DA" w:rsidRDefault="004F4DAA" w:rsidP="00AA0D2A">
            <w:pPr>
              <w:pStyle w:val="ListParagraph"/>
              <w:keepLines/>
              <w:numPr>
                <w:ilvl w:val="0"/>
                <w:numId w:val="76"/>
              </w:numPr>
              <w:spacing w:after="120"/>
              <w:ind w:left="357" w:hanging="357"/>
              <w:contextualSpacing w:val="0"/>
            </w:pPr>
            <w:r>
              <w:t>Total</w:t>
            </w:r>
            <w:r w:rsidR="00E8791E">
              <w:t xml:space="preserve"> </w:t>
            </w:r>
            <w:r w:rsidR="009C6D09">
              <w:t xml:space="preserve">Australian </w:t>
            </w:r>
            <w:r w:rsidR="00E8791E">
              <w:t xml:space="preserve">paracetamol poisoning </w:t>
            </w:r>
            <w:r w:rsidR="009C6D09">
              <w:t>hospital</w:t>
            </w:r>
            <w:r w:rsidR="00E8791E">
              <w:t xml:space="preserve"> admissions </w:t>
            </w:r>
            <w:r>
              <w:t xml:space="preserve">steadily </w:t>
            </w:r>
            <w:r w:rsidR="00CE6C63">
              <w:t xml:space="preserve">increased </w:t>
            </w:r>
            <w:r w:rsidR="00E8791E">
              <w:t xml:space="preserve">up until around 2017 and </w:t>
            </w:r>
            <w:r w:rsidR="00CE6C63">
              <w:t>decreased thereafter. D</w:t>
            </w:r>
            <w:r w:rsidR="00773E92">
              <w:t>eliberate self-poisoning account</w:t>
            </w:r>
            <w:r w:rsidR="00F86602">
              <w:t>ed</w:t>
            </w:r>
            <w:r w:rsidR="00773E92">
              <w:t xml:space="preserve"> for the majority of poisoning admissions in those aged over 10 years.</w:t>
            </w:r>
            <w:r w:rsidR="00695BCE">
              <w:t xml:space="preserve"> </w:t>
            </w:r>
            <w:r w:rsidR="00A24E3B">
              <w:t>The increases were most marked in those aged between 10 and 24</w:t>
            </w:r>
            <w:r w:rsidR="00F86602">
              <w:t>,</w:t>
            </w:r>
            <w:r w:rsidR="00A24E3B">
              <w:t xml:space="preserve"> and </w:t>
            </w:r>
            <w:r w:rsidR="00F16F0F">
              <w:t xml:space="preserve">for </w:t>
            </w:r>
            <w:r w:rsidR="00A24E3B">
              <w:t>females</w:t>
            </w:r>
            <w:r w:rsidR="00F16F0F">
              <w:t>, who</w:t>
            </w:r>
            <w:r w:rsidR="00A24E3B">
              <w:t xml:space="preserve"> accounted </w:t>
            </w:r>
            <w:r w:rsidR="00A06BCC">
              <w:t>for two-thirds of admissions.</w:t>
            </w:r>
            <w:r w:rsidR="00A24E3B">
              <w:t xml:space="preserve"> </w:t>
            </w:r>
          </w:p>
          <w:p w14:paraId="302A54A1" w14:textId="77777777" w:rsidR="00773E92" w:rsidRDefault="00A06BCC" w:rsidP="00AA0D2A">
            <w:pPr>
              <w:pStyle w:val="ListParagraph"/>
              <w:keepLines/>
              <w:numPr>
                <w:ilvl w:val="0"/>
                <w:numId w:val="76"/>
              </w:numPr>
              <w:spacing w:after="120"/>
              <w:ind w:left="357" w:hanging="357"/>
              <w:contextualSpacing w:val="0"/>
            </w:pPr>
            <w:r>
              <w:t>The younger age groups generally had better outcomes after hospitalisation, with lower rates of toxic liver injury and fatal outcomes.</w:t>
            </w:r>
          </w:p>
          <w:p w14:paraId="288B41E1" w14:textId="383B01C2" w:rsidR="00A06BCC" w:rsidRDefault="00B917E5" w:rsidP="00AA0D2A">
            <w:pPr>
              <w:pStyle w:val="ListParagraph"/>
              <w:keepLines/>
              <w:numPr>
                <w:ilvl w:val="0"/>
                <w:numId w:val="76"/>
              </w:numPr>
              <w:spacing w:after="120"/>
              <w:ind w:left="357" w:hanging="357"/>
              <w:contextualSpacing w:val="0"/>
            </w:pPr>
            <w:r>
              <w:t xml:space="preserve">Paracetamol poisoning admissions accounted for a substantial proportion </w:t>
            </w:r>
            <w:r w:rsidR="005C35D2">
              <w:t xml:space="preserve">(between approximately </w:t>
            </w:r>
            <w:r w:rsidR="004528CB">
              <w:t xml:space="preserve">5 – 50%, depending on age group) </w:t>
            </w:r>
            <w:r>
              <w:t>of all poisoning admissions</w:t>
            </w:r>
            <w:r w:rsidR="005D79A9">
              <w:t xml:space="preserve">. However, this proportion is not increasing over time, indicating that this general increase in intentional adolescent poisonings is across all medicines and not just </w:t>
            </w:r>
            <w:r w:rsidR="00061A36">
              <w:t>paracetamol.</w:t>
            </w:r>
          </w:p>
          <w:p w14:paraId="23726344" w14:textId="77777777" w:rsidR="00061A36" w:rsidRDefault="00194A37" w:rsidP="00AA0D2A">
            <w:pPr>
              <w:pStyle w:val="ListParagraph"/>
              <w:keepLines/>
              <w:numPr>
                <w:ilvl w:val="0"/>
                <w:numId w:val="76"/>
              </w:numPr>
              <w:spacing w:after="120"/>
              <w:ind w:left="357" w:hanging="357"/>
              <w:contextualSpacing w:val="0"/>
            </w:pPr>
            <w:r>
              <w:t xml:space="preserve">The rescheduling of codeine from Schedule 3 to Schedule 4 of the Poisons Standard in February 2018 may </w:t>
            </w:r>
            <w:r w:rsidR="00937B01">
              <w:t>explain some of the recent reduction in paracetamol poisonings.</w:t>
            </w:r>
          </w:p>
          <w:p w14:paraId="3BE5FB79" w14:textId="0BB8D5F9" w:rsidR="00581228" w:rsidRDefault="00BB12C0" w:rsidP="00AA0D2A">
            <w:pPr>
              <w:pStyle w:val="ListParagraph"/>
              <w:keepLines/>
              <w:numPr>
                <w:ilvl w:val="0"/>
                <w:numId w:val="76"/>
              </w:numPr>
              <w:spacing w:after="120"/>
              <w:ind w:left="357" w:hanging="357"/>
              <w:contextualSpacing w:val="0"/>
            </w:pPr>
            <w:r>
              <w:t xml:space="preserve">The number of </w:t>
            </w:r>
            <w:r w:rsidR="003035D0">
              <w:t>admissions</w:t>
            </w:r>
            <w:r w:rsidR="00B34F3B">
              <w:t xml:space="preserve"> due to </w:t>
            </w:r>
            <w:r w:rsidR="003035D0">
              <w:t xml:space="preserve">poisoning with </w:t>
            </w:r>
            <w:r w:rsidR="00C07E3A">
              <w:t xml:space="preserve">“other NSAIDs” </w:t>
            </w:r>
            <w:r>
              <w:t>was</w:t>
            </w:r>
            <w:r w:rsidR="005C1A7E">
              <w:t xml:space="preserve"> approximately 10-15% of those due to paracetamol</w:t>
            </w:r>
            <w:r w:rsidR="00051D0B">
              <w:t xml:space="preserve"> and increased</w:t>
            </w:r>
            <w:r w:rsidR="00880147">
              <w:t xml:space="preserve"> steadily </w:t>
            </w:r>
            <w:r w:rsidR="00302EDB">
              <w:t xml:space="preserve">up </w:t>
            </w:r>
            <w:r w:rsidR="00AE73DD">
              <w:t>to 201</w:t>
            </w:r>
            <w:r w:rsidR="00C07E3A">
              <w:t>7</w:t>
            </w:r>
            <w:r>
              <w:t>, thereafter</w:t>
            </w:r>
            <w:r w:rsidR="00880147">
              <w:t xml:space="preserve"> sharply</w:t>
            </w:r>
            <w:r w:rsidR="008070D7">
              <w:t xml:space="preserve"> </w:t>
            </w:r>
            <w:r>
              <w:t>decre</w:t>
            </w:r>
            <w:r w:rsidR="001872FA">
              <w:t>asing since</w:t>
            </w:r>
            <w:r w:rsidR="0077194A">
              <w:t xml:space="preserve"> </w:t>
            </w:r>
            <w:r w:rsidR="00B87978">
              <w:t>codeine</w:t>
            </w:r>
            <w:r w:rsidR="0012413C">
              <w:t xml:space="preserve"> </w:t>
            </w:r>
            <w:r w:rsidR="0077194A">
              <w:t xml:space="preserve">became a Schedule 4 medicine </w:t>
            </w:r>
            <w:r w:rsidR="0012413C">
              <w:t>in 2018</w:t>
            </w:r>
            <w:r w:rsidR="002A63ED">
              <w:t xml:space="preserve">. </w:t>
            </w:r>
          </w:p>
        </w:tc>
      </w:tr>
    </w:tbl>
    <w:p w14:paraId="65C6755E" w14:textId="77777777" w:rsidR="00E62BF0" w:rsidRPr="00061434" w:rsidRDefault="00E62BF0" w:rsidP="00AA0D2A">
      <w:pPr>
        <w:keepLines/>
      </w:pPr>
    </w:p>
    <w:p w14:paraId="1CB35507" w14:textId="2CF57E46" w:rsidR="00034E74" w:rsidRPr="0091560A" w:rsidRDefault="00034E74" w:rsidP="00E53BD9">
      <w:pPr>
        <w:pStyle w:val="Heading3"/>
      </w:pPr>
      <w:bookmarkStart w:id="22" w:name="_Toc112843906"/>
      <w:r w:rsidRPr="0091560A">
        <w:t>Data description and methods</w:t>
      </w:r>
      <w:bookmarkEnd w:id="22"/>
    </w:p>
    <w:p w14:paraId="4B4625C6" w14:textId="58532A08" w:rsidR="009D3184" w:rsidRPr="0091560A" w:rsidRDefault="002D10EC" w:rsidP="00A561C3">
      <w:r w:rsidRPr="0091560A">
        <w:t>The AIHW NHMD data are collated annually and available for a ten</w:t>
      </w:r>
      <w:r w:rsidR="008D392D">
        <w:t>-</w:t>
      </w:r>
      <w:r w:rsidRPr="0091560A">
        <w:t>year period from 200</w:t>
      </w:r>
      <w:r w:rsidR="00270245" w:rsidRPr="0091560A">
        <w:t>9</w:t>
      </w:r>
      <w:r w:rsidRPr="0091560A">
        <w:t>-</w:t>
      </w:r>
      <w:r w:rsidR="00270245" w:rsidRPr="0091560A">
        <w:t>10</w:t>
      </w:r>
      <w:r w:rsidRPr="0091560A">
        <w:t xml:space="preserve"> to 20</w:t>
      </w:r>
      <w:r w:rsidR="00270245" w:rsidRPr="0091560A">
        <w:t>19</w:t>
      </w:r>
      <w:r w:rsidRPr="0091560A">
        <w:t>-</w:t>
      </w:r>
      <w:r w:rsidR="00270245" w:rsidRPr="0091560A">
        <w:t>20</w:t>
      </w:r>
      <w:r w:rsidR="001F561D" w:rsidRPr="0091560A">
        <w:t xml:space="preserve"> (financial years)</w:t>
      </w:r>
      <w:r w:rsidRPr="0091560A">
        <w:t xml:space="preserve">. </w:t>
      </w:r>
      <w:r w:rsidR="00276856" w:rsidRPr="0091560A">
        <w:t xml:space="preserve">These data do not </w:t>
      </w:r>
      <w:r w:rsidR="00C34218" w:rsidRPr="0091560A">
        <w:t>record the specific agent involved in poisonings</w:t>
      </w:r>
      <w:r w:rsidR="00990C7F" w:rsidRPr="0091560A">
        <w:t xml:space="preserve"> but use the ICD-10-AM drug class coding system. </w:t>
      </w:r>
      <w:r w:rsidRPr="0091560A">
        <w:t xml:space="preserve">The </w:t>
      </w:r>
      <w:r w:rsidR="00E41590" w:rsidRPr="0091560A">
        <w:t>data were</w:t>
      </w:r>
      <w:r w:rsidRPr="0091560A">
        <w:t xml:space="preserve"> searched for cases with </w:t>
      </w:r>
      <w:r w:rsidR="00E41590" w:rsidRPr="0091560A">
        <w:t>an</w:t>
      </w:r>
      <w:r w:rsidRPr="0091560A">
        <w:t xml:space="preserve"> ICD-10-AM code</w:t>
      </w:r>
      <w:r w:rsidR="00E41590" w:rsidRPr="0091560A">
        <w:t xml:space="preserve"> of </w:t>
      </w:r>
      <w:r w:rsidRPr="0091560A">
        <w:t>T39. 1 (</w:t>
      </w:r>
      <w:r w:rsidR="00892FED">
        <w:t>p</w:t>
      </w:r>
      <w:r w:rsidRPr="0091560A">
        <w:t>oisoning by 4-aminophenol derivatives)</w:t>
      </w:r>
      <w:r w:rsidR="00530637" w:rsidRPr="0091560A">
        <w:t xml:space="preserve">. </w:t>
      </w:r>
      <w:r w:rsidR="00232B7B" w:rsidRPr="0091560A">
        <w:t>Note that the only 4-aminophenol derivative in use in Australia is paracetamol</w:t>
      </w:r>
      <w:r w:rsidR="00E77F9A" w:rsidRPr="0091560A">
        <w:t>, and this is one of the few drugs that can be confidently identified using ICD codes</w:t>
      </w:r>
      <w:r w:rsidR="00232B7B" w:rsidRPr="0091560A">
        <w:t xml:space="preserve">. These </w:t>
      </w:r>
      <w:r w:rsidR="00E77F9A" w:rsidRPr="0091560A">
        <w:t xml:space="preserve">T39.1 </w:t>
      </w:r>
      <w:r w:rsidR="00232B7B" w:rsidRPr="0091560A">
        <w:t>codes were recorded in the principal diagnosis field or the following nine additional diagnosis fields</w:t>
      </w:r>
      <w:r w:rsidR="005A298C">
        <w:t xml:space="preserve"> (in some </w:t>
      </w:r>
      <w:r w:rsidR="00F5052E">
        <w:t xml:space="preserve">admissions paracetamol may have been one of several </w:t>
      </w:r>
      <w:r w:rsidR="00BB461A">
        <w:t>agents ingested, and also not necessarily the most important one)</w:t>
      </w:r>
      <w:r w:rsidR="00232B7B" w:rsidRPr="0091560A">
        <w:t>.</w:t>
      </w:r>
      <w:r w:rsidR="005A298C">
        <w:t xml:space="preserve"> </w:t>
      </w:r>
      <w:r w:rsidR="00530637" w:rsidRPr="0091560A">
        <w:t xml:space="preserve">The data on the overall cohort is presented for this </w:t>
      </w:r>
      <w:r w:rsidR="00646E90" w:rsidRPr="0091560A">
        <w:t>diagnostic code</w:t>
      </w:r>
      <w:r w:rsidR="00530637" w:rsidRPr="0091560A">
        <w:t xml:space="preserve"> along </w:t>
      </w:r>
      <w:r w:rsidR="0014109A" w:rsidRPr="0091560A">
        <w:t xml:space="preserve">those with codes of </w:t>
      </w:r>
      <w:r w:rsidRPr="0091560A">
        <w:t>K71</w:t>
      </w:r>
      <w:r w:rsidR="0014109A" w:rsidRPr="0091560A">
        <w:t>*</w:t>
      </w:r>
      <w:r w:rsidRPr="0091560A">
        <w:t xml:space="preserve"> </w:t>
      </w:r>
      <w:r w:rsidR="0014109A" w:rsidRPr="0091560A">
        <w:t xml:space="preserve">indicating </w:t>
      </w:r>
      <w:r w:rsidRPr="0091560A">
        <w:t>toxic liver disease</w:t>
      </w:r>
      <w:r w:rsidR="003F7210" w:rsidRPr="0091560A">
        <w:t xml:space="preserve">. </w:t>
      </w:r>
      <w:r w:rsidR="0002639D" w:rsidRPr="0091560A">
        <w:t xml:space="preserve">We also examined for those poisonings that also had </w:t>
      </w:r>
      <w:r w:rsidR="00403DC2" w:rsidRPr="0091560A">
        <w:t>the code T40.2</w:t>
      </w:r>
      <w:r w:rsidR="004F3632" w:rsidRPr="0091560A">
        <w:t xml:space="preserve"> </w:t>
      </w:r>
      <w:r w:rsidR="00F828B0" w:rsidRPr="0091560A">
        <w:t xml:space="preserve">(‘other opioids’) </w:t>
      </w:r>
      <w:r w:rsidR="004F3632" w:rsidRPr="0091560A">
        <w:t xml:space="preserve">which </w:t>
      </w:r>
      <w:r w:rsidR="0043302E" w:rsidRPr="0091560A">
        <w:t xml:space="preserve">combined with T39.1 likely </w:t>
      </w:r>
      <w:r w:rsidR="004F3632" w:rsidRPr="0091560A">
        <w:t xml:space="preserve">indicated codeine poisoning </w:t>
      </w:r>
      <w:r w:rsidR="00691728" w:rsidRPr="0091560A">
        <w:t xml:space="preserve">and </w:t>
      </w:r>
      <w:r w:rsidR="0043302E" w:rsidRPr="0091560A">
        <w:t xml:space="preserve">specifically </w:t>
      </w:r>
      <w:r w:rsidR="00691728" w:rsidRPr="0091560A">
        <w:t xml:space="preserve">a paracetamol/codeine combination was ingested.  </w:t>
      </w:r>
      <w:r w:rsidR="00D33502" w:rsidRPr="0091560A">
        <w:t xml:space="preserve"> </w:t>
      </w:r>
    </w:p>
    <w:p w14:paraId="48D588B2" w14:textId="24D832E5" w:rsidR="009D3184" w:rsidRPr="0091560A" w:rsidRDefault="00D33502" w:rsidP="00477395">
      <w:pPr>
        <w:spacing w:line="240" w:lineRule="auto"/>
        <w:rPr>
          <w:rFonts w:cs="Times New Roman"/>
          <w:noProof/>
        </w:rPr>
      </w:pPr>
      <w:r w:rsidRPr="0091560A">
        <w:rPr>
          <w:rFonts w:cs="Times New Roman"/>
          <w:noProof/>
        </w:rPr>
        <w:t>T</w:t>
      </w:r>
      <w:r w:rsidR="002D10EC" w:rsidRPr="0091560A">
        <w:rPr>
          <w:rFonts w:cs="Times New Roman"/>
          <w:noProof/>
        </w:rPr>
        <w:t>he “in hospital death” flag</w:t>
      </w:r>
      <w:r w:rsidR="00EA5003">
        <w:rPr>
          <w:rFonts w:cs="Times New Roman"/>
          <w:noProof/>
        </w:rPr>
        <w:t>s</w:t>
      </w:r>
      <w:r w:rsidR="002D10EC" w:rsidRPr="0091560A">
        <w:rPr>
          <w:rFonts w:cs="Times New Roman"/>
          <w:noProof/>
        </w:rPr>
        <w:t xml:space="preserve"> were also extracted. </w:t>
      </w:r>
      <w:r w:rsidR="009D3184" w:rsidRPr="0091560A">
        <w:rPr>
          <w:rFonts w:cs="Times New Roman"/>
          <w:noProof/>
        </w:rPr>
        <w:t xml:space="preserve">It should be noted that many poisonings involve more than one agent, and it is likely that </w:t>
      </w:r>
      <w:r w:rsidR="00B82C55" w:rsidRPr="0091560A">
        <w:rPr>
          <w:rFonts w:cs="Times New Roman"/>
          <w:noProof/>
        </w:rPr>
        <w:t>other agents ingested may have been responsible for the admission or death in many cases.</w:t>
      </w:r>
    </w:p>
    <w:p w14:paraId="7F44E2AE" w14:textId="098050FF" w:rsidR="00A058CC" w:rsidRPr="0091560A" w:rsidRDefault="002D10EC" w:rsidP="00A561C3">
      <w:r w:rsidRPr="0091560A">
        <w:t>External causes codes were used to identify exposure intent</w:t>
      </w:r>
      <w:r w:rsidR="007164A9" w:rsidRPr="0091560A">
        <w:t xml:space="preserve"> </w:t>
      </w:r>
      <w:r w:rsidR="004A07CE" w:rsidRPr="0091560A">
        <w:t xml:space="preserve">with </w:t>
      </w:r>
      <w:r w:rsidR="007164A9" w:rsidRPr="0091560A">
        <w:t>the codes commencing X6* indicating deliberate self-poisoning</w:t>
      </w:r>
      <w:r w:rsidRPr="0091560A">
        <w:t>.</w:t>
      </w:r>
      <w:r w:rsidR="007164A9" w:rsidRPr="0091560A">
        <w:t xml:space="preserve"> </w:t>
      </w:r>
      <w:r w:rsidR="00A058CC" w:rsidRPr="0091560A">
        <w:t>Sex, age (in five</w:t>
      </w:r>
      <w:r w:rsidR="008D392D">
        <w:t>-</w:t>
      </w:r>
      <w:r w:rsidR="00A058CC" w:rsidRPr="0091560A">
        <w:t>year age brackets) are used to demonstr</w:t>
      </w:r>
      <w:r w:rsidR="00B6773F" w:rsidRPr="0091560A">
        <w:t>a</w:t>
      </w:r>
      <w:r w:rsidR="00A058CC" w:rsidRPr="0091560A">
        <w:t>te the demographic characteristics of the populations in the various selected groups</w:t>
      </w:r>
      <w:r w:rsidR="00B6773F" w:rsidRPr="0091560A">
        <w:t xml:space="preserve"> – with the child-adolescent categories</w:t>
      </w:r>
      <w:r w:rsidR="009776EE" w:rsidRPr="0091560A">
        <w:t xml:space="preserve"> (age &lt;</w:t>
      </w:r>
      <w:r w:rsidR="008D392D">
        <w:t xml:space="preserve"> </w:t>
      </w:r>
      <w:r w:rsidR="009776EE" w:rsidRPr="0091560A">
        <w:t>20)</w:t>
      </w:r>
      <w:r w:rsidR="00B6773F" w:rsidRPr="0091560A">
        <w:t xml:space="preserve"> highlighted in </w:t>
      </w:r>
      <w:r w:rsidR="0095027E" w:rsidRPr="0091560A">
        <w:t>orange</w:t>
      </w:r>
      <w:r w:rsidR="009776EE" w:rsidRPr="0091560A">
        <w:t>-</w:t>
      </w:r>
      <w:r w:rsidR="00B6773F" w:rsidRPr="0091560A">
        <w:t>red shades</w:t>
      </w:r>
      <w:r w:rsidR="00AB773F" w:rsidRPr="0091560A">
        <w:t>, and older ages in green</w:t>
      </w:r>
      <w:r w:rsidR="009776EE" w:rsidRPr="0091560A">
        <w:t>-</w:t>
      </w:r>
      <w:r w:rsidR="00AB773F" w:rsidRPr="0091560A">
        <w:t>blue shades</w:t>
      </w:r>
      <w:r w:rsidR="00F63FBA" w:rsidRPr="0091560A">
        <w:t xml:space="preserve"> (see Figure 3 et al below)</w:t>
      </w:r>
      <w:r w:rsidR="00A058CC" w:rsidRPr="0091560A">
        <w:t>.</w:t>
      </w:r>
    </w:p>
    <w:p w14:paraId="64D6218B" w14:textId="1AB0032E" w:rsidR="00ED0290" w:rsidRPr="0091560A" w:rsidRDefault="007164A9" w:rsidP="00A561C3">
      <w:r w:rsidRPr="0091560A">
        <w:t xml:space="preserve">For comparison purposes data was extracted on </w:t>
      </w:r>
      <w:r w:rsidR="009A5FC6" w:rsidRPr="0091560A">
        <w:t xml:space="preserve">other </w:t>
      </w:r>
      <w:r w:rsidR="00FD042B" w:rsidRPr="0091560A">
        <w:t xml:space="preserve">poisonings </w:t>
      </w:r>
      <w:r w:rsidR="00B65F75" w:rsidRPr="0091560A">
        <w:t xml:space="preserve">with other </w:t>
      </w:r>
      <w:r w:rsidR="00FD042B" w:rsidRPr="0091560A">
        <w:t>T39 codes</w:t>
      </w:r>
      <w:r w:rsidR="00B65F75" w:rsidRPr="0091560A">
        <w:t>, indicating p</w:t>
      </w:r>
      <w:r w:rsidR="00FD042B" w:rsidRPr="0091560A">
        <w:t>oisoning by non</w:t>
      </w:r>
      <w:r w:rsidR="00FB62CC">
        <w:t>-</w:t>
      </w:r>
      <w:r w:rsidR="00FD042B" w:rsidRPr="0091560A">
        <w:t>opioid analgesics, antipyretics and antirheumatics</w:t>
      </w:r>
      <w:r w:rsidR="00B65F75" w:rsidRPr="0091560A">
        <w:t xml:space="preserve"> (which would include other OTC analgesics such as aspirin</w:t>
      </w:r>
      <w:r w:rsidR="002749FF" w:rsidRPr="0091560A">
        <w:t xml:space="preserve"> (T39.0) and </w:t>
      </w:r>
      <w:r w:rsidR="00380F64" w:rsidRPr="0091560A">
        <w:t>other NSAID</w:t>
      </w:r>
      <w:r w:rsidR="007E3819" w:rsidRPr="0091560A">
        <w:t>s (</w:t>
      </w:r>
      <w:r w:rsidR="002749FF" w:rsidRPr="0091560A">
        <w:t>T39.</w:t>
      </w:r>
      <w:r w:rsidR="00380F64" w:rsidRPr="0091560A">
        <w:t>3</w:t>
      </w:r>
      <w:r w:rsidR="002749FF" w:rsidRPr="0091560A">
        <w:t>)</w:t>
      </w:r>
      <w:r w:rsidR="007E3819" w:rsidRPr="0091560A">
        <w:t>, the most common of which would be ibuprofen</w:t>
      </w:r>
      <w:r w:rsidR="00EF1EB5" w:rsidRPr="0091560A">
        <w:t>.</w:t>
      </w:r>
      <w:r w:rsidR="00EF1EB5" w:rsidRPr="0091560A" w:rsidDel="0067180E">
        <w:t xml:space="preserve"> </w:t>
      </w:r>
      <w:r w:rsidR="00EF1EB5" w:rsidRPr="0091560A">
        <w:t>These were a</w:t>
      </w:r>
      <w:r w:rsidR="00B27E91" w:rsidRPr="0091560A">
        <w:t xml:space="preserve"> relatively </w:t>
      </w:r>
      <w:r w:rsidR="00EF1EB5" w:rsidRPr="0091560A">
        <w:t>uncom</w:t>
      </w:r>
      <w:r w:rsidR="00EA5003">
        <w:t>m</w:t>
      </w:r>
      <w:r w:rsidR="00EF1EB5" w:rsidRPr="0091560A">
        <w:t xml:space="preserve">on cause of </w:t>
      </w:r>
      <w:r w:rsidR="00B27E91" w:rsidRPr="0091560A">
        <w:t xml:space="preserve">poisoning </w:t>
      </w:r>
      <w:r w:rsidR="00EF1EB5" w:rsidRPr="0091560A">
        <w:t xml:space="preserve">admission with only </w:t>
      </w:r>
      <w:r w:rsidR="006E573B" w:rsidRPr="0091560A">
        <w:t xml:space="preserve">2753 admissions and </w:t>
      </w:r>
      <w:r w:rsidR="00EF1EB5" w:rsidRPr="0091560A">
        <w:t>9 deaths over the ten</w:t>
      </w:r>
      <w:r w:rsidR="008D392D">
        <w:t>-</w:t>
      </w:r>
      <w:r w:rsidR="00EF1EB5" w:rsidRPr="0091560A">
        <w:t>year period</w:t>
      </w:r>
      <w:r w:rsidR="006E573B" w:rsidRPr="0091560A">
        <w:t xml:space="preserve">. </w:t>
      </w:r>
      <w:r w:rsidR="004E4C70" w:rsidRPr="0091560A">
        <w:t>Most of these were T39.3 codes and we have only shown these data</w:t>
      </w:r>
      <w:r w:rsidR="00872D2D" w:rsidRPr="0091560A">
        <w:t>.</w:t>
      </w:r>
    </w:p>
    <w:p w14:paraId="4FF4BFD7" w14:textId="24FD4200" w:rsidR="00F24FC8" w:rsidRPr="0091560A" w:rsidRDefault="00F24FC8" w:rsidP="00A561C3">
      <w:r w:rsidRPr="0091560A">
        <w:t xml:space="preserve">We also extracted the overall number of poisoning admissions </w:t>
      </w:r>
      <w:r w:rsidR="00701D7B" w:rsidRPr="0091560A">
        <w:t xml:space="preserve">and deliberate self-poisoning admissions </w:t>
      </w:r>
      <w:r w:rsidRPr="0091560A">
        <w:t>by year</w:t>
      </w:r>
      <w:r w:rsidR="00701D7B" w:rsidRPr="0091560A">
        <w:t xml:space="preserve"> to indicate the extent to which paracetamol poisonings are </w:t>
      </w:r>
      <w:r w:rsidR="00415F30" w:rsidRPr="0091560A">
        <w:t>just tracking overall poisoning trends</w:t>
      </w:r>
      <w:r w:rsidR="00664B71">
        <w:rPr>
          <w:noProof/>
        </w:rPr>
        <w:t>.</w:t>
      </w:r>
    </w:p>
    <w:p w14:paraId="41049E97" w14:textId="3E62681F" w:rsidR="002D10EC" w:rsidRPr="0091560A" w:rsidRDefault="00262240" w:rsidP="00A561C3">
      <w:r w:rsidRPr="0091560A">
        <w:t xml:space="preserve">The AIHW does not allow the presentation of numerical results with n of &lt; 5 and thus a more limited breakdown of </w:t>
      </w:r>
      <w:r w:rsidR="00ED0290" w:rsidRPr="0091560A">
        <w:t xml:space="preserve">age-sex categories is provided where cell sizes </w:t>
      </w:r>
      <w:r w:rsidR="00415F30" w:rsidRPr="0091560A">
        <w:t xml:space="preserve">for some sub-groups </w:t>
      </w:r>
      <w:r w:rsidR="00ED0290" w:rsidRPr="0091560A">
        <w:t xml:space="preserve">in some years </w:t>
      </w:r>
      <w:r w:rsidR="001002DB" w:rsidRPr="0091560A">
        <w:t>fall below this threshold.</w:t>
      </w:r>
      <w:r w:rsidR="00CB351E" w:rsidRPr="0091560A">
        <w:t xml:space="preserve"> We have </w:t>
      </w:r>
      <w:r w:rsidR="00815D8C" w:rsidRPr="0091560A">
        <w:t>shown most of these data in Figures in this report</w:t>
      </w:r>
      <w:r w:rsidR="008D392D">
        <w:t>,</w:t>
      </w:r>
      <w:r w:rsidR="00815D8C" w:rsidRPr="0091560A">
        <w:t xml:space="preserve"> but tabulated values are provided </w:t>
      </w:r>
      <w:r w:rsidR="0019265A">
        <w:t xml:space="preserve">for the AIHW data </w:t>
      </w:r>
      <w:r w:rsidR="00815D8C" w:rsidRPr="0091560A">
        <w:t>in Appendix A.</w:t>
      </w:r>
    </w:p>
    <w:p w14:paraId="74617960" w14:textId="1EFEBD43" w:rsidR="009261F5" w:rsidRPr="0091560A" w:rsidRDefault="009261F5" w:rsidP="00A561C3">
      <w:r w:rsidRPr="0091560A">
        <w:t xml:space="preserve">To examine the impact of the three relevant scheduling changes </w:t>
      </w:r>
      <w:r w:rsidR="00360ECF" w:rsidRPr="0091560A">
        <w:t>that occurred the data are also shown by month of poisoning.</w:t>
      </w:r>
      <w:r w:rsidR="00360ECF" w:rsidRPr="0091560A" w:rsidDel="0067180E">
        <w:t xml:space="preserve"> </w:t>
      </w:r>
      <w:r w:rsidR="00360ECF" w:rsidRPr="0091560A">
        <w:t xml:space="preserve">Note </w:t>
      </w:r>
      <w:r w:rsidR="0037323D" w:rsidRPr="0091560A">
        <w:t xml:space="preserve">that month was not provided for </w:t>
      </w:r>
      <w:r w:rsidR="00B3117A" w:rsidRPr="0091560A">
        <w:t>1% of the</w:t>
      </w:r>
      <w:r w:rsidR="0037323D" w:rsidRPr="0091560A">
        <w:t xml:space="preserve"> poisonings</w:t>
      </w:r>
      <w:r w:rsidR="00B3117A" w:rsidRPr="0091560A">
        <w:t>, specifically those</w:t>
      </w:r>
      <w:r w:rsidR="0037323D" w:rsidRPr="0091560A">
        <w:t xml:space="preserve"> with a length of stay &gt; 30 days</w:t>
      </w:r>
      <w:r w:rsidR="00441668" w:rsidRPr="0091560A">
        <w:t xml:space="preserve">. </w:t>
      </w:r>
      <w:r w:rsidR="0037323D" w:rsidRPr="0091560A">
        <w:t xml:space="preserve"> </w:t>
      </w:r>
    </w:p>
    <w:p w14:paraId="24D1F12C" w14:textId="45E15234" w:rsidR="00992071" w:rsidRPr="0091560A" w:rsidRDefault="00992071" w:rsidP="007E1A28">
      <w:pPr>
        <w:pStyle w:val="Heading3"/>
      </w:pPr>
      <w:bookmarkStart w:id="23" w:name="_Toc112843907"/>
      <w:r w:rsidRPr="0091560A">
        <w:t>Results</w:t>
      </w:r>
      <w:bookmarkEnd w:id="23"/>
    </w:p>
    <w:p w14:paraId="4C2D0F51" w14:textId="2EC35B97" w:rsidR="00601566" w:rsidRPr="0091560A" w:rsidRDefault="00CC5C01" w:rsidP="00A561C3">
      <w:pPr>
        <w:rPr>
          <w:i/>
          <w:color w:val="44546A" w:themeColor="text2"/>
          <w:sz w:val="18"/>
          <w:szCs w:val="18"/>
        </w:rPr>
      </w:pPr>
      <w:r w:rsidRPr="0091560A">
        <w:t>It can be seen that there was an overall increase in</w:t>
      </w:r>
      <w:r w:rsidR="000343B6" w:rsidRPr="0091560A">
        <w:t xml:space="preserve"> paracetamol </w:t>
      </w:r>
      <w:r w:rsidRPr="0091560A">
        <w:t>poisoning</w:t>
      </w:r>
      <w:r w:rsidR="008D225B" w:rsidRPr="0091560A">
        <w:t xml:space="preserve"> admission</w:t>
      </w:r>
      <w:r w:rsidRPr="0091560A">
        <w:t xml:space="preserve">s </w:t>
      </w:r>
      <w:r w:rsidR="000343B6" w:rsidRPr="0091560A">
        <w:t>up until around 201</w:t>
      </w:r>
      <w:r w:rsidR="009C0CF7" w:rsidRPr="0091560A">
        <w:t>7</w:t>
      </w:r>
      <w:r w:rsidR="000343B6" w:rsidRPr="0091560A">
        <w:t xml:space="preserve"> and a slight decline since</w:t>
      </w:r>
      <w:r w:rsidR="009610EF" w:rsidRPr="0091560A">
        <w:t>, and that deliberate self-poisoning accounts for the majority of poisoning</w:t>
      </w:r>
      <w:r w:rsidR="000E425C" w:rsidRPr="0091560A">
        <w:t xml:space="preserve"> admission</w:t>
      </w:r>
      <w:r w:rsidR="009610EF" w:rsidRPr="0091560A">
        <w:t xml:space="preserve">s in those aged over 10 (Figure </w:t>
      </w:r>
      <w:r w:rsidR="00DE78C4">
        <w:t>3</w:t>
      </w:r>
      <w:r w:rsidR="009610EF" w:rsidRPr="0091560A">
        <w:t xml:space="preserve">). </w:t>
      </w:r>
    </w:p>
    <w:p w14:paraId="1D8814D3" w14:textId="77777777" w:rsidR="00C53726" w:rsidRDefault="00C6690F" w:rsidP="00C53726">
      <w:r>
        <w:rPr>
          <w:noProof/>
        </w:rPr>
        <w:drawing>
          <wp:inline distT="0" distB="0" distL="0" distR="0" wp14:anchorId="1D687501" wp14:editId="3C697D07">
            <wp:extent cx="5790501" cy="2114550"/>
            <wp:effectExtent l="0" t="0" r="127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65" r="1755" b="8567"/>
                    <a:stretch/>
                  </pic:blipFill>
                  <pic:spPr bwMode="auto">
                    <a:xfrm>
                      <a:off x="0" y="0"/>
                      <a:ext cx="5803696" cy="2119369"/>
                    </a:xfrm>
                    <a:prstGeom prst="rect">
                      <a:avLst/>
                    </a:prstGeom>
                    <a:noFill/>
                    <a:ln>
                      <a:noFill/>
                    </a:ln>
                    <a:extLst>
                      <a:ext uri="{53640926-AAD7-44D8-BBD7-CCE9431645EC}">
                        <a14:shadowObscured xmlns:a14="http://schemas.microsoft.com/office/drawing/2010/main"/>
                      </a:ext>
                    </a:extLst>
                  </pic:spPr>
                </pic:pic>
              </a:graphicData>
            </a:graphic>
          </wp:inline>
        </w:drawing>
      </w:r>
    </w:p>
    <w:p w14:paraId="14ED6261" w14:textId="03894224" w:rsidR="002E5C8C" w:rsidRPr="0091560A" w:rsidRDefault="002E5C8C" w:rsidP="00C53726">
      <w:pPr>
        <w:pStyle w:val="FigureCaption"/>
      </w:pPr>
      <w:bookmarkStart w:id="24" w:name="_Toc114559964"/>
      <w:r w:rsidRPr="0091560A">
        <w:t xml:space="preserve">Figure </w:t>
      </w:r>
      <w:r>
        <w:fldChar w:fldCharType="begin"/>
      </w:r>
      <w:r>
        <w:instrText>SEQ Figure \* ARABIC</w:instrText>
      </w:r>
      <w:r>
        <w:fldChar w:fldCharType="separate"/>
      </w:r>
      <w:r w:rsidR="0091734E">
        <w:rPr>
          <w:noProof/>
        </w:rPr>
        <w:t>3</w:t>
      </w:r>
      <w:r>
        <w:fldChar w:fldCharType="end"/>
      </w:r>
      <w:r w:rsidRPr="0091560A">
        <w:t xml:space="preserve"> Paracetamol poisoning admissions </w:t>
      </w:r>
      <w:r w:rsidR="00306193" w:rsidRPr="0091560A">
        <w:t xml:space="preserve">and deliberate self-poisoning admissions </w:t>
      </w:r>
      <w:r w:rsidRPr="0091560A">
        <w:t xml:space="preserve">in Australia </w:t>
      </w:r>
      <w:r w:rsidR="00306193" w:rsidRPr="0091560A">
        <w:t xml:space="preserve">(AIHW NHMD </w:t>
      </w:r>
      <w:r w:rsidRPr="0091560A">
        <w:t>2009-2020</w:t>
      </w:r>
      <w:r w:rsidR="00306193" w:rsidRPr="0091560A">
        <w:t>)</w:t>
      </w:r>
      <w:bookmarkEnd w:id="24"/>
    </w:p>
    <w:p w14:paraId="4D1696FC" w14:textId="77777777" w:rsidR="003F4C09" w:rsidRDefault="003F4C09" w:rsidP="00C46F70">
      <w:pPr>
        <w:spacing w:line="240" w:lineRule="auto"/>
        <w:rPr>
          <w:rFonts w:cs="Times New Roman"/>
          <w:noProof/>
        </w:rPr>
      </w:pPr>
    </w:p>
    <w:p w14:paraId="4088E923" w14:textId="59CC0FDA" w:rsidR="00C46F70" w:rsidRPr="0091560A" w:rsidRDefault="00C46F70" w:rsidP="00A561C3">
      <w:pPr>
        <w:rPr>
          <w:i/>
          <w:color w:val="44546A" w:themeColor="text2"/>
          <w:sz w:val="18"/>
          <w:szCs w:val="18"/>
        </w:rPr>
      </w:pPr>
      <w:r w:rsidRPr="0091560A">
        <w:t xml:space="preserve">The increases were most marked in those aged between 10 and 24 and females accounted for over </w:t>
      </w:r>
      <w:r w:rsidR="00803034">
        <w:rPr>
          <w:noProof/>
        </w:rPr>
        <w:t>two-thirds</w:t>
      </w:r>
      <w:r w:rsidRPr="0091560A">
        <w:t xml:space="preserve"> of admissions (Figure </w:t>
      </w:r>
      <w:r w:rsidR="00DE78C4">
        <w:t>4</w:t>
      </w:r>
      <w:r w:rsidRPr="0091560A">
        <w:rPr>
          <w:noProof/>
        </w:rPr>
        <w:t>)</w:t>
      </w:r>
      <w:r w:rsidR="00882746">
        <w:rPr>
          <w:noProof/>
        </w:rPr>
        <w:t>.</w:t>
      </w:r>
    </w:p>
    <w:p w14:paraId="1273D919" w14:textId="77777777" w:rsidR="00C53726" w:rsidRDefault="00C6690F" w:rsidP="00C53726">
      <w:bookmarkStart w:id="25" w:name="OLE_LINK1"/>
      <w:r>
        <w:rPr>
          <w:noProof/>
        </w:rPr>
        <w:drawing>
          <wp:inline distT="0" distB="0" distL="0" distR="0" wp14:anchorId="42596497" wp14:editId="6EC696EB">
            <wp:extent cx="5783305" cy="2209800"/>
            <wp:effectExtent l="0" t="0" r="8255"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2" r="2612" b="8265"/>
                    <a:stretch/>
                  </pic:blipFill>
                  <pic:spPr bwMode="auto">
                    <a:xfrm>
                      <a:off x="0" y="0"/>
                      <a:ext cx="5785188" cy="2210520"/>
                    </a:xfrm>
                    <a:prstGeom prst="rect">
                      <a:avLst/>
                    </a:prstGeom>
                    <a:noFill/>
                    <a:ln>
                      <a:noFill/>
                    </a:ln>
                    <a:extLst>
                      <a:ext uri="{53640926-AAD7-44D8-BBD7-CCE9431645EC}">
                        <a14:shadowObscured xmlns:a14="http://schemas.microsoft.com/office/drawing/2010/main"/>
                      </a:ext>
                    </a:extLst>
                  </pic:spPr>
                </pic:pic>
              </a:graphicData>
            </a:graphic>
          </wp:inline>
        </w:drawing>
      </w:r>
    </w:p>
    <w:p w14:paraId="06F872FE" w14:textId="7BE5AD7C" w:rsidR="00A81421" w:rsidRPr="0091560A" w:rsidRDefault="00A81421" w:rsidP="00C53726">
      <w:pPr>
        <w:pStyle w:val="FigureCaption"/>
      </w:pPr>
      <w:bookmarkStart w:id="26" w:name="_Toc114559965"/>
      <w:r w:rsidRPr="00C6690F">
        <w:t xml:space="preserve">Figure </w:t>
      </w:r>
      <w:r w:rsidR="005F69BD" w:rsidRPr="00882746">
        <w:fldChar w:fldCharType="begin"/>
      </w:r>
      <w:r w:rsidR="005F69BD" w:rsidRPr="00C6690F">
        <w:instrText xml:space="preserve"> SEQ Figure \* ARABIC </w:instrText>
      </w:r>
      <w:r w:rsidR="005F69BD" w:rsidRPr="00882746">
        <w:fldChar w:fldCharType="separate"/>
      </w:r>
      <w:r w:rsidR="0091734E">
        <w:rPr>
          <w:noProof/>
        </w:rPr>
        <w:t>4</w:t>
      </w:r>
      <w:r w:rsidR="005F69BD" w:rsidRPr="00882746">
        <w:fldChar w:fldCharType="end"/>
      </w:r>
      <w:r w:rsidRPr="00C6690F">
        <w:t xml:space="preserve"> Paracetamol poisoning admissions</w:t>
      </w:r>
      <w:r w:rsidR="00C74E91" w:rsidRPr="00C6690F">
        <w:t xml:space="preserve"> in Australia</w:t>
      </w:r>
      <w:r w:rsidRPr="00C6690F">
        <w:t xml:space="preserve"> </w:t>
      </w:r>
      <w:r w:rsidR="00C74E91" w:rsidRPr="00C6690F">
        <w:t>– males vs females</w:t>
      </w:r>
      <w:r w:rsidRPr="00C6690F">
        <w:t xml:space="preserve"> </w:t>
      </w:r>
      <w:r w:rsidR="00C6690F">
        <w:br/>
      </w:r>
      <w:r w:rsidRPr="00C6690F">
        <w:t>(AIHW NHMD 2009-2020)</w:t>
      </w:r>
      <w:bookmarkEnd w:id="26"/>
    </w:p>
    <w:bookmarkEnd w:id="25"/>
    <w:p w14:paraId="479960F0" w14:textId="77777777" w:rsidR="003F4C09" w:rsidRDefault="003F4C09" w:rsidP="00477395">
      <w:pPr>
        <w:spacing w:line="240" w:lineRule="auto"/>
        <w:rPr>
          <w:rFonts w:cs="Times New Roman"/>
          <w:noProof/>
        </w:rPr>
      </w:pPr>
    </w:p>
    <w:p w14:paraId="433C5905" w14:textId="7B656088" w:rsidR="00034E74" w:rsidRPr="0091560A" w:rsidRDefault="00E264CA" w:rsidP="00A561C3">
      <w:r w:rsidRPr="0091560A">
        <w:t>The</w:t>
      </w:r>
      <w:r w:rsidR="00745C06" w:rsidRPr="0091560A">
        <w:t xml:space="preserve"> younger age groups generally had better outcomes after hospitalisation, </w:t>
      </w:r>
      <w:r w:rsidR="00B037E4" w:rsidRPr="0091560A">
        <w:t>with lower rates of toxic li</w:t>
      </w:r>
      <w:r w:rsidRPr="0091560A">
        <w:t>v</w:t>
      </w:r>
      <w:r w:rsidR="00B037E4" w:rsidRPr="0091560A">
        <w:t>er injury and fatal outcomes</w:t>
      </w:r>
      <w:r w:rsidRPr="0091560A">
        <w:t xml:space="preserve"> (Figure </w:t>
      </w:r>
      <w:r w:rsidR="00DE78C4">
        <w:t>5</w:t>
      </w:r>
      <w:r w:rsidRPr="0091560A">
        <w:t>)</w:t>
      </w:r>
      <w:r w:rsidR="00B037E4" w:rsidRPr="0091560A">
        <w:t xml:space="preserve">. </w:t>
      </w:r>
      <w:r w:rsidR="0013242D" w:rsidRPr="0091560A">
        <w:t xml:space="preserve">Two </w:t>
      </w:r>
      <w:r w:rsidR="001355AD" w:rsidRPr="0091560A">
        <w:t xml:space="preserve">percent </w:t>
      </w:r>
      <w:r w:rsidR="00A16DFC" w:rsidRPr="0091560A">
        <w:t>(2149/</w:t>
      </w:r>
      <w:r w:rsidR="00F839B6" w:rsidRPr="0091560A">
        <w:t>106,815)</w:t>
      </w:r>
      <w:r w:rsidR="00A16DFC" w:rsidRPr="0091560A">
        <w:t xml:space="preserve"> </w:t>
      </w:r>
      <w:r w:rsidR="00F839B6" w:rsidRPr="0091560A">
        <w:t xml:space="preserve">of paracetamol poisoning admissions </w:t>
      </w:r>
      <w:r w:rsidR="0013242D" w:rsidRPr="0091560A">
        <w:t xml:space="preserve">were </w:t>
      </w:r>
      <w:r w:rsidR="000B5D89" w:rsidRPr="0091560A">
        <w:t>coded as having toxic liver injury</w:t>
      </w:r>
      <w:r w:rsidR="001355AD" w:rsidRPr="0091560A">
        <w:t xml:space="preserve"> overall, but this</w:t>
      </w:r>
      <w:r w:rsidR="000B5D89" w:rsidRPr="0091560A">
        <w:t xml:space="preserve"> was 0.9</w:t>
      </w:r>
      <w:r w:rsidR="000F3939" w:rsidRPr="0091560A">
        <w:t xml:space="preserve">, </w:t>
      </w:r>
      <w:r w:rsidR="000B5D89" w:rsidRPr="0091560A">
        <w:t>1.5</w:t>
      </w:r>
      <w:r w:rsidR="000F3939" w:rsidRPr="0091560A">
        <w:t>, 2</w:t>
      </w:r>
      <w:r w:rsidR="000B5D89" w:rsidRPr="0091560A">
        <w:t>.6</w:t>
      </w:r>
      <w:r w:rsidR="000F3939" w:rsidRPr="0091560A">
        <w:t xml:space="preserve"> &amp; </w:t>
      </w:r>
      <w:r w:rsidR="000B5D89" w:rsidRPr="0091560A">
        <w:t>3.7</w:t>
      </w:r>
      <w:r w:rsidR="000F3939" w:rsidRPr="0091560A">
        <w:t xml:space="preserve">% for </w:t>
      </w:r>
      <w:r w:rsidR="005711A6" w:rsidRPr="0091560A">
        <w:t>the</w:t>
      </w:r>
      <w:r w:rsidR="000F3939" w:rsidRPr="0091560A">
        <w:t xml:space="preserve"> </w:t>
      </w:r>
      <w:r w:rsidR="005711A6" w:rsidRPr="0091560A">
        <w:t>10</w:t>
      </w:r>
      <w:r w:rsidR="000F3939" w:rsidRPr="0091560A">
        <w:t>-19</w:t>
      </w:r>
      <w:r w:rsidR="005711A6" w:rsidRPr="0091560A">
        <w:t>, 20-29, 30-49</w:t>
      </w:r>
      <w:r w:rsidR="001355AD" w:rsidRPr="0091560A">
        <w:t xml:space="preserve"> &amp; </w:t>
      </w:r>
      <w:r w:rsidR="005711A6" w:rsidRPr="0091560A">
        <w:t>50+ age groups respectively.</w:t>
      </w:r>
      <w:r w:rsidR="00B037E4" w:rsidRPr="0091560A">
        <w:t xml:space="preserve"> </w:t>
      </w:r>
      <w:r w:rsidRPr="0091560A">
        <w:t xml:space="preserve">It is worth noting that fatal outcomes </w:t>
      </w:r>
      <w:r w:rsidR="007D337E" w:rsidRPr="0091560A">
        <w:t>may reflect the effects of other agents ingested in some cases, and also would include deaths from unrelated causes during the hospital admission</w:t>
      </w:r>
      <w:r w:rsidR="004D1E12" w:rsidRPr="0091560A">
        <w:t>.</w:t>
      </w:r>
      <w:r w:rsidR="00E50081" w:rsidRPr="0091560A">
        <w:t xml:space="preserve"> Only </w:t>
      </w:r>
      <w:r w:rsidR="004F4B73" w:rsidRPr="0091560A">
        <w:t>30% (</w:t>
      </w:r>
      <w:r w:rsidR="00E50081" w:rsidRPr="0091560A">
        <w:t>136</w:t>
      </w:r>
      <w:r w:rsidR="004F4B73" w:rsidRPr="0091560A">
        <w:t>/</w:t>
      </w:r>
      <w:r w:rsidR="00F42A97" w:rsidRPr="0091560A">
        <w:t>461</w:t>
      </w:r>
      <w:r w:rsidR="00AA54AB" w:rsidRPr="0091560A">
        <w:t xml:space="preserve"> over the 11 years</w:t>
      </w:r>
      <w:r w:rsidR="004F4B73" w:rsidRPr="0091560A">
        <w:t>) of the</w:t>
      </w:r>
      <w:r w:rsidR="00F42A97" w:rsidRPr="0091560A">
        <w:t xml:space="preserve"> deaths in hospital </w:t>
      </w:r>
      <w:r w:rsidR="004F4B73" w:rsidRPr="0091560A">
        <w:t xml:space="preserve">after paracetamol poisoning </w:t>
      </w:r>
      <w:r w:rsidR="00F42A97" w:rsidRPr="0091560A">
        <w:t xml:space="preserve">also had </w:t>
      </w:r>
      <w:r w:rsidR="004F4B73" w:rsidRPr="0091560A">
        <w:t xml:space="preserve">the toxic </w:t>
      </w:r>
      <w:r w:rsidR="00F42A97" w:rsidRPr="0091560A">
        <w:t>liver injury code.</w:t>
      </w:r>
    </w:p>
    <w:p w14:paraId="465CE542" w14:textId="77777777" w:rsidR="00C53726" w:rsidRDefault="003F4C09" w:rsidP="00C53726">
      <w:r>
        <w:rPr>
          <w:noProof/>
        </w:rPr>
        <w:drawing>
          <wp:inline distT="0" distB="0" distL="0" distR="0" wp14:anchorId="6BD95D82" wp14:editId="762D78B6">
            <wp:extent cx="5943600" cy="2266950"/>
            <wp:effectExtent l="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1" r="2301" b="8462"/>
                    <a:stretch/>
                  </pic:blipFill>
                  <pic:spPr bwMode="auto">
                    <a:xfrm>
                      <a:off x="0" y="0"/>
                      <a:ext cx="5943600" cy="2266950"/>
                    </a:xfrm>
                    <a:prstGeom prst="rect">
                      <a:avLst/>
                    </a:prstGeom>
                    <a:noFill/>
                    <a:ln>
                      <a:noFill/>
                    </a:ln>
                    <a:extLst>
                      <a:ext uri="{53640926-AAD7-44D8-BBD7-CCE9431645EC}">
                        <a14:shadowObscured xmlns:a14="http://schemas.microsoft.com/office/drawing/2010/main"/>
                      </a:ext>
                    </a:extLst>
                  </pic:spPr>
                </pic:pic>
              </a:graphicData>
            </a:graphic>
          </wp:inline>
        </w:drawing>
      </w:r>
    </w:p>
    <w:p w14:paraId="7A4EC2DA" w14:textId="75D4EAC9" w:rsidR="00135D7A" w:rsidRPr="0091560A" w:rsidRDefault="00135D7A" w:rsidP="008314AF">
      <w:pPr>
        <w:pStyle w:val="FigureCaption"/>
        <w:spacing w:after="360"/>
      </w:pPr>
      <w:bookmarkStart w:id="27" w:name="_Toc114559966"/>
      <w:r w:rsidRPr="0091560A">
        <w:t xml:space="preserve">Figure </w:t>
      </w:r>
      <w:r>
        <w:fldChar w:fldCharType="begin"/>
      </w:r>
      <w:r>
        <w:instrText>SEQ Figure \* ARABIC</w:instrText>
      </w:r>
      <w:r>
        <w:fldChar w:fldCharType="separate"/>
      </w:r>
      <w:r w:rsidR="0091734E">
        <w:rPr>
          <w:noProof/>
        </w:rPr>
        <w:t>5</w:t>
      </w:r>
      <w:r>
        <w:fldChar w:fldCharType="end"/>
      </w:r>
      <w:r w:rsidRPr="0091560A">
        <w:t xml:space="preserve"> Harms </w:t>
      </w:r>
      <w:r w:rsidR="00024A55" w:rsidRPr="0091560A">
        <w:t>from hospitalised p</w:t>
      </w:r>
      <w:r w:rsidRPr="0091560A">
        <w:t>aracetamol poisoning admissions in Australia (AIHW NHMD 2009-2020)</w:t>
      </w:r>
      <w:bookmarkEnd w:id="27"/>
    </w:p>
    <w:p w14:paraId="4B51ED82" w14:textId="281D2919" w:rsidR="00FB49A0" w:rsidRPr="0091560A" w:rsidRDefault="00263C88" w:rsidP="00E80983">
      <w:pPr>
        <w:rPr>
          <w:rFonts w:cs="Times New Roman"/>
          <w:noProof/>
        </w:rPr>
      </w:pPr>
      <w:r w:rsidRPr="0091560A">
        <w:rPr>
          <w:rFonts w:cs="Times New Roman"/>
          <w:noProof/>
        </w:rPr>
        <w:t xml:space="preserve">The increases and decreases over time </w:t>
      </w:r>
      <w:r w:rsidR="00E82EAB" w:rsidRPr="0091560A">
        <w:rPr>
          <w:rFonts w:cs="Times New Roman"/>
          <w:noProof/>
        </w:rPr>
        <w:t>to a large extent</w:t>
      </w:r>
      <w:r w:rsidRPr="0091560A">
        <w:rPr>
          <w:rFonts w:cs="Times New Roman"/>
          <w:noProof/>
        </w:rPr>
        <w:t xml:space="preserve"> reflect </w:t>
      </w:r>
      <w:r w:rsidR="000F617C" w:rsidRPr="0091560A">
        <w:rPr>
          <w:rFonts w:cs="Times New Roman"/>
          <w:noProof/>
        </w:rPr>
        <w:t>overall trends in poisoning and deliberate poisoning admissions</w:t>
      </w:r>
      <w:r w:rsidR="003E1EE7" w:rsidRPr="0091560A">
        <w:rPr>
          <w:rFonts w:cs="Times New Roman"/>
          <w:noProof/>
        </w:rPr>
        <w:t xml:space="preserve"> (Figure </w:t>
      </w:r>
      <w:r w:rsidR="00DB07AE">
        <w:rPr>
          <w:rFonts w:cs="Times New Roman"/>
          <w:noProof/>
        </w:rPr>
        <w:t>6</w:t>
      </w:r>
      <w:r w:rsidR="00F21D45" w:rsidRPr="0091560A">
        <w:rPr>
          <w:rFonts w:cs="Times New Roman"/>
          <w:noProof/>
        </w:rPr>
        <w:t>)</w:t>
      </w:r>
      <w:r w:rsidR="000F617C" w:rsidRPr="0091560A">
        <w:rPr>
          <w:rFonts w:cs="Times New Roman"/>
          <w:noProof/>
        </w:rPr>
        <w:t>.</w:t>
      </w:r>
      <w:r w:rsidR="00F21D45" w:rsidRPr="0091560A">
        <w:rPr>
          <w:rFonts w:cs="Times New Roman"/>
          <w:noProof/>
        </w:rPr>
        <w:t xml:space="preserve">  </w:t>
      </w:r>
    </w:p>
    <w:p w14:paraId="016F3A40" w14:textId="77777777" w:rsidR="00C53726" w:rsidRDefault="008D77EF" w:rsidP="00C53726">
      <w:bookmarkStart w:id="28" w:name="OLE_LINK2"/>
      <w:r>
        <w:rPr>
          <w:noProof/>
        </w:rPr>
        <w:drawing>
          <wp:inline distT="0" distB="0" distL="0" distR="0" wp14:anchorId="2598A6E1" wp14:editId="53B9901F">
            <wp:extent cx="5791200" cy="2165597"/>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60" r="2357" b="8213"/>
                    <a:stretch/>
                  </pic:blipFill>
                  <pic:spPr bwMode="auto">
                    <a:xfrm>
                      <a:off x="0" y="0"/>
                      <a:ext cx="5802077" cy="2169664"/>
                    </a:xfrm>
                    <a:prstGeom prst="rect">
                      <a:avLst/>
                    </a:prstGeom>
                    <a:noFill/>
                    <a:ln>
                      <a:noFill/>
                    </a:ln>
                    <a:extLst>
                      <a:ext uri="{53640926-AAD7-44D8-BBD7-CCE9431645EC}">
                        <a14:shadowObscured xmlns:a14="http://schemas.microsoft.com/office/drawing/2010/main"/>
                      </a:ext>
                    </a:extLst>
                  </pic:spPr>
                </pic:pic>
              </a:graphicData>
            </a:graphic>
          </wp:inline>
        </w:drawing>
      </w:r>
    </w:p>
    <w:p w14:paraId="2AE16114" w14:textId="1A1D1FE6" w:rsidR="00F21D45" w:rsidRDefault="00F21D45" w:rsidP="00E11D67">
      <w:pPr>
        <w:pStyle w:val="FigureCaption"/>
      </w:pPr>
      <w:bookmarkStart w:id="29" w:name="_Toc114559967"/>
      <w:r w:rsidRPr="0091560A">
        <w:t xml:space="preserve">Figure </w:t>
      </w:r>
      <w:r>
        <w:fldChar w:fldCharType="begin"/>
      </w:r>
      <w:r>
        <w:instrText>SEQ Figure \* ARABIC</w:instrText>
      </w:r>
      <w:r>
        <w:fldChar w:fldCharType="separate"/>
      </w:r>
      <w:r w:rsidR="0091734E">
        <w:rPr>
          <w:noProof/>
        </w:rPr>
        <w:t>6</w:t>
      </w:r>
      <w:r>
        <w:fldChar w:fldCharType="end"/>
      </w:r>
      <w:r w:rsidRPr="0091560A">
        <w:t xml:space="preserve"> Changes in total and intentional medicine poisoning admissions in Australia (AIHW NHMD 2009-2020)</w:t>
      </w:r>
      <w:bookmarkEnd w:id="29"/>
    </w:p>
    <w:bookmarkEnd w:id="28"/>
    <w:p w14:paraId="52269697" w14:textId="69E35CDE" w:rsidR="00664B71" w:rsidRPr="00882746" w:rsidRDefault="00664B71" w:rsidP="00E11D67"/>
    <w:p w14:paraId="3C84261A" w14:textId="1D9C5C65" w:rsidR="008D77EF" w:rsidRPr="0091560A" w:rsidRDefault="008E4C89" w:rsidP="00E80983">
      <w:pPr>
        <w:rPr>
          <w:rFonts w:cs="Times New Roman"/>
        </w:rPr>
      </w:pPr>
      <w:r w:rsidRPr="0091560A">
        <w:rPr>
          <w:rFonts w:cs="Times New Roman"/>
        </w:rPr>
        <w:t xml:space="preserve">Paracetamol poisoning admissions accounted for a substantial proportion of all poisoning admissions, and around half of those in adolescent age groups (Figure </w:t>
      </w:r>
      <w:r w:rsidR="00DB07AE">
        <w:rPr>
          <w:rFonts w:cs="Times New Roman"/>
        </w:rPr>
        <w:t>7</w:t>
      </w:r>
      <w:r w:rsidRPr="0091560A">
        <w:rPr>
          <w:rFonts w:cs="Times New Roman"/>
        </w:rPr>
        <w:t>). However, this proportion is not increasing over time</w:t>
      </w:r>
      <w:r w:rsidR="007C6DBA" w:rsidRPr="0091560A">
        <w:rPr>
          <w:rFonts w:cs="Times New Roman"/>
        </w:rPr>
        <w:t xml:space="preserve">, </w:t>
      </w:r>
      <w:r w:rsidR="00C20255" w:rsidRPr="0091560A">
        <w:rPr>
          <w:rFonts w:cs="Times New Roman"/>
        </w:rPr>
        <w:t xml:space="preserve">and may even have fallen a little in recent years, </w:t>
      </w:r>
      <w:r w:rsidR="007C6DBA" w:rsidRPr="0091560A">
        <w:rPr>
          <w:rFonts w:cs="Times New Roman"/>
        </w:rPr>
        <w:t xml:space="preserve">indicating that this general increase </w:t>
      </w:r>
      <w:r w:rsidR="00C20255" w:rsidRPr="0091560A">
        <w:rPr>
          <w:rFonts w:cs="Times New Roman"/>
        </w:rPr>
        <w:t xml:space="preserve">in intentional </w:t>
      </w:r>
      <w:r w:rsidR="00FD248D" w:rsidRPr="0091560A">
        <w:rPr>
          <w:rFonts w:cs="Times New Roman"/>
        </w:rPr>
        <w:t xml:space="preserve">adolescent poisonings </w:t>
      </w:r>
      <w:r w:rsidR="007C6DBA" w:rsidRPr="0091560A">
        <w:rPr>
          <w:rFonts w:cs="Times New Roman"/>
        </w:rPr>
        <w:t>is across all medicines not just paracetamol.</w:t>
      </w:r>
    </w:p>
    <w:p w14:paraId="79DF7A1C" w14:textId="4536D3C2" w:rsidR="000F617C" w:rsidRPr="0091560A" w:rsidRDefault="000F617C" w:rsidP="00477395">
      <w:pPr>
        <w:spacing w:line="240" w:lineRule="auto"/>
        <w:rPr>
          <w:rFonts w:cs="Times New Roman"/>
          <w:noProof/>
        </w:rPr>
      </w:pPr>
    </w:p>
    <w:p w14:paraId="0AC11286" w14:textId="23972F8E" w:rsidR="008D77EF" w:rsidRDefault="008D77EF" w:rsidP="00C53726">
      <w:r>
        <w:rPr>
          <w:noProof/>
        </w:rPr>
        <w:drawing>
          <wp:inline distT="0" distB="0" distL="0" distR="0" wp14:anchorId="2544A092" wp14:editId="74DCFC59">
            <wp:extent cx="5735262" cy="217170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807" t="3292" r="2780" b="6173"/>
                    <a:stretch/>
                  </pic:blipFill>
                  <pic:spPr bwMode="auto">
                    <a:xfrm>
                      <a:off x="0" y="0"/>
                      <a:ext cx="5737522" cy="2172556"/>
                    </a:xfrm>
                    <a:prstGeom prst="rect">
                      <a:avLst/>
                    </a:prstGeom>
                    <a:noFill/>
                    <a:ln>
                      <a:noFill/>
                    </a:ln>
                    <a:extLst>
                      <a:ext uri="{53640926-AAD7-44D8-BBD7-CCE9431645EC}">
                        <a14:shadowObscured xmlns:a14="http://schemas.microsoft.com/office/drawing/2010/main"/>
                      </a:ext>
                    </a:extLst>
                  </pic:spPr>
                </pic:pic>
              </a:graphicData>
            </a:graphic>
          </wp:inline>
        </w:drawing>
      </w:r>
    </w:p>
    <w:p w14:paraId="3692BE7C" w14:textId="398CADD0" w:rsidR="004238B7" w:rsidRDefault="004238B7" w:rsidP="00E11D67">
      <w:pPr>
        <w:pStyle w:val="FigureCaption"/>
      </w:pPr>
      <w:bookmarkStart w:id="30" w:name="_Toc114559968"/>
      <w:r w:rsidRPr="0091560A">
        <w:t xml:space="preserve">Figure </w:t>
      </w:r>
      <w:r>
        <w:fldChar w:fldCharType="begin"/>
      </w:r>
      <w:r>
        <w:instrText>SEQ Figure \* ARABIC</w:instrText>
      </w:r>
      <w:r>
        <w:fldChar w:fldCharType="separate"/>
      </w:r>
      <w:r w:rsidR="0091734E">
        <w:rPr>
          <w:noProof/>
        </w:rPr>
        <w:t>7</w:t>
      </w:r>
      <w:r>
        <w:fldChar w:fldCharType="end"/>
      </w:r>
      <w:r w:rsidRPr="0091560A">
        <w:t xml:space="preserve"> proportion of total and intentional medicine poisoning admissions in Australia due to paracetamol (by age group)</w:t>
      </w:r>
      <w:r w:rsidR="00E432B6" w:rsidRPr="0091560A">
        <w:t xml:space="preserve"> </w:t>
      </w:r>
      <w:r w:rsidRPr="0091560A">
        <w:t>(AIHW NHMD 2009-2020)</w:t>
      </w:r>
      <w:bookmarkEnd w:id="30"/>
    </w:p>
    <w:p w14:paraId="1779E7E0" w14:textId="7D19FCD9" w:rsidR="001F13FE" w:rsidRPr="00882746" w:rsidRDefault="001F13FE" w:rsidP="00E11D67"/>
    <w:p w14:paraId="7F615D3D" w14:textId="2083D6BE" w:rsidR="00CD2F20" w:rsidRPr="0091560A" w:rsidRDefault="00CD2F20" w:rsidP="00CD2F20">
      <w:pPr>
        <w:pStyle w:val="Heading3"/>
        <w:rPr>
          <w:rFonts w:ascii="Times New Roman" w:hAnsi="Times New Roman" w:cs="Times New Roman"/>
        </w:rPr>
      </w:pPr>
      <w:bookmarkStart w:id="31" w:name="_Toc112843908"/>
      <w:r w:rsidRPr="00061434">
        <w:t>Effects of recent codeine scheduling changes on paracetamol poisoning admissions</w:t>
      </w:r>
      <w:bookmarkEnd w:id="31"/>
    </w:p>
    <w:p w14:paraId="5542E0B3" w14:textId="77DF4CB7" w:rsidR="00CD2F20" w:rsidRPr="0091560A" w:rsidRDefault="00CD2F20" w:rsidP="00CD2F20">
      <w:pPr>
        <w:rPr>
          <w:rFonts w:cs="Times New Roman"/>
        </w:rPr>
      </w:pPr>
      <w:r w:rsidRPr="0091560A">
        <w:rPr>
          <w:rFonts w:cs="Times New Roman"/>
        </w:rPr>
        <w:t xml:space="preserve">The Feb 2018 (announced in Dec 2016) scheduling of all previously S3 codeine containing products (many of which contained paracetamol) to S4 may explain some of the recent reduction (Figure </w:t>
      </w:r>
      <w:r w:rsidR="00DB07AE">
        <w:rPr>
          <w:rFonts w:cs="Times New Roman"/>
        </w:rPr>
        <w:t>8</w:t>
      </w:r>
      <w:r w:rsidRPr="0091560A">
        <w:rPr>
          <w:rFonts w:cs="Times New Roman"/>
        </w:rPr>
        <w:t>)</w:t>
      </w:r>
      <w:r w:rsidR="00916335">
        <w:rPr>
          <w:rFonts w:cs="Times New Roman"/>
        </w:rPr>
        <w:t>.</w:t>
      </w:r>
    </w:p>
    <w:p w14:paraId="3C7BBEE9" w14:textId="77777777" w:rsidR="00B02649" w:rsidRDefault="008D77EF" w:rsidP="00B02649">
      <w:r>
        <w:rPr>
          <w:noProof/>
        </w:rPr>
        <w:drawing>
          <wp:inline distT="0" distB="0" distL="0" distR="0" wp14:anchorId="7C05A5AE" wp14:editId="7DA9E2AF">
            <wp:extent cx="5934075" cy="2294699"/>
            <wp:effectExtent l="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 r="2422" b="6755"/>
                    <a:stretch/>
                  </pic:blipFill>
                  <pic:spPr bwMode="auto">
                    <a:xfrm>
                      <a:off x="0" y="0"/>
                      <a:ext cx="5980024" cy="2312467"/>
                    </a:xfrm>
                    <a:prstGeom prst="rect">
                      <a:avLst/>
                    </a:prstGeom>
                    <a:noFill/>
                    <a:ln>
                      <a:noFill/>
                    </a:ln>
                    <a:extLst>
                      <a:ext uri="{53640926-AAD7-44D8-BBD7-CCE9431645EC}">
                        <a14:shadowObscured xmlns:a14="http://schemas.microsoft.com/office/drawing/2010/main"/>
                      </a:ext>
                    </a:extLst>
                  </pic:spPr>
                </pic:pic>
              </a:graphicData>
            </a:graphic>
          </wp:inline>
        </w:drawing>
      </w:r>
    </w:p>
    <w:p w14:paraId="4EE89DB1" w14:textId="295704BE" w:rsidR="008D77EF" w:rsidRDefault="00CD2F20" w:rsidP="00B02649">
      <w:pPr>
        <w:pStyle w:val="FigureCaption"/>
      </w:pPr>
      <w:bookmarkStart w:id="32" w:name="_Toc114559969"/>
      <w:r w:rsidRPr="00E11D67">
        <w:t xml:space="preserve">Figure </w:t>
      </w:r>
      <w:r w:rsidR="005F69BD" w:rsidRPr="00882746">
        <w:rPr>
          <w:rStyle w:val="FigureCaptionChar"/>
        </w:rPr>
        <w:fldChar w:fldCharType="begin"/>
      </w:r>
      <w:r w:rsidR="005F69BD" w:rsidRPr="008D77EF">
        <w:rPr>
          <w:rStyle w:val="FigureCaptionChar"/>
        </w:rPr>
        <w:instrText xml:space="preserve"> SEQ Figure \* ARABIC </w:instrText>
      </w:r>
      <w:r w:rsidR="005F69BD" w:rsidRPr="00882746">
        <w:rPr>
          <w:rStyle w:val="FigureCaptionChar"/>
        </w:rPr>
        <w:fldChar w:fldCharType="separate"/>
      </w:r>
      <w:r w:rsidR="0091734E">
        <w:rPr>
          <w:rStyle w:val="FigureCaptionChar"/>
          <w:noProof/>
        </w:rPr>
        <w:t>8</w:t>
      </w:r>
      <w:r w:rsidR="005F69BD" w:rsidRPr="00882746">
        <w:rPr>
          <w:rStyle w:val="FigureCaptionChar"/>
        </w:rPr>
        <w:fldChar w:fldCharType="end"/>
      </w:r>
      <w:r w:rsidRPr="00E11D67">
        <w:t xml:space="preserve">. </w:t>
      </w:r>
      <w:r w:rsidR="006525C5">
        <w:t>T</w:t>
      </w:r>
      <w:r w:rsidRPr="00E11D67">
        <w:t>otal paracetamol poisonings per month, and annual totals of combinations of paracetamol and opiates in Australia (by age group) (AIHW NHMD 2009-2020).</w:t>
      </w:r>
      <w:bookmarkEnd w:id="32"/>
    </w:p>
    <w:p w14:paraId="4D8B6C1D" w14:textId="5339F3E6" w:rsidR="00CD2F20" w:rsidRPr="00882746" w:rsidRDefault="00CD2F20" w:rsidP="007874C3">
      <w:pPr>
        <w:pStyle w:val="Figurenote"/>
      </w:pPr>
      <w:r w:rsidRPr="00E11D67">
        <w:t>Vertical lines indicate possibly relevant dates – codeine to S3 (May 2010), announcement (Dec 2016) and implementation (Feb 2018) of codeine to S4 (also indicating paracetamol MR to S3 June 2020) is not reflected in these data).</w:t>
      </w:r>
    </w:p>
    <w:p w14:paraId="4D9652A2" w14:textId="3E7A3F83" w:rsidR="00B17CC5" w:rsidRPr="0091560A" w:rsidRDefault="00B17CC5" w:rsidP="006525C5">
      <w:pPr>
        <w:pStyle w:val="Heading3"/>
        <w:spacing w:before="120"/>
      </w:pPr>
      <w:bookmarkStart w:id="33" w:name="_Toc112843909"/>
      <w:r w:rsidRPr="0091560A">
        <w:t>Comparison to (presumed) ibuprofen poisonings in AIHW PIC data</w:t>
      </w:r>
      <w:bookmarkEnd w:id="33"/>
    </w:p>
    <w:p w14:paraId="1AECF422" w14:textId="62F3A6DB" w:rsidR="00B17CC5" w:rsidRPr="0091560A" w:rsidRDefault="00B17CC5" w:rsidP="00B17CC5">
      <w:pPr>
        <w:rPr>
          <w:rFonts w:cs="Times New Roman"/>
        </w:rPr>
      </w:pPr>
      <w:r w:rsidRPr="0091560A">
        <w:rPr>
          <w:rFonts w:cs="Times New Roman"/>
        </w:rPr>
        <w:t>Ibuprofen has a very similar scheduling to paracetamol and is the most readily substituted OTC product for analgesia.</w:t>
      </w:r>
      <w:r w:rsidRPr="0091560A" w:rsidDel="00465BB6">
        <w:rPr>
          <w:rFonts w:cs="Times New Roman"/>
        </w:rPr>
        <w:t xml:space="preserve"> </w:t>
      </w:r>
      <w:r w:rsidRPr="0091560A">
        <w:rPr>
          <w:rFonts w:cs="Times New Roman"/>
        </w:rPr>
        <w:t xml:space="preserve">It is also co-formulated with codeine and was potentially impacted by the 2018 codeine rescheduling. The ICD coding of ibuprofen poisonings is to a non-specific code of T39.3 (“other NSAIDs”); it is likely that ibuprofen accounts for a majority of such codes given its OTC status.   </w:t>
      </w:r>
    </w:p>
    <w:p w14:paraId="0F5E89AE" w14:textId="10DBDCA8" w:rsidR="00B17CC5" w:rsidRPr="0091560A" w:rsidRDefault="00B17CC5" w:rsidP="00B17CC5">
      <w:pPr>
        <w:rPr>
          <w:rFonts w:cs="Times New Roman"/>
        </w:rPr>
      </w:pPr>
      <w:r w:rsidRPr="0091560A">
        <w:rPr>
          <w:rFonts w:cs="Times New Roman"/>
        </w:rPr>
        <w:t>There is a similar apparent increasing trend to 2017 with ‘other NSAIDs’ tracking the overall trends in poisonings shown above. The total numbers are only 10-15% of those due to paracetamol. This reflects the lower toxicity in overdose of ibuprofen, and indeed it is likely many of these admissions were required because of ingestion of other substances. It is noteworthy that combinations with ‘other opiates’ account for a very high proportion of ‘other NSAID’ poisoning admissions. There is an obvious large fall coinciding with the S4 scheduling of codeine</w:t>
      </w:r>
      <w:r w:rsidR="00162332">
        <w:rPr>
          <w:rFonts w:cs="Times New Roman"/>
        </w:rPr>
        <w:t xml:space="preserve"> </w:t>
      </w:r>
      <w:r w:rsidR="004A33EA">
        <w:rPr>
          <w:rFonts w:cs="Times New Roman"/>
        </w:rPr>
        <w:t>(Figure 9)</w:t>
      </w:r>
      <w:r w:rsidR="00162332">
        <w:rPr>
          <w:rFonts w:cs="Times New Roman"/>
        </w:rPr>
        <w:t>.</w:t>
      </w:r>
    </w:p>
    <w:p w14:paraId="3AA49704" w14:textId="77777777" w:rsidR="00B02649" w:rsidRDefault="00C30126" w:rsidP="007874C3">
      <w:pPr>
        <w:keepNext/>
      </w:pPr>
      <w:r>
        <w:rPr>
          <w:noProof/>
        </w:rPr>
        <w:drawing>
          <wp:inline distT="0" distB="0" distL="0" distR="0" wp14:anchorId="487C8C43" wp14:editId="11641673">
            <wp:extent cx="5751292" cy="2095500"/>
            <wp:effectExtent l="0" t="0" r="1905"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0" t="5332" r="2752" b="10868"/>
                    <a:stretch/>
                  </pic:blipFill>
                  <pic:spPr bwMode="auto">
                    <a:xfrm>
                      <a:off x="0" y="0"/>
                      <a:ext cx="5764816" cy="2100428"/>
                    </a:xfrm>
                    <a:prstGeom prst="rect">
                      <a:avLst/>
                    </a:prstGeom>
                    <a:noFill/>
                    <a:ln>
                      <a:noFill/>
                    </a:ln>
                    <a:extLst>
                      <a:ext uri="{53640926-AAD7-44D8-BBD7-CCE9431645EC}">
                        <a14:shadowObscured xmlns:a14="http://schemas.microsoft.com/office/drawing/2010/main"/>
                      </a:ext>
                    </a:extLst>
                  </pic:spPr>
                </pic:pic>
              </a:graphicData>
            </a:graphic>
          </wp:inline>
        </w:drawing>
      </w:r>
    </w:p>
    <w:p w14:paraId="7635B05D" w14:textId="1E8FC256" w:rsidR="00F3497B" w:rsidRDefault="00B17CC5" w:rsidP="007874C3">
      <w:pPr>
        <w:pStyle w:val="FigureCaption"/>
        <w:keepNext/>
      </w:pPr>
      <w:bookmarkStart w:id="34" w:name="_Toc114559970"/>
      <w:r w:rsidRPr="0091560A">
        <w:t xml:space="preserve">Figure </w:t>
      </w:r>
      <w:r>
        <w:fldChar w:fldCharType="begin"/>
      </w:r>
      <w:r>
        <w:instrText>SEQ Figure \* ARABIC</w:instrText>
      </w:r>
      <w:r>
        <w:fldChar w:fldCharType="separate"/>
      </w:r>
      <w:r w:rsidR="0091734E">
        <w:rPr>
          <w:noProof/>
        </w:rPr>
        <w:t>9</w:t>
      </w:r>
      <w:r>
        <w:fldChar w:fldCharType="end"/>
      </w:r>
      <w:r w:rsidRPr="0091560A">
        <w:t>. ‘Other NSAID’ poisonings in Australia (by age group) (AIHW NHMD 2009-2020) – total and those in combination with ‘other opiates’.</w:t>
      </w:r>
      <w:bookmarkEnd w:id="34"/>
      <w:r w:rsidRPr="0091560A" w:rsidDel="00DD6583">
        <w:t xml:space="preserve"> </w:t>
      </w:r>
    </w:p>
    <w:p w14:paraId="38D49D12" w14:textId="335F9DCE" w:rsidR="00B17CC5" w:rsidRPr="0091560A" w:rsidRDefault="00B17CC5">
      <w:pPr>
        <w:pStyle w:val="Figurenote"/>
      </w:pPr>
      <w:r w:rsidRPr="0091560A">
        <w:t>Vertical lines indicate possibly relevant dates – codeine to S3 (May 2010), announcement (Dec 2016) and implementation (Feb 2018) of codeine to S4.</w:t>
      </w:r>
    </w:p>
    <w:p w14:paraId="4EFC61FC" w14:textId="3142B0BD" w:rsidR="009C0D00" w:rsidRDefault="0025453C">
      <w:pPr>
        <w:pStyle w:val="Heading2"/>
      </w:pPr>
      <w:bookmarkStart w:id="35" w:name="_Toc112843910"/>
      <w:r>
        <w:t xml:space="preserve">2.3 </w:t>
      </w:r>
      <w:r w:rsidR="007833C9">
        <w:t>Deaths -</w:t>
      </w:r>
      <w:r>
        <w:t xml:space="preserve"> </w:t>
      </w:r>
      <w:r w:rsidR="00191247">
        <w:t>N</w:t>
      </w:r>
      <w:r w:rsidR="004A33EA">
        <w:t>ational Coronial Information System (N</w:t>
      </w:r>
      <w:r w:rsidR="009C0D00" w:rsidRPr="0091560A">
        <w:t>CIS</w:t>
      </w:r>
      <w:r w:rsidR="004A33EA">
        <w:t>)</w:t>
      </w:r>
      <w:r w:rsidR="009C0D00" w:rsidRPr="0091560A">
        <w:t xml:space="preserve"> data</w:t>
      </w:r>
      <w:bookmarkEnd w:id="35"/>
    </w:p>
    <w:tbl>
      <w:tblPr>
        <w:tblStyle w:val="TableGrid"/>
        <w:tblW w:w="0" w:type="auto"/>
        <w:shd w:val="clear" w:color="auto" w:fill="EDEDED" w:themeFill="accent3" w:themeFillTint="33"/>
        <w:tblLook w:val="04A0" w:firstRow="1" w:lastRow="0" w:firstColumn="1" w:lastColumn="0" w:noHBand="0" w:noVBand="1"/>
      </w:tblPr>
      <w:tblGrid>
        <w:gridCol w:w="9016"/>
      </w:tblGrid>
      <w:tr w:rsidR="00442090" w14:paraId="639607D0" w14:textId="77777777" w:rsidTr="007874C3">
        <w:tc>
          <w:tcPr>
            <w:tcW w:w="9016" w:type="dxa"/>
            <w:shd w:val="clear" w:color="auto" w:fill="EDEDED" w:themeFill="accent3" w:themeFillTint="33"/>
          </w:tcPr>
          <w:p w14:paraId="4F66723E" w14:textId="199BECA8" w:rsidR="00C261F6" w:rsidRDefault="00982EC2" w:rsidP="00AA0D2A">
            <w:pPr>
              <w:pStyle w:val="ListParagraph"/>
              <w:numPr>
                <w:ilvl w:val="0"/>
                <w:numId w:val="76"/>
              </w:numPr>
              <w:spacing w:after="120" w:line="259" w:lineRule="auto"/>
              <w:ind w:left="357" w:hanging="357"/>
              <w:contextualSpacing w:val="0"/>
            </w:pPr>
            <w:r>
              <w:t>P</w:t>
            </w:r>
            <w:r w:rsidR="00936EF3">
              <w:t xml:space="preserve">aracetamol poisoning </w:t>
            </w:r>
            <w:r w:rsidR="00F639BC">
              <w:t>was the probable cause of approximately</w:t>
            </w:r>
            <w:r w:rsidR="00936EF3">
              <w:t xml:space="preserve"> 40 to 50 </w:t>
            </w:r>
            <w:r w:rsidR="00F639BC">
              <w:t>deaths</w:t>
            </w:r>
            <w:r w:rsidR="00874351">
              <w:t xml:space="preserve"> per year </w:t>
            </w:r>
            <w:r w:rsidR="006666A5">
              <w:t xml:space="preserve">in Australia </w:t>
            </w:r>
            <w:r w:rsidR="007A2433">
              <w:t>over the period 200</w:t>
            </w:r>
            <w:r w:rsidR="00CC2775">
              <w:t>7/8</w:t>
            </w:r>
            <w:r w:rsidR="00487056">
              <w:t xml:space="preserve"> – 2019/20</w:t>
            </w:r>
            <w:r w:rsidR="00F70718">
              <w:t>. A</w:t>
            </w:r>
            <w:r w:rsidR="008E725A">
              <w:t xml:space="preserve">pproximately </w:t>
            </w:r>
            <w:r w:rsidR="00F70718">
              <w:t>half</w:t>
            </w:r>
            <w:r w:rsidR="008E725A">
              <w:t xml:space="preserve"> </w:t>
            </w:r>
            <w:r w:rsidR="006666A5">
              <w:t xml:space="preserve">were </w:t>
            </w:r>
            <w:r w:rsidR="00936EF3">
              <w:t xml:space="preserve">due to liver </w:t>
            </w:r>
            <w:r w:rsidR="006358B8">
              <w:t>failure</w:t>
            </w:r>
            <w:r w:rsidR="00F70718">
              <w:t>, with the remaining likely being cases where paracetamol was ingested in the poisoning, but other co-ingested agents contributed largely or entirely to the mode of death</w:t>
            </w:r>
            <w:r w:rsidR="006358B8">
              <w:t>.</w:t>
            </w:r>
          </w:p>
          <w:p w14:paraId="60F00840" w14:textId="70C87B0E" w:rsidR="006358B8" w:rsidRDefault="003632BB" w:rsidP="00AA0D2A">
            <w:pPr>
              <w:pStyle w:val="ListParagraph"/>
              <w:numPr>
                <w:ilvl w:val="0"/>
                <w:numId w:val="76"/>
              </w:numPr>
              <w:spacing w:after="120" w:line="259" w:lineRule="auto"/>
              <w:ind w:left="357" w:hanging="357"/>
              <w:contextualSpacing w:val="0"/>
            </w:pPr>
            <w:r>
              <w:t xml:space="preserve">Many of the deaths occur in hospital </w:t>
            </w:r>
            <w:r w:rsidR="00443066">
              <w:t xml:space="preserve">and it is likely there is very </w:t>
            </w:r>
            <w:r w:rsidR="00B129E8">
              <w:t>substantial overlap between the NCIS and AIHW</w:t>
            </w:r>
            <w:r w:rsidR="00370968">
              <w:t xml:space="preserve"> </w:t>
            </w:r>
            <w:r w:rsidR="00A67909">
              <w:t xml:space="preserve">datasets. </w:t>
            </w:r>
          </w:p>
          <w:p w14:paraId="7E8586EC" w14:textId="350EABF2" w:rsidR="00A67909" w:rsidRDefault="00C7474B" w:rsidP="00AA0D2A">
            <w:pPr>
              <w:pStyle w:val="ListParagraph"/>
              <w:numPr>
                <w:ilvl w:val="0"/>
                <w:numId w:val="76"/>
              </w:numPr>
              <w:spacing w:after="120"/>
              <w:ind w:left="357" w:hanging="357"/>
              <w:contextualSpacing w:val="0"/>
            </w:pPr>
            <w:r>
              <w:t>About twice as many cases have paracetamol poisoning denoted as a cause of death by the coroner and nearly ten times as many again have paracetamol code</w:t>
            </w:r>
            <w:r w:rsidR="00814112">
              <w:t>d</w:t>
            </w:r>
            <w:r>
              <w:t xml:space="preserve"> as a ‘pharmaceutical substance causing injury”. </w:t>
            </w:r>
          </w:p>
        </w:tc>
      </w:tr>
    </w:tbl>
    <w:p w14:paraId="3FC2D527" w14:textId="77777777" w:rsidR="00442090" w:rsidRPr="00061434" w:rsidRDefault="00442090" w:rsidP="00061434"/>
    <w:p w14:paraId="35504245" w14:textId="77777777" w:rsidR="003C1A5D" w:rsidRPr="0091560A" w:rsidRDefault="003C1A5D" w:rsidP="00061434">
      <w:pPr>
        <w:pStyle w:val="Heading3"/>
      </w:pPr>
      <w:bookmarkStart w:id="36" w:name="_Toc112843911"/>
      <w:r w:rsidRPr="0091560A">
        <w:t>Methods</w:t>
      </w:r>
      <w:bookmarkEnd w:id="36"/>
    </w:p>
    <w:p w14:paraId="31B66F2E" w14:textId="40F82E61" w:rsidR="005658CF" w:rsidRPr="0091560A" w:rsidRDefault="00DE5859" w:rsidP="00737732">
      <w:pPr>
        <w:rPr>
          <w:rFonts w:cs="Times New Roman"/>
        </w:rPr>
      </w:pPr>
      <w:r>
        <w:rPr>
          <w:rFonts w:cs="Times New Roman"/>
        </w:rPr>
        <w:t>This is an update of an analysis don</w:t>
      </w:r>
      <w:r w:rsidR="00CA01EC">
        <w:rPr>
          <w:rFonts w:cs="Times New Roman"/>
        </w:rPr>
        <w:t>e</w:t>
      </w:r>
      <w:r>
        <w:rPr>
          <w:rFonts w:cs="Times New Roman"/>
        </w:rPr>
        <w:t xml:space="preserve"> </w:t>
      </w:r>
      <w:r w:rsidR="00CA01EC">
        <w:rPr>
          <w:rFonts w:cs="Times New Roman"/>
        </w:rPr>
        <w:t>in</w:t>
      </w:r>
      <w:r>
        <w:rPr>
          <w:rFonts w:cs="Times New Roman"/>
        </w:rPr>
        <w:t xml:space="preserve"> an earlier published study</w:t>
      </w:r>
      <w:r w:rsidR="00CA01EC">
        <w:rPr>
          <w:rFonts w:cs="Times New Roman"/>
        </w:rPr>
        <w:t xml:space="preserve"> </w:t>
      </w:r>
      <w:r w:rsidR="00CA01EC">
        <w:rPr>
          <w:rFonts w:cs="Times New Roman"/>
        </w:rPr>
        <w:fldChar w:fldCharType="begin"/>
      </w:r>
      <w:r w:rsidR="00CA01EC">
        <w:rPr>
          <w:rFonts w:cs="Times New Roman"/>
        </w:rPr>
        <w:instrText xml:space="preserve"> ADDIN EN.CITE &lt;EndNote&gt;&lt;Cite&gt;&lt;Author&gt;Cairns&lt;/Author&gt;&lt;Year&gt;2019&lt;/Year&gt;&lt;RecNum&gt;859&lt;/RecNum&gt;&lt;DisplayText&gt;(Cairns et al., 2019)&lt;/DisplayText&gt;&lt;record&gt;&lt;rec-number&gt;859&lt;/rec-number&gt;&lt;foreign-keys&gt;&lt;key app="EN" db-id="90p22wx96ddedpe0r9pxtt9gzz05dd5ev299" timestamp="1657000537"&gt;859&lt;/key&gt;&lt;/foreign-keys&gt;&lt;ref-type name="Journal Article"&gt;17&lt;/ref-type&gt;&lt;contributors&gt;&lt;authors&gt;&lt;author&gt;Cairns, R.&lt;/author&gt;&lt;author&gt;Brown, J. A.&lt;/author&gt;&lt;author&gt;Wylie, C. E.&lt;/author&gt;&lt;author&gt;Dawson, A. H.&lt;/author&gt;&lt;author&gt;Isbister, G. K.&lt;/author&gt;&lt;author&gt;Buckley, N. A.&lt;/author&gt;&lt;/authors&gt;&lt;/contributors&gt;&lt;titles&gt;&lt;title&gt;Paracetamol poisoning-related hospital admissions and deaths in Australia, 2004-2017&lt;/title&gt;&lt;secondary-title&gt;Medical Journal of Australia&lt;/secondary-title&gt;&lt;/titles&gt;&lt;pages&gt;218-223&lt;/pages&gt;&lt;volume&gt;211&lt;/volume&gt;&lt;number&gt;5&lt;/number&gt;&lt;dates&gt;&lt;year&gt;2019&lt;/year&gt;&lt;/dates&gt;&lt;urls&gt;&lt;related-urls&gt;&lt;url&gt;http://www.mja.com.auhttp://ovidsp.ovid.com/ovidweb.cgi?T=JS&amp;amp;PAGE=reference&amp;amp;D=emed20&amp;amp;NEWS=N&amp;amp;AN=2002465907&lt;/url&gt;&lt;/related-urls&gt;&lt;/urls&gt;&lt;electronic-resource-num&gt;http://dx.doi.org/10.5694/mja2.50296&lt;/electronic-resource-num&gt;&lt;/record&gt;&lt;/Cite&gt;&lt;/EndNote&gt;</w:instrText>
      </w:r>
      <w:r w:rsidR="00CA01EC">
        <w:rPr>
          <w:rFonts w:cs="Times New Roman"/>
        </w:rPr>
        <w:fldChar w:fldCharType="separate"/>
      </w:r>
      <w:r w:rsidR="00CA01EC">
        <w:rPr>
          <w:rFonts w:cs="Times New Roman"/>
          <w:noProof/>
        </w:rPr>
        <w:t>(Cairns et al., 2019)</w:t>
      </w:r>
      <w:r w:rsidR="00CA01EC">
        <w:rPr>
          <w:rFonts w:cs="Times New Roman"/>
        </w:rPr>
        <w:fldChar w:fldCharType="end"/>
      </w:r>
      <w:r w:rsidR="00CA01EC">
        <w:rPr>
          <w:rFonts w:cs="Times New Roman"/>
        </w:rPr>
        <w:t xml:space="preserve">. </w:t>
      </w:r>
      <w:r w:rsidR="005658CF" w:rsidRPr="0091560A">
        <w:rPr>
          <w:rFonts w:cs="Times New Roman"/>
        </w:rPr>
        <w:t>We searched the NCIS for cases from the period July 2007 to June 20</w:t>
      </w:r>
      <w:r w:rsidR="003C1A5D" w:rsidRPr="0091560A">
        <w:rPr>
          <w:rFonts w:cs="Times New Roman"/>
        </w:rPr>
        <w:t>20</w:t>
      </w:r>
      <w:r w:rsidR="005658CF" w:rsidRPr="0091560A">
        <w:rPr>
          <w:rFonts w:cs="Times New Roman"/>
        </w:rPr>
        <w:t xml:space="preserve"> and closed by </w:t>
      </w:r>
      <w:r w:rsidR="003C1A5D" w:rsidRPr="0091560A">
        <w:rPr>
          <w:rFonts w:cs="Times New Roman"/>
        </w:rPr>
        <w:t>June</w:t>
      </w:r>
      <w:r w:rsidR="005658CF" w:rsidRPr="0091560A">
        <w:rPr>
          <w:rFonts w:cs="Times New Roman"/>
        </w:rPr>
        <w:t xml:space="preserve"> 20</w:t>
      </w:r>
      <w:r w:rsidR="003C1A5D" w:rsidRPr="0091560A">
        <w:rPr>
          <w:rFonts w:cs="Times New Roman"/>
        </w:rPr>
        <w:t>22</w:t>
      </w:r>
      <w:r w:rsidR="005658CF" w:rsidRPr="0091560A">
        <w:rPr>
          <w:rFonts w:cs="Times New Roman"/>
        </w:rPr>
        <w:t xml:space="preserve"> for which “paracet*” was recorded in the cause of death field (all levels) or “paracetamol” was listed as the parent drug of the pharmaceutical substance causing injury. As the coronial coding of drugs causing death is inconsistent (people often take several drugs at once, and the primary cause of death can be expressed in different ways), cases were manually reviewed. They were </w:t>
      </w:r>
      <w:r w:rsidR="0029340B" w:rsidRPr="0091560A">
        <w:rPr>
          <w:rFonts w:cs="Times New Roman"/>
        </w:rPr>
        <w:t>designated ‘probable</w:t>
      </w:r>
      <w:r w:rsidR="009011EB" w:rsidRPr="0091560A">
        <w:rPr>
          <w:rFonts w:cs="Times New Roman"/>
        </w:rPr>
        <w:t xml:space="preserve">’ major contributor </w:t>
      </w:r>
      <w:r w:rsidR="00176EEC" w:rsidRPr="0091560A">
        <w:rPr>
          <w:rFonts w:cs="Times New Roman"/>
        </w:rPr>
        <w:t xml:space="preserve">to </w:t>
      </w:r>
      <w:r w:rsidR="005658CF" w:rsidRPr="0091560A">
        <w:rPr>
          <w:rFonts w:cs="Times New Roman"/>
        </w:rPr>
        <w:t>death</w:t>
      </w:r>
      <w:r w:rsidR="00176EEC" w:rsidRPr="0091560A">
        <w:rPr>
          <w:rFonts w:cs="Times New Roman"/>
        </w:rPr>
        <w:t xml:space="preserve"> if the death appeared more likely to be attributable to </w:t>
      </w:r>
      <w:r w:rsidR="005658CF" w:rsidRPr="0091560A">
        <w:rPr>
          <w:rFonts w:cs="Times New Roman"/>
        </w:rPr>
        <w:t xml:space="preserve">paracetamol </w:t>
      </w:r>
      <w:r w:rsidR="00176EEC" w:rsidRPr="0091560A">
        <w:rPr>
          <w:rFonts w:cs="Times New Roman"/>
        </w:rPr>
        <w:t>than any other co</w:t>
      </w:r>
      <w:r w:rsidR="000E4A59">
        <w:rPr>
          <w:rFonts w:cs="Times New Roman"/>
        </w:rPr>
        <w:t>-</w:t>
      </w:r>
      <w:r w:rsidR="00176EEC" w:rsidRPr="0091560A">
        <w:rPr>
          <w:rFonts w:cs="Times New Roman"/>
        </w:rPr>
        <w:t xml:space="preserve">ingested agents </w:t>
      </w:r>
      <w:r w:rsidR="005658CF" w:rsidRPr="0091560A">
        <w:rPr>
          <w:rFonts w:cs="Times New Roman"/>
        </w:rPr>
        <w:t>(</w:t>
      </w:r>
      <w:r w:rsidR="005F1654" w:rsidRPr="0091560A">
        <w:rPr>
          <w:rFonts w:cs="Times New Roman"/>
        </w:rPr>
        <w:t xml:space="preserve">based on </w:t>
      </w:r>
      <w:r w:rsidR="005658CF" w:rsidRPr="0091560A">
        <w:rPr>
          <w:rFonts w:cs="Times New Roman"/>
        </w:rPr>
        <w:t xml:space="preserve">history of overdose, </w:t>
      </w:r>
      <w:r w:rsidR="005F1654" w:rsidRPr="0091560A">
        <w:rPr>
          <w:rFonts w:cs="Times New Roman"/>
        </w:rPr>
        <w:t xml:space="preserve">and </w:t>
      </w:r>
      <w:r w:rsidR="005658CF" w:rsidRPr="0091560A">
        <w:rPr>
          <w:rFonts w:cs="Times New Roman"/>
        </w:rPr>
        <w:t>elevated level</w:t>
      </w:r>
      <w:r w:rsidR="005215ED">
        <w:rPr>
          <w:rFonts w:cs="Times New Roman"/>
        </w:rPr>
        <w:t>s</w:t>
      </w:r>
      <w:r w:rsidR="005658CF" w:rsidRPr="0091560A">
        <w:rPr>
          <w:rFonts w:cs="Times New Roman"/>
        </w:rPr>
        <w:t xml:space="preserve"> with hepatotoxicity, or massive levels that could lead to coma). The free text of electronic reports was reviewed for the </w:t>
      </w:r>
      <w:r w:rsidR="00737732" w:rsidRPr="0091560A">
        <w:rPr>
          <w:rFonts w:cs="Times New Roman"/>
        </w:rPr>
        <w:t xml:space="preserve">paracetamol product and amount taken. </w:t>
      </w:r>
      <w:r w:rsidR="00185FA2" w:rsidRPr="0091560A">
        <w:rPr>
          <w:rFonts w:cs="Times New Roman"/>
        </w:rPr>
        <w:t>We recorded whether the NCIS cases occurred in hospital and in these cases a</w:t>
      </w:r>
      <w:r w:rsidR="00737732" w:rsidRPr="0091560A">
        <w:rPr>
          <w:rFonts w:cs="Times New Roman"/>
        </w:rPr>
        <w:t xml:space="preserve"> significant overlap between deaths included </w:t>
      </w:r>
      <w:r w:rsidR="005F1654" w:rsidRPr="0091560A">
        <w:rPr>
          <w:rFonts w:cs="Times New Roman"/>
        </w:rPr>
        <w:t xml:space="preserve">above </w:t>
      </w:r>
      <w:r w:rsidR="00737732" w:rsidRPr="0091560A">
        <w:rPr>
          <w:rFonts w:cs="Times New Roman"/>
        </w:rPr>
        <w:t xml:space="preserve">in the </w:t>
      </w:r>
      <w:r w:rsidR="005F1654" w:rsidRPr="0091560A">
        <w:rPr>
          <w:rFonts w:cs="Times New Roman"/>
        </w:rPr>
        <w:t xml:space="preserve">AIHW </w:t>
      </w:r>
      <w:r w:rsidR="00737732" w:rsidRPr="0091560A">
        <w:rPr>
          <w:rFonts w:cs="Times New Roman"/>
        </w:rPr>
        <w:t xml:space="preserve">NHMD and NCIS </w:t>
      </w:r>
      <w:r w:rsidR="005F1654" w:rsidRPr="0091560A">
        <w:rPr>
          <w:rFonts w:cs="Times New Roman"/>
        </w:rPr>
        <w:t>is very likely</w:t>
      </w:r>
      <w:r w:rsidR="00737732" w:rsidRPr="0091560A">
        <w:rPr>
          <w:rFonts w:cs="Times New Roman"/>
        </w:rPr>
        <w:t>.</w:t>
      </w:r>
    </w:p>
    <w:p w14:paraId="66C32602" w14:textId="40173CE0" w:rsidR="008E6775" w:rsidRPr="005E2E7F" w:rsidRDefault="008E6775">
      <w:pPr>
        <w:pStyle w:val="Heading3"/>
      </w:pPr>
      <w:bookmarkStart w:id="37" w:name="_Toc112843912"/>
      <w:r w:rsidRPr="005E2E7F">
        <w:t>Effects of definitions used for attributing death to paracetamol</w:t>
      </w:r>
      <w:bookmarkEnd w:id="37"/>
    </w:p>
    <w:p w14:paraId="56873C15" w14:textId="555DC8F4" w:rsidR="005246D9" w:rsidRPr="0091560A" w:rsidRDefault="005246D9" w:rsidP="005246D9">
      <w:pPr>
        <w:rPr>
          <w:rFonts w:cs="Times New Roman"/>
        </w:rPr>
      </w:pPr>
      <w:r w:rsidRPr="0091560A">
        <w:rPr>
          <w:rFonts w:cs="Times New Roman"/>
        </w:rPr>
        <w:t xml:space="preserve">Our primary analysis was based on cases </w:t>
      </w:r>
      <w:r w:rsidR="00D47E34" w:rsidRPr="0091560A">
        <w:rPr>
          <w:rFonts w:cs="Times New Roman"/>
        </w:rPr>
        <w:t>where case review (</w:t>
      </w:r>
      <w:r w:rsidR="000A709D">
        <w:rPr>
          <w:rFonts w:cs="Times New Roman"/>
        </w:rPr>
        <w:t xml:space="preserve">by </w:t>
      </w:r>
      <w:r w:rsidR="00ED28A3">
        <w:rPr>
          <w:rFonts w:cs="Times New Roman"/>
        </w:rPr>
        <w:t xml:space="preserve">both </w:t>
      </w:r>
      <w:r w:rsidR="000A709D">
        <w:rPr>
          <w:rFonts w:cs="Times New Roman"/>
        </w:rPr>
        <w:t xml:space="preserve">NSW PIC </w:t>
      </w:r>
      <w:r w:rsidR="00ED28A3">
        <w:rPr>
          <w:rFonts w:cs="Times New Roman"/>
        </w:rPr>
        <w:t xml:space="preserve">staff </w:t>
      </w:r>
      <w:r w:rsidR="000A709D">
        <w:rPr>
          <w:rFonts w:cs="Times New Roman"/>
        </w:rPr>
        <w:t>and expert reviewer</w:t>
      </w:r>
      <w:r w:rsidR="00D47E34" w:rsidRPr="0091560A">
        <w:rPr>
          <w:rFonts w:cs="Times New Roman"/>
        </w:rPr>
        <w:t>) indicat</w:t>
      </w:r>
      <w:r w:rsidR="00104A61" w:rsidRPr="0091560A">
        <w:rPr>
          <w:rFonts w:cs="Times New Roman"/>
        </w:rPr>
        <w:t>ed</w:t>
      </w:r>
      <w:r w:rsidR="00D47E34" w:rsidRPr="0091560A">
        <w:rPr>
          <w:rFonts w:cs="Times New Roman"/>
        </w:rPr>
        <w:t xml:space="preserve"> it was more probabl</w:t>
      </w:r>
      <w:r w:rsidR="003F13F9">
        <w:rPr>
          <w:rFonts w:cs="Times New Roman"/>
        </w:rPr>
        <w:t>e</w:t>
      </w:r>
      <w:r w:rsidR="00D47E34" w:rsidRPr="0091560A">
        <w:rPr>
          <w:rFonts w:cs="Times New Roman"/>
        </w:rPr>
        <w:t xml:space="preserve"> than not </w:t>
      </w:r>
      <w:r w:rsidR="00104A61" w:rsidRPr="0091560A">
        <w:rPr>
          <w:rFonts w:cs="Times New Roman"/>
        </w:rPr>
        <w:t>that paracetamol was a primary cause of death based on the above definitions.</w:t>
      </w:r>
      <w:r w:rsidR="009D4E7C" w:rsidRPr="0091560A">
        <w:rPr>
          <w:rFonts w:cs="Times New Roman"/>
        </w:rPr>
        <w:t xml:space="preserve"> We also present the same analysis including all cases where paracetamol is mentioned</w:t>
      </w:r>
      <w:r w:rsidR="006B52C6" w:rsidRPr="0091560A">
        <w:rPr>
          <w:rFonts w:cs="Times New Roman"/>
        </w:rPr>
        <w:t>, where its role was likely relatively minor or insignificant (</w:t>
      </w:r>
      <w:r w:rsidR="0059123B" w:rsidRPr="0091560A">
        <w:rPr>
          <w:rFonts w:cs="Times New Roman"/>
        </w:rPr>
        <w:t xml:space="preserve">typically out-of-hospital deaths where </w:t>
      </w:r>
      <w:r w:rsidR="006B52C6" w:rsidRPr="0091560A">
        <w:rPr>
          <w:rFonts w:cs="Times New Roman"/>
        </w:rPr>
        <w:t xml:space="preserve">other drugs were detected at toxic concentrations and there was no evidence of </w:t>
      </w:r>
      <w:r w:rsidR="0014740D" w:rsidRPr="0091560A">
        <w:rPr>
          <w:rFonts w:cs="Times New Roman"/>
        </w:rPr>
        <w:t xml:space="preserve">acute </w:t>
      </w:r>
      <w:r w:rsidR="006B52C6" w:rsidRPr="0091560A">
        <w:rPr>
          <w:rFonts w:cs="Times New Roman"/>
        </w:rPr>
        <w:t xml:space="preserve">liver </w:t>
      </w:r>
      <w:r w:rsidR="00196B22" w:rsidRPr="0091560A">
        <w:rPr>
          <w:rFonts w:cs="Times New Roman"/>
        </w:rPr>
        <w:t>necrosis</w:t>
      </w:r>
      <w:r w:rsidR="0014740D" w:rsidRPr="0091560A">
        <w:rPr>
          <w:rFonts w:cs="Times New Roman"/>
        </w:rPr>
        <w:t>/</w:t>
      </w:r>
      <w:r w:rsidR="006B52C6" w:rsidRPr="0091560A">
        <w:rPr>
          <w:rFonts w:cs="Times New Roman"/>
        </w:rPr>
        <w:t>failure</w:t>
      </w:r>
      <w:r w:rsidR="00196B22" w:rsidRPr="0091560A">
        <w:rPr>
          <w:rFonts w:cs="Times New Roman"/>
        </w:rPr>
        <w:t xml:space="preserve"> typical of paracetamol</w:t>
      </w:r>
      <w:r w:rsidR="00F978C5" w:rsidRPr="0091560A">
        <w:rPr>
          <w:rFonts w:cs="Times New Roman"/>
        </w:rPr>
        <w:t>)</w:t>
      </w:r>
      <w:r w:rsidR="003210D9" w:rsidRPr="0091560A">
        <w:rPr>
          <w:rFonts w:cs="Times New Roman"/>
        </w:rPr>
        <w:t>.</w:t>
      </w:r>
      <w:r w:rsidR="00CB0A93" w:rsidRPr="0091560A">
        <w:rPr>
          <w:rFonts w:cs="Times New Roman"/>
        </w:rPr>
        <w:t xml:space="preserve"> About </w:t>
      </w:r>
      <w:r w:rsidR="008160B7" w:rsidRPr="0091560A">
        <w:rPr>
          <w:rFonts w:cs="Times New Roman"/>
        </w:rPr>
        <w:t>twice</w:t>
      </w:r>
      <w:r w:rsidR="00CB0A93" w:rsidRPr="0091560A">
        <w:rPr>
          <w:rFonts w:cs="Times New Roman"/>
        </w:rPr>
        <w:t xml:space="preserve"> as many cases </w:t>
      </w:r>
      <w:r w:rsidR="00876D5D" w:rsidRPr="0091560A">
        <w:rPr>
          <w:rFonts w:cs="Times New Roman"/>
        </w:rPr>
        <w:t xml:space="preserve">have paracetamol poisoning denoted as a cause of death by the coroner </w:t>
      </w:r>
      <w:r w:rsidR="00842A45" w:rsidRPr="0091560A">
        <w:rPr>
          <w:rFonts w:cs="Times New Roman"/>
        </w:rPr>
        <w:t xml:space="preserve">(527 vs 258 determined as probable on our review) </w:t>
      </w:r>
      <w:r w:rsidR="00876D5D" w:rsidRPr="0091560A">
        <w:rPr>
          <w:rFonts w:cs="Times New Roman"/>
        </w:rPr>
        <w:t xml:space="preserve">and nearly ten times as many </w:t>
      </w:r>
      <w:r w:rsidR="00CE2602" w:rsidRPr="0091560A">
        <w:rPr>
          <w:rFonts w:cs="Times New Roman"/>
        </w:rPr>
        <w:t xml:space="preserve">again </w:t>
      </w:r>
      <w:r w:rsidR="006F16BB" w:rsidRPr="0091560A">
        <w:rPr>
          <w:rFonts w:cs="Times New Roman"/>
        </w:rPr>
        <w:t xml:space="preserve">have paracetamol coded as </w:t>
      </w:r>
      <w:r w:rsidR="00876D5D" w:rsidRPr="0091560A">
        <w:rPr>
          <w:rFonts w:cs="Times New Roman"/>
        </w:rPr>
        <w:t xml:space="preserve">a </w:t>
      </w:r>
      <w:r w:rsidR="006F16BB" w:rsidRPr="0091560A">
        <w:rPr>
          <w:rFonts w:cs="Times New Roman"/>
        </w:rPr>
        <w:t>‘pharmaceutical substance causing injury</w:t>
      </w:r>
      <w:r w:rsidR="00795042" w:rsidRPr="0091560A">
        <w:rPr>
          <w:rFonts w:cs="Times New Roman"/>
        </w:rPr>
        <w:t>’.</w:t>
      </w:r>
      <w:r w:rsidR="00CE2602" w:rsidRPr="0091560A">
        <w:rPr>
          <w:rFonts w:cs="Times New Roman"/>
        </w:rPr>
        <w:t xml:space="preserve"> The designation of ICD codes </w:t>
      </w:r>
      <w:r w:rsidR="007C0A18" w:rsidRPr="0091560A">
        <w:rPr>
          <w:rFonts w:cs="Times New Roman"/>
        </w:rPr>
        <w:t>is not closely related to any other measure</w:t>
      </w:r>
      <w:r w:rsidR="00617189" w:rsidRPr="0091560A">
        <w:rPr>
          <w:rFonts w:cs="Times New Roman"/>
        </w:rPr>
        <w:t xml:space="preserve"> (Table </w:t>
      </w:r>
      <w:r w:rsidR="003F13F9">
        <w:rPr>
          <w:rFonts w:cs="Times New Roman"/>
        </w:rPr>
        <w:t>2</w:t>
      </w:r>
      <w:r w:rsidR="00617189" w:rsidRPr="0091560A">
        <w:rPr>
          <w:rFonts w:cs="Times New Roman"/>
        </w:rPr>
        <w:t xml:space="preserve">).  </w:t>
      </w:r>
      <w:r w:rsidR="007C0A18" w:rsidRPr="0091560A">
        <w:rPr>
          <w:rFonts w:cs="Times New Roman"/>
        </w:rPr>
        <w:t xml:space="preserve"> </w:t>
      </w:r>
    </w:p>
    <w:p w14:paraId="5178C607" w14:textId="12E96133" w:rsidR="00617189" w:rsidRPr="0091560A" w:rsidRDefault="00932FEE" w:rsidP="00932FEE">
      <w:pPr>
        <w:pStyle w:val="Caption"/>
      </w:pPr>
      <w:bookmarkStart w:id="38" w:name="_Toc114560117"/>
      <w:r>
        <w:t xml:space="preserve">Table </w:t>
      </w:r>
      <w:r>
        <w:fldChar w:fldCharType="begin"/>
      </w:r>
      <w:r>
        <w:instrText>SEQ Table \* ARABIC</w:instrText>
      </w:r>
      <w:r>
        <w:fldChar w:fldCharType="separate"/>
      </w:r>
      <w:r w:rsidR="0091734E">
        <w:rPr>
          <w:noProof/>
        </w:rPr>
        <w:t>2</w:t>
      </w:r>
      <w:r>
        <w:fldChar w:fldCharType="end"/>
      </w:r>
      <w:r w:rsidRPr="0091560A">
        <w:t xml:space="preserve">. </w:t>
      </w:r>
      <w:r w:rsidR="000118AA" w:rsidRPr="0091560A">
        <w:t xml:space="preserve">Highly variable </w:t>
      </w:r>
      <w:r w:rsidR="005E4E01" w:rsidRPr="0091560A">
        <w:t xml:space="preserve">mentions in NCIS and AIHW, indicating the importance of </w:t>
      </w:r>
      <w:r w:rsidR="005018EB" w:rsidRPr="0091560A">
        <w:t>clear descriptions when examining data on deaths from poisoning.</w:t>
      </w:r>
      <w:bookmarkEnd w:id="38"/>
    </w:p>
    <w:tbl>
      <w:tblPr>
        <w:tblStyle w:val="ListTable6Colorful"/>
        <w:tblW w:w="9072" w:type="dxa"/>
        <w:tblLook w:val="0480" w:firstRow="0" w:lastRow="0" w:firstColumn="1" w:lastColumn="0" w:noHBand="0" w:noVBand="1"/>
      </w:tblPr>
      <w:tblGrid>
        <w:gridCol w:w="222"/>
        <w:gridCol w:w="7291"/>
        <w:gridCol w:w="1559"/>
      </w:tblGrid>
      <w:tr w:rsidR="003B6B88" w:rsidRPr="0091560A" w14:paraId="46D9C1B7" w14:textId="77777777" w:rsidTr="00E321E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513" w:type="dxa"/>
            <w:gridSpan w:val="2"/>
            <w:shd w:val="clear" w:color="auto" w:fill="595959" w:themeFill="text1" w:themeFillTint="A6"/>
            <w:noWrap/>
            <w:hideMark/>
          </w:tcPr>
          <w:p w14:paraId="21F2B624" w14:textId="77777777" w:rsidR="003B6B88" w:rsidRPr="00AA0D2A" w:rsidRDefault="003B6B88" w:rsidP="003B6B88">
            <w:pPr>
              <w:rPr>
                <w:rFonts w:eastAsia="Times New Roman" w:cs="Times New Roman"/>
                <w:color w:val="FFFFFF" w:themeColor="background1"/>
                <w:lang w:eastAsia="en-AU"/>
              </w:rPr>
            </w:pPr>
            <w:r w:rsidRPr="00AA0D2A">
              <w:rPr>
                <w:rFonts w:eastAsia="Times New Roman" w:cs="Times New Roman"/>
                <w:color w:val="FFFFFF" w:themeColor="background1"/>
                <w:lang w:eastAsia="en-AU"/>
              </w:rPr>
              <w:t>Paracetamol only codes</w:t>
            </w:r>
          </w:p>
        </w:tc>
        <w:tc>
          <w:tcPr>
            <w:tcW w:w="1559" w:type="dxa"/>
            <w:shd w:val="clear" w:color="auto" w:fill="595959" w:themeFill="text1" w:themeFillTint="A6"/>
            <w:noWrap/>
            <w:hideMark/>
          </w:tcPr>
          <w:p w14:paraId="77425592" w14:textId="77777777" w:rsidR="003B6B88" w:rsidRPr="00AA0D2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en-AU"/>
              </w:rPr>
            </w:pPr>
          </w:p>
        </w:tc>
      </w:tr>
      <w:tr w:rsidR="003B6B88" w:rsidRPr="0091560A" w14:paraId="1D9CF1BC" w14:textId="77777777" w:rsidTr="00C30203">
        <w:trPr>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2AE9771A" w14:textId="77777777" w:rsidR="003B6B88" w:rsidRPr="0091560A" w:rsidRDefault="003B6B88" w:rsidP="003B6B88">
            <w:pPr>
              <w:rPr>
                <w:rFonts w:eastAsia="Times New Roman" w:cs="Times New Roman"/>
                <w:sz w:val="20"/>
                <w:szCs w:val="20"/>
                <w:lang w:eastAsia="en-AU"/>
              </w:rPr>
            </w:pPr>
          </w:p>
        </w:tc>
        <w:tc>
          <w:tcPr>
            <w:tcW w:w="7291" w:type="dxa"/>
            <w:noWrap/>
            <w:hideMark/>
          </w:tcPr>
          <w:p w14:paraId="598AF051" w14:textId="4C63B281" w:rsidR="003B6B88" w:rsidRPr="0091560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NCIS Paracetamol as </w:t>
            </w:r>
            <w:r w:rsidR="00787E88">
              <w:rPr>
                <w:rFonts w:eastAsia="Times New Roman" w:cs="Times New Roman"/>
                <w:color w:val="000000"/>
                <w:lang w:eastAsia="en-AU"/>
              </w:rPr>
              <w:t>‘</w:t>
            </w:r>
            <w:r w:rsidRPr="0091560A">
              <w:rPr>
                <w:rFonts w:eastAsia="Times New Roman" w:cs="Times New Roman"/>
                <w:color w:val="000000"/>
                <w:lang w:eastAsia="en-AU"/>
              </w:rPr>
              <w:t>pharmaceutical substance causing injury</w:t>
            </w:r>
            <w:r w:rsidR="00787E88">
              <w:rPr>
                <w:rFonts w:eastAsia="Times New Roman" w:cs="Times New Roman"/>
                <w:color w:val="000000"/>
                <w:lang w:eastAsia="en-AU"/>
              </w:rPr>
              <w:t>’</w:t>
            </w:r>
          </w:p>
        </w:tc>
        <w:tc>
          <w:tcPr>
            <w:tcW w:w="1559" w:type="dxa"/>
            <w:noWrap/>
            <w:hideMark/>
          </w:tcPr>
          <w:p w14:paraId="42324564"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5296</w:t>
            </w:r>
          </w:p>
        </w:tc>
      </w:tr>
      <w:tr w:rsidR="003B6B88" w:rsidRPr="0091560A" w14:paraId="17E5F4E9" w14:textId="77777777" w:rsidTr="00C302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28F27C0F"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798E1F37" w14:textId="77777777"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_ T39.1 (paracetamol poisoning) all levels ICD-10</w:t>
            </w:r>
          </w:p>
        </w:tc>
        <w:tc>
          <w:tcPr>
            <w:tcW w:w="1559" w:type="dxa"/>
            <w:noWrap/>
            <w:hideMark/>
          </w:tcPr>
          <w:p w14:paraId="5C508407"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2391</w:t>
            </w:r>
          </w:p>
        </w:tc>
      </w:tr>
      <w:tr w:rsidR="003B6B88" w:rsidRPr="0091560A" w14:paraId="7585B733" w14:textId="77777777" w:rsidTr="00C30203">
        <w:trPr>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6BF1457D"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2203CB1E" w14:textId="77777777" w:rsidR="003B6B88" w:rsidRPr="0091560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Paracetamol listed in Cause of death (all levels)</w:t>
            </w:r>
          </w:p>
        </w:tc>
        <w:tc>
          <w:tcPr>
            <w:tcW w:w="1559" w:type="dxa"/>
            <w:noWrap/>
            <w:hideMark/>
          </w:tcPr>
          <w:p w14:paraId="0693F75F"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527</w:t>
            </w:r>
          </w:p>
        </w:tc>
      </w:tr>
      <w:tr w:rsidR="003B6B88" w:rsidRPr="0091560A" w14:paraId="17103D4A" w14:textId="77777777" w:rsidTr="00C302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25D20881"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059D02C6" w14:textId="1DF5F33B"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Paracetamol poisoning </w:t>
            </w:r>
            <w:r w:rsidR="00787E88">
              <w:rPr>
                <w:rFonts w:eastAsia="Times New Roman" w:cs="Times New Roman"/>
                <w:color w:val="000000"/>
                <w:lang w:eastAsia="en-AU"/>
              </w:rPr>
              <w:t>‘</w:t>
            </w:r>
            <w:r w:rsidRPr="0091560A">
              <w:rPr>
                <w:rFonts w:eastAsia="Times New Roman" w:cs="Times New Roman"/>
                <w:color w:val="000000"/>
                <w:lang w:eastAsia="en-AU"/>
              </w:rPr>
              <w:t>probable</w:t>
            </w:r>
            <w:r w:rsidR="00787E88">
              <w:rPr>
                <w:rFonts w:eastAsia="Times New Roman" w:cs="Times New Roman"/>
                <w:color w:val="000000"/>
                <w:lang w:eastAsia="en-AU"/>
              </w:rPr>
              <w:t>’</w:t>
            </w:r>
            <w:r w:rsidRPr="0091560A">
              <w:rPr>
                <w:rFonts w:eastAsia="Times New Roman" w:cs="Times New Roman"/>
                <w:color w:val="000000"/>
                <w:lang w:eastAsia="en-AU"/>
              </w:rPr>
              <w:t xml:space="preserve"> major contributor to death</w:t>
            </w:r>
          </w:p>
        </w:tc>
        <w:tc>
          <w:tcPr>
            <w:tcW w:w="1559" w:type="dxa"/>
            <w:noWrap/>
            <w:hideMark/>
          </w:tcPr>
          <w:p w14:paraId="73802B76"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258</w:t>
            </w:r>
          </w:p>
        </w:tc>
      </w:tr>
      <w:tr w:rsidR="003B6B88" w:rsidRPr="0091560A" w14:paraId="35DD26F1" w14:textId="77777777" w:rsidTr="00C30203">
        <w:trPr>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650BF741"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17195B5F" w14:textId="77777777" w:rsidR="003B6B88" w:rsidRPr="0091560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AIHW T39.1 and death</w:t>
            </w:r>
          </w:p>
        </w:tc>
        <w:tc>
          <w:tcPr>
            <w:tcW w:w="1559" w:type="dxa"/>
            <w:noWrap/>
            <w:hideMark/>
          </w:tcPr>
          <w:p w14:paraId="42D30E6C"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461</w:t>
            </w:r>
          </w:p>
        </w:tc>
      </w:tr>
      <w:tr w:rsidR="003B6B88" w:rsidRPr="0091560A" w14:paraId="7D33B656" w14:textId="77777777" w:rsidTr="00C302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002BC000"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29716850" w14:textId="5B078EBD"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 AIHW T39.1, K71. </w:t>
            </w:r>
            <w:r w:rsidR="009F2720">
              <w:rPr>
                <w:rFonts w:eastAsia="Times New Roman" w:cs="Times New Roman"/>
                <w:color w:val="000000"/>
                <w:lang w:eastAsia="en-AU"/>
              </w:rPr>
              <w:t>a</w:t>
            </w:r>
            <w:r w:rsidRPr="0091560A">
              <w:rPr>
                <w:rFonts w:eastAsia="Times New Roman" w:cs="Times New Roman"/>
                <w:color w:val="000000"/>
                <w:lang w:eastAsia="en-AU"/>
              </w:rPr>
              <w:t>nd death</w:t>
            </w:r>
          </w:p>
        </w:tc>
        <w:tc>
          <w:tcPr>
            <w:tcW w:w="1559" w:type="dxa"/>
            <w:noWrap/>
            <w:hideMark/>
          </w:tcPr>
          <w:p w14:paraId="7EBB9442"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136</w:t>
            </w:r>
          </w:p>
        </w:tc>
      </w:tr>
      <w:tr w:rsidR="003B6B88" w:rsidRPr="0091560A" w14:paraId="380C188E" w14:textId="77777777" w:rsidTr="00E321EC">
        <w:trPr>
          <w:trHeight w:val="315"/>
        </w:trPr>
        <w:tc>
          <w:tcPr>
            <w:cnfStyle w:val="001000000000" w:firstRow="0" w:lastRow="0" w:firstColumn="1" w:lastColumn="0" w:oddVBand="0" w:evenVBand="0" w:oddHBand="0" w:evenHBand="0" w:firstRowFirstColumn="0" w:firstRowLastColumn="0" w:lastRowFirstColumn="0" w:lastRowLastColumn="0"/>
            <w:tcW w:w="7513" w:type="dxa"/>
            <w:gridSpan w:val="2"/>
            <w:shd w:val="clear" w:color="auto" w:fill="595959" w:themeFill="text1" w:themeFillTint="A6"/>
            <w:noWrap/>
            <w:hideMark/>
          </w:tcPr>
          <w:p w14:paraId="29C0251D" w14:textId="77777777" w:rsidR="003B6B88" w:rsidRPr="00AA0D2A" w:rsidRDefault="003B6B88" w:rsidP="003B6B88">
            <w:pPr>
              <w:rPr>
                <w:rFonts w:eastAsia="Times New Roman" w:cs="Times New Roman"/>
                <w:color w:val="FFFFFF" w:themeColor="background1"/>
                <w:lang w:eastAsia="en-AU"/>
              </w:rPr>
            </w:pPr>
            <w:r w:rsidRPr="00AA0D2A">
              <w:rPr>
                <w:rFonts w:eastAsia="Times New Roman" w:cs="Times New Roman"/>
                <w:color w:val="FFFFFF" w:themeColor="background1"/>
                <w:lang w:eastAsia="en-AU"/>
              </w:rPr>
              <w:t>OTC analgesic codes</w:t>
            </w:r>
          </w:p>
        </w:tc>
        <w:tc>
          <w:tcPr>
            <w:tcW w:w="1559" w:type="dxa"/>
            <w:shd w:val="clear" w:color="auto" w:fill="595959" w:themeFill="text1" w:themeFillTint="A6"/>
            <w:noWrap/>
            <w:hideMark/>
          </w:tcPr>
          <w:p w14:paraId="4B5C894C" w14:textId="77777777" w:rsidR="003B6B88" w:rsidRPr="00AA0D2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p>
        </w:tc>
      </w:tr>
      <w:tr w:rsidR="003B6B88" w:rsidRPr="0091560A" w14:paraId="2A56C171" w14:textId="77777777" w:rsidTr="00C302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4316C14C" w14:textId="77777777" w:rsidR="003B6B88" w:rsidRPr="0091560A" w:rsidRDefault="003B6B88" w:rsidP="003B6B88">
            <w:pPr>
              <w:rPr>
                <w:rFonts w:eastAsia="Times New Roman" w:cs="Times New Roman"/>
                <w:sz w:val="20"/>
                <w:szCs w:val="20"/>
                <w:lang w:eastAsia="en-AU"/>
              </w:rPr>
            </w:pPr>
          </w:p>
        </w:tc>
        <w:tc>
          <w:tcPr>
            <w:tcW w:w="7291" w:type="dxa"/>
            <w:noWrap/>
            <w:hideMark/>
          </w:tcPr>
          <w:p w14:paraId="5B0265E9" w14:textId="77777777"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X40 ‘Accidental poisoning by and exposure to nonopioid analgesics, antipyretics and antirheumatics (underlying)’</w:t>
            </w:r>
          </w:p>
        </w:tc>
        <w:tc>
          <w:tcPr>
            <w:tcW w:w="1559" w:type="dxa"/>
            <w:noWrap/>
            <w:hideMark/>
          </w:tcPr>
          <w:p w14:paraId="060C8BAB"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138</w:t>
            </w:r>
          </w:p>
        </w:tc>
      </w:tr>
      <w:tr w:rsidR="003B6B88" w:rsidRPr="0091560A" w14:paraId="29B1251C" w14:textId="77777777" w:rsidTr="00C30203">
        <w:trPr>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5D47C6DE"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25A5230B" w14:textId="77777777" w:rsidR="003B6B88" w:rsidRPr="0091560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X60 ‘Intentional self-poisoning by and exposure to nonopioid analgesics, antipyretics and antirheumatics (underlying)’</w:t>
            </w:r>
          </w:p>
        </w:tc>
        <w:tc>
          <w:tcPr>
            <w:tcW w:w="1559" w:type="dxa"/>
            <w:noWrap/>
            <w:hideMark/>
          </w:tcPr>
          <w:p w14:paraId="4B3E2228"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121</w:t>
            </w:r>
          </w:p>
        </w:tc>
      </w:tr>
      <w:tr w:rsidR="003B6B88" w:rsidRPr="0091560A" w14:paraId="436DBEF2" w14:textId="77777777" w:rsidTr="00C3020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2" w:type="dxa"/>
            <w:noWrap/>
            <w:hideMark/>
          </w:tcPr>
          <w:p w14:paraId="0BE96F14"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155705D2" w14:textId="0E65EDC6"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NCIS Y10 </w:t>
            </w:r>
            <w:r w:rsidR="00787E88">
              <w:rPr>
                <w:rFonts w:eastAsia="Times New Roman" w:cs="Times New Roman"/>
                <w:color w:val="000000"/>
                <w:lang w:eastAsia="en-AU"/>
              </w:rPr>
              <w:t>‘</w:t>
            </w:r>
            <w:r w:rsidRPr="0091560A">
              <w:rPr>
                <w:rFonts w:eastAsia="Times New Roman" w:cs="Times New Roman"/>
                <w:color w:val="000000"/>
                <w:lang w:eastAsia="en-AU"/>
              </w:rPr>
              <w:t>Poisoning by and exposure to nonopioid analgesics, antipyretics and antirheumatics, undetermined intent (underlying).</w:t>
            </w:r>
            <w:r w:rsidR="00787E88">
              <w:rPr>
                <w:rFonts w:eastAsia="Times New Roman" w:cs="Times New Roman"/>
                <w:color w:val="000000"/>
                <w:lang w:eastAsia="en-AU"/>
              </w:rPr>
              <w:t>’</w:t>
            </w:r>
          </w:p>
        </w:tc>
        <w:tc>
          <w:tcPr>
            <w:tcW w:w="1559" w:type="dxa"/>
            <w:noWrap/>
            <w:hideMark/>
          </w:tcPr>
          <w:p w14:paraId="4686FB91"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32</w:t>
            </w:r>
          </w:p>
        </w:tc>
      </w:tr>
      <w:tr w:rsidR="003B6B88" w:rsidRPr="0091560A" w14:paraId="361D7905" w14:textId="77777777" w:rsidTr="00E321EC">
        <w:trPr>
          <w:trHeight w:val="315"/>
        </w:trPr>
        <w:tc>
          <w:tcPr>
            <w:cnfStyle w:val="001000000000" w:firstRow="0" w:lastRow="0" w:firstColumn="1" w:lastColumn="0" w:oddVBand="0" w:evenVBand="0" w:oddHBand="0" w:evenHBand="0" w:firstRowFirstColumn="0" w:firstRowLastColumn="0" w:lastRowFirstColumn="0" w:lastRowLastColumn="0"/>
            <w:tcW w:w="7513" w:type="dxa"/>
            <w:gridSpan w:val="2"/>
            <w:shd w:val="clear" w:color="auto" w:fill="595959" w:themeFill="text1" w:themeFillTint="A6"/>
            <w:noWrap/>
            <w:hideMark/>
          </w:tcPr>
          <w:p w14:paraId="0CEBD4DD" w14:textId="77777777" w:rsidR="003B6B88" w:rsidRPr="00AA0D2A" w:rsidRDefault="003B6B88" w:rsidP="003B6B88">
            <w:pPr>
              <w:rPr>
                <w:rFonts w:eastAsia="Times New Roman" w:cs="Times New Roman"/>
                <w:color w:val="FFFFFF" w:themeColor="background1"/>
                <w:lang w:eastAsia="en-AU"/>
              </w:rPr>
            </w:pPr>
            <w:r w:rsidRPr="00AA0D2A">
              <w:rPr>
                <w:rFonts w:eastAsia="Times New Roman" w:cs="Times New Roman"/>
                <w:color w:val="FFFFFF" w:themeColor="background1"/>
                <w:lang w:eastAsia="en-AU"/>
              </w:rPr>
              <w:t>Other OTC analgesics (aspirin and ibuprofen)</w:t>
            </w:r>
          </w:p>
        </w:tc>
        <w:tc>
          <w:tcPr>
            <w:tcW w:w="1559" w:type="dxa"/>
            <w:shd w:val="clear" w:color="auto" w:fill="595959" w:themeFill="text1" w:themeFillTint="A6"/>
            <w:noWrap/>
            <w:hideMark/>
          </w:tcPr>
          <w:p w14:paraId="4E51E07A" w14:textId="77777777" w:rsidR="003B6B88" w:rsidRPr="00AA0D2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p>
        </w:tc>
      </w:tr>
      <w:tr w:rsidR="003B6B88" w:rsidRPr="0091560A" w14:paraId="36C36E4E" w14:textId="77777777" w:rsidTr="00C302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 w:type="dxa"/>
            <w:noWrap/>
            <w:hideMark/>
          </w:tcPr>
          <w:p w14:paraId="23B88059" w14:textId="77777777" w:rsidR="003B6B88" w:rsidRPr="0091560A" w:rsidRDefault="003B6B88" w:rsidP="003B6B88">
            <w:pPr>
              <w:rPr>
                <w:rFonts w:eastAsia="Times New Roman" w:cs="Times New Roman"/>
                <w:sz w:val="20"/>
                <w:szCs w:val="20"/>
                <w:lang w:eastAsia="en-AU"/>
              </w:rPr>
            </w:pPr>
          </w:p>
        </w:tc>
        <w:tc>
          <w:tcPr>
            <w:tcW w:w="7291" w:type="dxa"/>
            <w:noWrap/>
            <w:hideMark/>
          </w:tcPr>
          <w:p w14:paraId="78208D67" w14:textId="253BF836"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NCIS Aspirin as </w:t>
            </w:r>
            <w:r w:rsidR="00787E88">
              <w:rPr>
                <w:rFonts w:eastAsia="Times New Roman" w:cs="Times New Roman"/>
                <w:color w:val="000000"/>
                <w:lang w:eastAsia="en-AU"/>
              </w:rPr>
              <w:t>‘</w:t>
            </w:r>
            <w:r w:rsidRPr="0091560A">
              <w:rPr>
                <w:rFonts w:eastAsia="Times New Roman" w:cs="Times New Roman"/>
                <w:color w:val="000000"/>
                <w:lang w:eastAsia="en-AU"/>
              </w:rPr>
              <w:t>pharmaceutical substance causing injury</w:t>
            </w:r>
            <w:r w:rsidR="00787E88">
              <w:rPr>
                <w:rFonts w:eastAsia="Times New Roman" w:cs="Times New Roman"/>
                <w:color w:val="000000"/>
                <w:lang w:eastAsia="en-AU"/>
              </w:rPr>
              <w:t>’</w:t>
            </w:r>
          </w:p>
        </w:tc>
        <w:tc>
          <w:tcPr>
            <w:tcW w:w="1559" w:type="dxa"/>
            <w:noWrap/>
            <w:hideMark/>
          </w:tcPr>
          <w:p w14:paraId="13DD95AB"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269</w:t>
            </w:r>
          </w:p>
        </w:tc>
      </w:tr>
      <w:tr w:rsidR="003B6B88" w:rsidRPr="0091560A" w14:paraId="04A97AB2" w14:textId="77777777" w:rsidTr="00C30203">
        <w:trPr>
          <w:trHeight w:val="300"/>
        </w:trPr>
        <w:tc>
          <w:tcPr>
            <w:cnfStyle w:val="001000000000" w:firstRow="0" w:lastRow="0" w:firstColumn="1" w:lastColumn="0" w:oddVBand="0" w:evenVBand="0" w:oddHBand="0" w:evenHBand="0" w:firstRowFirstColumn="0" w:firstRowLastColumn="0" w:lastRowFirstColumn="0" w:lastRowLastColumn="0"/>
            <w:tcW w:w="222" w:type="dxa"/>
            <w:noWrap/>
            <w:hideMark/>
          </w:tcPr>
          <w:p w14:paraId="026B6E1F"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6E6C4F2F" w14:textId="77777777" w:rsidR="003B6B88" w:rsidRPr="0091560A" w:rsidRDefault="003B6B88"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T39.0 (salicylate poisoning) all levels ICD-10</w:t>
            </w:r>
          </w:p>
        </w:tc>
        <w:tc>
          <w:tcPr>
            <w:tcW w:w="1559" w:type="dxa"/>
            <w:noWrap/>
            <w:hideMark/>
          </w:tcPr>
          <w:p w14:paraId="4C26B98F"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54</w:t>
            </w:r>
          </w:p>
        </w:tc>
      </w:tr>
      <w:tr w:rsidR="003B6B88" w:rsidRPr="0091560A" w14:paraId="5493C726" w14:textId="77777777" w:rsidTr="00C302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 w:type="dxa"/>
            <w:noWrap/>
            <w:hideMark/>
          </w:tcPr>
          <w:p w14:paraId="74D4A6AC"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1D0B148A" w14:textId="77777777" w:rsidR="003B6B88" w:rsidRPr="0091560A" w:rsidRDefault="003B6B88"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NCIS Aspirin listed in Cause of death (all levels)</w:t>
            </w:r>
          </w:p>
        </w:tc>
        <w:tc>
          <w:tcPr>
            <w:tcW w:w="1559" w:type="dxa"/>
            <w:noWrap/>
            <w:hideMark/>
          </w:tcPr>
          <w:p w14:paraId="4D1FB5F1"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35</w:t>
            </w:r>
          </w:p>
        </w:tc>
      </w:tr>
      <w:tr w:rsidR="003B6B88" w:rsidRPr="0091560A" w14:paraId="5463D008" w14:textId="77777777" w:rsidTr="00C30203">
        <w:trPr>
          <w:trHeight w:val="300"/>
        </w:trPr>
        <w:tc>
          <w:tcPr>
            <w:cnfStyle w:val="001000000000" w:firstRow="0" w:lastRow="0" w:firstColumn="1" w:lastColumn="0" w:oddVBand="0" w:evenVBand="0" w:oddHBand="0" w:evenHBand="0" w:firstRowFirstColumn="0" w:firstRowLastColumn="0" w:lastRowFirstColumn="0" w:lastRowLastColumn="0"/>
            <w:tcW w:w="222" w:type="dxa"/>
            <w:noWrap/>
            <w:hideMark/>
          </w:tcPr>
          <w:p w14:paraId="444BEC86"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2FBDA3DA" w14:textId="178B20BB" w:rsidR="003B6B88" w:rsidRPr="0091560A" w:rsidRDefault="00AA5B43" w:rsidP="003B6B8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NCIS </w:t>
            </w:r>
            <w:r w:rsidR="003B6B88" w:rsidRPr="0091560A">
              <w:rPr>
                <w:rFonts w:eastAsia="Times New Roman" w:cs="Times New Roman"/>
                <w:color w:val="000000"/>
                <w:lang w:eastAsia="en-AU"/>
              </w:rPr>
              <w:t xml:space="preserve">Ibuprofen as </w:t>
            </w:r>
            <w:r w:rsidR="00787E88">
              <w:rPr>
                <w:rFonts w:eastAsia="Times New Roman" w:cs="Times New Roman"/>
                <w:color w:val="000000"/>
                <w:lang w:eastAsia="en-AU"/>
              </w:rPr>
              <w:t>‘</w:t>
            </w:r>
            <w:r w:rsidR="003B6B88" w:rsidRPr="0091560A">
              <w:rPr>
                <w:rFonts w:eastAsia="Times New Roman" w:cs="Times New Roman"/>
                <w:color w:val="000000"/>
                <w:lang w:eastAsia="en-AU"/>
              </w:rPr>
              <w:t>pharmaceutical substance causing injury</w:t>
            </w:r>
            <w:r w:rsidR="00787E88">
              <w:rPr>
                <w:rFonts w:eastAsia="Times New Roman" w:cs="Times New Roman"/>
                <w:color w:val="000000"/>
                <w:lang w:eastAsia="en-AU"/>
              </w:rPr>
              <w:t>’</w:t>
            </w:r>
          </w:p>
        </w:tc>
        <w:tc>
          <w:tcPr>
            <w:tcW w:w="1559" w:type="dxa"/>
            <w:noWrap/>
            <w:hideMark/>
          </w:tcPr>
          <w:p w14:paraId="1943AD80" w14:textId="77777777" w:rsidR="003B6B88" w:rsidRPr="0091560A" w:rsidRDefault="003B6B88" w:rsidP="003B6B8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1157</w:t>
            </w:r>
          </w:p>
        </w:tc>
      </w:tr>
      <w:tr w:rsidR="003B6B88" w:rsidRPr="0091560A" w14:paraId="38C6F17D" w14:textId="77777777" w:rsidTr="00C3020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2" w:type="dxa"/>
            <w:noWrap/>
            <w:hideMark/>
          </w:tcPr>
          <w:p w14:paraId="14309628" w14:textId="77777777" w:rsidR="003B6B88" w:rsidRPr="0091560A" w:rsidRDefault="003B6B88" w:rsidP="003B6B88">
            <w:pPr>
              <w:jc w:val="right"/>
              <w:rPr>
                <w:rFonts w:eastAsia="Times New Roman" w:cs="Times New Roman"/>
                <w:color w:val="000000"/>
                <w:lang w:eastAsia="en-AU"/>
              </w:rPr>
            </w:pPr>
          </w:p>
        </w:tc>
        <w:tc>
          <w:tcPr>
            <w:tcW w:w="7291" w:type="dxa"/>
            <w:noWrap/>
            <w:hideMark/>
          </w:tcPr>
          <w:p w14:paraId="26FD2871" w14:textId="273BC414" w:rsidR="003B6B88" w:rsidRPr="0091560A" w:rsidRDefault="00AA5B43" w:rsidP="003B6B8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 xml:space="preserve">NCIS </w:t>
            </w:r>
            <w:r w:rsidR="003B6B88" w:rsidRPr="0091560A">
              <w:rPr>
                <w:rFonts w:eastAsia="Times New Roman" w:cs="Times New Roman"/>
                <w:color w:val="000000"/>
                <w:lang w:eastAsia="en-AU"/>
              </w:rPr>
              <w:t>Ibuprofen listed in Cause of Death (all levels)</w:t>
            </w:r>
          </w:p>
        </w:tc>
        <w:tc>
          <w:tcPr>
            <w:tcW w:w="1559" w:type="dxa"/>
            <w:noWrap/>
            <w:hideMark/>
          </w:tcPr>
          <w:p w14:paraId="59053B76" w14:textId="77777777" w:rsidR="003B6B88" w:rsidRPr="0091560A" w:rsidRDefault="003B6B88" w:rsidP="003B6B8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36</w:t>
            </w:r>
          </w:p>
        </w:tc>
      </w:tr>
    </w:tbl>
    <w:p w14:paraId="5ACABB7F" w14:textId="5D2DB8FB" w:rsidR="003B6B88" w:rsidRPr="0091560A" w:rsidRDefault="00EE71FA">
      <w:pPr>
        <w:pStyle w:val="Tablenote"/>
      </w:pPr>
      <w:r w:rsidRPr="0091560A">
        <w:t xml:space="preserve"> * AIHW data from 2009</w:t>
      </w:r>
      <w:r w:rsidR="00E403D1" w:rsidRPr="0091560A">
        <w:t>/10 to 2019/20, whereas NCIS data from 2007/8 to 2019/2020</w:t>
      </w:r>
    </w:p>
    <w:p w14:paraId="37C5E162" w14:textId="7831349C" w:rsidR="00925A8E" w:rsidRPr="0091560A" w:rsidRDefault="00242955" w:rsidP="005246D9">
      <w:pPr>
        <w:rPr>
          <w:rFonts w:cs="Times New Roman"/>
        </w:rPr>
      </w:pPr>
      <w:r w:rsidRPr="0091560A">
        <w:rPr>
          <w:rFonts w:cs="Times New Roman"/>
        </w:rPr>
        <w:t>The changes over time in the mentions</w:t>
      </w:r>
      <w:r w:rsidR="00A128AA" w:rsidRPr="0091560A">
        <w:rPr>
          <w:rFonts w:cs="Times New Roman"/>
        </w:rPr>
        <w:t xml:space="preserve"> of causing injury</w:t>
      </w:r>
      <w:r w:rsidRPr="0091560A">
        <w:rPr>
          <w:rFonts w:cs="Times New Roman"/>
        </w:rPr>
        <w:t xml:space="preserve"> and the relative role of the three main OTC analgesics </w:t>
      </w:r>
      <w:r w:rsidR="00A128AA" w:rsidRPr="0091560A">
        <w:rPr>
          <w:rFonts w:cs="Times New Roman"/>
        </w:rPr>
        <w:t xml:space="preserve">is shown in Figure </w:t>
      </w:r>
      <w:r w:rsidR="002C74CC">
        <w:rPr>
          <w:rFonts w:cs="Times New Roman"/>
        </w:rPr>
        <w:t>10</w:t>
      </w:r>
      <w:r w:rsidR="004C66C3" w:rsidRPr="0091560A">
        <w:rPr>
          <w:rFonts w:cs="Times New Roman"/>
        </w:rPr>
        <w:t xml:space="preserve"> – noting that the ‘cau</w:t>
      </w:r>
      <w:r w:rsidR="00923F31" w:rsidRPr="0091560A">
        <w:rPr>
          <w:rFonts w:cs="Times New Roman"/>
        </w:rPr>
        <w:t>s</w:t>
      </w:r>
      <w:r w:rsidR="004C66C3" w:rsidRPr="0091560A">
        <w:rPr>
          <w:rFonts w:cs="Times New Roman"/>
        </w:rPr>
        <w:t>e of death</w:t>
      </w:r>
      <w:r w:rsidR="00923F31" w:rsidRPr="0091560A">
        <w:rPr>
          <w:rFonts w:cs="Times New Roman"/>
        </w:rPr>
        <w:t xml:space="preserve">’ </w:t>
      </w:r>
      <w:r w:rsidR="004C66C3" w:rsidRPr="0091560A">
        <w:rPr>
          <w:rFonts w:cs="Times New Roman"/>
        </w:rPr>
        <w:t>rates</w:t>
      </w:r>
      <w:r w:rsidR="00923F31" w:rsidRPr="0091560A">
        <w:rPr>
          <w:rFonts w:cs="Times New Roman"/>
        </w:rPr>
        <w:t xml:space="preserve"> for these drugs are roughly one tenth of these figures (and such small annual numbers cannot be shown under the terms of NCIS access). </w:t>
      </w:r>
    </w:p>
    <w:p w14:paraId="22191230" w14:textId="397B54AA" w:rsidR="00F3497B" w:rsidRDefault="00F3497B" w:rsidP="00B02649">
      <w:r>
        <w:rPr>
          <w:noProof/>
        </w:rPr>
        <w:drawing>
          <wp:inline distT="0" distB="0" distL="0" distR="0" wp14:anchorId="5CCAF107" wp14:editId="40A14EA2">
            <wp:extent cx="5767705" cy="2924175"/>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85" t="3293" r="2324" b="4788"/>
                    <a:stretch/>
                  </pic:blipFill>
                  <pic:spPr bwMode="auto">
                    <a:xfrm>
                      <a:off x="0" y="0"/>
                      <a:ext cx="5809801" cy="2945517"/>
                    </a:xfrm>
                    <a:prstGeom prst="rect">
                      <a:avLst/>
                    </a:prstGeom>
                    <a:noFill/>
                    <a:ln>
                      <a:noFill/>
                    </a:ln>
                    <a:extLst>
                      <a:ext uri="{53640926-AAD7-44D8-BBD7-CCE9431645EC}">
                        <a14:shadowObscured xmlns:a14="http://schemas.microsoft.com/office/drawing/2010/main"/>
                      </a:ext>
                    </a:extLst>
                  </pic:spPr>
                </pic:pic>
              </a:graphicData>
            </a:graphic>
          </wp:inline>
        </w:drawing>
      </w:r>
    </w:p>
    <w:p w14:paraId="7BE28219" w14:textId="53922300" w:rsidR="00A26310" w:rsidRPr="0091560A" w:rsidRDefault="00A26310" w:rsidP="008F2349">
      <w:pPr>
        <w:pStyle w:val="FigureCaption"/>
      </w:pPr>
      <w:bookmarkStart w:id="39" w:name="_Toc114559971"/>
      <w:r w:rsidRPr="0091560A">
        <w:t xml:space="preserve">Figure </w:t>
      </w:r>
      <w:r>
        <w:fldChar w:fldCharType="begin"/>
      </w:r>
      <w:r>
        <w:instrText>SEQ Figure \* ARABIC</w:instrText>
      </w:r>
      <w:r>
        <w:fldChar w:fldCharType="separate"/>
      </w:r>
      <w:r w:rsidR="0091734E">
        <w:rPr>
          <w:noProof/>
        </w:rPr>
        <w:t>10</w:t>
      </w:r>
      <w:r>
        <w:fldChar w:fldCharType="end"/>
      </w:r>
      <w:r w:rsidR="00477814" w:rsidRPr="0091560A">
        <w:t>.</w:t>
      </w:r>
      <w:r w:rsidR="00477814" w:rsidRPr="0091560A" w:rsidDel="00E966CC">
        <w:t xml:space="preserve"> </w:t>
      </w:r>
      <w:r w:rsidRPr="0091560A">
        <w:t>NCIS deaths</w:t>
      </w:r>
      <w:r w:rsidR="00FE570B" w:rsidRPr="0091560A">
        <w:t xml:space="preserve"> where OTC analgesics are listed as </w:t>
      </w:r>
      <w:r w:rsidR="00925A8E" w:rsidRPr="0091560A">
        <w:t>‘pharmaceutical agents causing injury’</w:t>
      </w:r>
      <w:bookmarkEnd w:id="39"/>
    </w:p>
    <w:p w14:paraId="5BB20AF5" w14:textId="57D1B028" w:rsidR="00C66C00" w:rsidRPr="0091560A" w:rsidRDefault="00C66C00" w:rsidP="005246D9">
      <w:pPr>
        <w:rPr>
          <w:rFonts w:cs="Times New Roman"/>
        </w:rPr>
      </w:pPr>
    </w:p>
    <w:p w14:paraId="4E81FC32" w14:textId="7BED1A11" w:rsidR="002E054F" w:rsidRPr="0091560A" w:rsidRDefault="001B7C60" w:rsidP="001B7C60">
      <w:pPr>
        <w:rPr>
          <w:rFonts w:cs="Times New Roman"/>
        </w:rPr>
      </w:pPr>
      <w:r w:rsidRPr="0091560A">
        <w:rPr>
          <w:rFonts w:cs="Times New Roman"/>
        </w:rPr>
        <w:t xml:space="preserve">The </w:t>
      </w:r>
      <w:r w:rsidR="00EC2827" w:rsidRPr="0091560A">
        <w:rPr>
          <w:rFonts w:cs="Times New Roman"/>
        </w:rPr>
        <w:t xml:space="preserve">annual </w:t>
      </w:r>
      <w:r w:rsidRPr="0091560A">
        <w:rPr>
          <w:rFonts w:cs="Times New Roman"/>
        </w:rPr>
        <w:t xml:space="preserve">number of deaths </w:t>
      </w:r>
      <w:r w:rsidR="001D641D">
        <w:rPr>
          <w:rFonts w:cs="Times New Roman"/>
        </w:rPr>
        <w:t xml:space="preserve">attributed to paracetamol poisoning is around </w:t>
      </w:r>
      <w:r w:rsidR="00884CCF">
        <w:rPr>
          <w:rFonts w:cs="Times New Roman"/>
        </w:rPr>
        <w:t xml:space="preserve">40 to </w:t>
      </w:r>
      <w:r w:rsidR="001D641D">
        <w:rPr>
          <w:rFonts w:cs="Times New Roman"/>
        </w:rPr>
        <w:t>50</w:t>
      </w:r>
      <w:r w:rsidR="00884CCF">
        <w:rPr>
          <w:rFonts w:cs="Times New Roman"/>
        </w:rPr>
        <w:t xml:space="preserve"> and those </w:t>
      </w:r>
      <w:r w:rsidRPr="0091560A">
        <w:rPr>
          <w:rFonts w:cs="Times New Roman"/>
        </w:rPr>
        <w:t xml:space="preserve">due to </w:t>
      </w:r>
      <w:r w:rsidR="00923EB0">
        <w:rPr>
          <w:rFonts w:cs="Times New Roman"/>
        </w:rPr>
        <w:t xml:space="preserve">liver failure from </w:t>
      </w:r>
      <w:r w:rsidRPr="0091560A">
        <w:rPr>
          <w:rFonts w:cs="Times New Roman"/>
        </w:rPr>
        <w:t xml:space="preserve">paracetamol poisoning </w:t>
      </w:r>
      <w:r w:rsidR="00884CCF">
        <w:rPr>
          <w:rFonts w:cs="Times New Roman"/>
        </w:rPr>
        <w:t>are</w:t>
      </w:r>
      <w:r w:rsidR="00EC2827" w:rsidRPr="0091560A">
        <w:rPr>
          <w:rFonts w:cs="Times New Roman"/>
        </w:rPr>
        <w:t xml:space="preserve"> around 20 </w:t>
      </w:r>
      <w:r w:rsidR="00515B86" w:rsidRPr="0091560A">
        <w:rPr>
          <w:rFonts w:cs="Times New Roman"/>
        </w:rPr>
        <w:t>and the data show no substantive change over time</w:t>
      </w:r>
      <w:r w:rsidR="00FA4A69">
        <w:rPr>
          <w:rFonts w:cs="Times New Roman"/>
        </w:rPr>
        <w:t xml:space="preserve"> </w:t>
      </w:r>
      <w:r w:rsidR="002C74CC">
        <w:rPr>
          <w:rFonts w:cs="Times New Roman"/>
        </w:rPr>
        <w:t>(Figure 11)</w:t>
      </w:r>
      <w:r w:rsidR="00FA4A69">
        <w:rPr>
          <w:rFonts w:cs="Times New Roman"/>
        </w:rPr>
        <w:t>.</w:t>
      </w:r>
      <w:r w:rsidR="00515B86" w:rsidRPr="0091560A">
        <w:rPr>
          <w:rFonts w:cs="Times New Roman"/>
        </w:rPr>
        <w:t xml:space="preserve"> </w:t>
      </w:r>
      <w:r w:rsidR="002C74CC">
        <w:rPr>
          <w:rFonts w:cs="Times New Roman"/>
        </w:rPr>
        <w:t>[</w:t>
      </w:r>
      <w:r w:rsidR="00515B86" w:rsidRPr="0091560A">
        <w:rPr>
          <w:rFonts w:cs="Times New Roman"/>
        </w:rPr>
        <w:t>Note that the most recent year</w:t>
      </w:r>
      <w:r w:rsidR="007B48A0" w:rsidRPr="0091560A">
        <w:rPr>
          <w:rFonts w:cs="Times New Roman"/>
        </w:rPr>
        <w:t>s</w:t>
      </w:r>
      <w:r w:rsidR="00515B86" w:rsidRPr="0091560A">
        <w:rPr>
          <w:rFonts w:cs="Times New Roman"/>
        </w:rPr>
        <w:t xml:space="preserve"> </w:t>
      </w:r>
      <w:r w:rsidR="008D3662" w:rsidRPr="0091560A">
        <w:rPr>
          <w:rFonts w:cs="Times New Roman"/>
        </w:rPr>
        <w:t xml:space="preserve">shown for NCIS (2019-2020) appear lower but it is likely there were </w:t>
      </w:r>
      <w:r w:rsidR="00EE0BFD" w:rsidRPr="0091560A">
        <w:rPr>
          <w:rFonts w:cs="Times New Roman"/>
        </w:rPr>
        <w:t>some</w:t>
      </w:r>
      <w:r w:rsidR="008D3662" w:rsidRPr="0091560A">
        <w:rPr>
          <w:rFonts w:cs="Times New Roman"/>
        </w:rPr>
        <w:t xml:space="preserve"> cases where the cause of death had not been finalised</w:t>
      </w:r>
      <w:r w:rsidR="00515B86" w:rsidRPr="0091560A">
        <w:rPr>
          <w:rFonts w:cs="Times New Roman"/>
        </w:rPr>
        <w:t xml:space="preserve"> </w:t>
      </w:r>
      <w:r w:rsidR="00EE0BFD" w:rsidRPr="0091560A">
        <w:rPr>
          <w:rFonts w:cs="Times New Roman"/>
        </w:rPr>
        <w:t>as this may take more than two years.</w:t>
      </w:r>
      <w:r w:rsidR="002C74CC">
        <w:rPr>
          <w:rFonts w:cs="Times New Roman"/>
        </w:rPr>
        <w:t>]</w:t>
      </w:r>
      <w:r w:rsidR="000E4B30" w:rsidRPr="0091560A">
        <w:rPr>
          <w:rFonts w:cs="Times New Roman"/>
        </w:rPr>
        <w:t xml:space="preserve"> Many of these deaths occur in hospital </w:t>
      </w:r>
      <w:r w:rsidR="00AC0ECC" w:rsidRPr="0091560A">
        <w:rPr>
          <w:rFonts w:cs="Times New Roman"/>
        </w:rPr>
        <w:t xml:space="preserve">and it is likely there is very substantial overlap in the two sets of data, but we have not attempted to reconcile </w:t>
      </w:r>
      <w:r w:rsidR="00360A0D" w:rsidRPr="0091560A">
        <w:rPr>
          <w:rFonts w:cs="Times New Roman"/>
        </w:rPr>
        <w:t xml:space="preserve">the individuals in the data. The higher annual estimates </w:t>
      </w:r>
      <w:r w:rsidR="00BB3601" w:rsidRPr="0091560A">
        <w:rPr>
          <w:rFonts w:cs="Times New Roman"/>
        </w:rPr>
        <w:t>of around 50 deaths</w:t>
      </w:r>
      <w:r w:rsidR="00B8241B" w:rsidRPr="0091560A">
        <w:rPr>
          <w:rFonts w:cs="Times New Roman"/>
        </w:rPr>
        <w:t>,</w:t>
      </w:r>
      <w:r w:rsidR="00BB3601" w:rsidRPr="0091560A">
        <w:rPr>
          <w:rFonts w:cs="Times New Roman"/>
        </w:rPr>
        <w:t xml:space="preserve"> </w:t>
      </w:r>
      <w:r w:rsidR="00A8172F" w:rsidRPr="0091560A">
        <w:rPr>
          <w:rFonts w:cs="Times New Roman"/>
        </w:rPr>
        <w:t>for both AIHW and NCIS</w:t>
      </w:r>
      <w:r w:rsidR="00B8241B" w:rsidRPr="0091560A">
        <w:rPr>
          <w:rFonts w:cs="Times New Roman"/>
        </w:rPr>
        <w:t>,</w:t>
      </w:r>
      <w:r w:rsidR="00A8172F" w:rsidRPr="0091560A">
        <w:rPr>
          <w:rFonts w:cs="Times New Roman"/>
        </w:rPr>
        <w:t xml:space="preserve"> </w:t>
      </w:r>
      <w:r w:rsidR="001134F1" w:rsidRPr="0091560A">
        <w:rPr>
          <w:rFonts w:cs="Times New Roman"/>
        </w:rPr>
        <w:t xml:space="preserve">are </w:t>
      </w:r>
      <w:r w:rsidR="004B0A37" w:rsidRPr="0091560A">
        <w:rPr>
          <w:rFonts w:cs="Times New Roman"/>
        </w:rPr>
        <w:t xml:space="preserve">both </w:t>
      </w:r>
      <w:r w:rsidR="001134F1" w:rsidRPr="0091560A">
        <w:rPr>
          <w:rFonts w:cs="Times New Roman"/>
        </w:rPr>
        <w:t xml:space="preserve">likely to include many cases where </w:t>
      </w:r>
      <w:r w:rsidR="00477814" w:rsidRPr="0091560A">
        <w:rPr>
          <w:rFonts w:cs="Times New Roman"/>
        </w:rPr>
        <w:t>paracetamol was ingested in the poisoning</w:t>
      </w:r>
      <w:r w:rsidR="00AE27E3">
        <w:rPr>
          <w:rFonts w:cs="Times New Roman"/>
        </w:rPr>
        <w:t>,</w:t>
      </w:r>
      <w:r w:rsidR="00477814" w:rsidRPr="0091560A">
        <w:rPr>
          <w:rFonts w:cs="Times New Roman"/>
        </w:rPr>
        <w:t xml:space="preserve"> but </w:t>
      </w:r>
      <w:r w:rsidR="001134F1" w:rsidRPr="0091560A">
        <w:rPr>
          <w:rFonts w:cs="Times New Roman"/>
        </w:rPr>
        <w:t>other co</w:t>
      </w:r>
      <w:r w:rsidR="00477814" w:rsidRPr="0091560A">
        <w:rPr>
          <w:rFonts w:cs="Times New Roman"/>
        </w:rPr>
        <w:t>-</w:t>
      </w:r>
      <w:r w:rsidR="001134F1" w:rsidRPr="0091560A">
        <w:rPr>
          <w:rFonts w:cs="Times New Roman"/>
        </w:rPr>
        <w:t>ingested agents contributed largely or entirely to the mode of death</w:t>
      </w:r>
      <w:r w:rsidR="00477814" w:rsidRPr="0091560A">
        <w:rPr>
          <w:rFonts w:cs="Times New Roman"/>
        </w:rPr>
        <w:t>.</w:t>
      </w:r>
    </w:p>
    <w:p w14:paraId="030D5C8E" w14:textId="77777777" w:rsidR="00B02649" w:rsidRDefault="00F3497B" w:rsidP="00B02649">
      <w:r>
        <w:rPr>
          <w:noProof/>
        </w:rPr>
        <w:drawing>
          <wp:inline distT="0" distB="0" distL="0" distR="0" wp14:anchorId="620E63DB" wp14:editId="674C5A65">
            <wp:extent cx="5866967" cy="2257425"/>
            <wp:effectExtent l="0" t="0" r="0" b="0"/>
            <wp:docPr id="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8562" cy="2258039"/>
                    </a:xfrm>
                    <a:prstGeom prst="rect">
                      <a:avLst/>
                    </a:prstGeom>
                    <a:noFill/>
                  </pic:spPr>
                </pic:pic>
              </a:graphicData>
            </a:graphic>
          </wp:inline>
        </w:drawing>
      </w:r>
    </w:p>
    <w:p w14:paraId="53D0A6E8" w14:textId="088B9EB1" w:rsidR="0059188D" w:rsidRPr="0091560A" w:rsidRDefault="0059188D" w:rsidP="00B02649">
      <w:pPr>
        <w:pStyle w:val="FigureCaption"/>
      </w:pPr>
      <w:bookmarkStart w:id="40" w:name="_Toc114559972"/>
      <w:r w:rsidRPr="0091560A">
        <w:t xml:space="preserve">Figure </w:t>
      </w:r>
      <w:r>
        <w:fldChar w:fldCharType="begin"/>
      </w:r>
      <w:r>
        <w:instrText>SEQ Figure \* ARABIC</w:instrText>
      </w:r>
      <w:r>
        <w:fldChar w:fldCharType="separate"/>
      </w:r>
      <w:r w:rsidR="0091734E">
        <w:rPr>
          <w:noProof/>
        </w:rPr>
        <w:t>11</w:t>
      </w:r>
      <w:r>
        <w:fldChar w:fldCharType="end"/>
      </w:r>
      <w:r w:rsidRPr="0091560A">
        <w:t>.</w:t>
      </w:r>
      <w:r w:rsidRPr="0091560A" w:rsidDel="00A26087">
        <w:t xml:space="preserve"> </w:t>
      </w:r>
      <w:r w:rsidRPr="0091560A">
        <w:t>High and low estimates on in-hospital (AIHW) and total (NCIS) deaths</w:t>
      </w:r>
      <w:bookmarkEnd w:id="40"/>
    </w:p>
    <w:p w14:paraId="5E081466" w14:textId="0E124C66" w:rsidR="009C0D00" w:rsidRDefault="0002741D">
      <w:pPr>
        <w:pStyle w:val="Heading2"/>
      </w:pPr>
      <w:bookmarkStart w:id="41" w:name="_Toc112843913"/>
      <w:r>
        <w:t xml:space="preserve">2.4 </w:t>
      </w:r>
      <w:r w:rsidR="007833C9">
        <w:t xml:space="preserve">Poisoning </w:t>
      </w:r>
      <w:r w:rsidR="00C94B1B">
        <w:t xml:space="preserve">cases - </w:t>
      </w:r>
      <w:r w:rsidR="009C0D00" w:rsidRPr="0091560A">
        <w:t xml:space="preserve">NSW PIC </w:t>
      </w:r>
      <w:r w:rsidR="00F119E9">
        <w:t xml:space="preserve">and total Australian PIC </w:t>
      </w:r>
      <w:r w:rsidR="009C0D00" w:rsidRPr="0091560A">
        <w:t>calls</w:t>
      </w:r>
      <w:bookmarkEnd w:id="41"/>
    </w:p>
    <w:tbl>
      <w:tblPr>
        <w:tblStyle w:val="TableGrid"/>
        <w:tblW w:w="0" w:type="auto"/>
        <w:shd w:val="clear" w:color="auto" w:fill="EDEDED" w:themeFill="accent3" w:themeFillTint="33"/>
        <w:tblLook w:val="04A0" w:firstRow="1" w:lastRow="0" w:firstColumn="1" w:lastColumn="0" w:noHBand="0" w:noVBand="1"/>
      </w:tblPr>
      <w:tblGrid>
        <w:gridCol w:w="9016"/>
      </w:tblGrid>
      <w:tr w:rsidR="007A2ADB" w14:paraId="675C9498" w14:textId="77777777" w:rsidTr="4C223402">
        <w:tc>
          <w:tcPr>
            <w:tcW w:w="9016" w:type="dxa"/>
            <w:shd w:val="clear" w:color="auto" w:fill="EDEDED" w:themeFill="accent3" w:themeFillTint="33"/>
          </w:tcPr>
          <w:p w14:paraId="40852454" w14:textId="634A7B18" w:rsidR="003909D0" w:rsidRDefault="00EA3124" w:rsidP="003909D0">
            <w:pPr>
              <w:pStyle w:val="ListParagraph"/>
              <w:numPr>
                <w:ilvl w:val="0"/>
                <w:numId w:val="76"/>
              </w:numPr>
              <w:spacing w:after="120" w:line="259" w:lineRule="auto"/>
              <w:ind w:left="357" w:hanging="357"/>
              <w:contextualSpacing w:val="0"/>
            </w:pPr>
            <w:r>
              <w:t>P</w:t>
            </w:r>
            <w:r w:rsidR="00A554C5">
              <w:t>aracetamol poisoning events</w:t>
            </w:r>
            <w:r w:rsidR="00333B2E">
              <w:t xml:space="preserve"> (</w:t>
            </w:r>
            <w:r w:rsidR="00FB60DA">
              <w:t>particularly</w:t>
            </w:r>
            <w:r w:rsidR="00241EF8">
              <w:t xml:space="preserve"> intentional poisonings)</w:t>
            </w:r>
            <w:r w:rsidR="00C92889">
              <w:t xml:space="preserve"> </w:t>
            </w:r>
            <w:r w:rsidR="00243AF2">
              <w:t xml:space="preserve">reported to NSW PIC </w:t>
            </w:r>
            <w:r>
              <w:t xml:space="preserve">steadily increased </w:t>
            </w:r>
            <w:r w:rsidR="00363DFD">
              <w:t>from</w:t>
            </w:r>
            <w:r w:rsidR="00243AF2">
              <w:t xml:space="preserve"> 201</w:t>
            </w:r>
            <w:r w:rsidR="00F2268A">
              <w:t xml:space="preserve">1 to 2021. </w:t>
            </w:r>
            <w:r w:rsidR="00467C38">
              <w:t>T</w:t>
            </w:r>
            <w:r w:rsidR="00C92889">
              <w:t>h</w:t>
            </w:r>
            <w:r w:rsidR="009117E9">
              <w:t>e</w:t>
            </w:r>
            <w:r w:rsidR="00C92889">
              <w:t xml:space="preserve"> </w:t>
            </w:r>
            <w:r w:rsidR="00467C38">
              <w:t>increase</w:t>
            </w:r>
            <w:r w:rsidR="009117E9">
              <w:t xml:space="preserve"> was</w:t>
            </w:r>
            <w:r w:rsidR="00C92889">
              <w:t xml:space="preserve"> considerably greater than changes in </w:t>
            </w:r>
            <w:r w:rsidR="00E76644">
              <w:t>poisonings from all sources</w:t>
            </w:r>
            <w:r w:rsidR="00C92889">
              <w:t>, medicine exposures or total analgesic exposures.</w:t>
            </w:r>
            <w:r w:rsidR="003909D0">
              <w:t xml:space="preserve"> </w:t>
            </w:r>
          </w:p>
          <w:p w14:paraId="04C7B1F0" w14:textId="2940EC8B" w:rsidR="003909D0" w:rsidRDefault="00A36A0C" w:rsidP="003909D0">
            <w:pPr>
              <w:pStyle w:val="ListParagraph"/>
              <w:numPr>
                <w:ilvl w:val="0"/>
                <w:numId w:val="76"/>
              </w:numPr>
              <w:spacing w:after="120" w:line="259" w:lineRule="auto"/>
              <w:ind w:left="357" w:hanging="357"/>
              <w:contextualSpacing w:val="0"/>
            </w:pPr>
            <w:r>
              <w:t>Paracetamol poisoning events</w:t>
            </w:r>
            <w:r w:rsidR="00AA741D">
              <w:t>, particularly intentional poisonings,</w:t>
            </w:r>
            <w:r>
              <w:t xml:space="preserve"> were </w:t>
            </w:r>
            <w:r w:rsidR="00625C80">
              <w:t>2</w:t>
            </w:r>
            <w:r w:rsidR="005700FD">
              <w:t xml:space="preserve"> to </w:t>
            </w:r>
            <w:r w:rsidR="00601A0C">
              <w:t xml:space="preserve">3-fold more </w:t>
            </w:r>
            <w:r w:rsidR="0091397C">
              <w:t>common in females</w:t>
            </w:r>
            <w:r w:rsidR="006E7961">
              <w:t xml:space="preserve"> than males</w:t>
            </w:r>
            <w:r w:rsidR="00E257D6">
              <w:t xml:space="preserve">, with </w:t>
            </w:r>
            <w:r w:rsidR="003909D0">
              <w:t>a notable increase in events involving adolescent females</w:t>
            </w:r>
            <w:r w:rsidR="00E257D6">
              <w:t xml:space="preserve"> in 2019-2021</w:t>
            </w:r>
            <w:r w:rsidR="003909D0">
              <w:t>.</w:t>
            </w:r>
          </w:p>
          <w:p w14:paraId="0701AD72" w14:textId="073F43E2" w:rsidR="002E2E70" w:rsidRDefault="17B4D198" w:rsidP="002E2E70">
            <w:pPr>
              <w:pStyle w:val="ListParagraph"/>
              <w:numPr>
                <w:ilvl w:val="0"/>
                <w:numId w:val="76"/>
              </w:numPr>
              <w:spacing w:after="120" w:line="259" w:lineRule="auto"/>
              <w:ind w:left="357" w:hanging="357"/>
            </w:pPr>
            <w:r>
              <w:t xml:space="preserve">Intentional </w:t>
            </w:r>
            <w:r w:rsidR="4E05C91F">
              <w:t xml:space="preserve">poisonings are now almost twice as common </w:t>
            </w:r>
            <w:r w:rsidR="3D08C4F9">
              <w:t>as</w:t>
            </w:r>
            <w:r w:rsidR="4E05C91F">
              <w:t xml:space="preserve"> non-intentional poisonings.</w:t>
            </w:r>
          </w:p>
          <w:p w14:paraId="23C8BF38" w14:textId="2AA7EB7C" w:rsidR="009133C7" w:rsidRPr="00646C1E" w:rsidRDefault="00360BA2" w:rsidP="00646C1E">
            <w:pPr>
              <w:pStyle w:val="ListBullet"/>
              <w:numPr>
                <w:ilvl w:val="0"/>
                <w:numId w:val="76"/>
              </w:numPr>
              <w:rPr>
                <w:rFonts w:ascii="Times New Roman" w:hAnsi="Times New Roman" w:cs="Times New Roman"/>
              </w:rPr>
            </w:pPr>
            <w:r w:rsidRPr="00230B2D">
              <w:rPr>
                <w:rFonts w:ascii="Times New Roman" w:hAnsi="Times New Roman" w:cs="Times New Roman"/>
                <w:sz w:val="24"/>
                <w:szCs w:val="24"/>
              </w:rPr>
              <w:t>P</w:t>
            </w:r>
            <w:r w:rsidR="00FC2292" w:rsidRPr="00230B2D">
              <w:rPr>
                <w:rFonts w:ascii="Times New Roman" w:hAnsi="Times New Roman" w:cs="Times New Roman"/>
                <w:sz w:val="24"/>
                <w:szCs w:val="24"/>
              </w:rPr>
              <w:t xml:space="preserve">aracetamol </w:t>
            </w:r>
            <w:r w:rsidR="005430DA" w:rsidRPr="00230B2D">
              <w:rPr>
                <w:rFonts w:ascii="Times New Roman" w:hAnsi="Times New Roman" w:cs="Times New Roman"/>
                <w:sz w:val="24"/>
                <w:szCs w:val="24"/>
              </w:rPr>
              <w:t>exposure</w:t>
            </w:r>
            <w:r w:rsidR="00D13CE0" w:rsidRPr="00230B2D">
              <w:rPr>
                <w:rFonts w:ascii="Times New Roman" w:hAnsi="Times New Roman" w:cs="Times New Roman"/>
                <w:sz w:val="24"/>
                <w:szCs w:val="24"/>
              </w:rPr>
              <w:t xml:space="preserve"> events</w:t>
            </w:r>
            <w:r w:rsidR="005430DA" w:rsidRPr="00230B2D">
              <w:rPr>
                <w:rFonts w:ascii="Times New Roman" w:hAnsi="Times New Roman" w:cs="Times New Roman"/>
                <w:sz w:val="24"/>
                <w:szCs w:val="24"/>
              </w:rPr>
              <w:t xml:space="preserve">, both intentional and non-intentional, </w:t>
            </w:r>
            <w:r w:rsidR="003B032C" w:rsidRPr="00230B2D">
              <w:rPr>
                <w:rFonts w:ascii="Times New Roman" w:hAnsi="Times New Roman" w:cs="Times New Roman"/>
                <w:sz w:val="24"/>
                <w:szCs w:val="24"/>
              </w:rPr>
              <w:t xml:space="preserve">due to products </w:t>
            </w:r>
            <w:r w:rsidR="0009390D" w:rsidRPr="00230B2D">
              <w:rPr>
                <w:rFonts w:ascii="Times New Roman" w:hAnsi="Times New Roman" w:cs="Times New Roman"/>
                <w:sz w:val="24"/>
                <w:szCs w:val="24"/>
              </w:rPr>
              <w:t xml:space="preserve">in which </w:t>
            </w:r>
            <w:r w:rsidRPr="00230B2D">
              <w:rPr>
                <w:rFonts w:ascii="Times New Roman" w:hAnsi="Times New Roman" w:cs="Times New Roman"/>
                <w:sz w:val="24"/>
                <w:szCs w:val="24"/>
              </w:rPr>
              <w:t xml:space="preserve">paracetamol was </w:t>
            </w:r>
            <w:r w:rsidR="00A828F9" w:rsidRPr="00230B2D">
              <w:rPr>
                <w:rFonts w:ascii="Times New Roman" w:hAnsi="Times New Roman" w:cs="Times New Roman"/>
                <w:sz w:val="24"/>
                <w:szCs w:val="24"/>
              </w:rPr>
              <w:t xml:space="preserve">the only active ingredient </w:t>
            </w:r>
            <w:r w:rsidR="005430DA" w:rsidRPr="00230B2D">
              <w:rPr>
                <w:rFonts w:ascii="Times New Roman" w:hAnsi="Times New Roman" w:cs="Times New Roman"/>
                <w:sz w:val="24"/>
                <w:szCs w:val="24"/>
              </w:rPr>
              <w:t xml:space="preserve">were </w:t>
            </w:r>
            <w:r w:rsidR="00FC2292" w:rsidRPr="00230B2D">
              <w:rPr>
                <w:rFonts w:ascii="Times New Roman" w:hAnsi="Times New Roman" w:cs="Times New Roman"/>
                <w:sz w:val="24"/>
                <w:szCs w:val="24"/>
              </w:rPr>
              <w:t>more common and increas</w:t>
            </w:r>
            <w:r w:rsidR="005430DA" w:rsidRPr="00230B2D">
              <w:rPr>
                <w:rFonts w:ascii="Times New Roman" w:hAnsi="Times New Roman" w:cs="Times New Roman"/>
                <w:sz w:val="24"/>
                <w:szCs w:val="24"/>
              </w:rPr>
              <w:t>ed</w:t>
            </w:r>
            <w:r w:rsidR="00FC2292" w:rsidRPr="00230B2D">
              <w:rPr>
                <w:rFonts w:ascii="Times New Roman" w:hAnsi="Times New Roman" w:cs="Times New Roman"/>
                <w:sz w:val="24"/>
                <w:szCs w:val="24"/>
              </w:rPr>
              <w:t xml:space="preserve"> to a greater extent</w:t>
            </w:r>
            <w:r w:rsidR="00F66F48" w:rsidRPr="00230B2D">
              <w:rPr>
                <w:rFonts w:ascii="Times New Roman" w:hAnsi="Times New Roman" w:cs="Times New Roman"/>
                <w:sz w:val="24"/>
                <w:szCs w:val="24"/>
              </w:rPr>
              <w:t xml:space="preserve"> than</w:t>
            </w:r>
            <w:r w:rsidR="00EA50C8" w:rsidRPr="00230B2D">
              <w:rPr>
                <w:rFonts w:ascii="Times New Roman" w:hAnsi="Times New Roman" w:cs="Times New Roman"/>
                <w:sz w:val="24"/>
                <w:szCs w:val="24"/>
              </w:rPr>
              <w:t xml:space="preserve"> </w:t>
            </w:r>
            <w:r w:rsidR="00846D55" w:rsidRPr="00230B2D">
              <w:rPr>
                <w:rFonts w:ascii="Times New Roman" w:hAnsi="Times New Roman" w:cs="Times New Roman"/>
                <w:sz w:val="24"/>
                <w:szCs w:val="24"/>
              </w:rPr>
              <w:t xml:space="preserve">for </w:t>
            </w:r>
            <w:r w:rsidR="00AA741D" w:rsidRPr="00230B2D">
              <w:rPr>
                <w:rFonts w:ascii="Times New Roman" w:hAnsi="Times New Roman" w:cs="Times New Roman"/>
                <w:sz w:val="24"/>
                <w:szCs w:val="24"/>
              </w:rPr>
              <w:t xml:space="preserve">combination </w:t>
            </w:r>
            <w:r w:rsidR="00846D55" w:rsidRPr="00230B2D">
              <w:rPr>
                <w:rFonts w:ascii="Times New Roman" w:hAnsi="Times New Roman" w:cs="Times New Roman"/>
                <w:sz w:val="24"/>
                <w:szCs w:val="24"/>
              </w:rPr>
              <w:t xml:space="preserve">products </w:t>
            </w:r>
            <w:r w:rsidR="00B563B5" w:rsidRPr="00230B2D">
              <w:rPr>
                <w:rFonts w:ascii="Times New Roman" w:hAnsi="Times New Roman" w:cs="Times New Roman"/>
                <w:sz w:val="24"/>
                <w:szCs w:val="24"/>
              </w:rPr>
              <w:t>containing paracetamol along with other active ingredients,</w:t>
            </w:r>
            <w:r w:rsidR="00FC2292" w:rsidRPr="00230B2D">
              <w:rPr>
                <w:rFonts w:ascii="Times New Roman" w:hAnsi="Times New Roman" w:cs="Times New Roman"/>
                <w:sz w:val="24"/>
                <w:szCs w:val="24"/>
              </w:rPr>
              <w:t xml:space="preserve"> </w:t>
            </w:r>
            <w:r w:rsidR="00AB1583" w:rsidRPr="00230B2D">
              <w:rPr>
                <w:rFonts w:ascii="Times New Roman" w:hAnsi="Times New Roman" w:cs="Times New Roman"/>
                <w:sz w:val="24"/>
                <w:szCs w:val="24"/>
              </w:rPr>
              <w:t>particularly in young people.</w:t>
            </w:r>
            <w:r w:rsidR="00AA741D" w:rsidRPr="00230B2D">
              <w:rPr>
                <w:rFonts w:ascii="Times New Roman" w:hAnsi="Times New Roman" w:cs="Times New Roman"/>
                <w:sz w:val="24"/>
                <w:szCs w:val="24"/>
              </w:rPr>
              <w:t xml:space="preserve"> </w:t>
            </w:r>
            <w:r w:rsidR="00A11A00" w:rsidRPr="00230B2D">
              <w:rPr>
                <w:rFonts w:ascii="Times New Roman" w:hAnsi="Times New Roman" w:cs="Times New Roman"/>
                <w:sz w:val="24"/>
                <w:szCs w:val="24"/>
              </w:rPr>
              <w:t>Intentional exposures with c</w:t>
            </w:r>
            <w:r w:rsidR="00263A90" w:rsidRPr="00230B2D">
              <w:rPr>
                <w:rFonts w:ascii="Times New Roman" w:hAnsi="Times New Roman" w:cs="Times New Roman"/>
                <w:sz w:val="24"/>
                <w:szCs w:val="24"/>
              </w:rPr>
              <w:t xml:space="preserve">ombination products </w:t>
            </w:r>
            <w:r w:rsidR="00AA741D" w:rsidRPr="00230B2D">
              <w:rPr>
                <w:rFonts w:ascii="Times New Roman" w:hAnsi="Times New Roman" w:cs="Times New Roman"/>
                <w:sz w:val="24"/>
                <w:szCs w:val="24"/>
              </w:rPr>
              <w:t>have been</w:t>
            </w:r>
            <w:r w:rsidR="00263A90" w:rsidRPr="00230B2D">
              <w:rPr>
                <w:rFonts w:ascii="Times New Roman" w:hAnsi="Times New Roman" w:cs="Times New Roman"/>
                <w:sz w:val="24"/>
                <w:szCs w:val="24"/>
              </w:rPr>
              <w:t xml:space="preserve"> decreasing </w:t>
            </w:r>
            <w:r w:rsidR="00A11A00" w:rsidRPr="00230B2D">
              <w:rPr>
                <w:rFonts w:ascii="Times New Roman" w:hAnsi="Times New Roman" w:cs="Times New Roman"/>
                <w:sz w:val="24"/>
                <w:szCs w:val="24"/>
              </w:rPr>
              <w:t>and appear to be far less</w:t>
            </w:r>
            <w:r w:rsidR="00823521" w:rsidRPr="00230B2D">
              <w:rPr>
                <w:rFonts w:ascii="Times New Roman" w:hAnsi="Times New Roman" w:cs="Times New Roman"/>
                <w:sz w:val="24"/>
                <w:szCs w:val="24"/>
              </w:rPr>
              <w:t xml:space="preserve"> likely to be ingested by young people.</w:t>
            </w:r>
          </w:p>
        </w:tc>
      </w:tr>
    </w:tbl>
    <w:p w14:paraId="0BFB3AA8" w14:textId="77777777" w:rsidR="007A2ADB" w:rsidRPr="00061434" w:rsidRDefault="007A2ADB" w:rsidP="00061434"/>
    <w:p w14:paraId="1C89EABF" w14:textId="06F86E0F" w:rsidR="00670BDA" w:rsidRPr="0091560A" w:rsidRDefault="550F9434" w:rsidP="003762B8">
      <w:pPr>
        <w:rPr>
          <w:rFonts w:cs="Times New Roman"/>
        </w:rPr>
      </w:pPr>
      <w:r w:rsidRPr="11F138D4">
        <w:rPr>
          <w:rFonts w:cs="Times New Roman"/>
        </w:rPr>
        <w:t>Th</w:t>
      </w:r>
      <w:r w:rsidR="6F5C5AAB" w:rsidRPr="11F138D4">
        <w:rPr>
          <w:rFonts w:cs="Times New Roman"/>
        </w:rPr>
        <w:t xml:space="preserve">is section </w:t>
      </w:r>
      <w:r w:rsidR="31969DCC" w:rsidRPr="11F138D4">
        <w:rPr>
          <w:rFonts w:cs="Times New Roman"/>
        </w:rPr>
        <w:t>provides several sources of information from p</w:t>
      </w:r>
      <w:r w:rsidR="6F5C5AAB" w:rsidRPr="11F138D4">
        <w:rPr>
          <w:rFonts w:cs="Times New Roman"/>
        </w:rPr>
        <w:t>oisoning call data from the New South Wales Poisons Information</w:t>
      </w:r>
      <w:r w:rsidR="31969DCC" w:rsidRPr="11F138D4">
        <w:rPr>
          <w:rFonts w:cs="Times New Roman"/>
        </w:rPr>
        <w:t xml:space="preserve"> </w:t>
      </w:r>
      <w:r w:rsidR="6F5C5AAB" w:rsidRPr="11F138D4">
        <w:rPr>
          <w:rFonts w:cs="Times New Roman"/>
        </w:rPr>
        <w:t>Centre (NSW</w:t>
      </w:r>
      <w:r w:rsidR="31969DCC" w:rsidRPr="11F138D4">
        <w:rPr>
          <w:rFonts w:cs="Times New Roman"/>
        </w:rPr>
        <w:t xml:space="preserve"> </w:t>
      </w:r>
      <w:r w:rsidR="6F5C5AAB" w:rsidRPr="11F138D4">
        <w:rPr>
          <w:rFonts w:cs="Times New Roman"/>
        </w:rPr>
        <w:t>PIC). NSW</w:t>
      </w:r>
      <w:r w:rsidR="31969DCC" w:rsidRPr="11F138D4">
        <w:rPr>
          <w:rFonts w:cs="Times New Roman"/>
        </w:rPr>
        <w:t xml:space="preserve"> </w:t>
      </w:r>
      <w:r w:rsidR="6F5C5AAB" w:rsidRPr="11F138D4">
        <w:rPr>
          <w:rFonts w:cs="Times New Roman"/>
        </w:rPr>
        <w:t>PIC is Australia’s largest PIC, taking</w:t>
      </w:r>
      <w:r w:rsidR="31969DCC" w:rsidRPr="11F138D4">
        <w:rPr>
          <w:rFonts w:cs="Times New Roman"/>
        </w:rPr>
        <w:t xml:space="preserve"> nearly </w:t>
      </w:r>
      <w:r w:rsidR="6F5C5AAB" w:rsidRPr="11F138D4">
        <w:rPr>
          <w:rFonts w:cs="Times New Roman"/>
        </w:rPr>
        <w:t>50%</w:t>
      </w:r>
      <w:r w:rsidR="31969DCC" w:rsidRPr="11F138D4">
        <w:rPr>
          <w:rFonts w:cs="Times New Roman"/>
        </w:rPr>
        <w:t xml:space="preserve"> </w:t>
      </w:r>
      <w:r w:rsidR="6F5C5AAB" w:rsidRPr="11F138D4">
        <w:rPr>
          <w:rFonts w:cs="Times New Roman"/>
        </w:rPr>
        <w:t>of the nation’s annual poisoning</w:t>
      </w:r>
      <w:r w:rsidR="31969DCC" w:rsidRPr="11F138D4">
        <w:rPr>
          <w:rFonts w:cs="Times New Roman"/>
        </w:rPr>
        <w:t xml:space="preserve"> </w:t>
      </w:r>
      <w:r w:rsidR="6F5C5AAB" w:rsidRPr="11F138D4">
        <w:rPr>
          <w:rFonts w:cs="Times New Roman"/>
        </w:rPr>
        <w:t xml:space="preserve">calls. </w:t>
      </w:r>
      <w:r w:rsidR="5FC10BCE" w:rsidRPr="11F138D4">
        <w:rPr>
          <w:rFonts w:cs="Times New Roman"/>
        </w:rPr>
        <w:t>The NSW PIC takes most calls from NSW, ACT and TAS</w:t>
      </w:r>
      <w:r w:rsidR="54108562" w:rsidRPr="11F138D4">
        <w:rPr>
          <w:rFonts w:cs="Times New Roman"/>
        </w:rPr>
        <w:t xml:space="preserve"> covering (~147/168 hours/week)</w:t>
      </w:r>
      <w:r w:rsidR="3C8A1FEB" w:rsidRPr="11F138D4">
        <w:rPr>
          <w:rFonts w:cs="Times New Roman"/>
        </w:rPr>
        <w:t xml:space="preserve">, but also a substantial number </w:t>
      </w:r>
      <w:r w:rsidR="6F5C5AAB" w:rsidRPr="11F138D4">
        <w:rPr>
          <w:rFonts w:cs="Times New Roman"/>
        </w:rPr>
        <w:t>from</w:t>
      </w:r>
      <w:r w:rsidR="3EEAE755" w:rsidRPr="11F138D4">
        <w:rPr>
          <w:rFonts w:cs="Times New Roman"/>
        </w:rPr>
        <w:t xml:space="preserve"> </w:t>
      </w:r>
      <w:r w:rsidR="6F5C5AAB" w:rsidRPr="11F138D4">
        <w:rPr>
          <w:rFonts w:cs="Times New Roman"/>
        </w:rPr>
        <w:t>other states</w:t>
      </w:r>
      <w:r w:rsidR="5961429B" w:rsidRPr="11F138D4">
        <w:rPr>
          <w:rFonts w:cs="Times New Roman"/>
        </w:rPr>
        <w:t xml:space="preserve">, covering </w:t>
      </w:r>
      <w:r w:rsidR="3EEAE755" w:rsidRPr="11F138D4">
        <w:rPr>
          <w:rFonts w:cs="Times New Roman"/>
        </w:rPr>
        <w:t>other state</w:t>
      </w:r>
      <w:r w:rsidR="34AB62A3" w:rsidRPr="11F138D4">
        <w:rPr>
          <w:rFonts w:cs="Times New Roman"/>
        </w:rPr>
        <w:t>’</w:t>
      </w:r>
      <w:r w:rsidR="3EEAE755" w:rsidRPr="11F138D4">
        <w:rPr>
          <w:rFonts w:cs="Times New Roman"/>
        </w:rPr>
        <w:t xml:space="preserve">s </w:t>
      </w:r>
      <w:r w:rsidR="34AB62A3" w:rsidRPr="11F138D4">
        <w:rPr>
          <w:rFonts w:cs="Times New Roman"/>
        </w:rPr>
        <w:t xml:space="preserve">PICs </w:t>
      </w:r>
      <w:r w:rsidR="3EEAE755" w:rsidRPr="11F138D4">
        <w:rPr>
          <w:rFonts w:cs="Times New Roman"/>
        </w:rPr>
        <w:t xml:space="preserve">50 </w:t>
      </w:r>
      <w:r w:rsidR="54108562" w:rsidRPr="11F138D4">
        <w:rPr>
          <w:rFonts w:cs="Times New Roman"/>
        </w:rPr>
        <w:t xml:space="preserve">to </w:t>
      </w:r>
      <w:r w:rsidR="3EEAE755" w:rsidRPr="11F138D4">
        <w:rPr>
          <w:rFonts w:cs="Times New Roman"/>
        </w:rPr>
        <w:t>60</w:t>
      </w:r>
      <w:r w:rsidR="5961429B" w:rsidRPr="11F138D4">
        <w:rPr>
          <w:rFonts w:cs="Times New Roman"/>
        </w:rPr>
        <w:t xml:space="preserve"> </w:t>
      </w:r>
      <w:r w:rsidR="3EEAE755" w:rsidRPr="11F138D4">
        <w:rPr>
          <w:rFonts w:cs="Times New Roman"/>
        </w:rPr>
        <w:t>hours/week for the national after-hours roster</w:t>
      </w:r>
      <w:r w:rsidR="5961429B" w:rsidRPr="11F138D4">
        <w:rPr>
          <w:rFonts w:cs="Times New Roman"/>
        </w:rPr>
        <w:t xml:space="preserve">. </w:t>
      </w:r>
      <w:r w:rsidR="6F5C5AAB" w:rsidRPr="11F138D4">
        <w:rPr>
          <w:rFonts w:cs="Times New Roman"/>
        </w:rPr>
        <w:t>NSW</w:t>
      </w:r>
      <w:r w:rsidR="19CE1323" w:rsidRPr="11F138D4">
        <w:rPr>
          <w:rFonts w:cs="Times New Roman"/>
        </w:rPr>
        <w:t xml:space="preserve"> </w:t>
      </w:r>
      <w:r w:rsidR="6F5C5AAB" w:rsidRPr="11F138D4">
        <w:rPr>
          <w:rFonts w:cs="Times New Roman"/>
        </w:rPr>
        <w:t>PIC receives calls</w:t>
      </w:r>
      <w:r w:rsidR="5961429B" w:rsidRPr="11F138D4">
        <w:rPr>
          <w:rFonts w:cs="Times New Roman"/>
        </w:rPr>
        <w:t xml:space="preserve"> </w:t>
      </w:r>
      <w:r w:rsidR="6F5C5AAB" w:rsidRPr="11F138D4">
        <w:rPr>
          <w:rFonts w:cs="Times New Roman"/>
        </w:rPr>
        <w:t>from healthcare professionals and members of the public</w:t>
      </w:r>
      <w:r w:rsidR="3C78DF46" w:rsidRPr="11F138D4">
        <w:rPr>
          <w:rFonts w:cs="Times New Roman"/>
        </w:rPr>
        <w:t xml:space="preserve">; </w:t>
      </w:r>
      <w:r w:rsidR="734F5E93" w:rsidRPr="11F138D4">
        <w:rPr>
          <w:rFonts w:cs="Times New Roman"/>
        </w:rPr>
        <w:t xml:space="preserve">most calls related to intentional self-poisoning come from </w:t>
      </w:r>
      <w:r w:rsidR="3C78DF46" w:rsidRPr="11F138D4">
        <w:rPr>
          <w:rFonts w:cs="Times New Roman"/>
        </w:rPr>
        <w:t>healthcare staff in public hospitals.</w:t>
      </w:r>
      <w:r w:rsidR="31D4B0E6" w:rsidRPr="11F138D4">
        <w:rPr>
          <w:rFonts w:cs="Times New Roman"/>
        </w:rPr>
        <w:t xml:space="preserve"> </w:t>
      </w:r>
    </w:p>
    <w:p w14:paraId="29917AA6" w14:textId="77777777" w:rsidR="00470B44" w:rsidRPr="0091560A" w:rsidRDefault="00470B44" w:rsidP="00E80983">
      <w:pPr>
        <w:rPr>
          <w:rFonts w:cs="Times New Roman"/>
        </w:rPr>
      </w:pPr>
    </w:p>
    <w:p w14:paraId="18918E2D" w14:textId="1E977DB3" w:rsidR="00730FDE" w:rsidRPr="0091560A" w:rsidRDefault="00C63534" w:rsidP="005E2E7F">
      <w:pPr>
        <w:pStyle w:val="Heading3"/>
      </w:pPr>
      <w:bookmarkStart w:id="42" w:name="_Toc112843914"/>
      <w:r>
        <w:t xml:space="preserve">2.4.1  </w:t>
      </w:r>
      <w:r w:rsidR="00362008">
        <w:t>L</w:t>
      </w:r>
      <w:r w:rsidR="00730FDE" w:rsidRPr="0091560A">
        <w:t xml:space="preserve">onger term </w:t>
      </w:r>
      <w:r w:rsidR="00DD7FCB">
        <w:t xml:space="preserve">NSW PIC </w:t>
      </w:r>
      <w:r w:rsidR="00730FDE" w:rsidRPr="0091560A">
        <w:t>epidemiological data 2011-2021</w:t>
      </w:r>
      <w:bookmarkEnd w:id="42"/>
    </w:p>
    <w:p w14:paraId="3B0053DF" w14:textId="24984B72" w:rsidR="00362008" w:rsidRPr="0014178E" w:rsidRDefault="00362008" w:rsidP="00AA0D2A">
      <w:pPr>
        <w:pStyle w:val="Heading4"/>
      </w:pPr>
      <w:r>
        <w:t>Methods</w:t>
      </w:r>
    </w:p>
    <w:p w14:paraId="301E12DE" w14:textId="263867E9" w:rsidR="0084084B" w:rsidRPr="0091560A" w:rsidRDefault="00730FDE" w:rsidP="00730FDE">
      <w:pPr>
        <w:rPr>
          <w:rFonts w:cs="Times New Roman"/>
        </w:rPr>
      </w:pPr>
      <w:r w:rsidRPr="0091560A">
        <w:rPr>
          <w:rFonts w:cs="Times New Roman"/>
        </w:rPr>
        <w:t xml:space="preserve">Exposure </w:t>
      </w:r>
      <w:r w:rsidR="007A0A19" w:rsidRPr="0091560A">
        <w:rPr>
          <w:rFonts w:cs="Times New Roman"/>
        </w:rPr>
        <w:t>event</w:t>
      </w:r>
      <w:r w:rsidR="005B07BE" w:rsidRPr="0091560A">
        <w:rPr>
          <w:rFonts w:cs="Times New Roman"/>
        </w:rPr>
        <w:t>s</w:t>
      </w:r>
      <w:r w:rsidRPr="0091560A">
        <w:rPr>
          <w:rFonts w:cs="Times New Roman"/>
        </w:rPr>
        <w:t xml:space="preserve"> involving paracetamol were extracted from the NSW</w:t>
      </w:r>
      <w:r w:rsidR="00CF6E31">
        <w:rPr>
          <w:rFonts w:cs="Times New Roman"/>
        </w:rPr>
        <w:t xml:space="preserve"> </w:t>
      </w:r>
      <w:r w:rsidRPr="0091560A">
        <w:rPr>
          <w:rFonts w:cs="Times New Roman"/>
        </w:rPr>
        <w:t>PIC database, 2011-2021. Data extracted included age group, sex, whether the exposure was to single ingredient products or combination products, dose, product type. Dose and product type fields were cleaned for analysis</w:t>
      </w:r>
      <w:r w:rsidR="00706B0A" w:rsidRPr="0091560A">
        <w:rPr>
          <w:rFonts w:cs="Times New Roman"/>
        </w:rPr>
        <w:t xml:space="preserve"> </w:t>
      </w:r>
      <w:r w:rsidR="00D85D6D" w:rsidRPr="0091560A">
        <w:rPr>
          <w:rFonts w:cs="Times New Roman"/>
        </w:rPr>
        <w:t xml:space="preserve">by </w:t>
      </w:r>
      <w:r w:rsidR="00C363A5" w:rsidRPr="0091560A">
        <w:rPr>
          <w:rFonts w:cs="Times New Roman"/>
        </w:rPr>
        <w:t xml:space="preserve">standardising information entered in </w:t>
      </w:r>
      <w:r w:rsidR="00D85D6D" w:rsidRPr="0091560A">
        <w:rPr>
          <w:rFonts w:cs="Times New Roman"/>
        </w:rPr>
        <w:t>free text fields</w:t>
      </w:r>
      <w:r w:rsidRPr="0091560A">
        <w:rPr>
          <w:rFonts w:cs="Times New Roman"/>
        </w:rPr>
        <w:t xml:space="preserve">. Product type was categorised to modified release paracetamol vs immediate release paracetamol. Dose was cleaned to grams and number of tablets. If a range was stated, the upper end of the range was used. </w:t>
      </w:r>
    </w:p>
    <w:p w14:paraId="5B93763C" w14:textId="2DC622B9" w:rsidR="007339B3" w:rsidRPr="0091560A" w:rsidRDefault="00CF6184" w:rsidP="00730FDE">
      <w:pPr>
        <w:rPr>
          <w:rFonts w:cs="Times New Roman"/>
        </w:rPr>
      </w:pPr>
      <w:r w:rsidRPr="0091560A">
        <w:rPr>
          <w:rFonts w:cs="Times New Roman"/>
        </w:rPr>
        <w:t>Poisoning events may involve multiple calls; r</w:t>
      </w:r>
      <w:r w:rsidR="007339B3" w:rsidRPr="0091560A">
        <w:rPr>
          <w:rFonts w:cs="Times New Roman"/>
        </w:rPr>
        <w:t xml:space="preserve">ecalls are generally noted as such and we have not double counted these but have </w:t>
      </w:r>
      <w:r w:rsidR="00E83F89" w:rsidRPr="0091560A">
        <w:rPr>
          <w:rFonts w:cs="Times New Roman"/>
        </w:rPr>
        <w:t xml:space="preserve">extracted relevant </w:t>
      </w:r>
      <w:r w:rsidRPr="0091560A">
        <w:rPr>
          <w:rFonts w:cs="Times New Roman"/>
        </w:rPr>
        <w:t xml:space="preserve">further </w:t>
      </w:r>
      <w:r w:rsidR="00E83F89" w:rsidRPr="0091560A">
        <w:rPr>
          <w:rFonts w:cs="Times New Roman"/>
        </w:rPr>
        <w:t xml:space="preserve">information </w:t>
      </w:r>
      <w:r w:rsidRPr="0091560A">
        <w:rPr>
          <w:rFonts w:cs="Times New Roman"/>
        </w:rPr>
        <w:t xml:space="preserve">recorded </w:t>
      </w:r>
      <w:r w:rsidR="00E83F89" w:rsidRPr="0091560A">
        <w:rPr>
          <w:rFonts w:cs="Times New Roman"/>
        </w:rPr>
        <w:t xml:space="preserve">for parts of the report.  </w:t>
      </w:r>
    </w:p>
    <w:p w14:paraId="424651E0" w14:textId="14509F74" w:rsidR="00606242" w:rsidRPr="0091560A" w:rsidRDefault="00730FDE" w:rsidP="00730FDE">
      <w:pPr>
        <w:rPr>
          <w:rFonts w:cs="Times New Roman"/>
        </w:rPr>
      </w:pPr>
      <w:r w:rsidRPr="0091560A">
        <w:rPr>
          <w:rFonts w:cs="Times New Roman"/>
        </w:rPr>
        <w:t>Poisoning Severity Score (PSS) is provided from 2017 onwards (when NSW</w:t>
      </w:r>
      <w:r w:rsidR="00CF6E31">
        <w:rPr>
          <w:rFonts w:cs="Times New Roman"/>
        </w:rPr>
        <w:t xml:space="preserve"> </w:t>
      </w:r>
      <w:r w:rsidRPr="0091560A">
        <w:rPr>
          <w:rFonts w:cs="Times New Roman"/>
        </w:rPr>
        <w:t>PIC started to record this information, 10 August 2017).</w:t>
      </w:r>
      <w:r w:rsidR="00D62FB8" w:rsidRPr="0091560A">
        <w:rPr>
          <w:rFonts w:cs="Times New Roman"/>
        </w:rPr>
        <w:fldChar w:fldCharType="begin"/>
      </w:r>
      <w:r w:rsidR="00D62FB8" w:rsidRPr="0091560A">
        <w:rPr>
          <w:rFonts w:cs="Times New Roman"/>
        </w:rPr>
        <w:instrText xml:space="preserve"> ADDIN EN.CITE &lt;EndNote&gt;&lt;Cite&gt;&lt;Author&gt;Persson&lt;/Author&gt;&lt;Year&gt;1998&lt;/Year&gt;&lt;RecNum&gt;3802&lt;/RecNum&gt;&lt;DisplayText&gt;(Persson, Sjoberg, Haines, &amp;amp; Pronczuk, 1998)&lt;/DisplayText&gt;&lt;record&gt;&lt;rec-number&gt;3802&lt;/rec-number&gt;&lt;foreign-keys&gt;&lt;key app="EN" db-id="xfswf0vejfz2anetx9kxxralfv2rfdfpzrr9" timestamp="1579753161"&gt;3802&lt;/key&gt;&lt;/foreign-keys&gt;&lt;ref-type name="Journal Article"&gt;17&lt;/ref-type&gt;&lt;contributors&gt;&lt;authors&gt;&lt;author&gt;Persson, H.E.&lt;/author&gt;&lt;author&gt;Sjoberg, G.K.&lt;/author&gt;&lt;author&gt;Haines, J.A.&lt;/author&gt;&lt;author&gt;Pronczuk, de Garbino&lt;/author&gt;&lt;/authors&gt;&lt;/contributors&gt;&lt;titles&gt;&lt;title&gt;Poisoning severity score. Grading of acute poisoning&lt;/title&gt;&lt;secondary-title&gt;Journal of Toxicology - Clinical Toxicology&lt;/secondary-title&gt;&lt;/titles&gt;&lt;periodical&gt;&lt;full-title&gt;Journal of Toxicology - Clinical Toxicology&lt;/full-title&gt;&lt;/periodical&gt;&lt;pages&gt;205-213&lt;/pages&gt;&lt;volume&gt;36&lt;/volume&gt;&lt;number&gt;3&lt;/number&gt;&lt;reprint-edition&gt;Not in File&lt;/reprint-edition&gt;&lt;keywords&gt;&lt;keyword&gt;Acute Disease.Developing Countries.Europe.European Union.Human.&lt;/keyword&gt;&lt;keyword&gt;International Cooperation.Multicenter Studies.Poison Control Centers.&lt;/keyword&gt;&lt;keyword&gt;Poisoning/cl [Classification].Reproducibility of Results.Severity of&lt;/keyword&gt;&lt;keyword&gt;Illness Index.Societies&lt;/keyword&gt;&lt;keyword&gt;Scientific.Support&lt;/keyword&gt;&lt;keyword&gt;Non-U.S.Gov&amp;apos;t.World&lt;/keyword&gt;&lt;keyword&gt;Health.&lt;/keyword&gt;&lt;keyword&gt;Poisoning&lt;/keyword&gt;&lt;keyword&gt;Acute&lt;/keyword&gt;&lt;keyword&gt;Morbidity&lt;/keyword&gt;&lt;keyword&gt;Clinical&lt;/keyword&gt;&lt;keyword&gt;Chemical&lt;/keyword&gt;&lt;keyword&gt;Safety&lt;/keyword&gt;&lt;keyword&gt;Methods&lt;/keyword&gt;&lt;keyword&gt;Toxic&lt;/keyword&gt;&lt;keyword&gt;Agents&lt;/keyword&gt;&lt;keyword&gt;Records&lt;/keyword&gt;&lt;keyword&gt;3&lt;/keyword&gt;&lt;keyword&gt;Clinical Feature&lt;/keyword&gt;&lt;keyword&gt;Follow Up&lt;/keyword&gt;&lt;keyword&gt;Time&lt;/keyword&gt;&lt;keyword&gt;Practice&lt;/keyword&gt;&lt;keyword&gt;Poisons&lt;/keyword&gt;&lt;keyword&gt;0&lt;/keyword&gt;&lt;keyword&gt;2&lt;/keyword&gt;&lt;keyword&gt;4&lt;/keyword&gt;&lt;/keywords&gt;&lt;dates&gt;&lt;year&gt;1998&lt;/year&gt;&lt;pub-dates&gt;&lt;date&gt;1998&lt;/date&gt;&lt;/pub-dates&gt;&lt;/dates&gt;&lt;label&gt;4694&lt;/label&gt;&lt;urls&gt;&lt;/urls&gt;&lt;/record&gt;&lt;/Cite&gt;&lt;/EndNote&gt;</w:instrText>
      </w:r>
      <w:r w:rsidR="00D62FB8" w:rsidRPr="0091560A">
        <w:rPr>
          <w:rFonts w:cs="Times New Roman"/>
        </w:rPr>
        <w:fldChar w:fldCharType="separate"/>
      </w:r>
      <w:r w:rsidR="00D62FB8" w:rsidRPr="0091560A">
        <w:rPr>
          <w:rFonts w:cs="Times New Roman"/>
          <w:noProof/>
        </w:rPr>
        <w:t>(Persson, Sjoberg, Haines, &amp; Pronczuk, 1998)</w:t>
      </w:r>
      <w:r w:rsidR="00D62FB8" w:rsidRPr="0091560A">
        <w:rPr>
          <w:rFonts w:cs="Times New Roman"/>
        </w:rPr>
        <w:fldChar w:fldCharType="end"/>
      </w:r>
      <w:r w:rsidR="0033646F" w:rsidRPr="0091560A">
        <w:rPr>
          <w:rFonts w:cs="Times New Roman"/>
        </w:rPr>
        <w:t xml:space="preserve">. </w:t>
      </w:r>
      <w:r w:rsidR="00606242" w:rsidRPr="0091560A">
        <w:rPr>
          <w:rFonts w:cs="Times New Roman"/>
        </w:rPr>
        <w:t>The score is applied to the whole call where more than one substance is ingested.</w:t>
      </w:r>
      <w:r w:rsidR="00A00266" w:rsidRPr="0091560A">
        <w:rPr>
          <w:rFonts w:cs="Times New Roman"/>
        </w:rPr>
        <w:t xml:space="preserve"> The relevant </w:t>
      </w:r>
      <w:r w:rsidR="00766839" w:rsidRPr="0091560A">
        <w:rPr>
          <w:rFonts w:cs="Times New Roman"/>
        </w:rPr>
        <w:t xml:space="preserve">thresholds for </w:t>
      </w:r>
      <w:r w:rsidR="00933872" w:rsidRPr="0091560A">
        <w:rPr>
          <w:rFonts w:cs="Times New Roman"/>
        </w:rPr>
        <w:t>minor</w:t>
      </w:r>
      <w:r w:rsidR="002958C0" w:rsidRPr="0091560A">
        <w:rPr>
          <w:rFonts w:cs="Times New Roman"/>
        </w:rPr>
        <w:t>,</w:t>
      </w:r>
      <w:r w:rsidR="00933872" w:rsidRPr="0091560A">
        <w:rPr>
          <w:rFonts w:cs="Times New Roman"/>
        </w:rPr>
        <w:t xml:space="preserve"> moderate</w:t>
      </w:r>
      <w:r w:rsidR="00853A98">
        <w:rPr>
          <w:rFonts w:cs="Times New Roman"/>
        </w:rPr>
        <w:t>,</w:t>
      </w:r>
      <w:r w:rsidR="00933872" w:rsidRPr="0091560A">
        <w:rPr>
          <w:rFonts w:cs="Times New Roman"/>
        </w:rPr>
        <w:t xml:space="preserve"> and severe </w:t>
      </w:r>
      <w:r w:rsidR="00766839" w:rsidRPr="0091560A">
        <w:rPr>
          <w:rFonts w:cs="Times New Roman"/>
        </w:rPr>
        <w:t xml:space="preserve">paracetamol poisoning are </w:t>
      </w:r>
      <w:r w:rsidR="00933872" w:rsidRPr="0091560A">
        <w:rPr>
          <w:rFonts w:cs="Times New Roman"/>
        </w:rPr>
        <w:t xml:space="preserve">shown in Table </w:t>
      </w:r>
      <w:r w:rsidR="00737D5D">
        <w:rPr>
          <w:rFonts w:cs="Times New Roman"/>
        </w:rPr>
        <w:t>3</w:t>
      </w:r>
      <w:r w:rsidR="00933872" w:rsidRPr="0091560A">
        <w:rPr>
          <w:rFonts w:cs="Times New Roman"/>
        </w:rPr>
        <w:t>.</w:t>
      </w:r>
    </w:p>
    <w:p w14:paraId="67F39580" w14:textId="335E2C66" w:rsidR="00933872" w:rsidRPr="0091560A" w:rsidRDefault="00932FEE" w:rsidP="00932FEE">
      <w:pPr>
        <w:pStyle w:val="Caption"/>
      </w:pPr>
      <w:bookmarkStart w:id="43" w:name="_Toc114560118"/>
      <w:r>
        <w:t xml:space="preserve">Table </w:t>
      </w:r>
      <w:r>
        <w:fldChar w:fldCharType="begin"/>
      </w:r>
      <w:r>
        <w:instrText>SEQ Table \* ARABIC</w:instrText>
      </w:r>
      <w:r>
        <w:fldChar w:fldCharType="separate"/>
      </w:r>
      <w:r w:rsidR="0091734E">
        <w:rPr>
          <w:noProof/>
        </w:rPr>
        <w:t>3</w:t>
      </w:r>
      <w:r>
        <w:fldChar w:fldCharType="end"/>
      </w:r>
      <w:r w:rsidRPr="0091560A">
        <w:t xml:space="preserve">. </w:t>
      </w:r>
      <w:r w:rsidR="003B4A10" w:rsidRPr="0091560A">
        <w:t xml:space="preserve">Poison severity score thresholds </w:t>
      </w:r>
      <w:r w:rsidR="00AD39F0" w:rsidRPr="0091560A">
        <w:t xml:space="preserve">most </w:t>
      </w:r>
      <w:r w:rsidR="003B4A10" w:rsidRPr="0091560A">
        <w:t>relevant to paracetamol poisoning</w:t>
      </w:r>
      <w:bookmarkEnd w:id="43"/>
    </w:p>
    <w:tbl>
      <w:tblPr>
        <w:tblStyle w:val="ListTable6Colorful"/>
        <w:tblW w:w="0" w:type="auto"/>
        <w:tblLook w:val="04A0" w:firstRow="1" w:lastRow="0" w:firstColumn="1" w:lastColumn="0" w:noHBand="0" w:noVBand="1"/>
      </w:tblPr>
      <w:tblGrid>
        <w:gridCol w:w="1134"/>
        <w:gridCol w:w="1560"/>
        <w:gridCol w:w="3402"/>
        <w:gridCol w:w="2930"/>
      </w:tblGrid>
      <w:tr w:rsidR="00016072" w:rsidRPr="0091560A" w14:paraId="30C0F124" w14:textId="77777777" w:rsidTr="00E3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shd w:val="clear" w:color="auto" w:fill="595959" w:themeFill="text1" w:themeFillTint="A6"/>
          </w:tcPr>
          <w:p w14:paraId="4FE2ECD2" w14:textId="77777777" w:rsidR="00016072" w:rsidRPr="000F6996" w:rsidRDefault="00016072" w:rsidP="00730FDE">
            <w:pPr>
              <w:rPr>
                <w:rFonts w:cs="Times New Roman"/>
                <w:color w:val="FFFFFF" w:themeColor="background1"/>
              </w:rPr>
            </w:pPr>
          </w:p>
        </w:tc>
        <w:tc>
          <w:tcPr>
            <w:tcW w:w="1560" w:type="dxa"/>
            <w:shd w:val="clear" w:color="auto" w:fill="595959" w:themeFill="text1" w:themeFillTint="A6"/>
          </w:tcPr>
          <w:p w14:paraId="4FA410AD" w14:textId="0374E8A5" w:rsidR="00016072" w:rsidRPr="000F6996" w:rsidRDefault="003217FF" w:rsidP="00730FDE">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0F6996">
              <w:rPr>
                <w:rFonts w:cs="Times New Roman"/>
                <w:color w:val="FFFFFF" w:themeColor="background1"/>
              </w:rPr>
              <w:t>Minor</w:t>
            </w:r>
          </w:p>
        </w:tc>
        <w:tc>
          <w:tcPr>
            <w:tcW w:w="3402" w:type="dxa"/>
            <w:shd w:val="clear" w:color="auto" w:fill="595959" w:themeFill="text1" w:themeFillTint="A6"/>
          </w:tcPr>
          <w:p w14:paraId="64209543" w14:textId="5B5827E1" w:rsidR="00016072" w:rsidRPr="000F6996" w:rsidRDefault="003217FF" w:rsidP="00730FDE">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0F6996">
              <w:rPr>
                <w:rFonts w:cs="Times New Roman"/>
                <w:color w:val="FFFFFF" w:themeColor="background1"/>
              </w:rPr>
              <w:t>Moderate</w:t>
            </w:r>
          </w:p>
        </w:tc>
        <w:tc>
          <w:tcPr>
            <w:tcW w:w="2930" w:type="dxa"/>
            <w:shd w:val="clear" w:color="auto" w:fill="595959" w:themeFill="text1" w:themeFillTint="A6"/>
          </w:tcPr>
          <w:p w14:paraId="510B1211" w14:textId="78D0685D" w:rsidR="00016072" w:rsidRPr="000F6996" w:rsidRDefault="003217FF" w:rsidP="00730FDE">
            <w:pP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0F6996">
              <w:rPr>
                <w:rFonts w:cs="Times New Roman"/>
                <w:color w:val="FFFFFF" w:themeColor="background1"/>
              </w:rPr>
              <w:t>Severe</w:t>
            </w:r>
          </w:p>
        </w:tc>
      </w:tr>
      <w:tr w:rsidR="00016072" w:rsidRPr="0091560A" w14:paraId="14F3044F" w14:textId="77777777" w:rsidTr="00766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4EFB92F" w14:textId="7A751C8B" w:rsidR="00016072" w:rsidRPr="0091560A" w:rsidRDefault="003217FF" w:rsidP="00730FDE">
            <w:pPr>
              <w:rPr>
                <w:rFonts w:cs="Times New Roman"/>
              </w:rPr>
            </w:pPr>
            <w:r w:rsidRPr="0091560A">
              <w:rPr>
                <w:rFonts w:cs="Times New Roman"/>
              </w:rPr>
              <w:t>Liver</w:t>
            </w:r>
          </w:p>
        </w:tc>
        <w:tc>
          <w:tcPr>
            <w:tcW w:w="1560" w:type="dxa"/>
          </w:tcPr>
          <w:p w14:paraId="2BA02860" w14:textId="26E3698E" w:rsidR="00016072" w:rsidRPr="0091560A" w:rsidRDefault="00E41BCC" w:rsidP="00A905DA">
            <w:pPr>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rPr>
              <w:t>Minimal rise in serum enzymes (AST</w:t>
            </w:r>
            <w:r w:rsidR="00A905DA">
              <w:rPr>
                <w:rFonts w:cs="Times New Roman"/>
              </w:rPr>
              <w:t xml:space="preserve"> or </w:t>
            </w:r>
            <w:r w:rsidRPr="0091560A">
              <w:rPr>
                <w:rFonts w:cs="Times New Roman"/>
              </w:rPr>
              <w:t>ALT</w:t>
            </w:r>
            <w:r w:rsidR="00A905DA">
              <w:rPr>
                <w:rFonts w:cs="Times New Roman"/>
              </w:rPr>
              <w:t xml:space="preserve"> </w:t>
            </w:r>
            <w:r w:rsidRPr="0091560A">
              <w:rPr>
                <w:rFonts w:cs="Times New Roman"/>
              </w:rPr>
              <w:t>2-5 x normal)</w:t>
            </w:r>
          </w:p>
        </w:tc>
        <w:tc>
          <w:tcPr>
            <w:tcW w:w="3402" w:type="dxa"/>
          </w:tcPr>
          <w:p w14:paraId="3A39BEB8" w14:textId="2E1096C7" w:rsidR="00016072" w:rsidRPr="0091560A" w:rsidRDefault="0036486D" w:rsidP="00A905DA">
            <w:pPr>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rPr>
              <w:t>Rise in serum enzymes (AST</w:t>
            </w:r>
            <w:r w:rsidR="00A905DA">
              <w:rPr>
                <w:rFonts w:cs="Times New Roman"/>
              </w:rPr>
              <w:t xml:space="preserve"> or </w:t>
            </w:r>
            <w:r w:rsidRPr="0091560A">
              <w:rPr>
                <w:rFonts w:cs="Times New Roman"/>
              </w:rPr>
              <w:t>ALT</w:t>
            </w:r>
            <w:r w:rsidR="00A905DA">
              <w:rPr>
                <w:rFonts w:cs="Times New Roman"/>
              </w:rPr>
              <w:t xml:space="preserve"> </w:t>
            </w:r>
            <w:r w:rsidRPr="0091560A">
              <w:rPr>
                <w:rFonts w:cs="Times New Roman"/>
              </w:rPr>
              <w:t>5-50 X normal) but no diagnostic</w:t>
            </w:r>
            <w:r w:rsidR="00A905DA">
              <w:rPr>
                <w:rFonts w:cs="Times New Roman"/>
              </w:rPr>
              <w:t xml:space="preserve"> </w:t>
            </w:r>
            <w:r w:rsidRPr="0091560A">
              <w:rPr>
                <w:rFonts w:cs="Times New Roman"/>
              </w:rPr>
              <w:t>biochemical (e.g., ammonia, clotting</w:t>
            </w:r>
            <w:r w:rsidR="00766839" w:rsidRPr="0091560A">
              <w:rPr>
                <w:rFonts w:cs="Times New Roman"/>
              </w:rPr>
              <w:t xml:space="preserve"> </w:t>
            </w:r>
            <w:r w:rsidRPr="0091560A">
              <w:rPr>
                <w:rFonts w:cs="Times New Roman"/>
              </w:rPr>
              <w:t>factors) or clinical evidence of liver</w:t>
            </w:r>
            <w:r w:rsidR="00766839" w:rsidRPr="0091560A">
              <w:rPr>
                <w:rFonts w:cs="Times New Roman"/>
              </w:rPr>
              <w:t xml:space="preserve"> </w:t>
            </w:r>
            <w:r w:rsidRPr="0091560A">
              <w:rPr>
                <w:rFonts w:cs="Times New Roman"/>
              </w:rPr>
              <w:t>d</w:t>
            </w:r>
            <w:r w:rsidR="00D62FB8" w:rsidRPr="0091560A">
              <w:rPr>
                <w:rFonts w:cs="Times New Roman"/>
              </w:rPr>
              <w:t>y</w:t>
            </w:r>
            <w:r w:rsidRPr="0091560A">
              <w:rPr>
                <w:rFonts w:cs="Times New Roman"/>
              </w:rPr>
              <w:t>sfunction</w:t>
            </w:r>
          </w:p>
        </w:tc>
        <w:tc>
          <w:tcPr>
            <w:tcW w:w="2930" w:type="dxa"/>
          </w:tcPr>
          <w:p w14:paraId="2B6AA6A1" w14:textId="0D2292A1" w:rsidR="00E41BCC" w:rsidRPr="0091560A" w:rsidRDefault="00E41BCC" w:rsidP="00E41BCC">
            <w:pPr>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rPr>
              <w:t>Rise in serum enzymes (&gt;</w:t>
            </w:r>
            <w:r w:rsidR="00F47BD2">
              <w:rPr>
                <w:rFonts w:cs="Times New Roman"/>
              </w:rPr>
              <w:t xml:space="preserve"> </w:t>
            </w:r>
            <w:r w:rsidRPr="0091560A">
              <w:rPr>
                <w:rFonts w:cs="Times New Roman"/>
              </w:rPr>
              <w:t>5</w:t>
            </w:r>
            <w:r w:rsidR="0036486D" w:rsidRPr="0091560A">
              <w:rPr>
                <w:rFonts w:cs="Times New Roman"/>
              </w:rPr>
              <w:t>0</w:t>
            </w:r>
            <w:r w:rsidRPr="0091560A">
              <w:rPr>
                <w:rFonts w:cs="Times New Roman"/>
              </w:rPr>
              <w:t xml:space="preserve"> x</w:t>
            </w:r>
            <w:r w:rsidR="00766839" w:rsidRPr="0091560A">
              <w:rPr>
                <w:rFonts w:cs="Times New Roman"/>
              </w:rPr>
              <w:t xml:space="preserve"> </w:t>
            </w:r>
            <w:r w:rsidRPr="0091560A">
              <w:rPr>
                <w:rFonts w:cs="Times New Roman"/>
              </w:rPr>
              <w:t>normal) or biochemical (e.g.,</w:t>
            </w:r>
            <w:r w:rsidR="00766839" w:rsidRPr="0091560A">
              <w:rPr>
                <w:rFonts w:cs="Times New Roman"/>
              </w:rPr>
              <w:t xml:space="preserve"> </w:t>
            </w:r>
            <w:r w:rsidRPr="0091560A">
              <w:rPr>
                <w:rFonts w:cs="Times New Roman"/>
              </w:rPr>
              <w:t>ammonia, clotting factors) or clinical</w:t>
            </w:r>
          </w:p>
          <w:p w14:paraId="54567C7F" w14:textId="53858206" w:rsidR="00016072" w:rsidRPr="0091560A" w:rsidRDefault="00E41BCC" w:rsidP="00A905DA">
            <w:pPr>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rPr>
              <w:t xml:space="preserve">evidence of liver failure  </w:t>
            </w:r>
          </w:p>
        </w:tc>
      </w:tr>
      <w:tr w:rsidR="003217FF" w:rsidRPr="0091560A" w14:paraId="1E153C28" w14:textId="77777777" w:rsidTr="00766839">
        <w:tc>
          <w:tcPr>
            <w:cnfStyle w:val="001000000000" w:firstRow="0" w:lastRow="0" w:firstColumn="1" w:lastColumn="0" w:oddVBand="0" w:evenVBand="0" w:oddHBand="0" w:evenHBand="0" w:firstRowFirstColumn="0" w:firstRowLastColumn="0" w:lastRowFirstColumn="0" w:lastRowLastColumn="0"/>
            <w:tcW w:w="1134" w:type="dxa"/>
          </w:tcPr>
          <w:p w14:paraId="357468AD" w14:textId="542A446C" w:rsidR="003217FF" w:rsidRPr="0091560A" w:rsidRDefault="00A00266" w:rsidP="00730FDE">
            <w:pPr>
              <w:rPr>
                <w:rFonts w:cs="Times New Roman"/>
              </w:rPr>
            </w:pPr>
            <w:r w:rsidRPr="0091560A">
              <w:rPr>
                <w:rFonts w:cs="Times New Roman"/>
              </w:rPr>
              <w:t xml:space="preserve">Selected </w:t>
            </w:r>
            <w:r w:rsidR="003217FF" w:rsidRPr="0091560A">
              <w:rPr>
                <w:rFonts w:cs="Times New Roman"/>
              </w:rPr>
              <w:t>Other</w:t>
            </w:r>
          </w:p>
        </w:tc>
        <w:tc>
          <w:tcPr>
            <w:tcW w:w="1560" w:type="dxa"/>
          </w:tcPr>
          <w:p w14:paraId="4DE0973A" w14:textId="0A0BB6C7" w:rsidR="003217FF" w:rsidRPr="0091560A" w:rsidRDefault="003217FF" w:rsidP="00730FDE">
            <w:pPr>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rPr>
              <w:t>Vomiting</w:t>
            </w:r>
          </w:p>
        </w:tc>
        <w:tc>
          <w:tcPr>
            <w:tcW w:w="3402" w:type="dxa"/>
          </w:tcPr>
          <w:p w14:paraId="0F66BEEE" w14:textId="77777777" w:rsidR="003217FF" w:rsidRPr="0091560A" w:rsidRDefault="003217FF" w:rsidP="00730FDE">
            <w:pPr>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rPr>
              <w:t xml:space="preserve">Prolonged </w:t>
            </w:r>
            <w:r w:rsidR="006A67E2" w:rsidRPr="0091560A">
              <w:rPr>
                <w:rFonts w:cs="Times New Roman"/>
              </w:rPr>
              <w:t>vomiting,</w:t>
            </w:r>
          </w:p>
          <w:p w14:paraId="3C1678DE" w14:textId="50E04439" w:rsidR="00E41BCC" w:rsidRPr="0091560A" w:rsidRDefault="00E41BCC" w:rsidP="00125C60">
            <w:pPr>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rPr>
              <w:t>Renal dysfunction</w:t>
            </w:r>
            <w:r w:rsidR="00A00266" w:rsidRPr="0091560A">
              <w:rPr>
                <w:rFonts w:cs="Times New Roman"/>
              </w:rPr>
              <w:t>,</w:t>
            </w:r>
            <w:r w:rsidRPr="0091560A">
              <w:rPr>
                <w:rFonts w:cs="Times New Roman"/>
              </w:rPr>
              <w:t xml:space="preserve"> (e.g., oliguria,</w:t>
            </w:r>
            <w:r w:rsidR="00A905DA">
              <w:rPr>
                <w:rFonts w:cs="Times New Roman"/>
              </w:rPr>
              <w:t xml:space="preserve"> </w:t>
            </w:r>
            <w:r w:rsidRPr="0091560A">
              <w:rPr>
                <w:rFonts w:cs="Times New Roman"/>
              </w:rPr>
              <w:t>polyuria, serum creatinine of</w:t>
            </w:r>
            <w:r w:rsidR="00125C60">
              <w:rPr>
                <w:rFonts w:cs="Times New Roman"/>
              </w:rPr>
              <w:t xml:space="preserve"> </w:t>
            </w:r>
            <w:r w:rsidRPr="0091560A">
              <w:rPr>
                <w:rFonts w:cs="Times New Roman"/>
              </w:rPr>
              <w:t>200-500</w:t>
            </w:r>
            <w:r w:rsidR="00A905DA">
              <w:rPr>
                <w:rFonts w:cs="Times New Roman"/>
              </w:rPr>
              <w:t xml:space="preserve"> </w:t>
            </w:r>
            <w:r w:rsidR="00933872" w:rsidRPr="0091560A">
              <w:rPr>
                <w:rFonts w:cs="Times New Roman"/>
              </w:rPr>
              <w:t>μ</w:t>
            </w:r>
            <w:r w:rsidRPr="0091560A">
              <w:rPr>
                <w:rFonts w:cs="Times New Roman"/>
              </w:rPr>
              <w:t>mol/L)</w:t>
            </w:r>
          </w:p>
        </w:tc>
        <w:tc>
          <w:tcPr>
            <w:tcW w:w="2930" w:type="dxa"/>
          </w:tcPr>
          <w:p w14:paraId="4527AC99" w14:textId="025FDDF8" w:rsidR="003217FF" w:rsidRPr="0091560A" w:rsidRDefault="00A00266" w:rsidP="00933872">
            <w:pPr>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rPr>
              <w:t>Renal failure (e.g., anuria, serum</w:t>
            </w:r>
            <w:r w:rsidR="00933872" w:rsidRPr="0091560A">
              <w:rPr>
                <w:rFonts w:cs="Times New Roman"/>
              </w:rPr>
              <w:t xml:space="preserve"> </w:t>
            </w:r>
            <w:r w:rsidRPr="0091560A">
              <w:rPr>
                <w:rFonts w:cs="Times New Roman"/>
              </w:rPr>
              <w:t>creatinine of &gt;</w:t>
            </w:r>
            <w:r w:rsidR="00F47BD2">
              <w:rPr>
                <w:rFonts w:cs="Times New Roman"/>
              </w:rPr>
              <w:t xml:space="preserve"> </w:t>
            </w:r>
            <w:r w:rsidRPr="0091560A">
              <w:rPr>
                <w:rFonts w:cs="Times New Roman"/>
              </w:rPr>
              <w:t>500 μ</w:t>
            </w:r>
            <w:r w:rsidR="00D62FB8" w:rsidRPr="0091560A">
              <w:rPr>
                <w:rFonts w:cs="Times New Roman"/>
              </w:rPr>
              <w:t>mol</w:t>
            </w:r>
            <w:r w:rsidRPr="0091560A">
              <w:rPr>
                <w:rFonts w:cs="Times New Roman"/>
              </w:rPr>
              <w:t>/L)</w:t>
            </w:r>
          </w:p>
        </w:tc>
      </w:tr>
    </w:tbl>
    <w:p w14:paraId="110F8307" w14:textId="34A52E85" w:rsidR="00730FDE" w:rsidRPr="0091560A" w:rsidRDefault="00A82BB6">
      <w:pPr>
        <w:pStyle w:val="Tablenote"/>
      </w:pPr>
      <w:r w:rsidRPr="0091560A">
        <w:t xml:space="preserve"> </w:t>
      </w:r>
      <w:r w:rsidR="00730FDE" w:rsidRPr="0091560A">
        <w:t>*PSS was developed as a tool to be used when final outcome is known. NSW</w:t>
      </w:r>
      <w:r w:rsidR="00031614" w:rsidRPr="0091560A">
        <w:t xml:space="preserve"> </w:t>
      </w:r>
      <w:r w:rsidR="00730FDE" w:rsidRPr="0091560A">
        <w:t>PIC collects a modified PSS which is based on the last available information known to NSW</w:t>
      </w:r>
      <w:r w:rsidR="00031614" w:rsidRPr="0091560A">
        <w:t xml:space="preserve"> </w:t>
      </w:r>
      <w:r w:rsidR="00730FDE" w:rsidRPr="0091560A">
        <w:t>PIC. NSW</w:t>
      </w:r>
      <w:r w:rsidR="00031614" w:rsidRPr="0091560A">
        <w:t xml:space="preserve"> </w:t>
      </w:r>
      <w:r w:rsidR="00730FDE" w:rsidRPr="0091560A">
        <w:t>PIC does not routinely conduct follow up calls and thus lacks complete outcome data. PSS of many cases may have gotten worse following call to PIC, which would not be captured in this data. Finally, since polypharmacy overdose cases were included, some PSS reported here would be attributable to agents other than paracetamol.</w:t>
      </w:r>
    </w:p>
    <w:p w14:paraId="112618D5" w14:textId="7264E43B" w:rsidR="00730FDE" w:rsidRPr="0091560A" w:rsidRDefault="00730FDE" w:rsidP="00AA0D2A">
      <w:pPr>
        <w:pStyle w:val="Heading4"/>
      </w:pPr>
      <w:r w:rsidRPr="0091560A">
        <w:t>R</w:t>
      </w:r>
      <w:r w:rsidR="005B7D8C">
        <w:t>esults</w:t>
      </w:r>
    </w:p>
    <w:p w14:paraId="669F7EFC" w14:textId="58F84AF1" w:rsidR="001B232D" w:rsidRPr="00497288" w:rsidRDefault="008668CB" w:rsidP="00AA0D2A">
      <w:pPr>
        <w:pStyle w:val="Heading5"/>
      </w:pPr>
      <w:r w:rsidRPr="0091560A">
        <w:t>Longit</w:t>
      </w:r>
      <w:r w:rsidRPr="00AA1F61">
        <w:t xml:space="preserve">udinal trends </w:t>
      </w:r>
      <w:r w:rsidR="004A4CEE" w:rsidRPr="00B30A2E">
        <w:t xml:space="preserve">in NSW PIC </w:t>
      </w:r>
      <w:r w:rsidR="00B4101C" w:rsidRPr="00A70969">
        <w:t>data</w:t>
      </w:r>
      <w:r w:rsidR="005B7352" w:rsidRPr="00275777">
        <w:t xml:space="preserve"> </w:t>
      </w:r>
      <w:r w:rsidRPr="00497288">
        <w:t>(20</w:t>
      </w:r>
      <w:r w:rsidR="008E6775" w:rsidRPr="00497288">
        <w:t>11-21)</w:t>
      </w:r>
    </w:p>
    <w:p w14:paraId="5E56C69F" w14:textId="6E1E09DE" w:rsidR="006A6B03" w:rsidRPr="0091560A" w:rsidRDefault="006F4B07" w:rsidP="00930D1F">
      <w:pPr>
        <w:rPr>
          <w:rFonts w:cs="Times New Roman"/>
        </w:rPr>
      </w:pPr>
      <w:r w:rsidRPr="0091560A">
        <w:rPr>
          <w:rFonts w:cs="Times New Roman"/>
        </w:rPr>
        <w:t>There has been a steady increase in</w:t>
      </w:r>
      <w:r w:rsidR="00485F15" w:rsidRPr="0091560A">
        <w:rPr>
          <w:rFonts w:cs="Times New Roman"/>
        </w:rPr>
        <w:t xml:space="preserve"> paracetamol poisonings</w:t>
      </w:r>
      <w:r w:rsidR="00E44ABD" w:rsidRPr="0091560A">
        <w:rPr>
          <w:rFonts w:cs="Times New Roman"/>
        </w:rPr>
        <w:t xml:space="preserve"> events</w:t>
      </w:r>
      <w:r w:rsidR="0088778F" w:rsidRPr="0091560A">
        <w:rPr>
          <w:rFonts w:cs="Times New Roman"/>
        </w:rPr>
        <w:t xml:space="preserve">. </w:t>
      </w:r>
      <w:r w:rsidR="000C7DFA" w:rsidRPr="0091560A">
        <w:rPr>
          <w:rFonts w:cs="Times New Roman"/>
        </w:rPr>
        <w:t xml:space="preserve">This has been considerably greater than </w:t>
      </w:r>
      <w:r w:rsidR="00E47A38" w:rsidRPr="0091560A">
        <w:rPr>
          <w:rFonts w:cs="Times New Roman"/>
        </w:rPr>
        <w:t xml:space="preserve">changes in overall exposures, medicine exposures or total analgesic exposures. </w:t>
      </w:r>
      <w:r w:rsidR="00E27E03" w:rsidRPr="0091560A">
        <w:rPr>
          <w:rFonts w:cs="Times New Roman"/>
        </w:rPr>
        <w:t xml:space="preserve">It is also apparent that the increase is for intentional paracetamol poisonings in particular (Figure </w:t>
      </w:r>
      <w:r w:rsidR="00737D5D">
        <w:rPr>
          <w:rFonts w:cs="Times New Roman"/>
        </w:rPr>
        <w:t>12</w:t>
      </w:r>
      <w:r w:rsidR="00E27E03" w:rsidRPr="0091560A">
        <w:rPr>
          <w:rFonts w:cs="Times New Roman"/>
        </w:rPr>
        <w:t>)</w:t>
      </w:r>
      <w:r w:rsidR="006C71F9">
        <w:rPr>
          <w:rFonts w:cs="Times New Roman"/>
        </w:rPr>
        <w:t>.</w:t>
      </w:r>
      <w:r w:rsidR="00E27E03" w:rsidRPr="0091560A">
        <w:rPr>
          <w:rFonts w:cs="Times New Roman"/>
        </w:rPr>
        <w:t xml:space="preserve"> </w:t>
      </w:r>
      <w:r w:rsidR="00914066" w:rsidRPr="0091560A">
        <w:rPr>
          <w:rFonts w:cs="Times New Roman"/>
        </w:rPr>
        <w:t xml:space="preserve">Note further details of all numbers underlying the NSW PIC figures are shown in Appendix B.  </w:t>
      </w:r>
    </w:p>
    <w:p w14:paraId="68B39B3E" w14:textId="77777777" w:rsidR="00B02649" w:rsidRDefault="00F3497B" w:rsidP="00B02649">
      <w:r w:rsidRPr="0091560A">
        <w:rPr>
          <w:noProof/>
        </w:rPr>
        <w:drawing>
          <wp:inline distT="0" distB="0" distL="0" distR="0" wp14:anchorId="75EE1C99" wp14:editId="72A456D4">
            <wp:extent cx="5791200" cy="4848444"/>
            <wp:effectExtent l="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327" r="4598"/>
                    <a:stretch/>
                  </pic:blipFill>
                  <pic:spPr bwMode="auto">
                    <a:xfrm>
                      <a:off x="0" y="0"/>
                      <a:ext cx="5798471" cy="4854531"/>
                    </a:xfrm>
                    <a:prstGeom prst="rect">
                      <a:avLst/>
                    </a:prstGeom>
                    <a:noFill/>
                    <a:ln>
                      <a:noFill/>
                    </a:ln>
                    <a:extLst>
                      <a:ext uri="{53640926-AAD7-44D8-BBD7-CCE9431645EC}">
                        <a14:shadowObscured xmlns:a14="http://schemas.microsoft.com/office/drawing/2010/main"/>
                      </a:ext>
                    </a:extLst>
                  </pic:spPr>
                </pic:pic>
              </a:graphicData>
            </a:graphic>
          </wp:inline>
        </w:drawing>
      </w:r>
    </w:p>
    <w:p w14:paraId="3D46D8F0" w14:textId="5A00ABC8" w:rsidR="0091437B" w:rsidRPr="0091560A" w:rsidRDefault="0091437B" w:rsidP="00B02649">
      <w:pPr>
        <w:pStyle w:val="FigureCaption"/>
      </w:pPr>
      <w:bookmarkStart w:id="44" w:name="_Toc114559973"/>
      <w:r w:rsidRPr="0091560A">
        <w:t xml:space="preserve">Figure </w:t>
      </w:r>
      <w:r>
        <w:fldChar w:fldCharType="begin"/>
      </w:r>
      <w:r>
        <w:instrText>SEQ Figure \* ARABIC</w:instrText>
      </w:r>
      <w:r>
        <w:fldChar w:fldCharType="separate"/>
      </w:r>
      <w:r w:rsidR="0091734E">
        <w:rPr>
          <w:noProof/>
        </w:rPr>
        <w:t>12</w:t>
      </w:r>
      <w:r>
        <w:fldChar w:fldCharType="end"/>
      </w:r>
      <w:r w:rsidRPr="0091560A">
        <w:t xml:space="preserve"> Changes in poisoning exposure events, overall, for paracetamol and for comparable categories. (NSW PIC 2011-2021)</w:t>
      </w:r>
      <w:bookmarkEnd w:id="44"/>
    </w:p>
    <w:p w14:paraId="449205D9" w14:textId="77777777" w:rsidR="004A6AB7" w:rsidRPr="0091560A" w:rsidRDefault="004A6AB7" w:rsidP="000F6996"/>
    <w:p w14:paraId="240D49C7" w14:textId="3DC96ED3" w:rsidR="006F4B07" w:rsidRDefault="00DC5FA3" w:rsidP="00930D1F">
      <w:r w:rsidRPr="0091560A">
        <w:t xml:space="preserve">This can be </w:t>
      </w:r>
      <w:r w:rsidR="00B877D3" w:rsidRPr="0091560A">
        <w:t xml:space="preserve">further </w:t>
      </w:r>
      <w:r w:rsidRPr="0091560A">
        <w:t xml:space="preserve">seen </w:t>
      </w:r>
      <w:r w:rsidR="00192400" w:rsidRPr="0091560A">
        <w:t>in the following figures</w:t>
      </w:r>
      <w:r w:rsidR="00F40970" w:rsidRPr="0091560A">
        <w:t xml:space="preserve">, with single ingredient paracetamol products being more common and also increasing </w:t>
      </w:r>
      <w:r w:rsidR="00466D8E">
        <w:t>to a</w:t>
      </w:r>
      <w:r w:rsidR="00F40970" w:rsidRPr="0091560A">
        <w:t xml:space="preserve"> greater </w:t>
      </w:r>
      <w:r w:rsidR="00466D8E">
        <w:t>extent</w:t>
      </w:r>
      <w:r w:rsidR="00121A76">
        <w:t xml:space="preserve"> </w:t>
      </w:r>
      <w:r w:rsidR="00737D5D">
        <w:t>(Figure 13)</w:t>
      </w:r>
      <w:r w:rsidR="004D47D4">
        <w:t>.</w:t>
      </w:r>
      <w:r w:rsidR="00192400" w:rsidRPr="0091560A">
        <w:t xml:space="preserve"> </w:t>
      </w:r>
      <w:bookmarkStart w:id="45" w:name="OLE_LINK3"/>
      <w:r w:rsidR="005248DA" w:rsidRPr="0091560A">
        <w:t>The problem is increasing particularly in young people. Age categories were generally recorded, the small numbers of unknown are shown in the total</w:t>
      </w:r>
      <w:r w:rsidR="00914066" w:rsidRPr="0091560A">
        <w:t>.</w:t>
      </w:r>
    </w:p>
    <w:p w14:paraId="323BC291" w14:textId="77777777" w:rsidR="00B02649" w:rsidRDefault="00F3497B" w:rsidP="00AA0D2A">
      <w:pPr>
        <w:keepNext/>
      </w:pPr>
      <w:r>
        <w:rPr>
          <w:noProof/>
        </w:rPr>
        <w:drawing>
          <wp:inline distT="0" distB="0" distL="0" distR="0" wp14:anchorId="5F717AB6" wp14:editId="64FD92E3">
            <wp:extent cx="5867400" cy="1988797"/>
            <wp:effectExtent l="0" t="0" r="0" b="0"/>
            <wp:docPr id="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887019" cy="1995447"/>
                    </a:xfrm>
                    <a:prstGeom prst="rect">
                      <a:avLst/>
                    </a:prstGeom>
                    <a:noFill/>
                    <a:ln>
                      <a:noFill/>
                    </a:ln>
                    <a:extLst>
                      <a:ext uri="{53640926-AAD7-44D8-BBD7-CCE9431645EC}">
                        <a14:shadowObscured xmlns:a14="http://schemas.microsoft.com/office/drawing/2010/main"/>
                      </a:ext>
                    </a:extLst>
                  </pic:spPr>
                </pic:pic>
              </a:graphicData>
            </a:graphic>
          </wp:inline>
        </w:drawing>
      </w:r>
    </w:p>
    <w:p w14:paraId="76D71784" w14:textId="7D814121" w:rsidR="00914066" w:rsidRPr="0091560A" w:rsidRDefault="00914066" w:rsidP="00B02649">
      <w:pPr>
        <w:pStyle w:val="FigureCaption"/>
      </w:pPr>
      <w:bookmarkStart w:id="46" w:name="_Toc114559974"/>
      <w:r w:rsidRPr="0091560A">
        <w:t xml:space="preserve">Figure </w:t>
      </w:r>
      <w:r>
        <w:fldChar w:fldCharType="begin"/>
      </w:r>
      <w:r>
        <w:instrText>SEQ Figure \* ARABIC</w:instrText>
      </w:r>
      <w:r>
        <w:fldChar w:fldCharType="separate"/>
      </w:r>
      <w:r w:rsidR="0091734E">
        <w:rPr>
          <w:noProof/>
        </w:rPr>
        <w:t>13</w:t>
      </w:r>
      <w:r>
        <w:fldChar w:fldCharType="end"/>
      </w:r>
      <w:r w:rsidRPr="0091560A">
        <w:t xml:space="preserve"> Single ingredient and combination product paracetamol poisoning exposure events. (NSW PIC 2011-2021)</w:t>
      </w:r>
      <w:bookmarkEnd w:id="46"/>
    </w:p>
    <w:p w14:paraId="4329E7B8" w14:textId="77777777" w:rsidR="004D47D4" w:rsidRDefault="004D47D4" w:rsidP="001B6EE7">
      <w:pPr>
        <w:rPr>
          <w:rFonts w:cs="Times New Roman"/>
        </w:rPr>
      </w:pPr>
    </w:p>
    <w:p w14:paraId="018F1DE9" w14:textId="0BEAA0DD" w:rsidR="001B6EE7" w:rsidRPr="0091560A" w:rsidRDefault="001B6EE7" w:rsidP="001B6EE7">
      <w:pPr>
        <w:rPr>
          <w:rFonts w:cs="Times New Roman"/>
        </w:rPr>
      </w:pPr>
      <w:r w:rsidRPr="0091560A">
        <w:rPr>
          <w:rFonts w:cs="Times New Roman"/>
        </w:rPr>
        <w:t>This has been notably driven by increasing events involving adolescent females with intentional self-poisoning, and this increased considerably in the last two years</w:t>
      </w:r>
      <w:r w:rsidR="006C71F9">
        <w:rPr>
          <w:rFonts w:cs="Times New Roman"/>
        </w:rPr>
        <w:t xml:space="preserve"> </w:t>
      </w:r>
      <w:r w:rsidR="001B355F">
        <w:rPr>
          <w:rFonts w:cs="Times New Roman"/>
        </w:rPr>
        <w:t>(Figure 14)</w:t>
      </w:r>
      <w:r w:rsidR="006C71F9">
        <w:rPr>
          <w:rFonts w:cs="Times New Roman"/>
        </w:rPr>
        <w:t>.</w:t>
      </w:r>
    </w:p>
    <w:p w14:paraId="7FE1E8A0" w14:textId="77777777" w:rsidR="004D47D4" w:rsidRPr="0091560A" w:rsidRDefault="004D47D4" w:rsidP="001B6EE7">
      <w:pPr>
        <w:rPr>
          <w:rFonts w:cs="Times New Roman"/>
        </w:rPr>
      </w:pPr>
    </w:p>
    <w:p w14:paraId="17FC1BCD" w14:textId="77777777" w:rsidR="00B02649" w:rsidRDefault="00272247" w:rsidP="00B02649">
      <w:r>
        <w:rPr>
          <w:noProof/>
        </w:rPr>
        <w:drawing>
          <wp:inline distT="0" distB="0" distL="0" distR="0" wp14:anchorId="132EE8F6" wp14:editId="22DF38C1">
            <wp:extent cx="5943600" cy="2088470"/>
            <wp:effectExtent l="0" t="0" r="0"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86147" cy="2103420"/>
                    </a:xfrm>
                    <a:prstGeom prst="rect">
                      <a:avLst/>
                    </a:prstGeom>
                    <a:noFill/>
                  </pic:spPr>
                </pic:pic>
              </a:graphicData>
            </a:graphic>
          </wp:inline>
        </w:drawing>
      </w:r>
    </w:p>
    <w:p w14:paraId="4CFBF099" w14:textId="125DE536" w:rsidR="00964B52" w:rsidRPr="0091560A" w:rsidRDefault="0032400E" w:rsidP="00B02649">
      <w:pPr>
        <w:pStyle w:val="FigureCaption"/>
      </w:pPr>
      <w:bookmarkStart w:id="47" w:name="_Toc114559975"/>
      <w:r w:rsidRPr="0091560A">
        <w:t xml:space="preserve">Figure </w:t>
      </w:r>
      <w:r>
        <w:fldChar w:fldCharType="begin"/>
      </w:r>
      <w:r>
        <w:instrText>SEQ Figure \* ARABIC</w:instrText>
      </w:r>
      <w:r>
        <w:fldChar w:fldCharType="separate"/>
      </w:r>
      <w:r w:rsidR="0091734E">
        <w:rPr>
          <w:noProof/>
        </w:rPr>
        <w:t>14</w:t>
      </w:r>
      <w:r>
        <w:fldChar w:fldCharType="end"/>
      </w:r>
      <w:r w:rsidRPr="0091560A">
        <w:t xml:space="preserve"> </w:t>
      </w:r>
      <w:r w:rsidR="00F71300" w:rsidRPr="0091560A">
        <w:t xml:space="preserve">Intentional </w:t>
      </w:r>
      <w:r w:rsidR="003F72A5" w:rsidRPr="0091560A">
        <w:t xml:space="preserve">single ingredient </w:t>
      </w:r>
      <w:r w:rsidR="00F71300" w:rsidRPr="0091560A">
        <w:t>p</w:t>
      </w:r>
      <w:r w:rsidRPr="0091560A">
        <w:t xml:space="preserve">aracetamol poisoning </w:t>
      </w:r>
      <w:r w:rsidR="00F71300" w:rsidRPr="0091560A">
        <w:t>exposure</w:t>
      </w:r>
      <w:r w:rsidR="003F7B7E" w:rsidRPr="0091560A">
        <w:t xml:space="preserve"> events</w:t>
      </w:r>
      <w:r w:rsidR="00F71300" w:rsidRPr="0091560A">
        <w:t xml:space="preserve"> </w:t>
      </w:r>
      <w:r w:rsidR="00272247">
        <w:br/>
      </w:r>
      <w:r w:rsidR="00F71300" w:rsidRPr="0091560A">
        <w:t>(NSW PIC</w:t>
      </w:r>
      <w:bookmarkEnd w:id="45"/>
      <w:r w:rsidRPr="0091560A">
        <w:t xml:space="preserve"> 20</w:t>
      </w:r>
      <w:r w:rsidR="00F71300" w:rsidRPr="0091560A">
        <w:t>11</w:t>
      </w:r>
      <w:r w:rsidRPr="0091560A">
        <w:t>-202</w:t>
      </w:r>
      <w:r w:rsidR="00F71300" w:rsidRPr="0091560A">
        <w:t>1)</w:t>
      </w:r>
      <w:bookmarkEnd w:id="47"/>
    </w:p>
    <w:p w14:paraId="383CB488" w14:textId="68910C44" w:rsidR="00D3059C" w:rsidRPr="0091560A" w:rsidRDefault="009D2E64">
      <w:pPr>
        <w:pStyle w:val="Figurenote"/>
      </w:pPr>
      <w:r w:rsidRPr="0091560A">
        <w:t xml:space="preserve">Note. </w:t>
      </w:r>
      <w:r w:rsidR="00D3059C" w:rsidRPr="0091560A">
        <w:t xml:space="preserve">Sex was not recorded in </w:t>
      </w:r>
      <w:r w:rsidRPr="0091560A">
        <w:t xml:space="preserve">343 cases </w:t>
      </w:r>
      <w:r w:rsidR="00721BEB" w:rsidRPr="0091560A">
        <w:t xml:space="preserve">(114 child/adolescent) </w:t>
      </w:r>
      <w:r w:rsidRPr="0091560A">
        <w:t xml:space="preserve">over the </w:t>
      </w:r>
      <w:r w:rsidR="00272247">
        <w:br/>
      </w:r>
      <w:r w:rsidRPr="0091560A">
        <w:t>11 years</w:t>
      </w:r>
      <w:r w:rsidR="00482D9B" w:rsidRPr="0091560A">
        <w:t xml:space="preserve"> and these are not shown in this figure.</w:t>
      </w:r>
    </w:p>
    <w:p w14:paraId="38F36FD3" w14:textId="4B62CB16" w:rsidR="00964B52" w:rsidRPr="0091560A" w:rsidRDefault="00475CE7" w:rsidP="00930D1F">
      <w:pPr>
        <w:rPr>
          <w:rFonts w:cs="Times New Roman"/>
        </w:rPr>
      </w:pPr>
      <w:r w:rsidRPr="0091560A">
        <w:rPr>
          <w:rFonts w:cs="Times New Roman"/>
        </w:rPr>
        <w:t xml:space="preserve">This may partly reflect increasing </w:t>
      </w:r>
      <w:r w:rsidR="007B4FDE" w:rsidRPr="0091560A">
        <w:rPr>
          <w:rFonts w:cs="Times New Roman"/>
        </w:rPr>
        <w:t>PIC utilisations for advice on</w:t>
      </w:r>
      <w:r w:rsidR="00B47DAE" w:rsidRPr="0091560A">
        <w:rPr>
          <w:rFonts w:cs="Times New Roman"/>
        </w:rPr>
        <w:t xml:space="preserve"> paracetamol </w:t>
      </w:r>
      <w:r w:rsidR="007B4FDE" w:rsidRPr="0091560A">
        <w:rPr>
          <w:rFonts w:cs="Times New Roman"/>
        </w:rPr>
        <w:t xml:space="preserve">with new </w:t>
      </w:r>
      <w:r w:rsidR="009A6515" w:rsidRPr="0091560A">
        <w:rPr>
          <w:rFonts w:cs="Times New Roman"/>
        </w:rPr>
        <w:t xml:space="preserve">Australian </w:t>
      </w:r>
      <w:r w:rsidR="007B4FDE" w:rsidRPr="0091560A">
        <w:rPr>
          <w:rFonts w:cs="Times New Roman"/>
        </w:rPr>
        <w:t xml:space="preserve">guidelines being </w:t>
      </w:r>
      <w:r w:rsidR="009A6515" w:rsidRPr="0091560A">
        <w:rPr>
          <w:rFonts w:cs="Times New Roman"/>
        </w:rPr>
        <w:t>published</w:t>
      </w:r>
      <w:r w:rsidR="007B4FDE" w:rsidRPr="0091560A">
        <w:rPr>
          <w:rFonts w:cs="Times New Roman"/>
        </w:rPr>
        <w:t xml:space="preserve"> </w:t>
      </w:r>
      <w:r w:rsidR="000B3EBD" w:rsidRPr="0091560A">
        <w:rPr>
          <w:rFonts w:cs="Times New Roman"/>
        </w:rPr>
        <w:t>in late 2019</w:t>
      </w:r>
      <w:r w:rsidR="006029F3">
        <w:rPr>
          <w:rFonts w:cs="Times New Roman"/>
        </w:rPr>
        <w:t xml:space="preserve"> </w:t>
      </w:r>
      <w:r w:rsidR="007C0C1C">
        <w:rPr>
          <w:rFonts w:cs="Times New Roman"/>
        </w:rPr>
        <w:fldChar w:fldCharType="begin">
          <w:fldData xml:space="preserve">PEVuZE5vdGU+PENpdGU+PEF1dGhvcj5DaGlldzwvQXV0aG9yPjxZZWFyPjIwMjA8L1llYXI+PFJl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</w:fldData>
        </w:fldChar>
      </w:r>
      <w:r w:rsidR="006E08D8">
        <w:rPr>
          <w:rFonts w:cs="Times New Roman"/>
        </w:rPr>
        <w:instrText xml:space="preserve"> ADDIN EN.CITE </w:instrText>
      </w:r>
      <w:r w:rsidR="006E08D8">
        <w:rPr>
          <w:rFonts w:cs="Times New Roman"/>
        </w:rPr>
        <w:fldChar w:fldCharType="begin">
          <w:fldData xml:space="preserve">PEVuZE5vdGU+PENpdGU+PEF1dGhvcj5DaGlldzwvQXV0aG9yPjxZZWFyPjIwMjA8L1llYXI+PFJl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</w:fldData>
        </w:fldChar>
      </w:r>
      <w:r w:rsidR="006E08D8">
        <w:rPr>
          <w:rFonts w:cs="Times New Roman"/>
        </w:rPr>
        <w:instrText xml:space="preserve"> ADDIN EN.CITE.DATA </w:instrText>
      </w:r>
      <w:r w:rsidR="006E08D8">
        <w:rPr>
          <w:rFonts w:cs="Times New Roman"/>
        </w:rPr>
      </w:r>
      <w:r w:rsidR="006E08D8">
        <w:rPr>
          <w:rFonts w:cs="Times New Roman"/>
        </w:rPr>
        <w:fldChar w:fldCharType="end"/>
      </w:r>
      <w:r w:rsidR="007C0C1C">
        <w:rPr>
          <w:rFonts w:cs="Times New Roman"/>
        </w:rPr>
      </w:r>
      <w:r w:rsidR="007C0C1C">
        <w:rPr>
          <w:rFonts w:cs="Times New Roman"/>
        </w:rPr>
        <w:fldChar w:fldCharType="separate"/>
      </w:r>
      <w:r w:rsidR="007C0C1C">
        <w:rPr>
          <w:rFonts w:cs="Times New Roman"/>
          <w:noProof/>
        </w:rPr>
        <w:t>(Chiew et al., 2020)</w:t>
      </w:r>
      <w:r w:rsidR="007C0C1C">
        <w:rPr>
          <w:rFonts w:cs="Times New Roman"/>
        </w:rPr>
        <w:fldChar w:fldCharType="end"/>
      </w:r>
      <w:r w:rsidR="00177C77" w:rsidRPr="0091560A">
        <w:rPr>
          <w:rFonts w:cs="Times New Roman"/>
        </w:rPr>
        <w:t xml:space="preserve">, but the </w:t>
      </w:r>
      <w:r w:rsidR="00B0254C" w:rsidRPr="0091560A">
        <w:rPr>
          <w:rFonts w:cs="Times New Roman"/>
        </w:rPr>
        <w:t>non-intention</w:t>
      </w:r>
      <w:r w:rsidR="00177C77" w:rsidRPr="0091560A">
        <w:rPr>
          <w:rFonts w:cs="Times New Roman"/>
        </w:rPr>
        <w:t xml:space="preserve">al poisoning </w:t>
      </w:r>
      <w:r w:rsidR="003F7B7E" w:rsidRPr="0091560A">
        <w:rPr>
          <w:rFonts w:cs="Times New Roman"/>
        </w:rPr>
        <w:t>events</w:t>
      </w:r>
      <w:r w:rsidR="00177C77" w:rsidRPr="0091560A">
        <w:rPr>
          <w:rFonts w:cs="Times New Roman"/>
        </w:rPr>
        <w:t xml:space="preserve"> show a very different </w:t>
      </w:r>
      <w:r w:rsidR="00B0254C" w:rsidRPr="0091560A">
        <w:rPr>
          <w:rFonts w:cs="Times New Roman"/>
        </w:rPr>
        <w:t>(</w:t>
      </w:r>
      <w:r w:rsidR="00177C77" w:rsidRPr="0091560A">
        <w:rPr>
          <w:rFonts w:cs="Times New Roman"/>
        </w:rPr>
        <w:t>albeit still increasing) trajectory</w:t>
      </w:r>
      <w:r w:rsidR="00096DF6" w:rsidRPr="0091560A">
        <w:rPr>
          <w:rFonts w:cs="Times New Roman"/>
        </w:rPr>
        <w:t xml:space="preserve"> (Figure </w:t>
      </w:r>
      <w:r w:rsidR="007C0C1C">
        <w:rPr>
          <w:rFonts w:cs="Times New Roman"/>
        </w:rPr>
        <w:t>15</w:t>
      </w:r>
      <w:r w:rsidR="00096DF6" w:rsidRPr="0091560A">
        <w:rPr>
          <w:rFonts w:cs="Times New Roman"/>
        </w:rPr>
        <w:t>)</w:t>
      </w:r>
      <w:r w:rsidR="00177C77" w:rsidRPr="0091560A">
        <w:rPr>
          <w:rFonts w:cs="Times New Roman"/>
        </w:rPr>
        <w:t>.</w:t>
      </w:r>
      <w:r w:rsidR="00CE0254" w:rsidRPr="0091560A">
        <w:rPr>
          <w:rFonts w:cs="Times New Roman"/>
        </w:rPr>
        <w:t xml:space="preserve"> The</w:t>
      </w:r>
      <w:r w:rsidR="00065EA6" w:rsidRPr="0091560A">
        <w:rPr>
          <w:rFonts w:cs="Times New Roman"/>
        </w:rPr>
        <w:t xml:space="preserve"> intentional poisonings are </w:t>
      </w:r>
      <w:r w:rsidR="00B0254C" w:rsidRPr="0091560A">
        <w:rPr>
          <w:rFonts w:cs="Times New Roman"/>
        </w:rPr>
        <w:t>now roughly</w:t>
      </w:r>
      <w:r w:rsidR="00CE0254" w:rsidRPr="0091560A">
        <w:rPr>
          <w:rFonts w:cs="Times New Roman"/>
        </w:rPr>
        <w:t xml:space="preserve"> </w:t>
      </w:r>
      <w:r w:rsidR="00B0254C" w:rsidRPr="0091560A">
        <w:rPr>
          <w:rFonts w:cs="Times New Roman"/>
        </w:rPr>
        <w:t>twice as common (3</w:t>
      </w:r>
      <w:r w:rsidR="007F28F5" w:rsidRPr="0091560A">
        <w:rPr>
          <w:rFonts w:cs="Times New Roman"/>
        </w:rPr>
        <w:t>575</w:t>
      </w:r>
      <w:r w:rsidR="00B0254C" w:rsidRPr="0091560A">
        <w:rPr>
          <w:rFonts w:cs="Times New Roman"/>
        </w:rPr>
        <w:t xml:space="preserve"> vs </w:t>
      </w:r>
      <w:r w:rsidR="009F7972" w:rsidRPr="0091560A">
        <w:rPr>
          <w:rFonts w:cs="Times New Roman"/>
        </w:rPr>
        <w:t>1</w:t>
      </w:r>
      <w:r w:rsidR="006472A0" w:rsidRPr="0091560A">
        <w:rPr>
          <w:rFonts w:cs="Times New Roman"/>
        </w:rPr>
        <w:t>81</w:t>
      </w:r>
      <w:r w:rsidR="009F7972" w:rsidRPr="0091560A">
        <w:rPr>
          <w:rFonts w:cs="Times New Roman"/>
        </w:rPr>
        <w:t>0), and females and the young</w:t>
      </w:r>
      <w:r w:rsidR="00310EA9" w:rsidRPr="0091560A">
        <w:rPr>
          <w:rFonts w:cs="Times New Roman"/>
        </w:rPr>
        <w:t xml:space="preserve">er age groups </w:t>
      </w:r>
      <w:r w:rsidR="009F7972" w:rsidRPr="0091560A">
        <w:rPr>
          <w:rFonts w:cs="Times New Roman"/>
        </w:rPr>
        <w:t xml:space="preserve">are </w:t>
      </w:r>
      <w:r w:rsidR="00453B67" w:rsidRPr="0091560A">
        <w:rPr>
          <w:rFonts w:cs="Times New Roman"/>
        </w:rPr>
        <w:t xml:space="preserve">much more </w:t>
      </w:r>
      <w:r w:rsidR="009F7972" w:rsidRPr="0091560A">
        <w:rPr>
          <w:rFonts w:cs="Times New Roman"/>
        </w:rPr>
        <w:t>over-represented</w:t>
      </w:r>
      <w:r w:rsidR="00310EA9" w:rsidRPr="0091560A">
        <w:rPr>
          <w:rFonts w:cs="Times New Roman"/>
        </w:rPr>
        <w:t xml:space="preserve"> in intentional poisonings</w:t>
      </w:r>
      <w:r w:rsidR="003F72A5" w:rsidRPr="0091560A">
        <w:rPr>
          <w:rFonts w:cs="Times New Roman"/>
        </w:rPr>
        <w:t>.</w:t>
      </w:r>
      <w:r w:rsidR="00096DF6" w:rsidRPr="0091560A">
        <w:rPr>
          <w:rFonts w:cs="Times New Roman"/>
        </w:rPr>
        <w:t xml:space="preserve">  </w:t>
      </w:r>
    </w:p>
    <w:p w14:paraId="717D58E6" w14:textId="77777777" w:rsidR="00B02649" w:rsidRDefault="00272247" w:rsidP="00B02649">
      <w:r>
        <w:rPr>
          <w:noProof/>
        </w:rPr>
        <w:drawing>
          <wp:inline distT="0" distB="0" distL="0" distR="0" wp14:anchorId="0A43E6B5" wp14:editId="1393E0F5">
            <wp:extent cx="5807303" cy="2095500"/>
            <wp:effectExtent l="0" t="0" r="3175" b="0"/>
            <wp:docPr id="7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823166" cy="2101224"/>
                    </a:xfrm>
                    <a:prstGeom prst="rect">
                      <a:avLst/>
                    </a:prstGeom>
                    <a:noFill/>
                    <a:ln>
                      <a:noFill/>
                    </a:ln>
                    <a:extLst>
                      <a:ext uri="{53640926-AAD7-44D8-BBD7-CCE9431645EC}">
                        <a14:shadowObscured xmlns:a14="http://schemas.microsoft.com/office/drawing/2010/main"/>
                      </a:ext>
                    </a:extLst>
                  </pic:spPr>
                </pic:pic>
              </a:graphicData>
            </a:graphic>
          </wp:inline>
        </w:drawing>
      </w:r>
    </w:p>
    <w:p w14:paraId="37F914E8" w14:textId="3D94AA5D" w:rsidR="003F72A5" w:rsidRPr="0091560A" w:rsidRDefault="003F72A5" w:rsidP="00B02649">
      <w:pPr>
        <w:pStyle w:val="FigureCaption"/>
      </w:pPr>
      <w:bookmarkStart w:id="48" w:name="_Toc114559976"/>
      <w:r w:rsidRPr="0091560A">
        <w:t xml:space="preserve">Figure </w:t>
      </w:r>
      <w:r>
        <w:fldChar w:fldCharType="begin"/>
      </w:r>
      <w:r>
        <w:instrText>SEQ Figure \* ARABIC</w:instrText>
      </w:r>
      <w:r>
        <w:fldChar w:fldCharType="separate"/>
      </w:r>
      <w:r w:rsidR="0091734E">
        <w:rPr>
          <w:noProof/>
        </w:rPr>
        <w:t>15</w:t>
      </w:r>
      <w:r>
        <w:fldChar w:fldCharType="end"/>
      </w:r>
      <w:r w:rsidRPr="0091560A">
        <w:t xml:space="preserve"> </w:t>
      </w:r>
      <w:r w:rsidR="007F3032" w:rsidRPr="0091560A">
        <w:t>N</w:t>
      </w:r>
      <w:r w:rsidR="00B0254C" w:rsidRPr="0091560A">
        <w:t>on-intentional</w:t>
      </w:r>
      <w:r w:rsidRPr="0091560A">
        <w:t xml:space="preserve"> single ingredient paracetamol poisoning exposure</w:t>
      </w:r>
      <w:r w:rsidR="00DE7DD4" w:rsidRPr="0091560A">
        <w:t xml:space="preserve"> events</w:t>
      </w:r>
      <w:r w:rsidRPr="0091560A">
        <w:t xml:space="preserve"> </w:t>
      </w:r>
      <w:r w:rsidR="00DE7DD4" w:rsidRPr="0091560A">
        <w:t xml:space="preserve">in those </w:t>
      </w:r>
      <w:r w:rsidR="007A0A19" w:rsidRPr="0091560A">
        <w:t xml:space="preserve">aged </w:t>
      </w:r>
      <w:r w:rsidR="007A0A19" w:rsidRPr="0091560A">
        <w:rPr>
          <w:u w:val="single"/>
        </w:rPr>
        <w:t>&gt;</w:t>
      </w:r>
      <w:r w:rsidR="007A0A19" w:rsidRPr="0091560A">
        <w:t xml:space="preserve"> 5</w:t>
      </w:r>
      <w:r w:rsidRPr="0091560A">
        <w:t xml:space="preserve"> (NSW PIC 2011-21)</w:t>
      </w:r>
      <w:bookmarkEnd w:id="48"/>
    </w:p>
    <w:p w14:paraId="64BBEE12" w14:textId="2D300A12" w:rsidR="00177C77" w:rsidRPr="0091560A" w:rsidRDefault="00480224">
      <w:pPr>
        <w:pStyle w:val="Figurenote"/>
      </w:pPr>
      <w:r w:rsidRPr="0091560A">
        <w:t xml:space="preserve">Note there were also </w:t>
      </w:r>
      <w:r w:rsidR="004C316B" w:rsidRPr="0091560A">
        <w:t xml:space="preserve">40-50 </w:t>
      </w:r>
      <w:r w:rsidRPr="0091560A">
        <w:t>exposures</w:t>
      </w:r>
      <w:r w:rsidR="004C316B" w:rsidRPr="0091560A">
        <w:t>/year</w:t>
      </w:r>
      <w:r w:rsidRPr="0091560A">
        <w:t xml:space="preserve"> in other/unknown categories over the 11 years (</w:t>
      </w:r>
      <w:r w:rsidR="004C316B" w:rsidRPr="0091560A">
        <w:t xml:space="preserve">405 in total, </w:t>
      </w:r>
      <w:r w:rsidRPr="0091560A">
        <w:t>105 in children and adolescents).</w:t>
      </w:r>
      <w:r w:rsidR="003A35DB" w:rsidRPr="0091560A">
        <w:t xml:space="preserve"> </w:t>
      </w:r>
      <w:r w:rsidR="004C316B" w:rsidRPr="0091560A">
        <w:t>These data are not shown</w:t>
      </w:r>
      <w:r w:rsidR="004557DA" w:rsidRPr="0091560A">
        <w:t xml:space="preserve"> in these two figures</w:t>
      </w:r>
      <w:r w:rsidR="00222841" w:rsidRPr="0091560A">
        <w:t>, but generally reflect calls with very limited data recorded.</w:t>
      </w:r>
      <w:r w:rsidR="004C316B" w:rsidRPr="0091560A">
        <w:t xml:space="preserve"> </w:t>
      </w:r>
    </w:p>
    <w:p w14:paraId="38CF6F14" w14:textId="5B9E536E" w:rsidR="00AF6433" w:rsidRPr="0091560A" w:rsidRDefault="007A3B92" w:rsidP="00930D1F">
      <w:pPr>
        <w:rPr>
          <w:rFonts w:cs="Times New Roman"/>
        </w:rPr>
      </w:pPr>
      <w:r w:rsidRPr="0091560A">
        <w:rPr>
          <w:rFonts w:cs="Times New Roman"/>
        </w:rPr>
        <w:t xml:space="preserve">The paracetamol combination products </w:t>
      </w:r>
      <w:r w:rsidR="00C2243C" w:rsidRPr="0091560A">
        <w:rPr>
          <w:rFonts w:cs="Times New Roman"/>
        </w:rPr>
        <w:t xml:space="preserve">have much lower numbers and </w:t>
      </w:r>
      <w:r w:rsidRPr="0091560A">
        <w:rPr>
          <w:rFonts w:cs="Times New Roman"/>
        </w:rPr>
        <w:t xml:space="preserve">show </w:t>
      </w:r>
      <w:r w:rsidR="003541C2" w:rsidRPr="0091560A">
        <w:rPr>
          <w:rFonts w:cs="Times New Roman"/>
        </w:rPr>
        <w:t>a different trajectory</w:t>
      </w:r>
      <w:r w:rsidR="00C2243C" w:rsidRPr="0091560A">
        <w:rPr>
          <w:rFonts w:cs="Times New Roman"/>
        </w:rPr>
        <w:t xml:space="preserve"> </w:t>
      </w:r>
      <w:r w:rsidR="00091523" w:rsidRPr="0091560A">
        <w:rPr>
          <w:rFonts w:cs="Times New Roman"/>
        </w:rPr>
        <w:t xml:space="preserve">(Figure </w:t>
      </w:r>
      <w:r w:rsidR="00C93DDC">
        <w:rPr>
          <w:rFonts w:cs="Times New Roman"/>
        </w:rPr>
        <w:t>16</w:t>
      </w:r>
      <w:r w:rsidR="00091523" w:rsidRPr="0091560A">
        <w:rPr>
          <w:rFonts w:cs="Times New Roman"/>
        </w:rPr>
        <w:t xml:space="preserve"> &amp; </w:t>
      </w:r>
      <w:r w:rsidR="00C93DDC">
        <w:rPr>
          <w:rFonts w:cs="Times New Roman"/>
        </w:rPr>
        <w:t>17</w:t>
      </w:r>
      <w:r w:rsidR="00091523" w:rsidRPr="0091560A">
        <w:rPr>
          <w:rFonts w:cs="Times New Roman"/>
        </w:rPr>
        <w:t>)</w:t>
      </w:r>
      <w:r w:rsidR="00B3265D" w:rsidRPr="0091560A">
        <w:rPr>
          <w:rFonts w:cs="Times New Roman"/>
        </w:rPr>
        <w:t>.</w:t>
      </w:r>
      <w:r w:rsidR="00C2243C" w:rsidRPr="0091560A">
        <w:rPr>
          <w:rFonts w:cs="Times New Roman"/>
        </w:rPr>
        <w:t xml:space="preserve"> T</w:t>
      </w:r>
      <w:r w:rsidR="00AF6433" w:rsidRPr="0091560A">
        <w:rPr>
          <w:rFonts w:cs="Times New Roman"/>
        </w:rPr>
        <w:t>hese appear less likely to be ingested by young people</w:t>
      </w:r>
      <w:r w:rsidR="00372248" w:rsidRPr="0091560A">
        <w:rPr>
          <w:rFonts w:cs="Times New Roman"/>
        </w:rPr>
        <w:t xml:space="preserve"> and have not shown the same increases. To some extent this may reflect </w:t>
      </w:r>
      <w:r w:rsidR="00410DE8" w:rsidRPr="0091560A">
        <w:rPr>
          <w:rFonts w:cs="Times New Roman"/>
        </w:rPr>
        <w:t xml:space="preserve">the rescheduling of codeine which is present in many of these products (the impact of </w:t>
      </w:r>
      <w:r w:rsidR="00C2243C" w:rsidRPr="0091560A">
        <w:rPr>
          <w:rFonts w:cs="Times New Roman"/>
        </w:rPr>
        <w:t xml:space="preserve">the rescheduling of codeine is </w:t>
      </w:r>
      <w:r w:rsidR="00410DE8" w:rsidRPr="0091560A">
        <w:rPr>
          <w:rFonts w:cs="Times New Roman"/>
        </w:rPr>
        <w:t>further considered below</w:t>
      </w:r>
      <w:r w:rsidR="00287F57" w:rsidRPr="0091560A">
        <w:rPr>
          <w:rFonts w:cs="Times New Roman"/>
        </w:rPr>
        <w:t>).</w:t>
      </w:r>
      <w:r w:rsidR="00410DE8" w:rsidRPr="0091560A">
        <w:rPr>
          <w:rFonts w:cs="Times New Roman"/>
        </w:rPr>
        <w:t xml:space="preserve"> </w:t>
      </w:r>
      <w:r w:rsidR="009D1C54" w:rsidRPr="0091560A">
        <w:rPr>
          <w:rFonts w:cs="Times New Roman"/>
        </w:rPr>
        <w:t xml:space="preserve">Note the much lower numbers </w:t>
      </w:r>
      <w:r w:rsidR="00091523" w:rsidRPr="0091560A">
        <w:rPr>
          <w:rFonts w:cs="Times New Roman"/>
        </w:rPr>
        <w:t xml:space="preserve">on the Y axis. </w:t>
      </w:r>
      <w:r w:rsidR="00B3265D" w:rsidRPr="0091560A">
        <w:rPr>
          <w:rFonts w:cs="Times New Roman"/>
        </w:rPr>
        <w:t>In 2021, paracetamol c</w:t>
      </w:r>
      <w:r w:rsidR="00091523" w:rsidRPr="0091560A">
        <w:rPr>
          <w:rFonts w:cs="Times New Roman"/>
        </w:rPr>
        <w:t>ombination product</w:t>
      </w:r>
      <w:r w:rsidR="00B3265D" w:rsidRPr="0091560A">
        <w:rPr>
          <w:rFonts w:cs="Times New Roman"/>
        </w:rPr>
        <w:t xml:space="preserve"> exposures totalled </w:t>
      </w:r>
      <w:r w:rsidR="003E3BBC" w:rsidRPr="0091560A">
        <w:rPr>
          <w:rFonts w:cs="Times New Roman"/>
        </w:rPr>
        <w:t xml:space="preserve">2038 vs </w:t>
      </w:r>
      <w:r w:rsidR="000A34D3" w:rsidRPr="0091560A">
        <w:rPr>
          <w:rFonts w:cs="Times New Roman"/>
        </w:rPr>
        <w:t xml:space="preserve">5637 </w:t>
      </w:r>
      <w:r w:rsidR="00816B69" w:rsidRPr="0091560A">
        <w:rPr>
          <w:rFonts w:cs="Times New Roman"/>
        </w:rPr>
        <w:t>for single ingredient paracetamol products.</w:t>
      </w:r>
      <w:r w:rsidR="006E7F33" w:rsidRPr="0091560A">
        <w:rPr>
          <w:rFonts w:cs="Times New Roman"/>
        </w:rPr>
        <w:t xml:space="preserve"> </w:t>
      </w:r>
      <w:r w:rsidR="00B01BE9" w:rsidRPr="0091560A">
        <w:rPr>
          <w:rFonts w:cs="Times New Roman"/>
        </w:rPr>
        <w:t>C</w:t>
      </w:r>
      <w:r w:rsidR="00343ED9" w:rsidRPr="0091560A">
        <w:rPr>
          <w:rFonts w:cs="Times New Roman"/>
        </w:rPr>
        <w:t xml:space="preserve">hildren and adolescent </w:t>
      </w:r>
      <w:r w:rsidR="00D9708C" w:rsidRPr="0091560A">
        <w:rPr>
          <w:rFonts w:cs="Times New Roman"/>
        </w:rPr>
        <w:t xml:space="preserve">intentional poisonings </w:t>
      </w:r>
      <w:r w:rsidR="00B01BE9" w:rsidRPr="0091560A">
        <w:rPr>
          <w:rFonts w:cs="Times New Roman"/>
        </w:rPr>
        <w:t xml:space="preserve">were around six times more likely to involve single ingredient preparations </w:t>
      </w:r>
      <w:r w:rsidR="0050180F" w:rsidRPr="0091560A">
        <w:rPr>
          <w:rFonts w:cs="Times New Roman"/>
        </w:rPr>
        <w:t>vs these combinations (</w:t>
      </w:r>
      <w:r w:rsidR="00D9708C" w:rsidRPr="0091560A">
        <w:rPr>
          <w:rFonts w:cs="Times New Roman"/>
        </w:rPr>
        <w:t>1933</w:t>
      </w:r>
      <w:r w:rsidR="0050180F" w:rsidRPr="0091560A">
        <w:rPr>
          <w:rFonts w:cs="Times New Roman"/>
        </w:rPr>
        <w:t xml:space="preserve"> vs 355, in 2021)</w:t>
      </w:r>
      <w:r w:rsidR="00BB36B8">
        <w:rPr>
          <w:rFonts w:cs="Times New Roman"/>
        </w:rPr>
        <w:t>.</w:t>
      </w:r>
    </w:p>
    <w:p w14:paraId="0B832863" w14:textId="77777777" w:rsidR="00B02649" w:rsidRDefault="00272247" w:rsidP="00B02649">
      <w:r>
        <w:rPr>
          <w:noProof/>
        </w:rPr>
        <w:drawing>
          <wp:inline distT="0" distB="0" distL="0" distR="0" wp14:anchorId="424F1FE2" wp14:editId="3A06FE2D">
            <wp:extent cx="5791200" cy="1898135"/>
            <wp:effectExtent l="0" t="0" r="0" b="6985"/>
            <wp:docPr id="7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08448" cy="1903788"/>
                    </a:xfrm>
                    <a:prstGeom prst="rect">
                      <a:avLst/>
                    </a:prstGeom>
                    <a:noFill/>
                  </pic:spPr>
                </pic:pic>
              </a:graphicData>
            </a:graphic>
          </wp:inline>
        </w:drawing>
      </w:r>
    </w:p>
    <w:p w14:paraId="1BD25EE1" w14:textId="63C761B1" w:rsidR="00287F57" w:rsidRPr="0091560A" w:rsidRDefault="00287F57" w:rsidP="00B02649">
      <w:pPr>
        <w:pStyle w:val="FigureCaption"/>
      </w:pPr>
      <w:bookmarkStart w:id="49" w:name="_Toc114559977"/>
      <w:r w:rsidRPr="0091560A">
        <w:t xml:space="preserve">Figure </w:t>
      </w:r>
      <w:r w:rsidR="005F69BD">
        <w:fldChar w:fldCharType="begin"/>
      </w:r>
      <w:r w:rsidR="005F69BD" w:rsidRPr="0091560A">
        <w:instrText xml:space="preserve"> SEQ Figure \* ARABIC </w:instrText>
      </w:r>
      <w:r w:rsidR="005F69BD">
        <w:fldChar w:fldCharType="separate"/>
      </w:r>
      <w:r w:rsidR="0091734E">
        <w:rPr>
          <w:noProof/>
        </w:rPr>
        <w:t>16</w:t>
      </w:r>
      <w:r w:rsidR="005F69BD">
        <w:fldChar w:fldCharType="end"/>
      </w:r>
      <w:r w:rsidRPr="0091560A">
        <w:t xml:space="preserve"> Intentional </w:t>
      </w:r>
      <w:bookmarkStart w:id="50" w:name="OLE_LINK4"/>
      <w:r w:rsidRPr="0091560A">
        <w:t xml:space="preserve">paracetamol </w:t>
      </w:r>
      <w:r w:rsidR="00D97FAC" w:rsidRPr="0091560A">
        <w:t xml:space="preserve">combination product </w:t>
      </w:r>
      <w:r w:rsidRPr="0091560A">
        <w:t>poisoning</w:t>
      </w:r>
      <w:bookmarkEnd w:id="50"/>
      <w:r w:rsidRPr="0091560A">
        <w:t xml:space="preserve"> exposures generating calls (NSW PIC 2011-21)</w:t>
      </w:r>
      <w:bookmarkEnd w:id="49"/>
    </w:p>
    <w:p w14:paraId="0736F161" w14:textId="7E265AA2" w:rsidR="00717BB7" w:rsidRPr="0091560A" w:rsidRDefault="00717BB7">
      <w:pPr>
        <w:pStyle w:val="Figurenote"/>
      </w:pPr>
      <w:r w:rsidRPr="0091560A">
        <w:t>*paracetamol combination products include: paracetamol/codeine, paracetamol/codeine/doxylamine, paracetamol/ibuprofen, cough and cold preparations containing paracetamol, paracetamol/tramadol, paracetamol/metoclopramide, paracetamol/caffeine, and paracetamol/dextropropoxyphene.</w:t>
      </w:r>
    </w:p>
    <w:p w14:paraId="3BE7F2E9" w14:textId="77777777" w:rsidR="00B02649" w:rsidRDefault="00272247" w:rsidP="00B02649">
      <w:r>
        <w:rPr>
          <w:noProof/>
        </w:rPr>
        <w:drawing>
          <wp:inline distT="0" distB="0" distL="0" distR="0" wp14:anchorId="22DB7E95" wp14:editId="65658C97">
            <wp:extent cx="5857875" cy="1901884"/>
            <wp:effectExtent l="0" t="0" r="0" b="3175"/>
            <wp:docPr id="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64811" cy="1904136"/>
                    </a:xfrm>
                    <a:prstGeom prst="rect">
                      <a:avLst/>
                    </a:prstGeom>
                    <a:noFill/>
                  </pic:spPr>
                </pic:pic>
              </a:graphicData>
            </a:graphic>
          </wp:inline>
        </w:drawing>
      </w:r>
    </w:p>
    <w:p w14:paraId="04211312" w14:textId="307A029B" w:rsidR="0088778F" w:rsidRPr="0091560A" w:rsidRDefault="00287F57" w:rsidP="00B02649">
      <w:pPr>
        <w:pStyle w:val="FigureCaption"/>
      </w:pPr>
      <w:bookmarkStart w:id="51" w:name="_Toc114559978"/>
      <w:r w:rsidRPr="0091560A">
        <w:t xml:space="preserve">Figure </w:t>
      </w:r>
      <w:r w:rsidR="005F69BD">
        <w:fldChar w:fldCharType="begin"/>
      </w:r>
      <w:r w:rsidR="005F69BD" w:rsidRPr="0091560A">
        <w:instrText xml:space="preserve"> SEQ Figure \* ARABIC </w:instrText>
      </w:r>
      <w:r w:rsidR="005F69BD">
        <w:fldChar w:fldCharType="separate"/>
      </w:r>
      <w:r w:rsidR="0091734E">
        <w:rPr>
          <w:noProof/>
        </w:rPr>
        <w:t>17</w:t>
      </w:r>
      <w:r w:rsidR="005F69BD">
        <w:fldChar w:fldCharType="end"/>
      </w:r>
      <w:r w:rsidRPr="0091560A">
        <w:t xml:space="preserve"> Non-intentional </w:t>
      </w:r>
      <w:r w:rsidR="00D97FAC" w:rsidRPr="0091560A">
        <w:t xml:space="preserve">paracetamol combination product poisoning </w:t>
      </w:r>
      <w:r w:rsidRPr="0091560A">
        <w:t>exposures generating calls (NSW PIC 2011-21)</w:t>
      </w:r>
      <w:bookmarkEnd w:id="51"/>
    </w:p>
    <w:p w14:paraId="49355E29" w14:textId="68CF2E38" w:rsidR="006029F3" w:rsidRPr="0091560A" w:rsidRDefault="00717BB7" w:rsidP="00502B31">
      <w:pPr>
        <w:pStyle w:val="Figurenote"/>
      </w:pPr>
      <w:r w:rsidRPr="0091560A">
        <w:t>*paracetamol combination products include: paracetamol/codeine, paracetamol/codeine/doxylamine, paracetamol/ibuprofen, cough and cold preparations containing paracetamol, paracetamol/tramadol, paracetamol/metoclopramide, paracetamol/caffeine, and paracetamol/dextropropoxyphene.</w:t>
      </w:r>
    </w:p>
    <w:p w14:paraId="4F12E194" w14:textId="59560026" w:rsidR="0001686B" w:rsidRPr="0091560A" w:rsidRDefault="00D30F25" w:rsidP="00AA0D2A">
      <w:pPr>
        <w:pStyle w:val="Heading5"/>
      </w:pPr>
      <w:r w:rsidRPr="0091560A">
        <w:t xml:space="preserve">Trends in </w:t>
      </w:r>
      <w:r w:rsidR="0020078D" w:rsidRPr="0091560A">
        <w:t>modified release (</w:t>
      </w:r>
      <w:r w:rsidR="0001686B" w:rsidRPr="0091560A">
        <w:t>MR</w:t>
      </w:r>
      <w:r w:rsidR="0020078D" w:rsidRPr="0091560A">
        <w:t>)</w:t>
      </w:r>
      <w:r w:rsidR="0001686B" w:rsidRPr="0091560A">
        <w:t xml:space="preserve"> paracetamol</w:t>
      </w:r>
      <w:r w:rsidR="000128B9" w:rsidRPr="0091560A">
        <w:t xml:space="preserve"> &amp; </w:t>
      </w:r>
      <w:r w:rsidR="004276DE">
        <w:t>d</w:t>
      </w:r>
      <w:r w:rsidR="0001686B" w:rsidRPr="0091560A">
        <w:t>ose ingested</w:t>
      </w:r>
    </w:p>
    <w:p w14:paraId="4E77C3C7" w14:textId="2934D4D8" w:rsidR="000128B9" w:rsidRPr="0091560A" w:rsidRDefault="00D30F25" w:rsidP="000128B9">
      <w:pPr>
        <w:rPr>
          <w:rFonts w:cs="Times New Roman"/>
        </w:rPr>
      </w:pPr>
      <w:r w:rsidRPr="0091560A">
        <w:rPr>
          <w:rFonts w:cs="Times New Roman"/>
        </w:rPr>
        <w:t xml:space="preserve">The data on dose and MR paracetamol reflect the overall numbers – that is the high dose groups and MR paracetamol poisonings are increasing in line with the overall increasing numbers of calls, but the proportion </w:t>
      </w:r>
      <w:r w:rsidR="00B91AB8" w:rsidRPr="0091560A">
        <w:rPr>
          <w:rFonts w:cs="Times New Roman"/>
        </w:rPr>
        <w:t xml:space="preserve">of all paracetamol calls remains much the same (Figure </w:t>
      </w:r>
      <w:r w:rsidR="00C93DDC">
        <w:rPr>
          <w:rFonts w:cs="Times New Roman"/>
        </w:rPr>
        <w:t>18</w:t>
      </w:r>
      <w:r w:rsidR="000F319A">
        <w:rPr>
          <w:rFonts w:cs="Times New Roman"/>
        </w:rPr>
        <w:t xml:space="preserve">, </w:t>
      </w:r>
      <w:r w:rsidR="00964B52" w:rsidRPr="0091560A">
        <w:rPr>
          <w:rFonts w:cs="Times New Roman"/>
        </w:rPr>
        <w:t xml:space="preserve">Appendix </w:t>
      </w:r>
      <w:r w:rsidR="00976DC9">
        <w:rPr>
          <w:rFonts w:cs="Times New Roman"/>
        </w:rPr>
        <w:t>B</w:t>
      </w:r>
      <w:r w:rsidR="00B91AB8" w:rsidRPr="0091560A">
        <w:rPr>
          <w:rFonts w:cs="Times New Roman"/>
        </w:rPr>
        <w:t>)</w:t>
      </w:r>
      <w:r w:rsidR="00191074" w:rsidRPr="0091560A">
        <w:rPr>
          <w:rFonts w:cs="Times New Roman"/>
        </w:rPr>
        <w:t>.</w:t>
      </w:r>
    </w:p>
    <w:p w14:paraId="36B5A27B" w14:textId="3C63FEE4" w:rsidR="00191074" w:rsidRPr="0091560A" w:rsidRDefault="00191074" w:rsidP="000128B9">
      <w:pPr>
        <w:rPr>
          <w:rFonts w:cs="Times New Roman"/>
        </w:rPr>
      </w:pPr>
      <w:r w:rsidRPr="0091560A">
        <w:rPr>
          <w:rFonts w:cs="Times New Roman"/>
        </w:rPr>
        <w:t xml:space="preserve">In </w:t>
      </w:r>
      <w:r w:rsidR="00F66A1B" w:rsidRPr="0091560A">
        <w:rPr>
          <w:rFonts w:cs="Times New Roman"/>
        </w:rPr>
        <w:t xml:space="preserve">terms of the highest risk ingestions, in </w:t>
      </w:r>
      <w:r w:rsidRPr="0091560A">
        <w:rPr>
          <w:rFonts w:cs="Times New Roman"/>
        </w:rPr>
        <w:t xml:space="preserve">2021 there were </w:t>
      </w:r>
      <w:r w:rsidR="00037430" w:rsidRPr="0091560A">
        <w:rPr>
          <w:rFonts w:cs="Times New Roman"/>
        </w:rPr>
        <w:t xml:space="preserve">359 </w:t>
      </w:r>
      <w:r w:rsidR="00E4171D" w:rsidRPr="0091560A">
        <w:rPr>
          <w:rFonts w:cs="Times New Roman"/>
        </w:rPr>
        <w:t xml:space="preserve">calls about ingestions over 30 grams, and </w:t>
      </w:r>
      <w:r w:rsidR="005924D4" w:rsidRPr="0091560A">
        <w:rPr>
          <w:rFonts w:cs="Times New Roman"/>
        </w:rPr>
        <w:t xml:space="preserve">362 </w:t>
      </w:r>
      <w:r w:rsidR="0020078D" w:rsidRPr="0091560A">
        <w:rPr>
          <w:rFonts w:cs="Times New Roman"/>
        </w:rPr>
        <w:t xml:space="preserve">MR </w:t>
      </w:r>
      <w:r w:rsidR="00A37364" w:rsidRPr="0091560A">
        <w:rPr>
          <w:rFonts w:cs="Times New Roman"/>
        </w:rPr>
        <w:t>paracetamol ingestions.</w:t>
      </w:r>
      <w:r w:rsidR="00A37364" w:rsidRPr="0091560A" w:rsidDel="00ED24C8">
        <w:rPr>
          <w:rFonts w:cs="Times New Roman"/>
        </w:rPr>
        <w:t xml:space="preserve"> </w:t>
      </w:r>
      <w:r w:rsidR="00A37364" w:rsidRPr="0091560A">
        <w:rPr>
          <w:rFonts w:cs="Times New Roman"/>
        </w:rPr>
        <w:t>(</w:t>
      </w:r>
      <w:r w:rsidR="00F66A1B" w:rsidRPr="0091560A">
        <w:rPr>
          <w:rFonts w:cs="Times New Roman"/>
        </w:rPr>
        <w:t>Note: N</w:t>
      </w:r>
      <w:r w:rsidR="00A37364" w:rsidRPr="0091560A">
        <w:rPr>
          <w:rFonts w:cs="Times New Roman"/>
        </w:rPr>
        <w:t>ational numbers are likely slightly more than double these numbers</w:t>
      </w:r>
      <w:r w:rsidR="00F66A1B" w:rsidRPr="0091560A">
        <w:rPr>
          <w:rFonts w:cs="Times New Roman"/>
        </w:rPr>
        <w:t xml:space="preserve">, and there is likely </w:t>
      </w:r>
      <w:r w:rsidR="0020078D" w:rsidRPr="0091560A">
        <w:rPr>
          <w:rFonts w:cs="Times New Roman"/>
        </w:rPr>
        <w:t>substantial overlap between MR and high dose ingestions)</w:t>
      </w:r>
      <w:r w:rsidR="00A37364" w:rsidRPr="0091560A">
        <w:rPr>
          <w:rFonts w:cs="Times New Roman"/>
        </w:rPr>
        <w:t>.</w:t>
      </w:r>
    </w:p>
    <w:p w14:paraId="06F34D85" w14:textId="77777777" w:rsidR="00B02649" w:rsidRDefault="00272247" w:rsidP="00B02649">
      <w:bookmarkStart w:id="52" w:name="OLE_LINK8"/>
      <w:r>
        <w:rPr>
          <w:noProof/>
        </w:rPr>
        <w:drawing>
          <wp:inline distT="0" distB="0" distL="0" distR="0" wp14:anchorId="760A3F55" wp14:editId="46B43551">
            <wp:extent cx="5790609" cy="2209800"/>
            <wp:effectExtent l="0" t="0" r="635" b="0"/>
            <wp:docPr id="7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955" r="1953" b="6652"/>
                    <a:stretch/>
                  </pic:blipFill>
                  <pic:spPr bwMode="auto">
                    <a:xfrm>
                      <a:off x="0" y="0"/>
                      <a:ext cx="5806487" cy="2215859"/>
                    </a:xfrm>
                    <a:prstGeom prst="rect">
                      <a:avLst/>
                    </a:prstGeom>
                    <a:noFill/>
                    <a:ln>
                      <a:noFill/>
                    </a:ln>
                    <a:extLst>
                      <a:ext uri="{53640926-AAD7-44D8-BBD7-CCE9431645EC}">
                        <a14:shadowObscured xmlns:a14="http://schemas.microsoft.com/office/drawing/2010/main"/>
                      </a:ext>
                    </a:extLst>
                  </pic:spPr>
                </pic:pic>
              </a:graphicData>
            </a:graphic>
          </wp:inline>
        </w:drawing>
      </w:r>
    </w:p>
    <w:p w14:paraId="4F06396E" w14:textId="10795520" w:rsidR="006029F3" w:rsidRDefault="00B91AB8" w:rsidP="00B02649">
      <w:pPr>
        <w:pStyle w:val="FigureCaption"/>
      </w:pPr>
      <w:bookmarkStart w:id="53" w:name="_Toc114559979"/>
      <w:r w:rsidRPr="0091560A">
        <w:t xml:space="preserve">Figure </w:t>
      </w:r>
      <w:r>
        <w:fldChar w:fldCharType="begin"/>
      </w:r>
      <w:r>
        <w:instrText>SEQ Figure \* ARABIC</w:instrText>
      </w:r>
      <w:r>
        <w:fldChar w:fldCharType="separate"/>
      </w:r>
      <w:r w:rsidR="0091734E">
        <w:rPr>
          <w:noProof/>
        </w:rPr>
        <w:t>18</w:t>
      </w:r>
      <w:r>
        <w:fldChar w:fldCharType="end"/>
      </w:r>
      <w:r w:rsidR="00014E07" w:rsidRPr="0091560A">
        <w:t xml:space="preserve">. </w:t>
      </w:r>
      <w:r w:rsidR="00782906" w:rsidRPr="0091560A">
        <w:t>Annual</w:t>
      </w:r>
      <w:r w:rsidR="00014E07" w:rsidRPr="0091560A">
        <w:t xml:space="preserve"> NSW PIC calls about </w:t>
      </w:r>
      <w:r w:rsidR="00D03D01" w:rsidRPr="0091560A">
        <w:t xml:space="preserve">intentional </w:t>
      </w:r>
      <w:r w:rsidR="00782906" w:rsidRPr="0091560A">
        <w:t>paracetamol</w:t>
      </w:r>
      <w:r w:rsidR="00D03D01" w:rsidRPr="0091560A">
        <w:t xml:space="preserve"> poisoning</w:t>
      </w:r>
      <w:r w:rsidR="00014E07" w:rsidRPr="0091560A">
        <w:t xml:space="preserve">, </w:t>
      </w:r>
      <w:r w:rsidR="00D03D01" w:rsidRPr="0091560A">
        <w:t xml:space="preserve">showing the change in MR paracetamol </w:t>
      </w:r>
      <w:r w:rsidR="00014E07" w:rsidRPr="0091560A">
        <w:t xml:space="preserve">and </w:t>
      </w:r>
      <w:r w:rsidR="005C06E0" w:rsidRPr="0091560A">
        <w:t>the reported dose ingested</w:t>
      </w:r>
      <w:r w:rsidR="00014E07" w:rsidRPr="0091560A">
        <w:t xml:space="preserve"> (2011-2021</w:t>
      </w:r>
      <w:r w:rsidRPr="0091560A">
        <w:t>)</w:t>
      </w:r>
      <w:bookmarkEnd w:id="53"/>
    </w:p>
    <w:p w14:paraId="0DA7FCCF" w14:textId="12E50A9C" w:rsidR="00B91AB8" w:rsidRPr="0091560A" w:rsidRDefault="00B85CB0">
      <w:pPr>
        <w:pStyle w:val="Figurenote"/>
      </w:pPr>
      <w:r w:rsidRPr="0091560A">
        <w:t xml:space="preserve">Note </w:t>
      </w:r>
      <w:r w:rsidR="00470D71" w:rsidRPr="0091560A">
        <w:t xml:space="preserve">data from ingestions of </w:t>
      </w:r>
      <w:r w:rsidRPr="0091560A">
        <w:t xml:space="preserve">combination products are </w:t>
      </w:r>
      <w:r w:rsidR="00470D71" w:rsidRPr="0091560A">
        <w:t>not included in these two figures</w:t>
      </w:r>
      <w:r w:rsidR="006029F3">
        <w:t>.</w:t>
      </w:r>
    </w:p>
    <w:bookmarkEnd w:id="52"/>
    <w:p w14:paraId="5C18D081" w14:textId="77777777" w:rsidR="00272247" w:rsidRDefault="00272247" w:rsidP="004E6C70">
      <w:pPr>
        <w:rPr>
          <w:rFonts w:cs="Times New Roman"/>
        </w:rPr>
      </w:pPr>
    </w:p>
    <w:p w14:paraId="709E0B4E" w14:textId="65E08CDC" w:rsidR="004E6C70" w:rsidRPr="0091560A" w:rsidRDefault="1BC32BA5" w:rsidP="004E6C70">
      <w:pPr>
        <w:rPr>
          <w:rFonts w:cs="Times New Roman"/>
        </w:rPr>
      </w:pPr>
      <w:r w:rsidRPr="11F138D4">
        <w:rPr>
          <w:rFonts w:cs="Times New Roman"/>
        </w:rPr>
        <w:t>The</w:t>
      </w:r>
      <w:r w:rsidR="5E905CDA" w:rsidRPr="11F138D4">
        <w:rPr>
          <w:rFonts w:cs="Times New Roman"/>
        </w:rPr>
        <w:t>se high</w:t>
      </w:r>
      <w:r w:rsidR="7331C03E" w:rsidRPr="11F138D4">
        <w:rPr>
          <w:rFonts w:cs="Times New Roman"/>
        </w:rPr>
        <w:t>-</w:t>
      </w:r>
      <w:r w:rsidR="5E905CDA" w:rsidRPr="11F138D4">
        <w:rPr>
          <w:rFonts w:cs="Times New Roman"/>
        </w:rPr>
        <w:t xml:space="preserve">risk </w:t>
      </w:r>
      <w:r w:rsidRPr="11F138D4">
        <w:rPr>
          <w:rFonts w:cs="Times New Roman"/>
        </w:rPr>
        <w:t xml:space="preserve">large ingestions and modified release ingestions are less common in the </w:t>
      </w:r>
      <w:r w:rsidR="43B1C41F" w:rsidRPr="11F138D4">
        <w:rPr>
          <w:rFonts w:cs="Times New Roman"/>
        </w:rPr>
        <w:t>child</w:t>
      </w:r>
      <w:r w:rsidR="5E905CDA" w:rsidRPr="11F138D4">
        <w:rPr>
          <w:rFonts w:cs="Times New Roman"/>
        </w:rPr>
        <w:t>/</w:t>
      </w:r>
      <w:r w:rsidR="43B1C41F" w:rsidRPr="11F138D4">
        <w:rPr>
          <w:rFonts w:cs="Times New Roman"/>
        </w:rPr>
        <w:t xml:space="preserve">adolescent </w:t>
      </w:r>
      <w:r w:rsidR="5E905CDA" w:rsidRPr="11F138D4">
        <w:rPr>
          <w:rFonts w:cs="Times New Roman"/>
        </w:rPr>
        <w:t xml:space="preserve">age groups </w:t>
      </w:r>
      <w:r w:rsidR="593B98C3" w:rsidRPr="11F138D4">
        <w:rPr>
          <w:rFonts w:cs="Times New Roman"/>
        </w:rPr>
        <w:t xml:space="preserve">and increases in these categories are not being driven by these age groups (Figure </w:t>
      </w:r>
      <w:r w:rsidR="3D387146" w:rsidRPr="11F138D4">
        <w:rPr>
          <w:rFonts w:cs="Times New Roman"/>
        </w:rPr>
        <w:t>19</w:t>
      </w:r>
      <w:r w:rsidR="593B98C3" w:rsidRPr="11F138D4">
        <w:rPr>
          <w:rFonts w:cs="Times New Roman"/>
        </w:rPr>
        <w:t xml:space="preserve"> &amp; </w:t>
      </w:r>
      <w:r w:rsidR="3D387146" w:rsidRPr="11F138D4">
        <w:rPr>
          <w:rFonts w:cs="Times New Roman"/>
        </w:rPr>
        <w:t>20</w:t>
      </w:r>
      <w:r w:rsidR="593B98C3" w:rsidRPr="11F138D4">
        <w:rPr>
          <w:rFonts w:cs="Times New Roman"/>
        </w:rPr>
        <w:t>).</w:t>
      </w:r>
    </w:p>
    <w:p w14:paraId="531D2E53" w14:textId="77777777" w:rsidR="00B02649" w:rsidRDefault="00272247" w:rsidP="00B02649">
      <w:r>
        <w:rPr>
          <w:noProof/>
        </w:rPr>
        <w:drawing>
          <wp:inline distT="0" distB="0" distL="0" distR="0" wp14:anchorId="7C2945DA" wp14:editId="56E5F91A">
            <wp:extent cx="6050915" cy="2286000"/>
            <wp:effectExtent l="0" t="0" r="6985" b="0"/>
            <wp:docPr id="7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6070296" cy="2293322"/>
                    </a:xfrm>
                    <a:prstGeom prst="rect">
                      <a:avLst/>
                    </a:prstGeom>
                    <a:noFill/>
                    <a:ln>
                      <a:noFill/>
                    </a:ln>
                    <a:extLst>
                      <a:ext uri="{53640926-AAD7-44D8-BBD7-CCE9431645EC}">
                        <a14:shadowObscured xmlns:a14="http://schemas.microsoft.com/office/drawing/2010/main"/>
                      </a:ext>
                    </a:extLst>
                  </pic:spPr>
                </pic:pic>
              </a:graphicData>
            </a:graphic>
          </wp:inline>
        </w:drawing>
      </w:r>
    </w:p>
    <w:p w14:paraId="40E0A75D" w14:textId="418396B7" w:rsidR="006029F3" w:rsidRDefault="003C2B98" w:rsidP="00B02649">
      <w:pPr>
        <w:pStyle w:val="FigureCaption"/>
      </w:pPr>
      <w:bookmarkStart w:id="54" w:name="_Toc114559980"/>
      <w:r w:rsidRPr="0091560A">
        <w:t xml:space="preserve">Figure </w:t>
      </w:r>
      <w:r>
        <w:fldChar w:fldCharType="begin"/>
      </w:r>
      <w:r>
        <w:instrText>SEQ Figure \* ARABIC</w:instrText>
      </w:r>
      <w:r>
        <w:fldChar w:fldCharType="separate"/>
      </w:r>
      <w:r w:rsidR="0091734E">
        <w:rPr>
          <w:noProof/>
        </w:rPr>
        <w:t>19</w:t>
      </w:r>
      <w:r>
        <w:fldChar w:fldCharType="end"/>
      </w:r>
      <w:r w:rsidRPr="0091560A">
        <w:t>. Change in the reported dose ingested by age group (2011-2021).</w:t>
      </w:r>
      <w:bookmarkEnd w:id="54"/>
    </w:p>
    <w:p w14:paraId="56CB4A2E" w14:textId="62B1E163" w:rsidR="003C2B98" w:rsidRPr="0091560A" w:rsidRDefault="003C2B98">
      <w:pPr>
        <w:pStyle w:val="Figurenote"/>
      </w:pPr>
      <w:r w:rsidRPr="0091560A">
        <w:t>Note data from ingestions of combination products are not included in these two figures</w:t>
      </w:r>
      <w:r w:rsidR="006029F3">
        <w:t>.</w:t>
      </w:r>
    </w:p>
    <w:p w14:paraId="65BB161B" w14:textId="77777777" w:rsidR="00681183" w:rsidRDefault="00272247" w:rsidP="00681183">
      <w:r>
        <w:rPr>
          <w:noProof/>
        </w:rPr>
        <w:drawing>
          <wp:inline distT="0" distB="0" distL="0" distR="0" wp14:anchorId="2751250E" wp14:editId="77AFB5D6">
            <wp:extent cx="5758180" cy="2390775"/>
            <wp:effectExtent l="0" t="0" r="0" b="9525"/>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52" r="1929" b="5985"/>
                    <a:stretch/>
                  </pic:blipFill>
                  <pic:spPr bwMode="auto">
                    <a:xfrm>
                      <a:off x="0" y="0"/>
                      <a:ext cx="5775824" cy="2398101"/>
                    </a:xfrm>
                    <a:prstGeom prst="rect">
                      <a:avLst/>
                    </a:prstGeom>
                    <a:noFill/>
                    <a:ln>
                      <a:noFill/>
                    </a:ln>
                    <a:extLst>
                      <a:ext uri="{53640926-AAD7-44D8-BBD7-CCE9431645EC}">
                        <a14:shadowObscured xmlns:a14="http://schemas.microsoft.com/office/drawing/2010/main"/>
                      </a:ext>
                    </a:extLst>
                  </pic:spPr>
                </pic:pic>
              </a:graphicData>
            </a:graphic>
          </wp:inline>
        </w:drawing>
      </w:r>
    </w:p>
    <w:p w14:paraId="7614548F" w14:textId="17292ED2" w:rsidR="00DC4479" w:rsidRPr="0091560A" w:rsidRDefault="00DC4479" w:rsidP="00681183">
      <w:pPr>
        <w:pStyle w:val="FigureCaption"/>
      </w:pPr>
      <w:bookmarkStart w:id="55" w:name="_Toc114559981"/>
      <w:r w:rsidRPr="0091560A">
        <w:t xml:space="preserve">Figure </w:t>
      </w:r>
      <w:r>
        <w:fldChar w:fldCharType="begin"/>
      </w:r>
      <w:r>
        <w:instrText>SEQ Figure \* ARABIC</w:instrText>
      </w:r>
      <w:r>
        <w:fldChar w:fldCharType="separate"/>
      </w:r>
      <w:r w:rsidR="0091734E">
        <w:rPr>
          <w:noProof/>
        </w:rPr>
        <w:t>20</w:t>
      </w:r>
      <w:r>
        <w:fldChar w:fldCharType="end"/>
      </w:r>
      <w:r w:rsidRPr="0091560A">
        <w:t xml:space="preserve">. Change in MR vs IR </w:t>
      </w:r>
      <w:r w:rsidR="00905532" w:rsidRPr="0091560A">
        <w:t xml:space="preserve">preparations </w:t>
      </w:r>
      <w:r w:rsidRPr="0091560A">
        <w:t>ingested by age group (2011-2021)</w:t>
      </w:r>
      <w:bookmarkEnd w:id="55"/>
      <w:r w:rsidRPr="0091560A">
        <w:t xml:space="preserve">  </w:t>
      </w:r>
    </w:p>
    <w:p w14:paraId="68A8CB3B" w14:textId="3B9E2ED7" w:rsidR="00DC4479" w:rsidRPr="0091560A" w:rsidRDefault="00DC4479" w:rsidP="00782906">
      <w:pPr>
        <w:rPr>
          <w:rFonts w:cs="Times New Roman"/>
        </w:rPr>
      </w:pPr>
    </w:p>
    <w:p w14:paraId="5A143881" w14:textId="2F723E39" w:rsidR="00996DE5" w:rsidRPr="0091560A" w:rsidRDefault="00996DE5" w:rsidP="000A557D">
      <w:pPr>
        <w:pStyle w:val="Heading5"/>
        <w:rPr>
          <w:rFonts w:ascii="Times New Roman" w:hAnsi="Times New Roman" w:cs="Times New Roman"/>
        </w:rPr>
      </w:pPr>
      <w:bookmarkStart w:id="56" w:name="OLE_LINK9"/>
      <w:r w:rsidRPr="0091560A">
        <w:rPr>
          <w:noProof/>
        </w:rPr>
        <w:t xml:space="preserve">Effects of </w:t>
      </w:r>
      <w:r w:rsidR="002D22CA" w:rsidRPr="0091560A">
        <w:rPr>
          <w:noProof/>
        </w:rPr>
        <w:t>2018</w:t>
      </w:r>
      <w:r w:rsidRPr="0091560A">
        <w:rPr>
          <w:noProof/>
        </w:rPr>
        <w:t xml:space="preserve"> codeine scheduling changes on paracetamol </w:t>
      </w:r>
      <w:r w:rsidR="002D22CA" w:rsidRPr="0091560A">
        <w:rPr>
          <w:noProof/>
        </w:rPr>
        <w:t xml:space="preserve">combination </w:t>
      </w:r>
      <w:r w:rsidRPr="0091560A">
        <w:rPr>
          <w:noProof/>
        </w:rPr>
        <w:t>poisoning events</w:t>
      </w:r>
    </w:p>
    <w:p w14:paraId="54C89949" w14:textId="4CA2D1EE" w:rsidR="00996DE5" w:rsidRPr="0091560A" w:rsidRDefault="00996DE5" w:rsidP="00996DE5">
      <w:pPr>
        <w:rPr>
          <w:rFonts w:cs="Times New Roman"/>
        </w:rPr>
      </w:pPr>
      <w:r w:rsidRPr="0091560A">
        <w:rPr>
          <w:rFonts w:cs="Times New Roman"/>
        </w:rPr>
        <w:t>The Feb 2018 (announced in Dec</w:t>
      </w:r>
      <w:r w:rsidR="00284214">
        <w:rPr>
          <w:rFonts w:cs="Times New Roman"/>
        </w:rPr>
        <w:t>ember</w:t>
      </w:r>
      <w:r w:rsidRPr="0091560A">
        <w:rPr>
          <w:rFonts w:cs="Times New Roman"/>
        </w:rPr>
        <w:t xml:space="preserve"> 2016) scheduling of all previously S3 codeine containing products (many of which contained paracetamol) to S4 may explain some of the </w:t>
      </w:r>
      <w:r w:rsidR="004E6C70" w:rsidRPr="0091560A">
        <w:rPr>
          <w:rFonts w:cs="Times New Roman"/>
        </w:rPr>
        <w:t xml:space="preserve">changes </w:t>
      </w:r>
      <w:r w:rsidR="00F12744" w:rsidRPr="0091560A">
        <w:rPr>
          <w:rFonts w:cs="Times New Roman"/>
        </w:rPr>
        <w:t>in combination products</w:t>
      </w:r>
      <w:r w:rsidRPr="0091560A">
        <w:rPr>
          <w:rFonts w:cs="Times New Roman"/>
        </w:rPr>
        <w:t xml:space="preserve"> (Figure </w:t>
      </w:r>
      <w:r w:rsidR="001635E5">
        <w:rPr>
          <w:rFonts w:cs="Times New Roman"/>
        </w:rPr>
        <w:t>21</w:t>
      </w:r>
      <w:r w:rsidRPr="0091560A">
        <w:rPr>
          <w:rFonts w:cs="Times New Roman"/>
        </w:rPr>
        <w:t>)</w:t>
      </w:r>
      <w:r w:rsidR="004D6E08" w:rsidRPr="0091560A">
        <w:rPr>
          <w:rFonts w:cs="Times New Roman"/>
        </w:rPr>
        <w:t xml:space="preserve">. Large reductions were seen </w:t>
      </w:r>
      <w:r w:rsidR="00546555" w:rsidRPr="0091560A">
        <w:rPr>
          <w:rFonts w:cs="Times New Roman"/>
        </w:rPr>
        <w:t>particularly for intentional poisonings in older age groups.</w:t>
      </w:r>
    </w:p>
    <w:p w14:paraId="763CBB74" w14:textId="77777777" w:rsidR="00681183" w:rsidRDefault="00272247" w:rsidP="00681183">
      <w:r>
        <w:rPr>
          <w:noProof/>
        </w:rPr>
        <w:drawing>
          <wp:inline distT="0" distB="0" distL="0" distR="0" wp14:anchorId="5E9747CC" wp14:editId="5A960A1B">
            <wp:extent cx="5838825" cy="2237133"/>
            <wp:effectExtent l="0" t="0" r="0" b="0"/>
            <wp:docPr id="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42" r="3728" b="4365"/>
                    <a:stretch/>
                  </pic:blipFill>
                  <pic:spPr bwMode="auto">
                    <a:xfrm>
                      <a:off x="0" y="0"/>
                      <a:ext cx="5853224" cy="2242650"/>
                    </a:xfrm>
                    <a:prstGeom prst="rect">
                      <a:avLst/>
                    </a:prstGeom>
                    <a:noFill/>
                    <a:ln>
                      <a:noFill/>
                    </a:ln>
                    <a:extLst>
                      <a:ext uri="{53640926-AAD7-44D8-BBD7-CCE9431645EC}">
                        <a14:shadowObscured xmlns:a14="http://schemas.microsoft.com/office/drawing/2010/main"/>
                      </a:ext>
                    </a:extLst>
                  </pic:spPr>
                </pic:pic>
              </a:graphicData>
            </a:graphic>
          </wp:inline>
        </w:drawing>
      </w:r>
    </w:p>
    <w:p w14:paraId="55CA87D0" w14:textId="7724E871" w:rsidR="007F0EEA" w:rsidRDefault="002223E1" w:rsidP="00681183">
      <w:pPr>
        <w:pStyle w:val="FigureCaption"/>
      </w:pPr>
      <w:bookmarkStart w:id="57" w:name="_Toc114559982"/>
      <w:bookmarkEnd w:id="56"/>
      <w:r w:rsidRPr="0091560A">
        <w:t xml:space="preserve">Figure </w:t>
      </w:r>
      <w:r>
        <w:fldChar w:fldCharType="begin"/>
      </w:r>
      <w:r>
        <w:instrText>SEQ Figure \* ARABIC</w:instrText>
      </w:r>
      <w:r>
        <w:fldChar w:fldCharType="separate"/>
      </w:r>
      <w:r w:rsidR="0091734E">
        <w:rPr>
          <w:noProof/>
        </w:rPr>
        <w:t>21</w:t>
      </w:r>
      <w:r>
        <w:fldChar w:fldCharType="end"/>
      </w:r>
      <w:r w:rsidRPr="0091560A">
        <w:t xml:space="preserve">. </w:t>
      </w:r>
      <w:r w:rsidR="00641CAF" w:rsidRPr="0091560A">
        <w:t>Combination product</w:t>
      </w:r>
      <w:r w:rsidRPr="0091560A">
        <w:t xml:space="preserve"> paracetamol poisonings per month (by</w:t>
      </w:r>
      <w:r w:rsidR="00057640" w:rsidRPr="0091560A">
        <w:t xml:space="preserve"> intent and by</w:t>
      </w:r>
      <w:r w:rsidRPr="0091560A">
        <w:t xml:space="preserve"> age group) (</w:t>
      </w:r>
      <w:r w:rsidR="00641CAF" w:rsidRPr="0091560A">
        <w:t>NSW PIC 2011-</w:t>
      </w:r>
      <w:r w:rsidRPr="0091560A">
        <w:t>202</w:t>
      </w:r>
      <w:r w:rsidR="00641CAF" w:rsidRPr="0091560A">
        <w:t>1</w:t>
      </w:r>
      <w:r w:rsidRPr="0091560A">
        <w:t>).</w:t>
      </w:r>
      <w:bookmarkEnd w:id="57"/>
      <w:r w:rsidRPr="0091560A">
        <w:t xml:space="preserve">  </w:t>
      </w:r>
    </w:p>
    <w:p w14:paraId="2BB61D80" w14:textId="3918FEA7" w:rsidR="00272247" w:rsidRPr="00502B31" w:rsidRDefault="002223E1" w:rsidP="00502B31">
      <w:pPr>
        <w:pStyle w:val="Figurenote"/>
        <w:rPr>
          <w:rStyle w:val="Heading3Char"/>
          <w:rFonts w:ascii="Times New Roman" w:eastAsiaTheme="minorHAnsi" w:hAnsi="Times New Roman" w:cstheme="minorBidi"/>
          <w:color w:val="auto"/>
          <w:sz w:val="20"/>
          <w:szCs w:val="20"/>
        </w:rPr>
      </w:pPr>
      <w:r w:rsidRPr="0091560A">
        <w:t>Vertical line indicate</w:t>
      </w:r>
      <w:r w:rsidR="00A449E8" w:rsidRPr="0091560A">
        <w:t>s</w:t>
      </w:r>
      <w:r w:rsidRPr="0091560A">
        <w:t xml:space="preserve"> implementation (Feb 2018) of codeine to S4</w:t>
      </w:r>
      <w:r w:rsidR="00A449E8" w:rsidRPr="0091560A">
        <w:t>.</w:t>
      </w:r>
    </w:p>
    <w:p w14:paraId="5CCFE117" w14:textId="75A00964" w:rsidR="002223E1" w:rsidRPr="00AA0D2A" w:rsidRDefault="002223E1" w:rsidP="000A557D">
      <w:pPr>
        <w:pStyle w:val="Heading5"/>
      </w:pPr>
      <w:bookmarkStart w:id="58" w:name="_Toc112843915"/>
      <w:r w:rsidRPr="00AA0D2A">
        <w:rPr>
          <w:rStyle w:val="Heading3Char"/>
          <w:color w:val="2F5496" w:themeColor="accent1" w:themeShade="BF"/>
          <w:sz w:val="24"/>
          <w:szCs w:val="22"/>
        </w:rPr>
        <w:t xml:space="preserve">Effects of 2020 </w:t>
      </w:r>
      <w:r w:rsidR="00147102" w:rsidRPr="00AA0D2A">
        <w:rPr>
          <w:rStyle w:val="Heading3Char"/>
          <w:color w:val="2F5496" w:themeColor="accent1" w:themeShade="BF"/>
          <w:sz w:val="24"/>
          <w:szCs w:val="22"/>
        </w:rPr>
        <w:t xml:space="preserve">paracetamol MR </w:t>
      </w:r>
      <w:r w:rsidRPr="00AA0D2A">
        <w:rPr>
          <w:rStyle w:val="Heading3Char"/>
          <w:color w:val="2F5496" w:themeColor="accent1" w:themeShade="BF"/>
          <w:sz w:val="24"/>
          <w:szCs w:val="22"/>
        </w:rPr>
        <w:t>scheduling changes on paracetamol poisoning</w:t>
      </w:r>
      <w:bookmarkEnd w:id="58"/>
      <w:r w:rsidRPr="000A557D">
        <w:t xml:space="preserve"> </w:t>
      </w:r>
      <w:r w:rsidRPr="00AA0D2A">
        <w:rPr>
          <w:rStyle w:val="Heading3Char"/>
          <w:color w:val="2F5496" w:themeColor="accent1" w:themeShade="BF"/>
          <w:sz w:val="24"/>
          <w:szCs w:val="22"/>
        </w:rPr>
        <w:t>events</w:t>
      </w:r>
    </w:p>
    <w:p w14:paraId="5A1273BB" w14:textId="61305128" w:rsidR="002D22CA" w:rsidRPr="0091560A" w:rsidRDefault="002223E1" w:rsidP="002D22CA">
      <w:pPr>
        <w:rPr>
          <w:rFonts w:cs="Times New Roman"/>
        </w:rPr>
      </w:pPr>
      <w:r w:rsidRPr="4C223402">
        <w:rPr>
          <w:rFonts w:cs="Times New Roman"/>
        </w:rPr>
        <w:t xml:space="preserve">The </w:t>
      </w:r>
      <w:r w:rsidR="00147102" w:rsidRPr="4C223402">
        <w:rPr>
          <w:rFonts w:cs="Times New Roman"/>
        </w:rPr>
        <w:t>June 2020</w:t>
      </w:r>
      <w:r w:rsidRPr="4C223402">
        <w:rPr>
          <w:rFonts w:cs="Times New Roman"/>
        </w:rPr>
        <w:t xml:space="preserve"> scheduling of </w:t>
      </w:r>
      <w:r w:rsidR="00147102" w:rsidRPr="4C223402">
        <w:rPr>
          <w:rFonts w:cs="Times New Roman"/>
        </w:rPr>
        <w:t xml:space="preserve">MR paracetamol </w:t>
      </w:r>
      <w:r w:rsidRPr="4C223402">
        <w:rPr>
          <w:rFonts w:cs="Times New Roman"/>
        </w:rPr>
        <w:t>products to S</w:t>
      </w:r>
      <w:r w:rsidR="00086346" w:rsidRPr="4C223402">
        <w:rPr>
          <w:rFonts w:cs="Times New Roman"/>
        </w:rPr>
        <w:t>3</w:t>
      </w:r>
      <w:r w:rsidRPr="4C223402">
        <w:rPr>
          <w:rFonts w:cs="Times New Roman"/>
        </w:rPr>
        <w:t xml:space="preserve"> </w:t>
      </w:r>
      <w:r w:rsidR="00086346" w:rsidRPr="4C223402">
        <w:rPr>
          <w:rFonts w:cs="Times New Roman"/>
        </w:rPr>
        <w:t xml:space="preserve">did not have any </w:t>
      </w:r>
      <w:r w:rsidR="008C7348" w:rsidRPr="4C223402">
        <w:rPr>
          <w:rFonts w:cs="Times New Roman"/>
        </w:rPr>
        <w:t xml:space="preserve">obvious impacts on single ingredient product ingestions </w:t>
      </w:r>
      <w:r w:rsidRPr="4C223402">
        <w:rPr>
          <w:rFonts w:cs="Times New Roman"/>
        </w:rPr>
        <w:t xml:space="preserve">(Figure </w:t>
      </w:r>
      <w:r w:rsidR="001635E5" w:rsidRPr="4C223402">
        <w:rPr>
          <w:rFonts w:cs="Times New Roman"/>
        </w:rPr>
        <w:t>22</w:t>
      </w:r>
      <w:r w:rsidRPr="4C223402">
        <w:rPr>
          <w:rFonts w:cs="Times New Roman"/>
        </w:rPr>
        <w:t>)</w:t>
      </w:r>
      <w:r w:rsidR="00AC7388" w:rsidRPr="4C223402">
        <w:rPr>
          <w:rFonts w:cs="Times New Roman"/>
        </w:rPr>
        <w:t>. It should be noted this change was close in timing to COVID</w:t>
      </w:r>
      <w:r w:rsidR="00E41FFE" w:rsidRPr="4C223402">
        <w:rPr>
          <w:rFonts w:cs="Times New Roman"/>
        </w:rPr>
        <w:t>-</w:t>
      </w:r>
      <w:r w:rsidR="00AC7388" w:rsidRPr="4C223402">
        <w:rPr>
          <w:rFonts w:cs="Times New Roman"/>
        </w:rPr>
        <w:t xml:space="preserve">19 lockdowns </w:t>
      </w:r>
      <w:r w:rsidR="00641CAF" w:rsidRPr="4C223402">
        <w:rPr>
          <w:rFonts w:cs="Times New Roman"/>
        </w:rPr>
        <w:t>and potential stockpiling or supply disruptions.</w:t>
      </w:r>
      <w:r w:rsidR="0088521A" w:rsidRPr="4C223402">
        <w:rPr>
          <w:rFonts w:cs="Times New Roman"/>
        </w:rPr>
        <w:t xml:space="preserve"> </w:t>
      </w:r>
    </w:p>
    <w:p w14:paraId="04B69117" w14:textId="77777777" w:rsidR="006029F3" w:rsidRPr="0091560A" w:rsidRDefault="006029F3" w:rsidP="002D22CA">
      <w:pPr>
        <w:rPr>
          <w:rFonts w:cs="Times New Roman"/>
        </w:rPr>
      </w:pPr>
    </w:p>
    <w:p w14:paraId="23C1D2CC" w14:textId="77777777" w:rsidR="00681183" w:rsidRDefault="00B34A6F" w:rsidP="00681183">
      <w:r>
        <w:rPr>
          <w:noProof/>
        </w:rPr>
        <w:drawing>
          <wp:inline distT="0" distB="0" distL="0" distR="0" wp14:anchorId="42185A81" wp14:editId="2712BA59">
            <wp:extent cx="5733700" cy="2028825"/>
            <wp:effectExtent l="0" t="0" r="635" b="0"/>
            <wp:docPr id="7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734400" cy="2029073"/>
                    </a:xfrm>
                    <a:prstGeom prst="rect">
                      <a:avLst/>
                    </a:prstGeom>
                    <a:noFill/>
                    <a:ln>
                      <a:noFill/>
                    </a:ln>
                    <a:extLst>
                      <a:ext uri="{53640926-AAD7-44D8-BBD7-CCE9431645EC}">
                        <a14:shadowObscured xmlns:a14="http://schemas.microsoft.com/office/drawing/2010/main"/>
                      </a:ext>
                    </a:extLst>
                  </pic:spPr>
                </pic:pic>
              </a:graphicData>
            </a:graphic>
          </wp:inline>
        </w:drawing>
      </w:r>
    </w:p>
    <w:p w14:paraId="3A4892CC" w14:textId="7C2EDDCC" w:rsidR="006029F3" w:rsidRDefault="002223E1" w:rsidP="00681183">
      <w:pPr>
        <w:pStyle w:val="FigureCaption"/>
      </w:pPr>
      <w:bookmarkStart w:id="59" w:name="_Toc114559983"/>
      <w:r w:rsidRPr="0091560A">
        <w:t xml:space="preserve">Figure </w:t>
      </w:r>
      <w:r>
        <w:fldChar w:fldCharType="begin"/>
      </w:r>
      <w:r>
        <w:instrText>SEQ Figure \* ARABIC</w:instrText>
      </w:r>
      <w:r>
        <w:fldChar w:fldCharType="separate"/>
      </w:r>
      <w:r w:rsidR="0091734E">
        <w:rPr>
          <w:noProof/>
        </w:rPr>
        <w:t>22</w:t>
      </w:r>
      <w:r>
        <w:fldChar w:fldCharType="end"/>
      </w:r>
      <w:r w:rsidRPr="0091560A">
        <w:t>. Monthly</w:t>
      </w:r>
      <w:r w:rsidR="008C7348" w:rsidRPr="0091560A">
        <w:t xml:space="preserve"> single ingredient </w:t>
      </w:r>
      <w:r w:rsidRPr="0091560A">
        <w:t xml:space="preserve">paracetamol poisonings </w:t>
      </w:r>
      <w:r w:rsidR="004D6E08" w:rsidRPr="0091560A">
        <w:t xml:space="preserve">by intent and age group </w:t>
      </w:r>
      <w:r w:rsidRPr="0091560A">
        <w:t>per month</w:t>
      </w:r>
      <w:r w:rsidR="006029F3">
        <w:t xml:space="preserve"> (</w:t>
      </w:r>
      <w:r w:rsidR="008C7348" w:rsidRPr="0091560A">
        <w:t>NSW PIC 2011-2021</w:t>
      </w:r>
      <w:r w:rsidR="006029F3">
        <w:t>)</w:t>
      </w:r>
      <w:bookmarkEnd w:id="59"/>
      <w:r w:rsidRPr="0091560A">
        <w:t xml:space="preserve">  </w:t>
      </w:r>
    </w:p>
    <w:p w14:paraId="4E773A9C" w14:textId="6D8072B3" w:rsidR="00960233" w:rsidRPr="00502B31" w:rsidRDefault="002223E1" w:rsidP="00502B31">
      <w:pPr>
        <w:pStyle w:val="Figurenote"/>
      </w:pPr>
      <w:r w:rsidRPr="0091560A">
        <w:t>Vertical line indicate</w:t>
      </w:r>
      <w:r w:rsidR="008C7348" w:rsidRPr="0091560A">
        <w:t>s the date</w:t>
      </w:r>
      <w:r w:rsidRPr="0091560A">
        <w:t xml:space="preserve"> paracetamol MR </w:t>
      </w:r>
      <w:r w:rsidR="008C7348" w:rsidRPr="0091560A">
        <w:t xml:space="preserve">went </w:t>
      </w:r>
      <w:r w:rsidRPr="0091560A">
        <w:t xml:space="preserve">to S3 </w:t>
      </w:r>
      <w:r w:rsidR="008C7348" w:rsidRPr="0091560A">
        <w:t>(</w:t>
      </w:r>
      <w:r w:rsidRPr="0091560A">
        <w:t>June 2020).</w:t>
      </w:r>
    </w:p>
    <w:p w14:paraId="56687444" w14:textId="1F71091C" w:rsidR="00CE12A3" w:rsidRPr="0091560A" w:rsidRDefault="00CE12A3" w:rsidP="00CE12A3">
      <w:pPr>
        <w:rPr>
          <w:rFonts w:cs="Times New Roman"/>
          <w:noProof/>
        </w:rPr>
      </w:pPr>
      <w:r w:rsidRPr="0091560A">
        <w:rPr>
          <w:rFonts w:cs="Times New Roman"/>
          <w:noProof/>
        </w:rPr>
        <w:t>The Figure indicates that these increased following rescheduling but this was in the context of a general increase in analgesic poisoning calls in 2020-21 (which may reflect the COVID</w:t>
      </w:r>
      <w:r w:rsidR="00E41FFE">
        <w:rPr>
          <w:rFonts w:cs="Times New Roman"/>
          <w:noProof/>
        </w:rPr>
        <w:t>-19</w:t>
      </w:r>
      <w:r w:rsidRPr="0091560A">
        <w:rPr>
          <w:rFonts w:cs="Times New Roman"/>
          <w:noProof/>
        </w:rPr>
        <w:t xml:space="preserve"> </w:t>
      </w:r>
      <w:r w:rsidR="00E41FFE">
        <w:rPr>
          <w:rFonts w:cs="Times New Roman"/>
          <w:noProof/>
        </w:rPr>
        <w:t>pande</w:t>
      </w:r>
      <w:r w:rsidRPr="0091560A">
        <w:rPr>
          <w:rFonts w:cs="Times New Roman"/>
          <w:noProof/>
        </w:rPr>
        <w:t xml:space="preserve">mic and stockpiling or other factors). </w:t>
      </w:r>
      <w:r w:rsidRPr="0091560A">
        <w:rPr>
          <w:rFonts w:cs="Times New Roman"/>
          <w:noProof/>
        </w:rPr>
        <w:tab/>
      </w:r>
    </w:p>
    <w:p w14:paraId="028B4DD9" w14:textId="5F957F6A" w:rsidR="00A76BEF" w:rsidRDefault="00A76BEF" w:rsidP="00CE12A3">
      <w:pPr>
        <w:rPr>
          <w:rFonts w:cs="Times New Roman"/>
          <w:lang w:val="en-US"/>
        </w:rPr>
      </w:pPr>
      <w:r w:rsidRPr="0091560A">
        <w:rPr>
          <w:rFonts w:cs="Times New Roman"/>
          <w:noProof/>
        </w:rPr>
        <w:t xml:space="preserve">There was however no significant reduction (or other change) in the proportion of all non-opioid analgesic poisonings due to paracetamol MR (6.8% pre intervention vs 6.5% post intervention, </w:t>
      </w:r>
      <w:r w:rsidRPr="0091560A">
        <w:rPr>
          <w:rFonts w:cs="Times New Roman"/>
          <w:i/>
          <w:iCs/>
          <w:noProof/>
          <w:lang w:val="en-US"/>
        </w:rPr>
        <w:t>P</w:t>
      </w:r>
      <w:r w:rsidRPr="0091560A">
        <w:rPr>
          <w:rFonts w:cs="Times New Roman"/>
          <w:noProof/>
          <w:lang w:val="en-US"/>
        </w:rPr>
        <w:t>= 0.23</w:t>
      </w:r>
      <w:r w:rsidR="005A5A5D">
        <w:rPr>
          <w:rFonts w:cs="Times New Roman"/>
          <w:noProof/>
          <w:lang w:val="en-US"/>
        </w:rPr>
        <w:t>,</w:t>
      </w:r>
      <w:r w:rsidRPr="0091560A">
        <w:rPr>
          <w:rFonts w:cs="Times New Roman"/>
          <w:noProof/>
          <w:lang w:val="en-US"/>
        </w:rPr>
        <w:t xml:space="preserve"> Mann Whitney)</w:t>
      </w:r>
      <w:r w:rsidR="0057470B">
        <w:rPr>
          <w:rFonts w:cs="Times New Roman"/>
          <w:noProof/>
          <w:lang w:val="en-US"/>
        </w:rPr>
        <w:t xml:space="preserve"> (Figure 23).</w:t>
      </w:r>
    </w:p>
    <w:p w14:paraId="571642EC" w14:textId="77777777" w:rsidR="00960233" w:rsidRPr="0091560A" w:rsidRDefault="00960233" w:rsidP="00CE12A3">
      <w:pPr>
        <w:rPr>
          <w:rFonts w:cs="Times New Roman"/>
          <w:noProof/>
        </w:rPr>
      </w:pPr>
    </w:p>
    <w:p w14:paraId="2C0F1572" w14:textId="6CA8472A" w:rsidR="00B408E0" w:rsidRDefault="00960233" w:rsidP="00681183">
      <w:pPr>
        <w:rPr>
          <w:sz w:val="18"/>
          <w:szCs w:val="18"/>
        </w:rPr>
      </w:pPr>
      <w:r>
        <w:rPr>
          <w:noProof/>
        </w:rPr>
        <w:drawing>
          <wp:inline distT="0" distB="0" distL="0" distR="0" wp14:anchorId="09C63928" wp14:editId="67BB2E41">
            <wp:extent cx="5791200" cy="3123719"/>
            <wp:effectExtent l="0" t="0" r="0" b="0"/>
            <wp:docPr id="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91771" cy="3124027"/>
                    </a:xfrm>
                    <a:prstGeom prst="rect">
                      <a:avLst/>
                    </a:prstGeom>
                    <a:noFill/>
                  </pic:spPr>
                </pic:pic>
              </a:graphicData>
            </a:graphic>
          </wp:inline>
        </w:drawing>
      </w:r>
      <w:r w:rsidR="00B408E0" w:rsidRPr="0091560A">
        <w:rPr>
          <w:noProof/>
        </w:rPr>
        <w:drawing>
          <wp:inline distT="0" distB="0" distL="0" distR="0" wp14:anchorId="0B0B3C78" wp14:editId="1AC87E9C">
            <wp:extent cx="5647693" cy="3328670"/>
            <wp:effectExtent l="0" t="0" r="0" b="0"/>
            <wp:docPr id="81" name="Picture 3">
              <a:extLst xmlns:a="http://schemas.openxmlformats.org/drawingml/2006/main">
                <a:ext uri="{FF2B5EF4-FFF2-40B4-BE49-F238E27FC236}">
                  <a16:creationId xmlns:a16="http://schemas.microsoft.com/office/drawing/2014/main" id="{D3D4AAE9-CDFD-906E-90F3-89FE60659D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3D4AAE9-CDFD-906E-90F3-89FE60659D0F}"/>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651383" cy="3330845"/>
                    </a:xfrm>
                    <a:prstGeom prst="rect">
                      <a:avLst/>
                    </a:prstGeom>
                  </pic:spPr>
                </pic:pic>
              </a:graphicData>
            </a:graphic>
          </wp:inline>
        </w:drawing>
      </w:r>
    </w:p>
    <w:p w14:paraId="03D51DE7" w14:textId="1A5C1775" w:rsidR="00CB5CA3" w:rsidRDefault="00CE12A3" w:rsidP="006029F3">
      <w:pPr>
        <w:pStyle w:val="FigureCaption"/>
      </w:pPr>
      <w:bookmarkStart w:id="60" w:name="_Toc114559984"/>
      <w:r w:rsidRPr="0091560A">
        <w:t xml:space="preserve">Figure </w:t>
      </w:r>
      <w:r>
        <w:fldChar w:fldCharType="begin"/>
      </w:r>
      <w:r>
        <w:instrText>SEQ Figure \* ARABIC</w:instrText>
      </w:r>
      <w:r>
        <w:fldChar w:fldCharType="separate"/>
      </w:r>
      <w:r w:rsidR="0091734E">
        <w:rPr>
          <w:noProof/>
        </w:rPr>
        <w:t>23</w:t>
      </w:r>
      <w:r>
        <w:fldChar w:fldCharType="end"/>
      </w:r>
      <w:r w:rsidRPr="0091560A">
        <w:t>. Monthly NSW PIC calls about OTC available analgesic poisonings per month</w:t>
      </w:r>
      <w:r w:rsidR="00107898" w:rsidRPr="0091560A">
        <w:t xml:space="preserve"> </w:t>
      </w:r>
      <w:r w:rsidRPr="0091560A">
        <w:t>and change in total and proportion due to MR paracetamol (2017-1/2022)</w:t>
      </w:r>
      <w:bookmarkEnd w:id="60"/>
      <w:r w:rsidRPr="0091560A">
        <w:t xml:space="preserve">  </w:t>
      </w:r>
    </w:p>
    <w:p w14:paraId="00413763" w14:textId="2D30FA90" w:rsidR="00CE12A3" w:rsidRPr="0091560A" w:rsidRDefault="00CE12A3" w:rsidP="008458C7"/>
    <w:p w14:paraId="2E5866EA" w14:textId="2928477D" w:rsidR="00BA62A5" w:rsidRPr="0091560A" w:rsidRDefault="00BA62A5" w:rsidP="000A557D">
      <w:pPr>
        <w:pStyle w:val="Heading5"/>
      </w:pPr>
      <w:r w:rsidRPr="0091560A">
        <w:rPr>
          <w:noProof/>
        </w:rPr>
        <w:t>Comparison to ibuprofen poisonings in NSW PIC data</w:t>
      </w:r>
    </w:p>
    <w:p w14:paraId="1070E478" w14:textId="0FA9AA94" w:rsidR="00BA62A5" w:rsidRPr="0091560A" w:rsidRDefault="00BA62A5" w:rsidP="00BA62A5">
      <w:pPr>
        <w:rPr>
          <w:rFonts w:cs="Times New Roman"/>
        </w:rPr>
      </w:pPr>
      <w:r w:rsidRPr="0091560A">
        <w:rPr>
          <w:rFonts w:cs="Times New Roman"/>
        </w:rPr>
        <w:t>As noted above</w:t>
      </w:r>
      <w:r w:rsidR="00DA294D" w:rsidRPr="0091560A">
        <w:rPr>
          <w:rFonts w:cs="Times New Roman"/>
        </w:rPr>
        <w:t>,</w:t>
      </w:r>
      <w:r w:rsidRPr="0091560A">
        <w:rPr>
          <w:rFonts w:cs="Times New Roman"/>
        </w:rPr>
        <w:t xml:space="preserve"> ibuprofen has a very similar scheduling to paracetamol and is the most readily substituted OTC product for analgesia.</w:t>
      </w:r>
      <w:r w:rsidRPr="0091560A" w:rsidDel="00714C16">
        <w:rPr>
          <w:rFonts w:cs="Times New Roman"/>
        </w:rPr>
        <w:t xml:space="preserve"> </w:t>
      </w:r>
      <w:r w:rsidRPr="0091560A">
        <w:rPr>
          <w:rFonts w:cs="Times New Roman"/>
        </w:rPr>
        <w:t xml:space="preserve">It is also co-formulated with codeine and was potentially impacted by the 2018 codeine rescheduling.  </w:t>
      </w:r>
    </w:p>
    <w:p w14:paraId="55F991AE" w14:textId="23490065" w:rsidR="00BA62A5" w:rsidRPr="0091560A" w:rsidRDefault="00BA62A5" w:rsidP="00BA62A5">
      <w:pPr>
        <w:rPr>
          <w:rFonts w:cs="Times New Roman"/>
        </w:rPr>
      </w:pPr>
      <w:r w:rsidRPr="0091560A">
        <w:rPr>
          <w:rFonts w:cs="Times New Roman"/>
        </w:rPr>
        <w:t xml:space="preserve">There is a similar apparent increasing trend to 2017 with ibuprofen tracking the overall trends in poisonings shown above. The total numbers are </w:t>
      </w:r>
      <w:r w:rsidR="003B685A">
        <w:rPr>
          <w:rFonts w:cs="Times New Roman"/>
        </w:rPr>
        <w:t>about half</w:t>
      </w:r>
      <w:r w:rsidRPr="0091560A">
        <w:rPr>
          <w:rFonts w:cs="Times New Roman"/>
        </w:rPr>
        <w:t xml:space="preserve"> of those due to paracetamol</w:t>
      </w:r>
      <w:r w:rsidR="00BB36B8">
        <w:rPr>
          <w:rFonts w:cs="Times New Roman"/>
        </w:rPr>
        <w:t xml:space="preserve"> </w:t>
      </w:r>
      <w:r w:rsidR="003B685A">
        <w:rPr>
          <w:rFonts w:cs="Times New Roman"/>
        </w:rPr>
        <w:t>(Figure 22 &amp; 24)</w:t>
      </w:r>
      <w:r w:rsidR="00BB36B8">
        <w:rPr>
          <w:rFonts w:cs="Times New Roman"/>
        </w:rPr>
        <w:t>.</w:t>
      </w:r>
      <w:r w:rsidRPr="0091560A">
        <w:rPr>
          <w:rFonts w:cs="Times New Roman"/>
        </w:rPr>
        <w:t xml:space="preserve"> This may partly reflect the lower toxicity in overdose of ibuprofen, and advice being sought less often. There is an obvious large fall </w:t>
      </w:r>
      <w:r w:rsidR="00A862F9" w:rsidRPr="0091560A">
        <w:rPr>
          <w:rFonts w:cs="Times New Roman"/>
        </w:rPr>
        <w:t xml:space="preserve">in combination </w:t>
      </w:r>
      <w:r w:rsidR="00046465" w:rsidRPr="0091560A">
        <w:rPr>
          <w:rFonts w:cs="Times New Roman"/>
        </w:rPr>
        <w:t xml:space="preserve">ibuprofen </w:t>
      </w:r>
      <w:r w:rsidR="00A862F9" w:rsidRPr="0091560A">
        <w:rPr>
          <w:rFonts w:cs="Times New Roman"/>
        </w:rPr>
        <w:t xml:space="preserve">products </w:t>
      </w:r>
      <w:r w:rsidRPr="0091560A">
        <w:rPr>
          <w:rFonts w:cs="Times New Roman"/>
        </w:rPr>
        <w:t xml:space="preserve">coinciding with the S4 scheduling of codeine.  </w:t>
      </w:r>
    </w:p>
    <w:p w14:paraId="6256A1FE" w14:textId="48596CF9" w:rsidR="00BA62A5" w:rsidRPr="0091560A" w:rsidRDefault="00BA62A5" w:rsidP="00BA62A5">
      <w:pPr>
        <w:rPr>
          <w:rFonts w:cs="Times New Roman"/>
        </w:rPr>
      </w:pPr>
      <w:r w:rsidRPr="0091560A">
        <w:rPr>
          <w:rFonts w:cs="Times New Roman"/>
        </w:rPr>
        <w:t xml:space="preserve">The NSW PIC data show similar trends to AIHW data but notably indicate that the number of calls about ibuprofen is higher than just 10-15% of </w:t>
      </w:r>
      <w:r w:rsidR="00B325AB">
        <w:rPr>
          <w:rFonts w:cs="Times New Roman"/>
        </w:rPr>
        <w:t xml:space="preserve">admissions compared to </w:t>
      </w:r>
      <w:r w:rsidRPr="0091560A">
        <w:rPr>
          <w:rFonts w:cs="Times New Roman"/>
        </w:rPr>
        <w:t>paracetamol, suggesting there are very many more NSAID poisonings than those admitted to hospital.</w:t>
      </w:r>
    </w:p>
    <w:p w14:paraId="5B1B98F9" w14:textId="77777777" w:rsidR="00681183" w:rsidRDefault="007C0CD0" w:rsidP="00681183">
      <w:r>
        <w:rPr>
          <w:noProof/>
        </w:rPr>
        <w:drawing>
          <wp:inline distT="0" distB="0" distL="0" distR="0" wp14:anchorId="5F7353B9" wp14:editId="42ED9B8D">
            <wp:extent cx="5790765" cy="3838575"/>
            <wp:effectExtent l="0" t="0" r="0" b="0"/>
            <wp:docPr id="8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800207" cy="3844834"/>
                    </a:xfrm>
                    <a:prstGeom prst="rect">
                      <a:avLst/>
                    </a:prstGeom>
                    <a:noFill/>
                    <a:ln>
                      <a:noFill/>
                    </a:ln>
                    <a:extLst>
                      <a:ext uri="{53640926-AAD7-44D8-BBD7-CCE9431645EC}">
                        <a14:shadowObscured xmlns:a14="http://schemas.microsoft.com/office/drawing/2010/main"/>
                      </a:ext>
                    </a:extLst>
                  </pic:spPr>
                </pic:pic>
              </a:graphicData>
            </a:graphic>
          </wp:inline>
        </w:drawing>
      </w:r>
    </w:p>
    <w:p w14:paraId="2D4CC74D" w14:textId="1DE2865B" w:rsidR="00652B6B" w:rsidRPr="0091560A" w:rsidRDefault="007E2C43" w:rsidP="00681183">
      <w:pPr>
        <w:pStyle w:val="FigureCaption"/>
      </w:pPr>
      <w:bookmarkStart w:id="61" w:name="_Toc114559985"/>
      <w:r w:rsidRPr="0091560A">
        <w:t xml:space="preserve">Figure </w:t>
      </w:r>
      <w:r>
        <w:fldChar w:fldCharType="begin"/>
      </w:r>
      <w:r>
        <w:instrText>SEQ Figure \* ARABIC</w:instrText>
      </w:r>
      <w:r>
        <w:fldChar w:fldCharType="separate"/>
      </w:r>
      <w:r w:rsidR="0091734E">
        <w:rPr>
          <w:noProof/>
        </w:rPr>
        <w:t>24</w:t>
      </w:r>
      <w:r>
        <w:fldChar w:fldCharType="end"/>
      </w:r>
      <w:r w:rsidRPr="0091560A">
        <w:t xml:space="preserve">. </w:t>
      </w:r>
      <w:bookmarkStart w:id="62" w:name="OLE_LINK13"/>
      <w:r w:rsidRPr="0091560A">
        <w:t xml:space="preserve">Intentional ibuprofen poisoning events per month (by age group), and change in total and proportion due to ibuprofen combinations after 2018 codeine S4 scheduling </w:t>
      </w:r>
      <w:bookmarkEnd w:id="62"/>
      <w:r w:rsidR="007C0CD0">
        <w:br/>
      </w:r>
      <w:r w:rsidRPr="0091560A">
        <w:t>(</w:t>
      </w:r>
      <w:r w:rsidR="00A37BBD" w:rsidRPr="0091560A">
        <w:t>NSW PIC 2011-21).</w:t>
      </w:r>
      <w:bookmarkEnd w:id="61"/>
    </w:p>
    <w:p w14:paraId="73160205" w14:textId="2417FADB" w:rsidR="00BA62A5" w:rsidRPr="0091560A" w:rsidRDefault="00BA62A5" w:rsidP="007E2C43">
      <w:pPr>
        <w:pStyle w:val="Caption"/>
      </w:pPr>
    </w:p>
    <w:p w14:paraId="009A371E" w14:textId="42A0D857" w:rsidR="00B91AB8" w:rsidRPr="0091560A" w:rsidRDefault="005C5308" w:rsidP="000A557D">
      <w:pPr>
        <w:pStyle w:val="Heading5"/>
      </w:pPr>
      <w:r w:rsidRPr="0091560A">
        <w:rPr>
          <w:noProof/>
        </w:rPr>
        <w:t>Poisons severity scores on NSW PIC calls 2017-21</w:t>
      </w:r>
    </w:p>
    <w:p w14:paraId="3A702F67" w14:textId="63F39D18" w:rsidR="00322EC5" w:rsidRPr="0091560A" w:rsidRDefault="005C5308" w:rsidP="00930D1F">
      <w:pPr>
        <w:rPr>
          <w:rFonts w:cs="Times New Roman"/>
        </w:rPr>
      </w:pPr>
      <w:r w:rsidRPr="0091560A">
        <w:rPr>
          <w:rFonts w:cs="Times New Roman"/>
        </w:rPr>
        <w:t xml:space="preserve">The </w:t>
      </w:r>
      <w:r w:rsidR="006C5DE6">
        <w:rPr>
          <w:rFonts w:cs="Times New Roman"/>
        </w:rPr>
        <w:t>p</w:t>
      </w:r>
      <w:r w:rsidRPr="0091560A">
        <w:rPr>
          <w:rFonts w:cs="Times New Roman"/>
        </w:rPr>
        <w:t xml:space="preserve">oisons </w:t>
      </w:r>
      <w:r w:rsidR="002A2C4D" w:rsidRPr="0091560A">
        <w:rPr>
          <w:rFonts w:cs="Times New Roman"/>
        </w:rPr>
        <w:t xml:space="preserve">severity score </w:t>
      </w:r>
      <w:r w:rsidR="006C5DE6">
        <w:rPr>
          <w:rFonts w:cs="Times New Roman"/>
        </w:rPr>
        <w:t xml:space="preserve">(PSS) </w:t>
      </w:r>
      <w:r w:rsidR="002A2C4D" w:rsidRPr="0091560A">
        <w:rPr>
          <w:rFonts w:cs="Times New Roman"/>
        </w:rPr>
        <w:t xml:space="preserve">was recorded in </w:t>
      </w:r>
      <w:r w:rsidR="00672B94" w:rsidRPr="0091560A">
        <w:rPr>
          <w:rFonts w:cs="Times New Roman"/>
        </w:rPr>
        <w:t>1</w:t>
      </w:r>
      <w:r w:rsidR="005468DF" w:rsidRPr="0091560A">
        <w:rPr>
          <w:rFonts w:cs="Times New Roman"/>
        </w:rPr>
        <w:t>8</w:t>
      </w:r>
      <w:r w:rsidR="00C76E7B" w:rsidRPr="0091560A">
        <w:rPr>
          <w:rFonts w:cs="Times New Roman"/>
        </w:rPr>
        <w:t>,</w:t>
      </w:r>
      <w:r w:rsidR="002D6C72" w:rsidRPr="0091560A">
        <w:rPr>
          <w:rFonts w:cs="Times New Roman"/>
        </w:rPr>
        <w:t>5</w:t>
      </w:r>
      <w:r w:rsidR="005468DF" w:rsidRPr="0091560A">
        <w:rPr>
          <w:rFonts w:cs="Times New Roman"/>
        </w:rPr>
        <w:t>30</w:t>
      </w:r>
      <w:r w:rsidR="00672B94" w:rsidRPr="0091560A">
        <w:rPr>
          <w:rFonts w:cs="Times New Roman"/>
        </w:rPr>
        <w:t xml:space="preserve"> </w:t>
      </w:r>
      <w:r w:rsidR="00C76E7B" w:rsidRPr="0091560A">
        <w:rPr>
          <w:rFonts w:cs="Times New Roman"/>
        </w:rPr>
        <w:t>(</w:t>
      </w:r>
      <w:r w:rsidR="002A2C4D" w:rsidRPr="0091560A">
        <w:rPr>
          <w:rFonts w:cs="Times New Roman"/>
        </w:rPr>
        <w:t>86%</w:t>
      </w:r>
      <w:r w:rsidR="00C76E7B" w:rsidRPr="0091560A">
        <w:rPr>
          <w:rFonts w:cs="Times New Roman"/>
        </w:rPr>
        <w:t>)</w:t>
      </w:r>
      <w:r w:rsidR="002A2C4D" w:rsidRPr="0091560A">
        <w:rPr>
          <w:rFonts w:cs="Times New Roman"/>
        </w:rPr>
        <w:t xml:space="preserve"> </w:t>
      </w:r>
      <w:r w:rsidR="00655F24" w:rsidRPr="0091560A">
        <w:rPr>
          <w:rFonts w:cs="Times New Roman"/>
        </w:rPr>
        <w:t>of calls</w:t>
      </w:r>
      <w:r w:rsidR="00C76E7B" w:rsidRPr="0091560A">
        <w:rPr>
          <w:rFonts w:cs="Times New Roman"/>
        </w:rPr>
        <w:t xml:space="preserve"> after it was introduced</w:t>
      </w:r>
      <w:r w:rsidR="00BA4E0C" w:rsidRPr="0091560A">
        <w:rPr>
          <w:rFonts w:cs="Times New Roman"/>
        </w:rPr>
        <w:t xml:space="preserve"> in late 2017</w:t>
      </w:r>
      <w:r w:rsidR="001009DF" w:rsidRPr="0091560A">
        <w:rPr>
          <w:rFonts w:cs="Times New Roman"/>
        </w:rPr>
        <w:t>.</w:t>
      </w:r>
      <w:r w:rsidR="001009DF" w:rsidRPr="0091560A" w:rsidDel="006526A9">
        <w:rPr>
          <w:rFonts w:cs="Times New Roman"/>
        </w:rPr>
        <w:t xml:space="preserve"> </w:t>
      </w:r>
      <w:r w:rsidR="00D14470" w:rsidRPr="0091560A">
        <w:rPr>
          <w:rFonts w:cs="Times New Roman"/>
        </w:rPr>
        <w:t>Note the PSS is scored at the time of call</w:t>
      </w:r>
      <w:r w:rsidR="009D3F29" w:rsidRPr="0091560A">
        <w:rPr>
          <w:rFonts w:cs="Times New Roman"/>
        </w:rPr>
        <w:t>, may include effects of co-ingested agents</w:t>
      </w:r>
      <w:r w:rsidR="00195104">
        <w:rPr>
          <w:rFonts w:cs="Times New Roman"/>
        </w:rPr>
        <w:t>,</w:t>
      </w:r>
      <w:r w:rsidR="009D3F29" w:rsidRPr="0091560A">
        <w:rPr>
          <w:rFonts w:cs="Times New Roman"/>
        </w:rPr>
        <w:t xml:space="preserve"> </w:t>
      </w:r>
      <w:r w:rsidR="00D14470" w:rsidRPr="0091560A">
        <w:rPr>
          <w:rFonts w:cs="Times New Roman"/>
        </w:rPr>
        <w:t xml:space="preserve">and does not involve follow up for a final determination of severity. </w:t>
      </w:r>
      <w:r w:rsidR="00C450D3" w:rsidRPr="0091560A">
        <w:rPr>
          <w:rFonts w:cs="Times New Roman"/>
        </w:rPr>
        <w:t xml:space="preserve">Of </w:t>
      </w:r>
      <w:r w:rsidR="00F6026C" w:rsidRPr="0091560A">
        <w:rPr>
          <w:rFonts w:cs="Times New Roman"/>
        </w:rPr>
        <w:t>all calls</w:t>
      </w:r>
      <w:r w:rsidR="00217FFE" w:rsidRPr="0091560A">
        <w:rPr>
          <w:rFonts w:cs="Times New Roman"/>
        </w:rPr>
        <w:t xml:space="preserve"> (these data also include recalls)</w:t>
      </w:r>
      <w:r w:rsidR="005C2706" w:rsidRPr="0091560A">
        <w:rPr>
          <w:rFonts w:cs="Times New Roman"/>
        </w:rPr>
        <w:t xml:space="preserve"> around 8</w:t>
      </w:r>
      <w:r w:rsidR="00AA46CC" w:rsidRPr="0091560A">
        <w:rPr>
          <w:rFonts w:cs="Times New Roman"/>
        </w:rPr>
        <w:t xml:space="preserve">% and 2% had moderate and severe toxicity </w:t>
      </w:r>
      <w:r w:rsidR="00F6026C" w:rsidRPr="0091560A">
        <w:rPr>
          <w:rFonts w:cs="Times New Roman"/>
        </w:rPr>
        <w:t>respectively</w:t>
      </w:r>
      <w:r w:rsidR="00F66417" w:rsidRPr="0091560A">
        <w:rPr>
          <w:rFonts w:cs="Times New Roman"/>
        </w:rPr>
        <w:t xml:space="preserve">. </w:t>
      </w:r>
      <w:r w:rsidR="006A6704" w:rsidRPr="0091560A">
        <w:rPr>
          <w:rFonts w:cs="Times New Roman"/>
        </w:rPr>
        <w:t xml:space="preserve">Combination products </w:t>
      </w:r>
      <w:r w:rsidR="004E05B7" w:rsidRPr="0091560A">
        <w:rPr>
          <w:rFonts w:cs="Times New Roman"/>
        </w:rPr>
        <w:t xml:space="preserve">averaged </w:t>
      </w:r>
      <w:r w:rsidR="006A6704" w:rsidRPr="0091560A">
        <w:rPr>
          <w:rFonts w:cs="Times New Roman"/>
        </w:rPr>
        <w:t xml:space="preserve">slightly greater PSS </w:t>
      </w:r>
      <w:r w:rsidR="004E05B7" w:rsidRPr="0091560A">
        <w:rPr>
          <w:rFonts w:cs="Times New Roman"/>
        </w:rPr>
        <w:t>than single ingredient poisonings.</w:t>
      </w:r>
      <w:r w:rsidR="001808B6" w:rsidRPr="0091560A">
        <w:rPr>
          <w:rFonts w:cs="Times New Roman"/>
        </w:rPr>
        <w:t xml:space="preserve"> Child/adolescent poisonings were generally less </w:t>
      </w:r>
      <w:r w:rsidR="00847EC3" w:rsidRPr="0091560A">
        <w:rPr>
          <w:rFonts w:cs="Times New Roman"/>
        </w:rPr>
        <w:t xml:space="preserve">severe, noting that </w:t>
      </w:r>
      <w:r w:rsidR="00B4437A" w:rsidRPr="0091560A">
        <w:rPr>
          <w:rFonts w:cs="Times New Roman"/>
        </w:rPr>
        <w:t>these data still included 66 calls about severe paracetamol poisoning in these age groups</w:t>
      </w:r>
      <w:r w:rsidR="00BB36B8">
        <w:rPr>
          <w:rFonts w:cs="Times New Roman"/>
        </w:rPr>
        <w:t xml:space="preserve"> </w:t>
      </w:r>
      <w:r w:rsidR="00015FBD">
        <w:rPr>
          <w:rFonts w:cs="Times New Roman"/>
        </w:rPr>
        <w:t>(Table</w:t>
      </w:r>
      <w:r w:rsidR="00A70058">
        <w:rPr>
          <w:rFonts w:cs="Times New Roman"/>
        </w:rPr>
        <w:t>s 4 &amp; 5)</w:t>
      </w:r>
      <w:r w:rsidR="00BB36B8">
        <w:rPr>
          <w:rFonts w:cs="Times New Roman"/>
        </w:rPr>
        <w:t>.</w:t>
      </w:r>
    </w:p>
    <w:p w14:paraId="0EE5B90A" w14:textId="77777777" w:rsidR="00502B31" w:rsidRDefault="00502B31" w:rsidP="00932FEE">
      <w:pPr>
        <w:pStyle w:val="Caption"/>
      </w:pPr>
    </w:p>
    <w:p w14:paraId="5F14DC74" w14:textId="77777777" w:rsidR="00502B31" w:rsidRDefault="00502B31" w:rsidP="00932FEE">
      <w:pPr>
        <w:pStyle w:val="Caption"/>
      </w:pPr>
    </w:p>
    <w:p w14:paraId="0CA39E53" w14:textId="3EB52232" w:rsidR="00F9025F" w:rsidRPr="0091560A" w:rsidRDefault="00932FEE" w:rsidP="00932FEE">
      <w:pPr>
        <w:pStyle w:val="Caption"/>
      </w:pPr>
      <w:bookmarkStart w:id="63" w:name="_Toc114560119"/>
      <w:r>
        <w:t xml:space="preserve">Table </w:t>
      </w:r>
      <w:r>
        <w:fldChar w:fldCharType="begin"/>
      </w:r>
      <w:r>
        <w:instrText>SEQ Table \* ARABIC</w:instrText>
      </w:r>
      <w:r>
        <w:fldChar w:fldCharType="separate"/>
      </w:r>
      <w:r w:rsidR="0091734E">
        <w:rPr>
          <w:noProof/>
        </w:rPr>
        <w:t>4</w:t>
      </w:r>
      <w:r>
        <w:fldChar w:fldCharType="end"/>
      </w:r>
      <w:r w:rsidRPr="0091560A">
        <w:t xml:space="preserve">. </w:t>
      </w:r>
      <w:r w:rsidR="00A237AE" w:rsidRPr="0091560A">
        <w:t xml:space="preserve">Poisons Severity </w:t>
      </w:r>
      <w:r w:rsidR="006C5DE6">
        <w:t>S</w:t>
      </w:r>
      <w:r w:rsidR="00A237AE" w:rsidRPr="0091560A">
        <w:t>core</w:t>
      </w:r>
      <w:r w:rsidR="006C5DE6">
        <w:t xml:space="preserve"> (PSS)</w:t>
      </w:r>
      <w:r w:rsidR="00A237AE" w:rsidRPr="0091560A">
        <w:t xml:space="preserve"> for single ingredient paracetamol poisonings.</w:t>
      </w:r>
      <w:bookmarkEnd w:id="63"/>
    </w:p>
    <w:tbl>
      <w:tblPr>
        <w:tblStyle w:val="ListTable2"/>
        <w:tblW w:w="9072" w:type="dxa"/>
        <w:tblLook w:val="04A0" w:firstRow="1" w:lastRow="0" w:firstColumn="1" w:lastColumn="0" w:noHBand="0" w:noVBand="1"/>
      </w:tblPr>
      <w:tblGrid>
        <w:gridCol w:w="2268"/>
        <w:gridCol w:w="2383"/>
        <w:gridCol w:w="2577"/>
        <w:gridCol w:w="1844"/>
      </w:tblGrid>
      <w:tr w:rsidR="00322EC5" w:rsidRPr="0091560A" w14:paraId="02983FB6" w14:textId="77777777" w:rsidTr="002F24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666666" w:themeColor="text1" w:themeTint="99"/>
            </w:tcBorders>
            <w:shd w:val="clear" w:color="auto" w:fill="595959" w:themeFill="text1" w:themeFillTint="A6"/>
            <w:noWrap/>
            <w:hideMark/>
          </w:tcPr>
          <w:p w14:paraId="7CD75C8E" w14:textId="77777777" w:rsidR="00322EC5" w:rsidRPr="006029F3" w:rsidRDefault="00322EC5" w:rsidP="00322EC5">
            <w:pPr>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PSS Score</w:t>
            </w:r>
          </w:p>
        </w:tc>
        <w:tc>
          <w:tcPr>
            <w:tcW w:w="2383" w:type="dxa"/>
            <w:tcBorders>
              <w:bottom w:val="single" w:sz="4" w:space="0" w:color="666666" w:themeColor="text1" w:themeTint="99"/>
            </w:tcBorders>
            <w:shd w:val="clear" w:color="auto" w:fill="595959" w:themeFill="text1" w:themeFillTint="A6"/>
            <w:noWrap/>
            <w:hideMark/>
          </w:tcPr>
          <w:p w14:paraId="6D06A121" w14:textId="77777777" w:rsidR="00322EC5" w:rsidRPr="006029F3" w:rsidRDefault="00322EC5"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Child/adolescent</w:t>
            </w:r>
          </w:p>
        </w:tc>
        <w:tc>
          <w:tcPr>
            <w:tcW w:w="2577" w:type="dxa"/>
            <w:tcBorders>
              <w:bottom w:val="single" w:sz="4" w:space="0" w:color="666666" w:themeColor="text1" w:themeTint="99"/>
            </w:tcBorders>
            <w:shd w:val="clear" w:color="auto" w:fill="595959" w:themeFill="text1" w:themeFillTint="A6"/>
            <w:noWrap/>
            <w:hideMark/>
          </w:tcPr>
          <w:p w14:paraId="32605E68" w14:textId="77777777" w:rsidR="00322EC5" w:rsidRPr="006029F3" w:rsidRDefault="00322EC5"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Adult/elderly/unknown</w:t>
            </w:r>
          </w:p>
        </w:tc>
        <w:tc>
          <w:tcPr>
            <w:tcW w:w="1844" w:type="dxa"/>
            <w:tcBorders>
              <w:bottom w:val="single" w:sz="4" w:space="0" w:color="666666" w:themeColor="text1" w:themeTint="99"/>
            </w:tcBorders>
            <w:shd w:val="clear" w:color="auto" w:fill="595959" w:themeFill="text1" w:themeFillTint="A6"/>
            <w:noWrap/>
            <w:hideMark/>
          </w:tcPr>
          <w:p w14:paraId="36129984" w14:textId="77777777" w:rsidR="00322EC5" w:rsidRPr="006029F3" w:rsidRDefault="00322EC5"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Total</w:t>
            </w:r>
          </w:p>
        </w:tc>
      </w:tr>
      <w:tr w:rsidR="00322EC5" w:rsidRPr="0091560A" w14:paraId="3B77D93D"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noWrap/>
            <w:hideMark/>
          </w:tcPr>
          <w:p w14:paraId="25D0EC08"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NONE (0)</w:t>
            </w:r>
          </w:p>
        </w:tc>
        <w:tc>
          <w:tcPr>
            <w:tcW w:w="2383" w:type="dxa"/>
            <w:tcBorders>
              <w:bottom w:val="nil"/>
            </w:tcBorders>
            <w:noWrap/>
            <w:hideMark/>
          </w:tcPr>
          <w:p w14:paraId="5AFBAA40"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2606 (34.1%)</w:t>
            </w:r>
          </w:p>
        </w:tc>
        <w:tc>
          <w:tcPr>
            <w:tcW w:w="2577" w:type="dxa"/>
            <w:tcBorders>
              <w:bottom w:val="nil"/>
            </w:tcBorders>
            <w:noWrap/>
            <w:hideMark/>
          </w:tcPr>
          <w:p w14:paraId="03BF44B4"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2647 (29.9%)</w:t>
            </w:r>
          </w:p>
        </w:tc>
        <w:tc>
          <w:tcPr>
            <w:tcW w:w="1844" w:type="dxa"/>
            <w:tcBorders>
              <w:bottom w:val="nil"/>
            </w:tcBorders>
            <w:noWrap/>
            <w:hideMark/>
          </w:tcPr>
          <w:p w14:paraId="5BBB4CA2"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5253 (31.9%)</w:t>
            </w:r>
          </w:p>
        </w:tc>
      </w:tr>
      <w:tr w:rsidR="00322EC5" w:rsidRPr="0091560A" w14:paraId="27D40801"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7FD5D2B2"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MINOR (1)</w:t>
            </w:r>
          </w:p>
        </w:tc>
        <w:tc>
          <w:tcPr>
            <w:tcW w:w="2383" w:type="dxa"/>
            <w:tcBorders>
              <w:top w:val="nil"/>
              <w:bottom w:val="nil"/>
            </w:tcBorders>
            <w:noWrap/>
            <w:hideMark/>
          </w:tcPr>
          <w:p w14:paraId="4900F930"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3358 (43.9%)</w:t>
            </w:r>
          </w:p>
        </w:tc>
        <w:tc>
          <w:tcPr>
            <w:tcW w:w="2577" w:type="dxa"/>
            <w:tcBorders>
              <w:top w:val="nil"/>
              <w:bottom w:val="nil"/>
            </w:tcBorders>
            <w:noWrap/>
            <w:hideMark/>
          </w:tcPr>
          <w:p w14:paraId="45649076"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3792 (42.9%)</w:t>
            </w:r>
          </w:p>
        </w:tc>
        <w:tc>
          <w:tcPr>
            <w:tcW w:w="1844" w:type="dxa"/>
            <w:tcBorders>
              <w:top w:val="nil"/>
              <w:bottom w:val="nil"/>
            </w:tcBorders>
            <w:noWrap/>
            <w:hideMark/>
          </w:tcPr>
          <w:p w14:paraId="3E06D988"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7150 (43.4%)</w:t>
            </w:r>
          </w:p>
        </w:tc>
      </w:tr>
      <w:tr w:rsidR="00322EC5" w:rsidRPr="0091560A" w14:paraId="667E839E"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0C43E0CA"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MODERATE (2)</w:t>
            </w:r>
          </w:p>
        </w:tc>
        <w:tc>
          <w:tcPr>
            <w:tcW w:w="2383" w:type="dxa"/>
            <w:tcBorders>
              <w:top w:val="nil"/>
              <w:bottom w:val="nil"/>
            </w:tcBorders>
            <w:noWrap/>
            <w:hideMark/>
          </w:tcPr>
          <w:p w14:paraId="2313515E"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440 (5.8%)</w:t>
            </w:r>
          </w:p>
        </w:tc>
        <w:tc>
          <w:tcPr>
            <w:tcW w:w="2577" w:type="dxa"/>
            <w:tcBorders>
              <w:top w:val="nil"/>
              <w:bottom w:val="nil"/>
            </w:tcBorders>
            <w:noWrap/>
            <w:hideMark/>
          </w:tcPr>
          <w:p w14:paraId="37254E87"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899 (10.2%)</w:t>
            </w:r>
          </w:p>
        </w:tc>
        <w:tc>
          <w:tcPr>
            <w:tcW w:w="1844" w:type="dxa"/>
            <w:tcBorders>
              <w:top w:val="nil"/>
              <w:bottom w:val="nil"/>
            </w:tcBorders>
            <w:noWrap/>
            <w:hideMark/>
          </w:tcPr>
          <w:p w14:paraId="2D42608B"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1339 (8.1%)</w:t>
            </w:r>
          </w:p>
        </w:tc>
      </w:tr>
      <w:tr w:rsidR="00322EC5" w:rsidRPr="0091560A" w14:paraId="54618300"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1E8C3D69"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SEVERE (3)</w:t>
            </w:r>
          </w:p>
        </w:tc>
        <w:tc>
          <w:tcPr>
            <w:tcW w:w="2383" w:type="dxa"/>
            <w:tcBorders>
              <w:top w:val="nil"/>
              <w:bottom w:val="nil"/>
            </w:tcBorders>
            <w:noWrap/>
            <w:hideMark/>
          </w:tcPr>
          <w:p w14:paraId="051CA609"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59 (0.8%)</w:t>
            </w:r>
          </w:p>
        </w:tc>
        <w:tc>
          <w:tcPr>
            <w:tcW w:w="2577" w:type="dxa"/>
            <w:tcBorders>
              <w:top w:val="nil"/>
              <w:bottom w:val="nil"/>
            </w:tcBorders>
            <w:noWrap/>
            <w:hideMark/>
          </w:tcPr>
          <w:p w14:paraId="371A6649"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222 (2.5%)</w:t>
            </w:r>
          </w:p>
        </w:tc>
        <w:tc>
          <w:tcPr>
            <w:tcW w:w="1844" w:type="dxa"/>
            <w:tcBorders>
              <w:top w:val="nil"/>
              <w:bottom w:val="nil"/>
            </w:tcBorders>
            <w:noWrap/>
            <w:hideMark/>
          </w:tcPr>
          <w:p w14:paraId="0AD2CF25"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281 (1.7%)</w:t>
            </w:r>
          </w:p>
        </w:tc>
      </w:tr>
      <w:tr w:rsidR="00322EC5" w:rsidRPr="0091560A" w14:paraId="1F08964F"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3BEB788F"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Unknown</w:t>
            </w:r>
          </w:p>
        </w:tc>
        <w:tc>
          <w:tcPr>
            <w:tcW w:w="2383" w:type="dxa"/>
            <w:tcBorders>
              <w:top w:val="nil"/>
              <w:bottom w:val="nil"/>
            </w:tcBorders>
            <w:noWrap/>
            <w:hideMark/>
          </w:tcPr>
          <w:p w14:paraId="537CCC75"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382 (5%)</w:t>
            </w:r>
          </w:p>
        </w:tc>
        <w:tc>
          <w:tcPr>
            <w:tcW w:w="2577" w:type="dxa"/>
            <w:tcBorders>
              <w:top w:val="nil"/>
              <w:bottom w:val="nil"/>
            </w:tcBorders>
            <w:noWrap/>
            <w:hideMark/>
          </w:tcPr>
          <w:p w14:paraId="75BC7B6B"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413 (4.7%)</w:t>
            </w:r>
          </w:p>
        </w:tc>
        <w:tc>
          <w:tcPr>
            <w:tcW w:w="1844" w:type="dxa"/>
            <w:tcBorders>
              <w:top w:val="nil"/>
              <w:bottom w:val="nil"/>
            </w:tcBorders>
            <w:noWrap/>
            <w:hideMark/>
          </w:tcPr>
          <w:p w14:paraId="5AD7ACAF"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795 (4.8%)</w:t>
            </w:r>
          </w:p>
        </w:tc>
      </w:tr>
      <w:tr w:rsidR="00322EC5" w:rsidRPr="0091560A" w14:paraId="4A669D9B"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277B1B49"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Left Blank</w:t>
            </w:r>
          </w:p>
        </w:tc>
        <w:tc>
          <w:tcPr>
            <w:tcW w:w="2383" w:type="dxa"/>
            <w:tcBorders>
              <w:top w:val="nil"/>
              <w:bottom w:val="nil"/>
            </w:tcBorders>
            <w:noWrap/>
            <w:hideMark/>
          </w:tcPr>
          <w:p w14:paraId="38D2770B"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799 (10.5%)</w:t>
            </w:r>
          </w:p>
        </w:tc>
        <w:tc>
          <w:tcPr>
            <w:tcW w:w="2577" w:type="dxa"/>
            <w:tcBorders>
              <w:top w:val="nil"/>
              <w:bottom w:val="nil"/>
            </w:tcBorders>
            <w:noWrap/>
            <w:hideMark/>
          </w:tcPr>
          <w:p w14:paraId="7D2DAB52"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867 (9.8%)</w:t>
            </w:r>
          </w:p>
        </w:tc>
        <w:tc>
          <w:tcPr>
            <w:tcW w:w="1844" w:type="dxa"/>
            <w:tcBorders>
              <w:top w:val="nil"/>
              <w:bottom w:val="nil"/>
            </w:tcBorders>
            <w:noWrap/>
            <w:hideMark/>
          </w:tcPr>
          <w:p w14:paraId="5C12702F" w14:textId="77777777" w:rsidR="00322EC5" w:rsidRPr="0091560A" w:rsidRDefault="00322EC5" w:rsidP="00322EC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1666 (10.1%)</w:t>
            </w:r>
          </w:p>
        </w:tc>
      </w:tr>
      <w:tr w:rsidR="00322EC5" w:rsidRPr="0091560A" w14:paraId="0311FACA"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noWrap/>
            <w:hideMark/>
          </w:tcPr>
          <w:p w14:paraId="5DB917AD" w14:textId="77777777" w:rsidR="00322EC5" w:rsidRPr="0091560A" w:rsidRDefault="00322EC5" w:rsidP="00322EC5">
            <w:pPr>
              <w:rPr>
                <w:rFonts w:eastAsia="Times New Roman" w:cs="Times New Roman"/>
                <w:color w:val="000000"/>
                <w:sz w:val="22"/>
                <w:lang w:eastAsia="en-AU"/>
              </w:rPr>
            </w:pPr>
            <w:r w:rsidRPr="0091560A">
              <w:rPr>
                <w:rFonts w:eastAsia="Times New Roman" w:cs="Times New Roman"/>
                <w:color w:val="000000"/>
                <w:sz w:val="22"/>
                <w:lang w:eastAsia="en-AU"/>
              </w:rPr>
              <w:t>Total</w:t>
            </w:r>
          </w:p>
        </w:tc>
        <w:tc>
          <w:tcPr>
            <w:tcW w:w="2383" w:type="dxa"/>
            <w:tcBorders>
              <w:top w:val="nil"/>
            </w:tcBorders>
            <w:noWrap/>
            <w:hideMark/>
          </w:tcPr>
          <w:p w14:paraId="20CE35EB"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7644 (100%)</w:t>
            </w:r>
          </w:p>
        </w:tc>
        <w:tc>
          <w:tcPr>
            <w:tcW w:w="2577" w:type="dxa"/>
            <w:tcBorders>
              <w:top w:val="nil"/>
            </w:tcBorders>
            <w:noWrap/>
            <w:hideMark/>
          </w:tcPr>
          <w:p w14:paraId="21F74BB2"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8840 (100%)</w:t>
            </w:r>
          </w:p>
        </w:tc>
        <w:tc>
          <w:tcPr>
            <w:tcW w:w="1844" w:type="dxa"/>
            <w:tcBorders>
              <w:top w:val="nil"/>
            </w:tcBorders>
            <w:noWrap/>
            <w:hideMark/>
          </w:tcPr>
          <w:p w14:paraId="271F9E8B" w14:textId="77777777" w:rsidR="00322EC5" w:rsidRPr="0091560A" w:rsidRDefault="00322EC5" w:rsidP="00322EC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16484 (100%)</w:t>
            </w:r>
          </w:p>
        </w:tc>
      </w:tr>
    </w:tbl>
    <w:p w14:paraId="0264713D" w14:textId="77777777" w:rsidR="00015FBD" w:rsidRDefault="00015FBD" w:rsidP="006029F3"/>
    <w:p w14:paraId="16E5B4EE" w14:textId="02C21828" w:rsidR="00A237AE" w:rsidRPr="0091560A" w:rsidRDefault="00932FEE" w:rsidP="00932FEE">
      <w:pPr>
        <w:pStyle w:val="Caption"/>
      </w:pPr>
      <w:bookmarkStart w:id="64" w:name="_Toc114560120"/>
      <w:r>
        <w:t xml:space="preserve">Table </w:t>
      </w:r>
      <w:r>
        <w:fldChar w:fldCharType="begin"/>
      </w:r>
      <w:r>
        <w:instrText>SEQ Table \* ARABIC</w:instrText>
      </w:r>
      <w:r>
        <w:fldChar w:fldCharType="separate"/>
      </w:r>
      <w:r w:rsidR="0091734E">
        <w:rPr>
          <w:noProof/>
        </w:rPr>
        <w:t>5</w:t>
      </w:r>
      <w:r>
        <w:fldChar w:fldCharType="end"/>
      </w:r>
      <w:r w:rsidRPr="0091560A">
        <w:t xml:space="preserve">. </w:t>
      </w:r>
      <w:r w:rsidR="00A237AE" w:rsidRPr="0091560A">
        <w:t xml:space="preserve">Poisons Severity </w:t>
      </w:r>
      <w:r w:rsidR="00825C2E">
        <w:t>S</w:t>
      </w:r>
      <w:r w:rsidR="00A237AE" w:rsidRPr="0091560A">
        <w:t xml:space="preserve">core </w:t>
      </w:r>
      <w:r w:rsidR="00825C2E">
        <w:t xml:space="preserve">(PSS) </w:t>
      </w:r>
      <w:r w:rsidR="00A237AE" w:rsidRPr="0091560A">
        <w:t xml:space="preserve">for </w:t>
      </w:r>
      <w:r w:rsidR="005A33A3" w:rsidRPr="0091560A">
        <w:t xml:space="preserve">combination </w:t>
      </w:r>
      <w:r w:rsidR="00A237AE" w:rsidRPr="0091560A">
        <w:t>ingredient paracetamol poisonings.</w:t>
      </w:r>
      <w:bookmarkEnd w:id="64"/>
    </w:p>
    <w:tbl>
      <w:tblPr>
        <w:tblStyle w:val="ListTable2"/>
        <w:tblW w:w="9072" w:type="dxa"/>
        <w:tblLook w:val="04A0" w:firstRow="1" w:lastRow="0" w:firstColumn="1" w:lastColumn="0" w:noHBand="0" w:noVBand="1"/>
      </w:tblPr>
      <w:tblGrid>
        <w:gridCol w:w="2268"/>
        <w:gridCol w:w="2073"/>
        <w:gridCol w:w="2405"/>
        <w:gridCol w:w="2326"/>
      </w:tblGrid>
      <w:tr w:rsidR="005A33A3" w:rsidRPr="0091560A" w14:paraId="13A185F1" w14:textId="77777777" w:rsidTr="002F243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666666" w:themeColor="text1" w:themeTint="99"/>
            </w:tcBorders>
            <w:shd w:val="clear" w:color="auto" w:fill="595959" w:themeFill="text1" w:themeFillTint="A6"/>
            <w:noWrap/>
            <w:hideMark/>
          </w:tcPr>
          <w:p w14:paraId="44618447" w14:textId="1B2DB9BE" w:rsidR="005A33A3" w:rsidRPr="006029F3" w:rsidRDefault="39FC0611" w:rsidP="32A02A73">
            <w:pPr>
              <w:rPr>
                <w:rFonts w:eastAsia="Times New Roman" w:cs="Times New Roman"/>
                <w:color w:val="FFFFFF" w:themeColor="background1"/>
                <w:sz w:val="22"/>
                <w:lang w:eastAsia="en-AU"/>
              </w:rPr>
            </w:pPr>
            <w:r w:rsidRPr="32A02A73">
              <w:rPr>
                <w:rFonts w:eastAsia="Times New Roman" w:cs="Times New Roman"/>
                <w:color w:val="FFFFFF" w:themeColor="background1"/>
                <w:sz w:val="22"/>
                <w:lang w:eastAsia="en-AU"/>
              </w:rPr>
              <w:t>PSS Score</w:t>
            </w:r>
          </w:p>
        </w:tc>
        <w:tc>
          <w:tcPr>
            <w:tcW w:w="2073" w:type="dxa"/>
            <w:tcBorders>
              <w:bottom w:val="single" w:sz="4" w:space="0" w:color="666666" w:themeColor="text1" w:themeTint="99"/>
            </w:tcBorders>
            <w:shd w:val="clear" w:color="auto" w:fill="595959" w:themeFill="text1" w:themeFillTint="A6"/>
            <w:noWrap/>
            <w:hideMark/>
          </w:tcPr>
          <w:p w14:paraId="6C1C7287" w14:textId="77777777" w:rsidR="005A33A3" w:rsidRPr="006029F3" w:rsidRDefault="005A33A3"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Child/adolescent</w:t>
            </w:r>
          </w:p>
        </w:tc>
        <w:tc>
          <w:tcPr>
            <w:tcW w:w="2405" w:type="dxa"/>
            <w:tcBorders>
              <w:bottom w:val="single" w:sz="4" w:space="0" w:color="666666" w:themeColor="text1" w:themeTint="99"/>
            </w:tcBorders>
            <w:shd w:val="clear" w:color="auto" w:fill="595959" w:themeFill="text1" w:themeFillTint="A6"/>
            <w:noWrap/>
            <w:hideMark/>
          </w:tcPr>
          <w:p w14:paraId="1A62A3F9" w14:textId="77777777" w:rsidR="005A33A3" w:rsidRPr="006029F3" w:rsidRDefault="005A33A3"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Adult/elderly/unknown</w:t>
            </w:r>
          </w:p>
        </w:tc>
        <w:tc>
          <w:tcPr>
            <w:tcW w:w="2326" w:type="dxa"/>
            <w:tcBorders>
              <w:bottom w:val="single" w:sz="4" w:space="0" w:color="666666" w:themeColor="text1" w:themeTint="99"/>
            </w:tcBorders>
            <w:shd w:val="clear" w:color="auto" w:fill="595959" w:themeFill="text1" w:themeFillTint="A6"/>
            <w:noWrap/>
            <w:hideMark/>
          </w:tcPr>
          <w:p w14:paraId="553955E8" w14:textId="77777777" w:rsidR="005A33A3" w:rsidRPr="006029F3" w:rsidRDefault="005A33A3" w:rsidP="006029F3">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6029F3">
              <w:rPr>
                <w:rFonts w:eastAsia="Times New Roman" w:cs="Times New Roman"/>
                <w:color w:val="FFFFFF" w:themeColor="background1"/>
                <w:sz w:val="22"/>
                <w:lang w:eastAsia="en-AU"/>
              </w:rPr>
              <w:t>Total</w:t>
            </w:r>
          </w:p>
        </w:tc>
      </w:tr>
      <w:tr w:rsidR="005A33A3" w:rsidRPr="0091560A" w14:paraId="25A53131"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bottom w:val="nil"/>
            </w:tcBorders>
            <w:noWrap/>
            <w:hideMark/>
          </w:tcPr>
          <w:p w14:paraId="369C2E2A"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NONE (0)</w:t>
            </w:r>
          </w:p>
        </w:tc>
        <w:tc>
          <w:tcPr>
            <w:tcW w:w="2073" w:type="dxa"/>
            <w:tcBorders>
              <w:bottom w:val="nil"/>
            </w:tcBorders>
            <w:noWrap/>
            <w:hideMark/>
          </w:tcPr>
          <w:p w14:paraId="20A3E344"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404 (28.2%)</w:t>
            </w:r>
          </w:p>
        </w:tc>
        <w:tc>
          <w:tcPr>
            <w:tcW w:w="2405" w:type="dxa"/>
            <w:tcBorders>
              <w:bottom w:val="nil"/>
            </w:tcBorders>
            <w:noWrap/>
            <w:hideMark/>
          </w:tcPr>
          <w:p w14:paraId="4A5271A8"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876 (23.4%)</w:t>
            </w:r>
          </w:p>
        </w:tc>
        <w:tc>
          <w:tcPr>
            <w:tcW w:w="2326" w:type="dxa"/>
            <w:tcBorders>
              <w:bottom w:val="nil"/>
            </w:tcBorders>
            <w:noWrap/>
            <w:hideMark/>
          </w:tcPr>
          <w:p w14:paraId="57DF1E95"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1280 (24.8%)</w:t>
            </w:r>
          </w:p>
        </w:tc>
      </w:tr>
      <w:tr w:rsidR="005A33A3" w:rsidRPr="0091560A" w14:paraId="48338A9D"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4D5CF054"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MINOR (1)</w:t>
            </w:r>
          </w:p>
        </w:tc>
        <w:tc>
          <w:tcPr>
            <w:tcW w:w="2073" w:type="dxa"/>
            <w:tcBorders>
              <w:top w:val="nil"/>
              <w:bottom w:val="nil"/>
            </w:tcBorders>
            <w:noWrap/>
            <w:hideMark/>
          </w:tcPr>
          <w:p w14:paraId="017CA3F5"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775 (54.1%)</w:t>
            </w:r>
          </w:p>
        </w:tc>
        <w:tc>
          <w:tcPr>
            <w:tcW w:w="2405" w:type="dxa"/>
            <w:tcBorders>
              <w:top w:val="nil"/>
              <w:bottom w:val="nil"/>
            </w:tcBorders>
            <w:noWrap/>
            <w:hideMark/>
          </w:tcPr>
          <w:p w14:paraId="25AA8E86"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1920 (51.4%)</w:t>
            </w:r>
          </w:p>
        </w:tc>
        <w:tc>
          <w:tcPr>
            <w:tcW w:w="2326" w:type="dxa"/>
            <w:tcBorders>
              <w:top w:val="nil"/>
              <w:bottom w:val="nil"/>
            </w:tcBorders>
            <w:noWrap/>
            <w:hideMark/>
          </w:tcPr>
          <w:p w14:paraId="1B2A7E14"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2695 (52.1%)</w:t>
            </w:r>
          </w:p>
        </w:tc>
      </w:tr>
      <w:tr w:rsidR="005A33A3" w:rsidRPr="0091560A" w14:paraId="05BDC232"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7C5973D9"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MODERATE (2)</w:t>
            </w:r>
          </w:p>
        </w:tc>
        <w:tc>
          <w:tcPr>
            <w:tcW w:w="2073" w:type="dxa"/>
            <w:tcBorders>
              <w:top w:val="nil"/>
              <w:bottom w:val="nil"/>
            </w:tcBorders>
            <w:noWrap/>
            <w:hideMark/>
          </w:tcPr>
          <w:p w14:paraId="0EBE4704"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75 (5.2%)</w:t>
            </w:r>
          </w:p>
        </w:tc>
        <w:tc>
          <w:tcPr>
            <w:tcW w:w="2405" w:type="dxa"/>
            <w:tcBorders>
              <w:top w:val="nil"/>
              <w:bottom w:val="nil"/>
            </w:tcBorders>
            <w:noWrap/>
            <w:hideMark/>
          </w:tcPr>
          <w:p w14:paraId="34B72F9B"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358 (9.6%)</w:t>
            </w:r>
          </w:p>
        </w:tc>
        <w:tc>
          <w:tcPr>
            <w:tcW w:w="2326" w:type="dxa"/>
            <w:tcBorders>
              <w:top w:val="nil"/>
              <w:bottom w:val="nil"/>
            </w:tcBorders>
            <w:noWrap/>
            <w:hideMark/>
          </w:tcPr>
          <w:p w14:paraId="72AA2E43"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433 (8.4%)</w:t>
            </w:r>
          </w:p>
        </w:tc>
      </w:tr>
      <w:tr w:rsidR="005A33A3" w:rsidRPr="0091560A" w14:paraId="7051E0FF"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5BCFA365"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SEVERE (3)</w:t>
            </w:r>
          </w:p>
        </w:tc>
        <w:tc>
          <w:tcPr>
            <w:tcW w:w="2073" w:type="dxa"/>
            <w:tcBorders>
              <w:top w:val="nil"/>
              <w:bottom w:val="nil"/>
            </w:tcBorders>
            <w:noWrap/>
            <w:hideMark/>
          </w:tcPr>
          <w:p w14:paraId="47BC527A"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 (0.5%)</w:t>
            </w:r>
          </w:p>
        </w:tc>
        <w:tc>
          <w:tcPr>
            <w:tcW w:w="2405" w:type="dxa"/>
            <w:tcBorders>
              <w:top w:val="nil"/>
              <w:bottom w:val="nil"/>
            </w:tcBorders>
            <w:noWrap/>
            <w:hideMark/>
          </w:tcPr>
          <w:p w14:paraId="1EB4E4AB"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92 (2.5%)</w:t>
            </w:r>
          </w:p>
        </w:tc>
        <w:tc>
          <w:tcPr>
            <w:tcW w:w="2326" w:type="dxa"/>
            <w:tcBorders>
              <w:top w:val="nil"/>
              <w:bottom w:val="nil"/>
            </w:tcBorders>
            <w:noWrap/>
            <w:hideMark/>
          </w:tcPr>
          <w:p w14:paraId="1CB53F80"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99 (1.9%)</w:t>
            </w:r>
          </w:p>
        </w:tc>
      </w:tr>
      <w:tr w:rsidR="005A33A3" w:rsidRPr="0091560A" w14:paraId="0708A776"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10318C21"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Unknown</w:t>
            </w:r>
          </w:p>
        </w:tc>
        <w:tc>
          <w:tcPr>
            <w:tcW w:w="2073" w:type="dxa"/>
            <w:tcBorders>
              <w:top w:val="nil"/>
              <w:bottom w:val="nil"/>
            </w:tcBorders>
            <w:noWrap/>
            <w:hideMark/>
          </w:tcPr>
          <w:p w14:paraId="57D97A45"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57 (4%)</w:t>
            </w:r>
          </w:p>
        </w:tc>
        <w:tc>
          <w:tcPr>
            <w:tcW w:w="2405" w:type="dxa"/>
            <w:tcBorders>
              <w:top w:val="nil"/>
              <w:bottom w:val="nil"/>
            </w:tcBorders>
            <w:noWrap/>
            <w:hideMark/>
          </w:tcPr>
          <w:p w14:paraId="4D349051"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184 (4.9%)</w:t>
            </w:r>
          </w:p>
        </w:tc>
        <w:tc>
          <w:tcPr>
            <w:tcW w:w="2326" w:type="dxa"/>
            <w:tcBorders>
              <w:top w:val="nil"/>
              <w:bottom w:val="nil"/>
            </w:tcBorders>
            <w:noWrap/>
            <w:hideMark/>
          </w:tcPr>
          <w:p w14:paraId="749158CD"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241 (4.7%)</w:t>
            </w:r>
          </w:p>
        </w:tc>
      </w:tr>
      <w:tr w:rsidR="005A33A3" w:rsidRPr="0091560A" w14:paraId="582A1F53" w14:textId="77777777" w:rsidTr="002F243A">
        <w:trPr>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bottom w:val="nil"/>
            </w:tcBorders>
            <w:noWrap/>
            <w:hideMark/>
          </w:tcPr>
          <w:p w14:paraId="720D1E6D"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Left Blank</w:t>
            </w:r>
          </w:p>
        </w:tc>
        <w:tc>
          <w:tcPr>
            <w:tcW w:w="2073" w:type="dxa"/>
            <w:tcBorders>
              <w:top w:val="nil"/>
              <w:bottom w:val="nil"/>
            </w:tcBorders>
            <w:noWrap/>
            <w:hideMark/>
          </w:tcPr>
          <w:p w14:paraId="7C551D27"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115 (8%)</w:t>
            </w:r>
          </w:p>
        </w:tc>
        <w:tc>
          <w:tcPr>
            <w:tcW w:w="2405" w:type="dxa"/>
            <w:tcBorders>
              <w:top w:val="nil"/>
              <w:bottom w:val="nil"/>
            </w:tcBorders>
            <w:noWrap/>
            <w:hideMark/>
          </w:tcPr>
          <w:p w14:paraId="684C4E30"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306 (8.2%)</w:t>
            </w:r>
          </w:p>
        </w:tc>
        <w:tc>
          <w:tcPr>
            <w:tcW w:w="2326" w:type="dxa"/>
            <w:tcBorders>
              <w:top w:val="nil"/>
              <w:bottom w:val="nil"/>
            </w:tcBorders>
            <w:noWrap/>
            <w:hideMark/>
          </w:tcPr>
          <w:p w14:paraId="52606C5D" w14:textId="77777777" w:rsidR="005A33A3" w:rsidRPr="0091560A" w:rsidRDefault="005A33A3" w:rsidP="005A33A3">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421 (8.1%)</w:t>
            </w:r>
          </w:p>
        </w:tc>
      </w:tr>
      <w:tr w:rsidR="005A33A3" w:rsidRPr="0091560A" w14:paraId="4C284F30" w14:textId="77777777" w:rsidTr="002F243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8" w:type="dxa"/>
            <w:tcBorders>
              <w:top w:val="nil"/>
            </w:tcBorders>
            <w:noWrap/>
            <w:hideMark/>
          </w:tcPr>
          <w:p w14:paraId="63009070" w14:textId="77777777" w:rsidR="005A33A3" w:rsidRPr="0091560A" w:rsidRDefault="005A33A3" w:rsidP="005A33A3">
            <w:pPr>
              <w:rPr>
                <w:rFonts w:eastAsia="Times New Roman" w:cs="Times New Roman"/>
                <w:color w:val="000000"/>
                <w:sz w:val="22"/>
                <w:lang w:eastAsia="en-AU"/>
              </w:rPr>
            </w:pPr>
            <w:r w:rsidRPr="0091560A">
              <w:rPr>
                <w:rFonts w:eastAsia="Times New Roman" w:cs="Times New Roman"/>
                <w:color w:val="000000"/>
                <w:sz w:val="22"/>
                <w:lang w:eastAsia="en-AU"/>
              </w:rPr>
              <w:t>Total</w:t>
            </w:r>
          </w:p>
        </w:tc>
        <w:tc>
          <w:tcPr>
            <w:tcW w:w="2073" w:type="dxa"/>
            <w:tcBorders>
              <w:top w:val="nil"/>
            </w:tcBorders>
            <w:noWrap/>
            <w:hideMark/>
          </w:tcPr>
          <w:p w14:paraId="27B1F800"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1433 (100%)</w:t>
            </w:r>
          </w:p>
        </w:tc>
        <w:tc>
          <w:tcPr>
            <w:tcW w:w="2405" w:type="dxa"/>
            <w:tcBorders>
              <w:top w:val="nil"/>
            </w:tcBorders>
            <w:noWrap/>
            <w:hideMark/>
          </w:tcPr>
          <w:p w14:paraId="7183CD45"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3736 (100%)</w:t>
            </w:r>
          </w:p>
        </w:tc>
        <w:tc>
          <w:tcPr>
            <w:tcW w:w="2326" w:type="dxa"/>
            <w:tcBorders>
              <w:top w:val="nil"/>
            </w:tcBorders>
            <w:noWrap/>
            <w:hideMark/>
          </w:tcPr>
          <w:p w14:paraId="6866D5E3" w14:textId="77777777" w:rsidR="005A33A3" w:rsidRPr="0091560A" w:rsidRDefault="005A33A3" w:rsidP="005A33A3">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5169 (100%)</w:t>
            </w:r>
          </w:p>
        </w:tc>
      </w:tr>
    </w:tbl>
    <w:p w14:paraId="2E6D1C26" w14:textId="77777777" w:rsidR="00497DCB" w:rsidRDefault="00497DCB" w:rsidP="00E443E7"/>
    <w:p w14:paraId="45C136FB" w14:textId="506390AB" w:rsidR="00B77CF5" w:rsidRDefault="006019F1" w:rsidP="00AA0D2A">
      <w:pPr>
        <w:pStyle w:val="Heading3"/>
      </w:pPr>
      <w:bookmarkStart w:id="65" w:name="_Toc112843916"/>
      <w:r>
        <w:t>2.</w:t>
      </w:r>
      <w:r w:rsidR="00215648">
        <w:t xml:space="preserve">4.2 </w:t>
      </w:r>
      <w:r>
        <w:t xml:space="preserve"> </w:t>
      </w:r>
      <w:r w:rsidR="00B77CF5" w:rsidRPr="0091560A">
        <w:t>Recent evidence on products and burden of disease in NSW PIC calls</w:t>
      </w:r>
      <w:bookmarkEnd w:id="65"/>
    </w:p>
    <w:tbl>
      <w:tblPr>
        <w:tblStyle w:val="TableGrid"/>
        <w:tblW w:w="0" w:type="auto"/>
        <w:shd w:val="clear" w:color="auto" w:fill="EDEDED" w:themeFill="accent3" w:themeFillTint="33"/>
        <w:tblLook w:val="04A0" w:firstRow="1" w:lastRow="0" w:firstColumn="1" w:lastColumn="0" w:noHBand="0" w:noVBand="1"/>
      </w:tblPr>
      <w:tblGrid>
        <w:gridCol w:w="9016"/>
      </w:tblGrid>
      <w:tr w:rsidR="004659A5" w14:paraId="41F5A29B" w14:textId="77777777" w:rsidTr="007874C3">
        <w:tc>
          <w:tcPr>
            <w:tcW w:w="9016" w:type="dxa"/>
            <w:shd w:val="clear" w:color="auto" w:fill="EDEDED" w:themeFill="accent3" w:themeFillTint="33"/>
          </w:tcPr>
          <w:p w14:paraId="4457E9C5" w14:textId="2806F868" w:rsidR="00562CED" w:rsidRDefault="00497DCB" w:rsidP="00AA0D2A">
            <w:pPr>
              <w:pStyle w:val="ListParagraph"/>
              <w:numPr>
                <w:ilvl w:val="0"/>
                <w:numId w:val="82"/>
              </w:numPr>
              <w:spacing w:after="120" w:line="259" w:lineRule="auto"/>
              <w:ind w:hanging="357"/>
              <w:contextualSpacing w:val="0"/>
            </w:pPr>
            <w:r>
              <w:t>The m</w:t>
            </w:r>
            <w:r w:rsidR="0035392B">
              <w:t xml:space="preserve">edian dose ingested </w:t>
            </w:r>
            <w:r>
              <w:t xml:space="preserve">of paracetamol in single ingredient paracetamol product exposures </w:t>
            </w:r>
            <w:r w:rsidR="002E285F">
              <w:t>(</w:t>
            </w:r>
            <w:r w:rsidR="007366F3">
              <w:t>of greater than 10 g</w:t>
            </w:r>
            <w:r w:rsidR="002E285F">
              <w:t xml:space="preserve">) </w:t>
            </w:r>
            <w:r w:rsidR="00DB2D1C">
              <w:t xml:space="preserve">in 2020-21 </w:t>
            </w:r>
            <w:r w:rsidR="0035392B">
              <w:t xml:space="preserve">was 17.5 g and </w:t>
            </w:r>
            <w:r w:rsidR="00C17F33">
              <w:t>10.3% of calls were referred to clinical toxicologists.</w:t>
            </w:r>
            <w:r w:rsidR="00AC301F">
              <w:t xml:space="preserve"> </w:t>
            </w:r>
          </w:p>
          <w:p w14:paraId="379CF3A1" w14:textId="432B427C" w:rsidR="00D05835" w:rsidRDefault="00AC301F" w:rsidP="00AA0D2A">
            <w:pPr>
              <w:pStyle w:val="ListParagraph"/>
              <w:numPr>
                <w:ilvl w:val="0"/>
                <w:numId w:val="82"/>
              </w:numPr>
              <w:spacing w:after="120" w:line="259" w:lineRule="auto"/>
              <w:ind w:hanging="357"/>
              <w:contextualSpacing w:val="0"/>
            </w:pPr>
            <w:r>
              <w:t>There was little variation in time to presentation by age groups, with most presenting before 8 ho</w:t>
            </w:r>
            <w:r w:rsidR="00A16C4C">
              <w:t>urs (and thus having a good prognosis with acetylcysteine treatment).</w:t>
            </w:r>
            <w:r w:rsidR="0070324E">
              <w:t xml:space="preserve"> </w:t>
            </w:r>
            <w:r w:rsidR="002E285F">
              <w:t>O</w:t>
            </w:r>
            <w:r w:rsidR="0070324E">
              <w:t>nly one fifth presented within 2 hours or less.</w:t>
            </w:r>
          </w:p>
          <w:p w14:paraId="1EED30FF" w14:textId="77777777" w:rsidR="00C17F33" w:rsidRPr="00C72F5A" w:rsidRDefault="00666ED1" w:rsidP="00AA0D2A">
            <w:pPr>
              <w:pStyle w:val="ListParagraph"/>
              <w:numPr>
                <w:ilvl w:val="1"/>
                <w:numId w:val="82"/>
              </w:numPr>
              <w:spacing w:after="120" w:line="259" w:lineRule="auto"/>
              <w:ind w:hanging="357"/>
              <w:contextualSpacing w:val="0"/>
              <w:rPr>
                <w:rStyle w:val="normaltextrun"/>
              </w:rPr>
            </w:pPr>
            <w:r w:rsidRPr="001A0A17">
              <w:rPr>
                <w:rStyle w:val="normaltextrun"/>
                <w:color w:val="000000"/>
              </w:rPr>
              <w:t>One patient with a very delayed presentation died; 351 had some evidence of liver injury (ALT &gt;50), and 119 had severe liver injury (ALT &gt;1000).</w:t>
            </w:r>
          </w:p>
          <w:p w14:paraId="5E1E0D6B" w14:textId="1AEA4118" w:rsidR="00CF1257" w:rsidRDefault="00DB2D1C" w:rsidP="00AA0D2A">
            <w:pPr>
              <w:pStyle w:val="ListParagraph"/>
              <w:numPr>
                <w:ilvl w:val="0"/>
                <w:numId w:val="82"/>
              </w:numPr>
              <w:spacing w:after="120"/>
              <w:ind w:hanging="357"/>
              <w:contextualSpacing w:val="0"/>
            </w:pPr>
            <w:r>
              <w:t>In a</w:t>
            </w:r>
            <w:r w:rsidR="0039665F">
              <w:t xml:space="preserve"> </w:t>
            </w:r>
            <w:r w:rsidR="00AF7D2C">
              <w:t xml:space="preserve">February to March 2022 </w:t>
            </w:r>
            <w:r w:rsidR="0039665F">
              <w:t xml:space="preserve">cohort of </w:t>
            </w:r>
            <w:r w:rsidR="00977877">
              <w:t xml:space="preserve">paracetamol </w:t>
            </w:r>
            <w:r w:rsidR="0005026A">
              <w:t xml:space="preserve">exposure cases </w:t>
            </w:r>
            <w:r w:rsidR="00A27A6B">
              <w:t>(</w:t>
            </w:r>
            <w:r w:rsidR="00977877">
              <w:t xml:space="preserve">predominately female and </w:t>
            </w:r>
            <w:r w:rsidR="00A27A6B">
              <w:t>median age 19 years)</w:t>
            </w:r>
            <w:r w:rsidR="002D3133">
              <w:t xml:space="preserve">, </w:t>
            </w:r>
            <w:r w:rsidR="00A94A41">
              <w:t>t</w:t>
            </w:r>
            <w:r w:rsidR="00543248">
              <w:t>he majority were document</w:t>
            </w:r>
            <w:r w:rsidR="00DC376F">
              <w:t>ed</w:t>
            </w:r>
            <w:r w:rsidR="00543248">
              <w:t xml:space="preserve"> as suicide attempts, and m</w:t>
            </w:r>
            <w:r w:rsidR="00C619F1">
              <w:t xml:space="preserve">ajority of the remainder as self-poisonings. Psychiatric diagnoses were commonly recorded however, </w:t>
            </w:r>
            <w:r w:rsidR="00CF1257">
              <w:t>the majority also indicated to be impulsive and relatively few had significant planning documents.</w:t>
            </w:r>
          </w:p>
        </w:tc>
      </w:tr>
    </w:tbl>
    <w:p w14:paraId="042A04A6" w14:textId="77777777" w:rsidR="004659A5" w:rsidRPr="006B127E" w:rsidRDefault="004659A5" w:rsidP="00AA0D2A"/>
    <w:p w14:paraId="33F15FF7" w14:textId="353C48DE" w:rsidR="000128B9" w:rsidRPr="0091560A" w:rsidRDefault="00B77CF5" w:rsidP="00AA0D2A">
      <w:pPr>
        <w:pStyle w:val="Heading4"/>
      </w:pPr>
      <w:r w:rsidRPr="0091560A">
        <w:t>Methods</w:t>
      </w:r>
    </w:p>
    <w:p w14:paraId="7C1D4435" w14:textId="78D6C4DA" w:rsidR="002E1F5B" w:rsidRPr="0091560A" w:rsidRDefault="002E1F5B" w:rsidP="002E1F5B">
      <w:r w:rsidRPr="0091560A">
        <w:t>NSW</w:t>
      </w:r>
      <w:r w:rsidR="00825C2E">
        <w:t xml:space="preserve"> </w:t>
      </w:r>
      <w:r w:rsidRPr="0091560A">
        <w:t xml:space="preserve">PIC call records for 2020-2021 </w:t>
      </w:r>
      <w:r w:rsidR="005509B9" w:rsidRPr="0091560A">
        <w:t xml:space="preserve">of single ingredient paracetamol product exposures </w:t>
      </w:r>
      <w:r w:rsidRPr="0091560A">
        <w:t>were subject to additional manual review to obtain extra detail on product, poisoning severity and treatment</w:t>
      </w:r>
      <w:r w:rsidR="00D75F41" w:rsidRPr="0091560A">
        <w:t xml:space="preserve"> for </w:t>
      </w:r>
      <w:r w:rsidR="00CD7168" w:rsidRPr="0091560A">
        <w:t xml:space="preserve">deliberate self-poisoning </w:t>
      </w:r>
      <w:r w:rsidR="00AE2CA8" w:rsidRPr="0091560A">
        <w:t>of 10 g or greater (a widely accepted threshold dose for significant risk of liver injury)</w:t>
      </w:r>
      <w:r w:rsidRPr="0091560A">
        <w:t xml:space="preserve">. </w:t>
      </w:r>
    </w:p>
    <w:p w14:paraId="57FBE7D5" w14:textId="50F55F7A" w:rsidR="002E1F5B" w:rsidRPr="0091560A" w:rsidRDefault="002E1F5B" w:rsidP="002E1F5B">
      <w:pPr>
        <w:rPr>
          <w:rFonts w:cs="Times New Roman"/>
        </w:rPr>
      </w:pPr>
      <w:r w:rsidRPr="0091560A">
        <w:rPr>
          <w:rFonts w:cs="Times New Roman"/>
        </w:rPr>
        <w:t xml:space="preserve">The following </w:t>
      </w:r>
      <w:r w:rsidR="00CD7168" w:rsidRPr="0091560A">
        <w:rPr>
          <w:rFonts w:cs="Times New Roman"/>
        </w:rPr>
        <w:t>cases were reviewed</w:t>
      </w:r>
      <w:r w:rsidRPr="0091560A">
        <w:rPr>
          <w:rFonts w:cs="Times New Roman"/>
        </w:rPr>
        <w:t>:</w:t>
      </w:r>
    </w:p>
    <w:p w14:paraId="09822825" w14:textId="4402D7A2" w:rsidR="002E1F5B" w:rsidRPr="00E62BF0" w:rsidRDefault="00AE22F0" w:rsidP="00AA0D2A">
      <w:pPr>
        <w:pStyle w:val="ListParagraph"/>
        <w:numPr>
          <w:ilvl w:val="0"/>
          <w:numId w:val="48"/>
        </w:numPr>
        <w:spacing w:after="0"/>
        <w:ind w:left="714" w:hanging="357"/>
        <w:rPr>
          <w:rFonts w:cs="Times New Roman"/>
        </w:rPr>
      </w:pPr>
      <w:r w:rsidRPr="00A70969">
        <w:rPr>
          <w:rFonts w:cs="Times New Roman"/>
        </w:rPr>
        <w:t>Deliberate self-poisonings where p</w:t>
      </w:r>
      <w:r w:rsidR="002E1F5B" w:rsidRPr="00275777">
        <w:rPr>
          <w:rFonts w:cs="Times New Roman"/>
        </w:rPr>
        <w:t xml:space="preserve">eople took </w:t>
      </w:r>
      <w:r w:rsidR="00CD7168" w:rsidRPr="00497288">
        <w:rPr>
          <w:rFonts w:cs="Times New Roman"/>
        </w:rPr>
        <w:t xml:space="preserve">at least </w:t>
      </w:r>
      <w:r w:rsidR="002E1F5B" w:rsidRPr="00497288">
        <w:rPr>
          <w:rFonts w:cs="Times New Roman"/>
        </w:rPr>
        <w:t>10 g of paracetamol</w:t>
      </w:r>
      <w:r w:rsidRPr="00497288">
        <w:rPr>
          <w:rFonts w:cs="Times New Roman"/>
        </w:rPr>
        <w:t xml:space="preserve"> (as a s</w:t>
      </w:r>
      <w:r w:rsidR="002E1F5B" w:rsidRPr="00C03854">
        <w:rPr>
          <w:rFonts w:cs="Times New Roman"/>
        </w:rPr>
        <w:t>ingle agent and/or polypharmacy exposures</w:t>
      </w:r>
      <w:r w:rsidRPr="00A85B9E">
        <w:rPr>
          <w:rFonts w:cs="Times New Roman"/>
        </w:rPr>
        <w:t>)</w:t>
      </w:r>
      <w:r w:rsidR="002E1F5B" w:rsidRPr="00AF5ECD">
        <w:rPr>
          <w:rFonts w:cs="Times New Roman"/>
        </w:rPr>
        <w:t xml:space="preserve"> </w:t>
      </w:r>
    </w:p>
    <w:p w14:paraId="6F038792" w14:textId="77777777" w:rsidR="00606EB0" w:rsidRPr="0091560A" w:rsidRDefault="00606EB0" w:rsidP="00606EB0">
      <w:pPr>
        <w:spacing w:after="0" w:line="240" w:lineRule="auto"/>
        <w:rPr>
          <w:rFonts w:cs="Times New Roman"/>
        </w:rPr>
      </w:pPr>
    </w:p>
    <w:p w14:paraId="150B7222" w14:textId="27CFEC6B" w:rsidR="006526A9" w:rsidRPr="001A0A17" w:rsidRDefault="00606EB0" w:rsidP="001A0A17">
      <w:r w:rsidRPr="0091560A">
        <w:t>This</w:t>
      </w:r>
      <w:r w:rsidR="00EF56D4" w:rsidRPr="0091560A">
        <w:t xml:space="preserve"> generally</w:t>
      </w:r>
      <w:r w:rsidRPr="0091560A">
        <w:t xml:space="preserve"> in</w:t>
      </w:r>
      <w:r w:rsidR="00EF56D4" w:rsidRPr="0091560A">
        <w:t>volve</w:t>
      </w:r>
      <w:r w:rsidRPr="0091560A">
        <w:t>d c</w:t>
      </w:r>
      <w:r w:rsidR="002E1F5B" w:rsidRPr="0091560A">
        <w:t>alls from healthcare professionals</w:t>
      </w:r>
      <w:r w:rsidR="00E25D51" w:rsidRPr="0091560A">
        <w:t>, as all such patients are referred to hospital</w:t>
      </w:r>
      <w:r w:rsidR="002D1356" w:rsidRPr="0091560A">
        <w:t>, but we also examine</w:t>
      </w:r>
      <w:r w:rsidR="004072E8">
        <w:t>d</w:t>
      </w:r>
      <w:r w:rsidR="002D1356" w:rsidRPr="0091560A">
        <w:t xml:space="preserve"> such calls from m</w:t>
      </w:r>
      <w:r w:rsidR="002E1F5B" w:rsidRPr="0091560A">
        <w:t>embers of the public.</w:t>
      </w:r>
      <w:r w:rsidR="002D1356" w:rsidRPr="0091560A">
        <w:t xml:space="preserve"> </w:t>
      </w:r>
      <w:r w:rsidR="002E1F5B" w:rsidRPr="0091560A">
        <w:t>Call data was manually cleaned to extract the following information:</w:t>
      </w:r>
    </w:p>
    <w:p w14:paraId="53D4F8C3" w14:textId="77777777" w:rsidR="002E1F5B" w:rsidRPr="00275777" w:rsidRDefault="002E1F5B" w:rsidP="00AA0D2A">
      <w:pPr>
        <w:pStyle w:val="ListParagraph"/>
        <w:numPr>
          <w:ilvl w:val="0"/>
          <w:numId w:val="48"/>
        </w:numPr>
        <w:spacing w:after="0"/>
        <w:ind w:left="714" w:hanging="357"/>
        <w:rPr>
          <w:rFonts w:cs="Times New Roman"/>
        </w:rPr>
      </w:pPr>
      <w:r w:rsidRPr="00A70969">
        <w:rPr>
          <w:rFonts w:cs="Times New Roman"/>
        </w:rPr>
        <w:t>Product name</w:t>
      </w:r>
    </w:p>
    <w:p w14:paraId="2C583625" w14:textId="32D31E67" w:rsidR="002E1F5B" w:rsidRPr="00497288" w:rsidRDefault="002E1F5B" w:rsidP="00AA0D2A">
      <w:pPr>
        <w:pStyle w:val="ListParagraph"/>
        <w:numPr>
          <w:ilvl w:val="0"/>
          <w:numId w:val="48"/>
        </w:numPr>
        <w:spacing w:after="0"/>
        <w:ind w:left="714" w:hanging="357"/>
        <w:rPr>
          <w:rFonts w:cs="Times New Roman"/>
        </w:rPr>
      </w:pPr>
      <w:r w:rsidRPr="00497288">
        <w:rPr>
          <w:rFonts w:cs="Times New Roman"/>
        </w:rPr>
        <w:t>Morbidity (including peak ALT, and peak INR for cases where ALT &gt;</w:t>
      </w:r>
      <w:r w:rsidR="00F47BD2">
        <w:rPr>
          <w:rFonts w:cs="Times New Roman"/>
        </w:rPr>
        <w:t xml:space="preserve"> </w:t>
      </w:r>
      <w:r w:rsidRPr="00497288">
        <w:rPr>
          <w:rFonts w:cs="Times New Roman"/>
        </w:rPr>
        <w:t>1000)</w:t>
      </w:r>
    </w:p>
    <w:p w14:paraId="4F21F318" w14:textId="77777777" w:rsidR="002E1F5B" w:rsidRPr="00A85B9E" w:rsidRDefault="002E1F5B" w:rsidP="00AA0D2A">
      <w:pPr>
        <w:pStyle w:val="ListParagraph"/>
        <w:numPr>
          <w:ilvl w:val="0"/>
          <w:numId w:val="48"/>
        </w:numPr>
        <w:spacing w:after="0"/>
        <w:ind w:left="714" w:hanging="357"/>
        <w:rPr>
          <w:rFonts w:cs="Times New Roman"/>
        </w:rPr>
      </w:pPr>
      <w:r w:rsidRPr="00C03854">
        <w:rPr>
          <w:rFonts w:cs="Times New Roman"/>
        </w:rPr>
        <w:t>Treatment advice given (activated charcoal and NAC, including whether standard course, increased dose, or increased duration NAC was recommended).</w:t>
      </w:r>
    </w:p>
    <w:p w14:paraId="6477CEC3" w14:textId="77777777" w:rsidR="002E1F5B" w:rsidRPr="00E62BF0" w:rsidRDefault="002E1F5B" w:rsidP="00AA0D2A">
      <w:pPr>
        <w:pStyle w:val="ListParagraph"/>
        <w:numPr>
          <w:ilvl w:val="0"/>
          <w:numId w:val="48"/>
        </w:numPr>
        <w:spacing w:after="0"/>
        <w:ind w:left="714" w:hanging="357"/>
        <w:rPr>
          <w:rFonts w:cs="Times New Roman"/>
        </w:rPr>
      </w:pPr>
      <w:r w:rsidRPr="00AF5ECD">
        <w:rPr>
          <w:rFonts w:cs="Times New Roman"/>
        </w:rPr>
        <w:t xml:space="preserve">Number of calls about each case (as a proxy for </w:t>
      </w:r>
      <w:r w:rsidRPr="00E62BF0">
        <w:rPr>
          <w:rFonts w:cs="Times New Roman"/>
        </w:rPr>
        <w:t>severity or complexity of management)</w:t>
      </w:r>
    </w:p>
    <w:p w14:paraId="4F968D9C" w14:textId="2573524C" w:rsidR="00F821A8" w:rsidRPr="00A57D80" w:rsidRDefault="002E1F5B" w:rsidP="00AA0D2A">
      <w:pPr>
        <w:pStyle w:val="ListParagraph"/>
        <w:numPr>
          <w:ilvl w:val="0"/>
          <w:numId w:val="48"/>
        </w:numPr>
        <w:spacing w:after="0"/>
        <w:ind w:left="714" w:hanging="357"/>
        <w:rPr>
          <w:rFonts w:cs="Times New Roman"/>
        </w:rPr>
      </w:pPr>
      <w:r w:rsidRPr="006B127E">
        <w:rPr>
          <w:rFonts w:cs="Times New Roman"/>
        </w:rPr>
        <w:t>Whether a clinical toxicologist was consulted (as a proxy for severity or complexity of management).</w:t>
      </w:r>
    </w:p>
    <w:p w14:paraId="72ECA4DE" w14:textId="280FB4C6" w:rsidR="006526A9" w:rsidRPr="00A70969" w:rsidRDefault="002E1F5B" w:rsidP="00AA0D2A">
      <w:pPr>
        <w:pStyle w:val="ListParagraph"/>
        <w:numPr>
          <w:ilvl w:val="0"/>
          <w:numId w:val="48"/>
        </w:numPr>
        <w:spacing w:after="0"/>
        <w:ind w:left="714" w:hanging="357"/>
      </w:pPr>
      <w:r w:rsidRPr="00F821A8">
        <w:rPr>
          <w:rFonts w:cs="Times New Roman"/>
        </w:rPr>
        <w:t xml:space="preserve">Time </w:t>
      </w:r>
      <w:r w:rsidR="00AE22F0" w:rsidRPr="00F821A8">
        <w:rPr>
          <w:rFonts w:cs="Times New Roman"/>
        </w:rPr>
        <w:t xml:space="preserve">from overdose </w:t>
      </w:r>
      <w:r w:rsidRPr="00F821A8">
        <w:rPr>
          <w:rFonts w:cs="Times New Roman"/>
        </w:rPr>
        <w:t xml:space="preserve">to presentation to hospital (where known, otherwise time of first call to PIC, or time of first paracetamol level is taken, </w:t>
      </w:r>
      <w:r w:rsidRPr="0065695E">
        <w:rPr>
          <w:rFonts w:cs="Times New Roman"/>
        </w:rPr>
        <w:t>whichever is e</w:t>
      </w:r>
      <w:r w:rsidRPr="007D156E">
        <w:rPr>
          <w:rFonts w:cs="Times New Roman"/>
        </w:rPr>
        <w:t>arliest).</w:t>
      </w:r>
    </w:p>
    <w:p w14:paraId="29671DE0" w14:textId="77777777" w:rsidR="001B1F91" w:rsidRPr="00275777" w:rsidRDefault="001B1F91" w:rsidP="00AA0D2A">
      <w:pPr>
        <w:pStyle w:val="ListParagraph"/>
        <w:spacing w:after="0" w:line="240" w:lineRule="auto"/>
        <w:rPr>
          <w:rFonts w:cs="Times New Roman"/>
        </w:rPr>
      </w:pPr>
    </w:p>
    <w:p w14:paraId="43B5B8EA" w14:textId="42A75B52" w:rsidR="002E1F5B" w:rsidRPr="0091560A" w:rsidRDefault="002E1F5B" w:rsidP="002E1F5B">
      <w:r w:rsidRPr="0091560A">
        <w:t>Where multiple calls were received about the one case, the case was only counted once, and additional information contained in the records of subsequent calls (“recalls”) was extracted for that case, where relevant.</w:t>
      </w:r>
    </w:p>
    <w:p w14:paraId="2D83C2EC" w14:textId="77AB11CC" w:rsidR="002E1F5B" w:rsidRPr="0091560A" w:rsidRDefault="000F59BA" w:rsidP="002E1F5B">
      <w:pPr>
        <w:rPr>
          <w:rFonts w:cs="Times New Roman"/>
        </w:rPr>
      </w:pPr>
      <w:r w:rsidRPr="0091560A">
        <w:rPr>
          <w:rFonts w:cs="Times New Roman"/>
        </w:rPr>
        <w:t xml:space="preserve">Note </w:t>
      </w:r>
      <w:r w:rsidR="002E1F5B" w:rsidRPr="0091560A">
        <w:rPr>
          <w:rFonts w:cs="Times New Roman"/>
        </w:rPr>
        <w:t>NSW</w:t>
      </w:r>
      <w:r w:rsidR="00825C2E">
        <w:rPr>
          <w:rFonts w:cs="Times New Roman"/>
        </w:rPr>
        <w:t xml:space="preserve"> </w:t>
      </w:r>
      <w:r w:rsidR="002E1F5B" w:rsidRPr="0091560A">
        <w:rPr>
          <w:rFonts w:cs="Times New Roman"/>
        </w:rPr>
        <w:t xml:space="preserve">PIC does not routinely follow up each case, and thus </w:t>
      </w:r>
      <w:r w:rsidRPr="0091560A">
        <w:rPr>
          <w:rFonts w:cs="Times New Roman"/>
        </w:rPr>
        <w:t xml:space="preserve">final </w:t>
      </w:r>
      <w:r w:rsidR="002E1F5B" w:rsidRPr="0091560A">
        <w:rPr>
          <w:rFonts w:cs="Times New Roman"/>
        </w:rPr>
        <w:t xml:space="preserve">outcome data is </w:t>
      </w:r>
      <w:r w:rsidRPr="0091560A">
        <w:rPr>
          <w:rFonts w:cs="Times New Roman"/>
        </w:rPr>
        <w:t xml:space="preserve">often </w:t>
      </w:r>
      <w:r w:rsidR="002E1F5B" w:rsidRPr="0091560A">
        <w:rPr>
          <w:rFonts w:cs="Times New Roman"/>
        </w:rPr>
        <w:t>lacking. This should be taken into account when interpreting these results. However, in PIC experience, hospital</w:t>
      </w:r>
      <w:r w:rsidR="009E1DAD" w:rsidRPr="0091560A">
        <w:rPr>
          <w:rFonts w:cs="Times New Roman"/>
        </w:rPr>
        <w:t xml:space="preserve"> </w:t>
      </w:r>
      <w:r w:rsidR="002E1F5B" w:rsidRPr="0091560A">
        <w:rPr>
          <w:rFonts w:cs="Times New Roman"/>
        </w:rPr>
        <w:t>s</w:t>
      </w:r>
      <w:r w:rsidR="009E1DAD" w:rsidRPr="0091560A">
        <w:rPr>
          <w:rFonts w:cs="Times New Roman"/>
        </w:rPr>
        <w:t>taff</w:t>
      </w:r>
      <w:r w:rsidR="002E1F5B" w:rsidRPr="0091560A">
        <w:rPr>
          <w:rFonts w:cs="Times New Roman"/>
        </w:rPr>
        <w:t xml:space="preserve"> usually call back in the event of </w:t>
      </w:r>
      <w:r w:rsidR="009E1DAD" w:rsidRPr="0091560A">
        <w:rPr>
          <w:rFonts w:cs="Times New Roman"/>
        </w:rPr>
        <w:t xml:space="preserve">significant </w:t>
      </w:r>
      <w:r w:rsidR="002E1F5B" w:rsidRPr="0091560A">
        <w:rPr>
          <w:rFonts w:cs="Times New Roman"/>
        </w:rPr>
        <w:t>hepatotoxicity developing.</w:t>
      </w:r>
    </w:p>
    <w:p w14:paraId="728C8839" w14:textId="6020DECA" w:rsidR="002E1F5B" w:rsidRPr="0091560A" w:rsidRDefault="002E1F5B" w:rsidP="00AA0D2A">
      <w:pPr>
        <w:pStyle w:val="Heading4"/>
      </w:pPr>
      <w:r w:rsidRPr="0091560A">
        <w:t>R</w:t>
      </w:r>
      <w:r w:rsidR="00907F7E" w:rsidRPr="0091560A">
        <w:t>esults</w:t>
      </w:r>
      <w:r w:rsidRPr="0091560A">
        <w:t xml:space="preserve"> </w:t>
      </w:r>
    </w:p>
    <w:p w14:paraId="0DA3D37E" w14:textId="2B3B4E5C" w:rsidR="00907F7E" w:rsidRPr="0091560A" w:rsidRDefault="00907F7E" w:rsidP="00907F7E">
      <w:r w:rsidRPr="0091560A">
        <w:t>There were 4883 calls reviewed with stated dose 10</w:t>
      </w:r>
      <w:r w:rsidR="00152092">
        <w:t xml:space="preserve"> </w:t>
      </w:r>
      <w:r w:rsidRPr="0091560A">
        <w:t>g or more, including 3095 unique exposures</w:t>
      </w:r>
      <w:r w:rsidR="00530D8E" w:rsidRPr="0091560A">
        <w:t>; 11.6% (n=358) involved MR paracetamol</w:t>
      </w:r>
      <w:r w:rsidRPr="0091560A">
        <w:t>.</w:t>
      </w:r>
      <w:r w:rsidR="005D07BC" w:rsidRPr="0091560A">
        <w:t xml:space="preserve"> The majority were female, especially in the child/adolescent age groups</w:t>
      </w:r>
      <w:r w:rsidR="00BB36B8">
        <w:t xml:space="preserve"> </w:t>
      </w:r>
      <w:r w:rsidR="00A70058">
        <w:t>(Table 6)</w:t>
      </w:r>
      <w:r w:rsidR="00BB36B8">
        <w:t>.</w:t>
      </w:r>
    </w:p>
    <w:p w14:paraId="60F54A2F" w14:textId="6E30C22A" w:rsidR="00907F7E" w:rsidRPr="0091560A" w:rsidRDefault="00932FEE" w:rsidP="00E279D1">
      <w:pPr>
        <w:pStyle w:val="Caption"/>
        <w:keepNext/>
      </w:pPr>
      <w:bookmarkStart w:id="66" w:name="_Toc114560121"/>
      <w:r>
        <w:t xml:space="preserve">Table </w:t>
      </w:r>
      <w:r>
        <w:fldChar w:fldCharType="begin"/>
      </w:r>
      <w:r>
        <w:instrText>SEQ Table \* ARABIC</w:instrText>
      </w:r>
      <w:r>
        <w:fldChar w:fldCharType="separate"/>
      </w:r>
      <w:r w:rsidR="0091734E">
        <w:rPr>
          <w:noProof/>
        </w:rPr>
        <w:t>6</w:t>
      </w:r>
      <w:r>
        <w:fldChar w:fldCharType="end"/>
      </w:r>
      <w:r w:rsidRPr="0091560A">
        <w:t xml:space="preserve">. </w:t>
      </w:r>
      <w:r w:rsidR="009F5FC7" w:rsidRPr="0091560A">
        <w:t xml:space="preserve">Sex distribution of paracetamol </w:t>
      </w:r>
      <w:r w:rsidR="00CB47B2">
        <w:t>intentional</w:t>
      </w:r>
      <w:r w:rsidR="009F5FC7" w:rsidRPr="0091560A">
        <w:t xml:space="preserve"> self-poisonings </w:t>
      </w:r>
      <w:r w:rsidR="009F5FC7" w:rsidRPr="0091560A">
        <w:rPr>
          <w:u w:val="single"/>
        </w:rPr>
        <w:t>&gt;</w:t>
      </w:r>
      <w:r w:rsidR="009F5FC7" w:rsidRPr="0091560A">
        <w:t xml:space="preserve"> 10</w:t>
      </w:r>
      <w:r w:rsidR="00EA0F05">
        <w:t xml:space="preserve"> g</w:t>
      </w:r>
      <w:r w:rsidR="00BA77E5" w:rsidRPr="0091560A">
        <w:t>,</w:t>
      </w:r>
      <w:r w:rsidR="009F5FC7" w:rsidRPr="0091560A">
        <w:t xml:space="preserve"> by age</w:t>
      </w:r>
      <w:r w:rsidR="00F275BC" w:rsidRPr="0091560A">
        <w:t xml:space="preserve"> group</w:t>
      </w:r>
      <w:r w:rsidR="00BA77E5" w:rsidRPr="0091560A">
        <w:t>.</w:t>
      </w:r>
      <w:bookmarkEnd w:id="66"/>
    </w:p>
    <w:tbl>
      <w:tblPr>
        <w:tblStyle w:val="ListTable6Colorful"/>
        <w:tblW w:w="9200" w:type="dxa"/>
        <w:tblLook w:val="04A0" w:firstRow="1" w:lastRow="0" w:firstColumn="1" w:lastColumn="0" w:noHBand="0" w:noVBand="1"/>
      </w:tblPr>
      <w:tblGrid>
        <w:gridCol w:w="3261"/>
        <w:gridCol w:w="1559"/>
        <w:gridCol w:w="1559"/>
        <w:gridCol w:w="1418"/>
        <w:gridCol w:w="1403"/>
      </w:tblGrid>
      <w:tr w:rsidR="00E279D1" w:rsidRPr="0091560A" w14:paraId="297A3ECB" w14:textId="77777777" w:rsidTr="00E279D1">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61" w:type="dxa"/>
            <w:tcBorders>
              <w:top w:val="single" w:sz="4" w:space="0" w:color="000000" w:themeColor="text1"/>
              <w:bottom w:val="nil"/>
            </w:tcBorders>
            <w:shd w:val="clear" w:color="auto" w:fill="595959" w:themeFill="text1" w:themeFillTint="A6"/>
            <w:noWrap/>
          </w:tcPr>
          <w:p w14:paraId="4DBAA6CD" w14:textId="77777777" w:rsidR="00E279D1" w:rsidRPr="006029F3" w:rsidRDefault="00E279D1" w:rsidP="00E279D1">
            <w:pPr>
              <w:keepNext/>
              <w:rPr>
                <w:rFonts w:eastAsia="Times New Roman" w:cs="Times New Roman"/>
                <w:color w:val="FFFFFF" w:themeColor="background1"/>
                <w:szCs w:val="24"/>
                <w:lang w:eastAsia="en-AU"/>
              </w:rPr>
            </w:pPr>
          </w:p>
        </w:tc>
        <w:tc>
          <w:tcPr>
            <w:tcW w:w="1559" w:type="dxa"/>
            <w:tcBorders>
              <w:top w:val="single" w:sz="4" w:space="0" w:color="000000" w:themeColor="text1"/>
              <w:bottom w:val="single" w:sz="4" w:space="0" w:color="D9D9D9" w:themeColor="background1" w:themeShade="D9"/>
            </w:tcBorders>
            <w:shd w:val="clear" w:color="auto" w:fill="595959" w:themeFill="text1" w:themeFillTint="A6"/>
            <w:noWrap/>
          </w:tcPr>
          <w:p w14:paraId="0C9DE629" w14:textId="0C214FC3" w:rsidR="00E279D1" w:rsidRPr="006029F3" w:rsidRDefault="00E279D1" w:rsidP="00E279D1">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p>
        </w:tc>
        <w:tc>
          <w:tcPr>
            <w:tcW w:w="1559" w:type="dxa"/>
            <w:tcBorders>
              <w:top w:val="single" w:sz="4" w:space="0" w:color="000000" w:themeColor="text1"/>
              <w:bottom w:val="single" w:sz="4" w:space="0" w:color="D9D9D9" w:themeColor="background1" w:themeShade="D9"/>
            </w:tcBorders>
            <w:shd w:val="clear" w:color="auto" w:fill="595959" w:themeFill="text1" w:themeFillTint="A6"/>
            <w:noWrap/>
          </w:tcPr>
          <w:p w14:paraId="209364A6" w14:textId="74FD95F2" w:rsidR="00E279D1" w:rsidRPr="006029F3" w:rsidRDefault="00E279D1" w:rsidP="00E279D1">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5-19 years</w:t>
            </w:r>
          </w:p>
        </w:tc>
        <w:tc>
          <w:tcPr>
            <w:tcW w:w="1418" w:type="dxa"/>
            <w:tcBorders>
              <w:top w:val="single" w:sz="4" w:space="0" w:color="000000" w:themeColor="text1"/>
              <w:bottom w:val="single" w:sz="4" w:space="0" w:color="D9D9D9" w:themeColor="background1" w:themeShade="D9"/>
            </w:tcBorders>
            <w:shd w:val="clear" w:color="auto" w:fill="595959" w:themeFill="text1" w:themeFillTint="A6"/>
            <w:noWrap/>
          </w:tcPr>
          <w:p w14:paraId="5188FF28" w14:textId="3F9F7C65" w:rsidR="00E279D1" w:rsidRPr="006029F3" w:rsidRDefault="00E279D1" w:rsidP="00E279D1">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p>
        </w:tc>
        <w:tc>
          <w:tcPr>
            <w:tcW w:w="1403" w:type="dxa"/>
            <w:tcBorders>
              <w:top w:val="single" w:sz="4" w:space="0" w:color="000000" w:themeColor="text1"/>
              <w:bottom w:val="single" w:sz="4" w:space="0" w:color="D9D9D9" w:themeColor="background1" w:themeShade="D9"/>
            </w:tcBorders>
            <w:shd w:val="clear" w:color="auto" w:fill="595959" w:themeFill="text1" w:themeFillTint="A6"/>
            <w:noWrap/>
          </w:tcPr>
          <w:p w14:paraId="0FB18CFB" w14:textId="6473FDAA" w:rsidR="00E279D1" w:rsidRPr="006029F3" w:rsidRDefault="00E279D1" w:rsidP="00E279D1">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Others</w:t>
            </w:r>
          </w:p>
        </w:tc>
      </w:tr>
      <w:tr w:rsidR="00907F7E" w:rsidRPr="0091560A" w14:paraId="1F0D873A" w14:textId="77777777" w:rsidTr="00E279D1">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61" w:type="dxa"/>
            <w:tcBorders>
              <w:top w:val="nil"/>
              <w:bottom w:val="nil"/>
            </w:tcBorders>
            <w:shd w:val="clear" w:color="auto" w:fill="595959" w:themeFill="text1" w:themeFillTint="A6"/>
            <w:noWrap/>
            <w:hideMark/>
          </w:tcPr>
          <w:p w14:paraId="3D2BDCDE" w14:textId="77777777" w:rsidR="00907F7E" w:rsidRPr="006029F3" w:rsidRDefault="00907F7E" w:rsidP="00E279D1">
            <w:pPr>
              <w:keepNext/>
              <w:rPr>
                <w:rFonts w:eastAsia="Times New Roman" w:cs="Times New Roman"/>
                <w:color w:val="FFFFFF" w:themeColor="background1"/>
                <w:szCs w:val="24"/>
                <w:lang w:eastAsia="en-AU"/>
              </w:rPr>
            </w:pPr>
          </w:p>
        </w:tc>
        <w:tc>
          <w:tcPr>
            <w:tcW w:w="1559" w:type="dxa"/>
            <w:tcBorders>
              <w:top w:val="single" w:sz="4" w:space="0" w:color="D9D9D9" w:themeColor="background1" w:themeShade="D9"/>
              <w:bottom w:val="nil"/>
            </w:tcBorders>
            <w:shd w:val="clear" w:color="auto" w:fill="595959" w:themeFill="text1" w:themeFillTint="A6"/>
            <w:noWrap/>
            <w:hideMark/>
          </w:tcPr>
          <w:p w14:paraId="56C50AC9" w14:textId="301E9A5A" w:rsidR="00907F7E" w:rsidRPr="006029F3"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 xml:space="preserve"> n</w:t>
            </w:r>
            <w:r w:rsidR="00E279D1">
              <w:rPr>
                <w:rFonts w:eastAsia="Times New Roman" w:cs="Times New Roman"/>
                <w:color w:val="FFFFFF" w:themeColor="background1"/>
                <w:szCs w:val="24"/>
                <w:lang w:eastAsia="en-AU"/>
              </w:rPr>
              <w:br/>
              <w:t>(total</w:t>
            </w:r>
            <w:r w:rsidRPr="006029F3">
              <w:rPr>
                <w:rFonts w:eastAsia="Times New Roman" w:cs="Times New Roman"/>
                <w:color w:val="FFFFFF" w:themeColor="background1"/>
                <w:szCs w:val="24"/>
                <w:lang w:eastAsia="en-AU"/>
              </w:rPr>
              <w:t>=1578)</w:t>
            </w:r>
          </w:p>
        </w:tc>
        <w:tc>
          <w:tcPr>
            <w:tcW w:w="1559" w:type="dxa"/>
            <w:tcBorders>
              <w:top w:val="single" w:sz="4" w:space="0" w:color="D9D9D9" w:themeColor="background1" w:themeShade="D9"/>
              <w:bottom w:val="nil"/>
            </w:tcBorders>
            <w:shd w:val="clear" w:color="auto" w:fill="595959" w:themeFill="text1" w:themeFillTint="A6"/>
            <w:noWrap/>
            <w:hideMark/>
          </w:tcPr>
          <w:p w14:paraId="603BAE90" w14:textId="77777777" w:rsidR="00907F7E" w:rsidRPr="006029F3"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c>
          <w:tcPr>
            <w:tcW w:w="1418" w:type="dxa"/>
            <w:tcBorders>
              <w:top w:val="single" w:sz="4" w:space="0" w:color="D9D9D9" w:themeColor="background1" w:themeShade="D9"/>
              <w:bottom w:val="nil"/>
            </w:tcBorders>
            <w:shd w:val="clear" w:color="auto" w:fill="595959" w:themeFill="text1" w:themeFillTint="A6"/>
            <w:noWrap/>
            <w:hideMark/>
          </w:tcPr>
          <w:p w14:paraId="6CA4B994" w14:textId="0BE5FBA9" w:rsidR="00907F7E" w:rsidRPr="006029F3"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 xml:space="preserve"> </w:t>
            </w:r>
            <w:r w:rsidR="00E279D1">
              <w:rPr>
                <w:rFonts w:eastAsia="Times New Roman" w:cs="Times New Roman"/>
                <w:color w:val="FFFFFF" w:themeColor="background1"/>
                <w:szCs w:val="24"/>
                <w:lang w:eastAsia="en-AU"/>
              </w:rPr>
              <w:t>n</w:t>
            </w:r>
            <w:r w:rsidR="00E279D1">
              <w:rPr>
                <w:rFonts w:eastAsia="Times New Roman" w:cs="Times New Roman"/>
                <w:color w:val="FFFFFF" w:themeColor="background1"/>
                <w:szCs w:val="24"/>
                <w:lang w:eastAsia="en-AU"/>
              </w:rPr>
              <w:br/>
              <w:t>(total</w:t>
            </w:r>
            <w:r w:rsidRPr="006029F3">
              <w:rPr>
                <w:rFonts w:eastAsia="Times New Roman" w:cs="Times New Roman"/>
                <w:color w:val="FFFFFF" w:themeColor="background1"/>
                <w:szCs w:val="24"/>
                <w:lang w:eastAsia="en-AU"/>
              </w:rPr>
              <w:t>=1517)</w:t>
            </w:r>
          </w:p>
        </w:tc>
        <w:tc>
          <w:tcPr>
            <w:tcW w:w="1403" w:type="dxa"/>
            <w:tcBorders>
              <w:top w:val="single" w:sz="4" w:space="0" w:color="D9D9D9" w:themeColor="background1" w:themeShade="D9"/>
              <w:bottom w:val="nil"/>
            </w:tcBorders>
            <w:shd w:val="clear" w:color="auto" w:fill="595959" w:themeFill="text1" w:themeFillTint="A6"/>
            <w:noWrap/>
            <w:hideMark/>
          </w:tcPr>
          <w:p w14:paraId="067058DB" w14:textId="77777777" w:rsidR="00907F7E" w:rsidRPr="006029F3"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r>
      <w:tr w:rsidR="00907F7E" w:rsidRPr="0091560A" w14:paraId="2E6EA322" w14:textId="77777777" w:rsidTr="00E279D1">
        <w:trPr>
          <w:trHeight w:val="327"/>
        </w:trPr>
        <w:tc>
          <w:tcPr>
            <w:cnfStyle w:val="001000000000" w:firstRow="0" w:lastRow="0" w:firstColumn="1" w:lastColumn="0" w:oddVBand="0" w:evenVBand="0" w:oddHBand="0" w:evenHBand="0" w:firstRowFirstColumn="0" w:firstRowLastColumn="0" w:lastRowFirstColumn="0" w:lastRowLastColumn="0"/>
            <w:tcW w:w="3261" w:type="dxa"/>
            <w:tcBorders>
              <w:top w:val="nil"/>
            </w:tcBorders>
            <w:noWrap/>
            <w:hideMark/>
          </w:tcPr>
          <w:p w14:paraId="6509825A" w14:textId="77777777" w:rsidR="00907F7E" w:rsidRPr="0091560A" w:rsidRDefault="00907F7E" w:rsidP="00E279D1">
            <w:pPr>
              <w:keepNext/>
              <w:rPr>
                <w:rFonts w:eastAsia="Times New Roman" w:cs="Times New Roman"/>
                <w:color w:val="000000"/>
                <w:szCs w:val="24"/>
                <w:lang w:eastAsia="en-AU"/>
              </w:rPr>
            </w:pPr>
            <w:r w:rsidRPr="0091560A">
              <w:rPr>
                <w:rFonts w:eastAsia="Times New Roman" w:cs="Times New Roman"/>
                <w:color w:val="000000"/>
                <w:szCs w:val="24"/>
                <w:lang w:eastAsia="en-AU"/>
              </w:rPr>
              <w:t>Female</w:t>
            </w:r>
          </w:p>
        </w:tc>
        <w:tc>
          <w:tcPr>
            <w:tcW w:w="1559" w:type="dxa"/>
            <w:tcBorders>
              <w:top w:val="nil"/>
            </w:tcBorders>
            <w:noWrap/>
            <w:hideMark/>
          </w:tcPr>
          <w:p w14:paraId="38DA9F12"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1355</w:t>
            </w:r>
          </w:p>
        </w:tc>
        <w:tc>
          <w:tcPr>
            <w:tcW w:w="1559" w:type="dxa"/>
            <w:tcBorders>
              <w:top w:val="nil"/>
            </w:tcBorders>
            <w:noWrap/>
            <w:hideMark/>
          </w:tcPr>
          <w:p w14:paraId="3615505A"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85.9%</w:t>
            </w:r>
          </w:p>
        </w:tc>
        <w:tc>
          <w:tcPr>
            <w:tcW w:w="1418" w:type="dxa"/>
            <w:tcBorders>
              <w:top w:val="nil"/>
            </w:tcBorders>
            <w:noWrap/>
            <w:hideMark/>
          </w:tcPr>
          <w:p w14:paraId="6AB86C3A"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1035</w:t>
            </w:r>
          </w:p>
        </w:tc>
        <w:tc>
          <w:tcPr>
            <w:tcW w:w="1403" w:type="dxa"/>
            <w:tcBorders>
              <w:top w:val="nil"/>
            </w:tcBorders>
            <w:noWrap/>
            <w:hideMark/>
          </w:tcPr>
          <w:p w14:paraId="401CDD9D"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68.2%</w:t>
            </w:r>
          </w:p>
        </w:tc>
      </w:tr>
      <w:tr w:rsidR="00907F7E" w:rsidRPr="0091560A" w14:paraId="1ABC1139" w14:textId="77777777" w:rsidTr="006029F3">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57513AF" w14:textId="77777777" w:rsidR="00907F7E" w:rsidRPr="0091560A" w:rsidRDefault="00907F7E" w:rsidP="00E279D1">
            <w:pPr>
              <w:keepNext/>
              <w:rPr>
                <w:rFonts w:eastAsia="Times New Roman" w:cs="Times New Roman"/>
                <w:color w:val="000000"/>
                <w:szCs w:val="24"/>
                <w:lang w:eastAsia="en-AU"/>
              </w:rPr>
            </w:pPr>
            <w:r w:rsidRPr="0091560A">
              <w:rPr>
                <w:rFonts w:eastAsia="Times New Roman" w:cs="Times New Roman"/>
                <w:color w:val="000000"/>
                <w:szCs w:val="24"/>
                <w:lang w:eastAsia="en-AU"/>
              </w:rPr>
              <w:t>Male</w:t>
            </w:r>
          </w:p>
        </w:tc>
        <w:tc>
          <w:tcPr>
            <w:tcW w:w="1559" w:type="dxa"/>
            <w:noWrap/>
            <w:hideMark/>
          </w:tcPr>
          <w:p w14:paraId="57811397" w14:textId="77777777" w:rsidR="00907F7E" w:rsidRPr="0091560A"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218</w:t>
            </w:r>
          </w:p>
        </w:tc>
        <w:tc>
          <w:tcPr>
            <w:tcW w:w="1559" w:type="dxa"/>
            <w:noWrap/>
            <w:hideMark/>
          </w:tcPr>
          <w:p w14:paraId="0DD95ABB" w14:textId="77777777" w:rsidR="00907F7E" w:rsidRPr="0091560A"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13.8%</w:t>
            </w:r>
          </w:p>
        </w:tc>
        <w:tc>
          <w:tcPr>
            <w:tcW w:w="1418" w:type="dxa"/>
            <w:noWrap/>
            <w:hideMark/>
          </w:tcPr>
          <w:p w14:paraId="667A675C" w14:textId="77777777" w:rsidR="00907F7E" w:rsidRPr="0091560A"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468</w:t>
            </w:r>
          </w:p>
        </w:tc>
        <w:tc>
          <w:tcPr>
            <w:tcW w:w="1403" w:type="dxa"/>
            <w:noWrap/>
            <w:hideMark/>
          </w:tcPr>
          <w:p w14:paraId="00DC33CE" w14:textId="77777777" w:rsidR="00907F7E" w:rsidRPr="0091560A" w:rsidRDefault="00907F7E" w:rsidP="00E279D1">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30.9%</w:t>
            </w:r>
          </w:p>
        </w:tc>
      </w:tr>
      <w:tr w:rsidR="00907F7E" w:rsidRPr="0091560A" w14:paraId="51A8BB9E" w14:textId="77777777" w:rsidTr="006029F3">
        <w:trPr>
          <w:trHeight w:val="327"/>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BED71B4" w14:textId="77777777" w:rsidR="00907F7E" w:rsidRPr="0091560A" w:rsidRDefault="00907F7E" w:rsidP="00E279D1">
            <w:pPr>
              <w:keepNext/>
              <w:rPr>
                <w:rFonts w:eastAsia="Times New Roman" w:cs="Times New Roman"/>
                <w:color w:val="000000"/>
                <w:szCs w:val="24"/>
                <w:lang w:eastAsia="en-AU"/>
              </w:rPr>
            </w:pPr>
            <w:r w:rsidRPr="0091560A">
              <w:rPr>
                <w:rFonts w:eastAsia="Times New Roman" w:cs="Times New Roman"/>
                <w:color w:val="000000"/>
                <w:szCs w:val="24"/>
                <w:lang w:eastAsia="en-AU"/>
              </w:rPr>
              <w:t>Unknown</w:t>
            </w:r>
          </w:p>
        </w:tc>
        <w:tc>
          <w:tcPr>
            <w:tcW w:w="1559" w:type="dxa"/>
            <w:noWrap/>
            <w:hideMark/>
          </w:tcPr>
          <w:p w14:paraId="1F2FDC00"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5</w:t>
            </w:r>
          </w:p>
        </w:tc>
        <w:tc>
          <w:tcPr>
            <w:tcW w:w="1559" w:type="dxa"/>
            <w:noWrap/>
            <w:hideMark/>
          </w:tcPr>
          <w:p w14:paraId="0A17A074"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0.3%</w:t>
            </w:r>
          </w:p>
        </w:tc>
        <w:tc>
          <w:tcPr>
            <w:tcW w:w="1418" w:type="dxa"/>
            <w:noWrap/>
            <w:hideMark/>
          </w:tcPr>
          <w:p w14:paraId="47733B50"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14</w:t>
            </w:r>
          </w:p>
        </w:tc>
        <w:tc>
          <w:tcPr>
            <w:tcW w:w="1403" w:type="dxa"/>
            <w:noWrap/>
            <w:hideMark/>
          </w:tcPr>
          <w:p w14:paraId="2AB7363E" w14:textId="77777777" w:rsidR="00907F7E" w:rsidRPr="0091560A" w:rsidRDefault="00907F7E" w:rsidP="00E279D1">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0.9%</w:t>
            </w:r>
          </w:p>
        </w:tc>
      </w:tr>
    </w:tbl>
    <w:p w14:paraId="37345075" w14:textId="77777777" w:rsidR="0063334B" w:rsidRDefault="0063334B" w:rsidP="00E279D1">
      <w:pPr>
        <w:keepNext/>
      </w:pPr>
    </w:p>
    <w:p w14:paraId="2996AB86" w14:textId="45891696" w:rsidR="00907F7E" w:rsidRPr="0091560A" w:rsidRDefault="00451D66" w:rsidP="00E279D1">
      <w:pPr>
        <w:keepNext/>
      </w:pPr>
      <w:r w:rsidRPr="0091560A">
        <w:t>The m</w:t>
      </w:r>
      <w:r w:rsidR="00907F7E" w:rsidRPr="0091560A">
        <w:t>edian age was 18 (</w:t>
      </w:r>
      <w:r w:rsidRPr="0091560A">
        <w:t xml:space="preserve">IQR: </w:t>
      </w:r>
      <w:r w:rsidR="00907F7E" w:rsidRPr="0091560A">
        <w:t xml:space="preserve">15 – 29 years, n=210 missing). </w:t>
      </w:r>
      <w:r w:rsidR="004F09E8" w:rsidRPr="0091560A">
        <w:t xml:space="preserve">The median dose </w:t>
      </w:r>
      <w:r w:rsidR="00907F7E" w:rsidRPr="0091560A">
        <w:t>ingested was 17.5</w:t>
      </w:r>
      <w:r w:rsidR="002A2CE3">
        <w:t xml:space="preserve"> </w:t>
      </w:r>
      <w:r w:rsidR="00907F7E" w:rsidRPr="0091560A">
        <w:t>g (</w:t>
      </w:r>
      <w:r w:rsidR="004F09E8" w:rsidRPr="0091560A">
        <w:t xml:space="preserve">IQR: </w:t>
      </w:r>
      <w:r w:rsidR="00907F7E" w:rsidRPr="0091560A">
        <w:t>12 – 26g, n=5 missing)</w:t>
      </w:r>
      <w:r w:rsidR="004F09E8" w:rsidRPr="0091560A">
        <w:t xml:space="preserve">, and </w:t>
      </w:r>
      <w:r w:rsidR="00907F7E" w:rsidRPr="0091560A">
        <w:t>10.3% (319/3095) of calls were referred to clinical toxicologists.</w:t>
      </w:r>
      <w:r w:rsidR="00825050" w:rsidRPr="0091560A">
        <w:t xml:space="preserve"> Around a third of exposures generated more than one call (</w:t>
      </w:r>
      <w:r w:rsidR="00907F7E" w:rsidRPr="0091560A">
        <w:t>36%</w:t>
      </w:r>
      <w:r w:rsidR="00825050" w:rsidRPr="0091560A">
        <w:t xml:space="preserve">, </w:t>
      </w:r>
      <w:r w:rsidR="00907F7E" w:rsidRPr="0091560A">
        <w:t>n=1126), with 12.6% (n=391) generating 3 or more calls (indicating complexity).</w:t>
      </w:r>
      <w:r w:rsidR="00E9046E">
        <w:t xml:space="preserve"> </w:t>
      </w:r>
      <w:r w:rsidR="001A66E0">
        <w:t xml:space="preserve">The majority were recorded as </w:t>
      </w:r>
      <w:r w:rsidR="000D2937">
        <w:t>requir</w:t>
      </w:r>
      <w:r w:rsidR="001A66E0">
        <w:t xml:space="preserve">ing </w:t>
      </w:r>
      <w:r w:rsidR="000D2937">
        <w:t>acetylcysteine treatment</w:t>
      </w:r>
      <w:r w:rsidR="004A12F0">
        <w:t>, where the treatment received was known</w:t>
      </w:r>
      <w:r w:rsidR="000D2937">
        <w:t xml:space="preserve"> (Table 7)</w:t>
      </w:r>
      <w:r w:rsidR="004A12F0">
        <w:t>.</w:t>
      </w:r>
    </w:p>
    <w:p w14:paraId="71D7AF1B" w14:textId="6DC95CD1" w:rsidR="00907F7E" w:rsidRPr="0091560A" w:rsidRDefault="00932FEE" w:rsidP="00932FEE">
      <w:pPr>
        <w:pStyle w:val="Caption"/>
      </w:pPr>
      <w:bookmarkStart w:id="67" w:name="_Toc114560122"/>
      <w:r>
        <w:t xml:space="preserve">Table </w:t>
      </w:r>
      <w:r>
        <w:fldChar w:fldCharType="begin"/>
      </w:r>
      <w:r>
        <w:instrText>SEQ Table \* ARABIC</w:instrText>
      </w:r>
      <w:r>
        <w:fldChar w:fldCharType="separate"/>
      </w:r>
      <w:r w:rsidR="0091734E">
        <w:rPr>
          <w:noProof/>
        </w:rPr>
        <w:t>7</w:t>
      </w:r>
      <w:r>
        <w:fldChar w:fldCharType="end"/>
      </w:r>
      <w:r w:rsidRPr="0091560A">
        <w:t xml:space="preserve">. </w:t>
      </w:r>
      <w:r w:rsidR="00FA0CD5" w:rsidRPr="0091560A">
        <w:t xml:space="preserve">Acetylcysteine (NAC) dosing </w:t>
      </w:r>
      <w:r w:rsidR="003D299F" w:rsidRPr="0091560A">
        <w:t>by age group.</w:t>
      </w:r>
      <w:bookmarkEnd w:id="67"/>
    </w:p>
    <w:tbl>
      <w:tblPr>
        <w:tblStyle w:val="ListTable6Colorful"/>
        <w:tblW w:w="9228" w:type="dxa"/>
        <w:tblLook w:val="04A0" w:firstRow="1" w:lastRow="0" w:firstColumn="1" w:lastColumn="0" w:noHBand="0" w:noVBand="1"/>
      </w:tblPr>
      <w:tblGrid>
        <w:gridCol w:w="3119"/>
        <w:gridCol w:w="1559"/>
        <w:gridCol w:w="1418"/>
        <w:gridCol w:w="1842"/>
        <w:gridCol w:w="1290"/>
      </w:tblGrid>
      <w:tr w:rsidR="000C17EF" w:rsidRPr="00E321EC" w14:paraId="76C797AC" w14:textId="77777777" w:rsidTr="0071612E">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bottom w:val="nil"/>
            </w:tcBorders>
            <w:shd w:val="clear" w:color="auto" w:fill="595959" w:themeFill="text1" w:themeFillTint="A6"/>
            <w:noWrap/>
          </w:tcPr>
          <w:p w14:paraId="0BC27F72" w14:textId="77777777" w:rsidR="000C17EF" w:rsidRPr="006029F3" w:rsidRDefault="000C17EF">
            <w:pPr>
              <w:rPr>
                <w:rFonts w:eastAsia="Times New Roman" w:cs="Times New Roman"/>
                <w:b w:val="0"/>
                <w:bCs w:val="0"/>
                <w:color w:val="FFFFFF" w:themeColor="background1"/>
                <w:szCs w:val="24"/>
                <w:lang w:eastAsia="en-AU"/>
              </w:rPr>
            </w:pPr>
          </w:p>
        </w:tc>
        <w:tc>
          <w:tcPr>
            <w:tcW w:w="2977" w:type="dxa"/>
            <w:gridSpan w:val="2"/>
            <w:tcBorders>
              <w:top w:val="single" w:sz="4" w:space="0" w:color="000000" w:themeColor="text1"/>
              <w:bottom w:val="single" w:sz="4" w:space="0" w:color="D9D9D9" w:themeColor="background1" w:themeShade="D9"/>
            </w:tcBorders>
            <w:shd w:val="clear" w:color="auto" w:fill="595959" w:themeFill="text1" w:themeFillTint="A6"/>
            <w:noWrap/>
          </w:tcPr>
          <w:p w14:paraId="72E1D5C0" w14:textId="2C26CC09" w:rsidR="000C17EF" w:rsidRPr="006029F3" w:rsidRDefault="000C17EF" w:rsidP="0014178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5-19 years</w:t>
            </w:r>
          </w:p>
        </w:tc>
        <w:tc>
          <w:tcPr>
            <w:tcW w:w="3132" w:type="dxa"/>
            <w:gridSpan w:val="2"/>
            <w:tcBorders>
              <w:top w:val="single" w:sz="4" w:space="0" w:color="000000" w:themeColor="text1"/>
              <w:bottom w:val="single" w:sz="4" w:space="0" w:color="D9D9D9" w:themeColor="background1" w:themeShade="D9"/>
            </w:tcBorders>
            <w:shd w:val="clear" w:color="auto" w:fill="595959" w:themeFill="text1" w:themeFillTint="A6"/>
          </w:tcPr>
          <w:p w14:paraId="03FF5E0C" w14:textId="63CD1EAE" w:rsidR="000C17EF" w:rsidRPr="006029F3" w:rsidRDefault="000C17E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Cs w:val="24"/>
                <w:lang w:eastAsia="en-AU"/>
              </w:rPr>
            </w:pPr>
            <w:r w:rsidRPr="006029F3">
              <w:rPr>
                <w:rFonts w:eastAsia="Times New Roman" w:cs="Times New Roman"/>
                <w:color w:val="FFFFFF" w:themeColor="background1"/>
                <w:szCs w:val="24"/>
                <w:lang w:eastAsia="en-AU"/>
              </w:rPr>
              <w:t>Others</w:t>
            </w:r>
          </w:p>
        </w:tc>
      </w:tr>
      <w:tr w:rsidR="00276A09" w:rsidRPr="0091560A" w14:paraId="3C4F5A83" w14:textId="77777777" w:rsidTr="0071612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shd w:val="clear" w:color="auto" w:fill="595959" w:themeFill="text1" w:themeFillTint="A6"/>
            <w:noWrap/>
            <w:hideMark/>
          </w:tcPr>
          <w:p w14:paraId="7A65914C" w14:textId="77777777" w:rsidR="00907F7E" w:rsidRPr="006029F3" w:rsidRDefault="00907F7E">
            <w:pPr>
              <w:rPr>
                <w:rFonts w:eastAsia="Times New Roman" w:cs="Times New Roman"/>
                <w:b w:val="0"/>
                <w:color w:val="FFFFFF" w:themeColor="background1"/>
                <w:szCs w:val="24"/>
                <w:lang w:eastAsia="en-AU"/>
              </w:rPr>
            </w:pPr>
          </w:p>
        </w:tc>
        <w:tc>
          <w:tcPr>
            <w:tcW w:w="1559" w:type="dxa"/>
            <w:tcBorders>
              <w:top w:val="single" w:sz="4" w:space="0" w:color="D9D9D9" w:themeColor="background1" w:themeShade="D9"/>
              <w:bottom w:val="nil"/>
            </w:tcBorders>
            <w:shd w:val="clear" w:color="auto" w:fill="595959" w:themeFill="text1" w:themeFillTint="A6"/>
            <w:noWrap/>
            <w:hideMark/>
          </w:tcPr>
          <w:p w14:paraId="715C5AC4" w14:textId="23AA3AAF" w:rsidR="000C17EF" w:rsidRDefault="00907F7E" w:rsidP="0014178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n</w:t>
            </w:r>
          </w:p>
          <w:p w14:paraId="2583FF6E" w14:textId="549A1959" w:rsidR="00907F7E" w:rsidRPr="006029F3" w:rsidRDefault="000C17EF" w:rsidP="002A13E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Pr>
                <w:rFonts w:eastAsia="Times New Roman" w:cs="Times New Roman"/>
                <w:color w:val="FFFFFF" w:themeColor="background1"/>
                <w:szCs w:val="24"/>
                <w:lang w:eastAsia="en-AU"/>
              </w:rPr>
              <w:t xml:space="preserve">(total = </w:t>
            </w:r>
            <w:r w:rsidR="00907F7E" w:rsidRPr="006029F3">
              <w:rPr>
                <w:rFonts w:eastAsia="Times New Roman" w:cs="Times New Roman"/>
                <w:color w:val="FFFFFF" w:themeColor="background1"/>
                <w:szCs w:val="24"/>
                <w:lang w:eastAsia="en-AU"/>
              </w:rPr>
              <w:t>1578)</w:t>
            </w:r>
          </w:p>
        </w:tc>
        <w:tc>
          <w:tcPr>
            <w:tcW w:w="1418" w:type="dxa"/>
            <w:tcBorders>
              <w:top w:val="single" w:sz="4" w:space="0" w:color="D9D9D9" w:themeColor="background1" w:themeShade="D9"/>
              <w:bottom w:val="nil"/>
            </w:tcBorders>
            <w:shd w:val="clear" w:color="auto" w:fill="595959" w:themeFill="text1" w:themeFillTint="A6"/>
            <w:noWrap/>
            <w:hideMark/>
          </w:tcPr>
          <w:p w14:paraId="53EAEB50" w14:textId="77777777" w:rsidR="00907F7E" w:rsidRPr="006029F3"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c>
          <w:tcPr>
            <w:tcW w:w="1842" w:type="dxa"/>
            <w:tcBorders>
              <w:top w:val="single" w:sz="4" w:space="0" w:color="D9D9D9" w:themeColor="background1" w:themeShade="D9"/>
              <w:bottom w:val="nil"/>
            </w:tcBorders>
            <w:shd w:val="clear" w:color="auto" w:fill="595959" w:themeFill="text1" w:themeFillTint="A6"/>
          </w:tcPr>
          <w:p w14:paraId="217276BA" w14:textId="324896B4" w:rsidR="000C17EF"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 xml:space="preserve"> n</w:t>
            </w:r>
          </w:p>
          <w:p w14:paraId="7652396C" w14:textId="25CA5607" w:rsidR="00907F7E" w:rsidRPr="006029F3" w:rsidRDefault="000C17EF">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Pr>
                <w:rFonts w:eastAsia="Times New Roman" w:cs="Times New Roman"/>
                <w:color w:val="FFFFFF" w:themeColor="background1"/>
                <w:szCs w:val="24"/>
                <w:lang w:eastAsia="en-AU"/>
              </w:rPr>
              <w:t xml:space="preserve">(total = </w:t>
            </w:r>
            <w:r w:rsidR="00907F7E" w:rsidRPr="006029F3">
              <w:rPr>
                <w:rFonts w:eastAsia="Times New Roman" w:cs="Times New Roman"/>
                <w:color w:val="FFFFFF" w:themeColor="background1"/>
                <w:szCs w:val="24"/>
                <w:lang w:eastAsia="en-AU"/>
              </w:rPr>
              <w:t>1517)</w:t>
            </w:r>
          </w:p>
        </w:tc>
        <w:tc>
          <w:tcPr>
            <w:tcW w:w="1290" w:type="dxa"/>
            <w:tcBorders>
              <w:top w:val="nil"/>
              <w:bottom w:val="nil"/>
            </w:tcBorders>
            <w:shd w:val="clear" w:color="auto" w:fill="595959" w:themeFill="text1" w:themeFillTint="A6"/>
          </w:tcPr>
          <w:p w14:paraId="6772DB2E" w14:textId="77777777" w:rsidR="00907F7E" w:rsidRPr="006029F3"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r>
      <w:tr w:rsidR="00907F7E" w:rsidRPr="0091560A" w14:paraId="51DB05CF" w14:textId="77777777" w:rsidTr="0071612E">
        <w:trPr>
          <w:trHeight w:val="165"/>
        </w:trPr>
        <w:tc>
          <w:tcPr>
            <w:cnfStyle w:val="001000000000" w:firstRow="0" w:lastRow="0" w:firstColumn="1" w:lastColumn="0" w:oddVBand="0" w:evenVBand="0" w:oddHBand="0" w:evenHBand="0" w:firstRowFirstColumn="0" w:firstRowLastColumn="0" w:lastRowFirstColumn="0" w:lastRowLastColumn="0"/>
            <w:tcW w:w="3119" w:type="dxa"/>
            <w:tcBorders>
              <w:top w:val="nil"/>
            </w:tcBorders>
            <w:noWrap/>
            <w:hideMark/>
          </w:tcPr>
          <w:p w14:paraId="4B503585"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Not required</w:t>
            </w:r>
          </w:p>
        </w:tc>
        <w:tc>
          <w:tcPr>
            <w:tcW w:w="1559" w:type="dxa"/>
            <w:tcBorders>
              <w:top w:val="nil"/>
            </w:tcBorders>
            <w:noWrap/>
            <w:hideMark/>
          </w:tcPr>
          <w:p w14:paraId="5F2218AA"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115</w:t>
            </w:r>
          </w:p>
        </w:tc>
        <w:tc>
          <w:tcPr>
            <w:tcW w:w="1418" w:type="dxa"/>
            <w:tcBorders>
              <w:top w:val="nil"/>
            </w:tcBorders>
            <w:noWrap/>
            <w:hideMark/>
          </w:tcPr>
          <w:p w14:paraId="3A191A6F"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7.3%</w:t>
            </w:r>
          </w:p>
        </w:tc>
        <w:tc>
          <w:tcPr>
            <w:tcW w:w="1842" w:type="dxa"/>
            <w:tcBorders>
              <w:top w:val="nil"/>
            </w:tcBorders>
          </w:tcPr>
          <w:p w14:paraId="7017E4A5"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103</w:t>
            </w:r>
          </w:p>
        </w:tc>
        <w:tc>
          <w:tcPr>
            <w:tcW w:w="1290" w:type="dxa"/>
            <w:tcBorders>
              <w:top w:val="nil"/>
            </w:tcBorders>
          </w:tcPr>
          <w:p w14:paraId="5FAB835A"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6.8%</w:t>
            </w:r>
          </w:p>
        </w:tc>
      </w:tr>
      <w:tr w:rsidR="00907F7E" w:rsidRPr="0091560A" w14:paraId="65A3BCAB" w14:textId="77777777" w:rsidTr="0071612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7AC88A"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Administered, standard regimen</w:t>
            </w:r>
          </w:p>
        </w:tc>
        <w:tc>
          <w:tcPr>
            <w:tcW w:w="1559" w:type="dxa"/>
            <w:noWrap/>
            <w:hideMark/>
          </w:tcPr>
          <w:p w14:paraId="336C3704"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682</w:t>
            </w:r>
          </w:p>
        </w:tc>
        <w:tc>
          <w:tcPr>
            <w:tcW w:w="1418" w:type="dxa"/>
            <w:noWrap/>
            <w:hideMark/>
          </w:tcPr>
          <w:p w14:paraId="598768F9"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43.2%</w:t>
            </w:r>
          </w:p>
        </w:tc>
        <w:tc>
          <w:tcPr>
            <w:tcW w:w="1842" w:type="dxa"/>
          </w:tcPr>
          <w:p w14:paraId="3AD2EE1A"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612</w:t>
            </w:r>
          </w:p>
        </w:tc>
        <w:tc>
          <w:tcPr>
            <w:tcW w:w="1290" w:type="dxa"/>
          </w:tcPr>
          <w:p w14:paraId="49052686"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40.3%</w:t>
            </w:r>
          </w:p>
        </w:tc>
      </w:tr>
      <w:tr w:rsidR="00907F7E" w:rsidRPr="0091560A" w14:paraId="053F018C" w14:textId="77777777" w:rsidTr="0071612E">
        <w:trPr>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589CBBB"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Administered, extended regimen</w:t>
            </w:r>
          </w:p>
        </w:tc>
        <w:tc>
          <w:tcPr>
            <w:tcW w:w="1559" w:type="dxa"/>
            <w:noWrap/>
            <w:hideMark/>
          </w:tcPr>
          <w:p w14:paraId="22599615"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94</w:t>
            </w:r>
          </w:p>
        </w:tc>
        <w:tc>
          <w:tcPr>
            <w:tcW w:w="1418" w:type="dxa"/>
            <w:noWrap/>
            <w:hideMark/>
          </w:tcPr>
          <w:p w14:paraId="61DF729A"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6.0%</w:t>
            </w:r>
          </w:p>
        </w:tc>
        <w:tc>
          <w:tcPr>
            <w:tcW w:w="1842" w:type="dxa"/>
          </w:tcPr>
          <w:p w14:paraId="543C6904"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66</w:t>
            </w:r>
          </w:p>
        </w:tc>
        <w:tc>
          <w:tcPr>
            <w:tcW w:w="1290" w:type="dxa"/>
          </w:tcPr>
          <w:p w14:paraId="2C95ADF3"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4.4%</w:t>
            </w:r>
          </w:p>
        </w:tc>
      </w:tr>
      <w:tr w:rsidR="00907F7E" w:rsidRPr="0091560A" w14:paraId="11670757" w14:textId="77777777" w:rsidTr="0071612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D2B0929"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 xml:space="preserve">Double dose </w:t>
            </w:r>
          </w:p>
        </w:tc>
        <w:tc>
          <w:tcPr>
            <w:tcW w:w="1559" w:type="dxa"/>
            <w:noWrap/>
            <w:hideMark/>
          </w:tcPr>
          <w:p w14:paraId="570B57AA"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160</w:t>
            </w:r>
          </w:p>
        </w:tc>
        <w:tc>
          <w:tcPr>
            <w:tcW w:w="1418" w:type="dxa"/>
            <w:noWrap/>
            <w:hideMark/>
          </w:tcPr>
          <w:p w14:paraId="692EF291"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10.1%</w:t>
            </w:r>
          </w:p>
        </w:tc>
        <w:tc>
          <w:tcPr>
            <w:tcW w:w="1842" w:type="dxa"/>
          </w:tcPr>
          <w:p w14:paraId="491C8E66"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136</w:t>
            </w:r>
          </w:p>
        </w:tc>
        <w:tc>
          <w:tcPr>
            <w:tcW w:w="1290" w:type="dxa"/>
          </w:tcPr>
          <w:p w14:paraId="678FC435"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9.0%</w:t>
            </w:r>
          </w:p>
        </w:tc>
      </w:tr>
      <w:tr w:rsidR="00907F7E" w:rsidRPr="0091560A" w14:paraId="188AE274" w14:textId="77777777" w:rsidTr="0071612E">
        <w:trPr>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8913F2A"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Double dose, extended regimen</w:t>
            </w:r>
          </w:p>
        </w:tc>
        <w:tc>
          <w:tcPr>
            <w:tcW w:w="1559" w:type="dxa"/>
            <w:noWrap/>
            <w:hideMark/>
          </w:tcPr>
          <w:p w14:paraId="37310EB1"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42</w:t>
            </w:r>
          </w:p>
        </w:tc>
        <w:tc>
          <w:tcPr>
            <w:tcW w:w="1418" w:type="dxa"/>
            <w:noWrap/>
            <w:hideMark/>
          </w:tcPr>
          <w:p w14:paraId="700D6D5F"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2.7%</w:t>
            </w:r>
          </w:p>
        </w:tc>
        <w:tc>
          <w:tcPr>
            <w:tcW w:w="1842" w:type="dxa"/>
          </w:tcPr>
          <w:p w14:paraId="4E29C3E1"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51</w:t>
            </w:r>
          </w:p>
        </w:tc>
        <w:tc>
          <w:tcPr>
            <w:tcW w:w="1290" w:type="dxa"/>
          </w:tcPr>
          <w:p w14:paraId="334C7E02"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3.4%</w:t>
            </w:r>
          </w:p>
        </w:tc>
      </w:tr>
      <w:tr w:rsidR="00907F7E" w:rsidRPr="0091560A" w14:paraId="7CFD9D8E" w14:textId="77777777" w:rsidTr="0071612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31E39CF"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 xml:space="preserve">Triple dose </w:t>
            </w:r>
          </w:p>
        </w:tc>
        <w:tc>
          <w:tcPr>
            <w:tcW w:w="1559" w:type="dxa"/>
            <w:noWrap/>
            <w:hideMark/>
          </w:tcPr>
          <w:p w14:paraId="599C807B"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w:t>
            </w:r>
          </w:p>
        </w:tc>
        <w:tc>
          <w:tcPr>
            <w:tcW w:w="1418" w:type="dxa"/>
            <w:noWrap/>
            <w:hideMark/>
          </w:tcPr>
          <w:p w14:paraId="63F9D70F"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0.3%</w:t>
            </w:r>
          </w:p>
        </w:tc>
        <w:tc>
          <w:tcPr>
            <w:tcW w:w="1842" w:type="dxa"/>
          </w:tcPr>
          <w:p w14:paraId="02BC3544"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3</w:t>
            </w:r>
          </w:p>
        </w:tc>
        <w:tc>
          <w:tcPr>
            <w:tcW w:w="1290" w:type="dxa"/>
          </w:tcPr>
          <w:p w14:paraId="09542AE1"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0.2%</w:t>
            </w:r>
          </w:p>
        </w:tc>
      </w:tr>
      <w:tr w:rsidR="00907F7E" w:rsidRPr="0091560A" w14:paraId="67529439" w14:textId="77777777" w:rsidTr="0071612E">
        <w:trPr>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8923AAD"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Triple dose, extended regimen</w:t>
            </w:r>
          </w:p>
        </w:tc>
        <w:tc>
          <w:tcPr>
            <w:tcW w:w="1559" w:type="dxa"/>
            <w:noWrap/>
            <w:hideMark/>
          </w:tcPr>
          <w:p w14:paraId="0CE1D159"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w:t>
            </w:r>
          </w:p>
        </w:tc>
        <w:tc>
          <w:tcPr>
            <w:tcW w:w="1418" w:type="dxa"/>
            <w:noWrap/>
            <w:hideMark/>
          </w:tcPr>
          <w:p w14:paraId="4E28F648"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0.1%</w:t>
            </w:r>
          </w:p>
        </w:tc>
        <w:tc>
          <w:tcPr>
            <w:tcW w:w="1842" w:type="dxa"/>
          </w:tcPr>
          <w:p w14:paraId="147D15C8"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2</w:t>
            </w:r>
          </w:p>
        </w:tc>
        <w:tc>
          <w:tcPr>
            <w:tcW w:w="1290" w:type="dxa"/>
          </w:tcPr>
          <w:p w14:paraId="1DB9432B"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0.1%</w:t>
            </w:r>
          </w:p>
        </w:tc>
      </w:tr>
      <w:tr w:rsidR="00907F7E" w:rsidRPr="0091560A" w14:paraId="7CCC286B" w14:textId="77777777" w:rsidTr="0071612E">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60D331C"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Quadruple dose</w:t>
            </w:r>
          </w:p>
        </w:tc>
        <w:tc>
          <w:tcPr>
            <w:tcW w:w="1559" w:type="dxa"/>
            <w:noWrap/>
            <w:hideMark/>
          </w:tcPr>
          <w:p w14:paraId="236EA24C"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w:t>
            </w:r>
          </w:p>
        </w:tc>
        <w:tc>
          <w:tcPr>
            <w:tcW w:w="1418" w:type="dxa"/>
            <w:noWrap/>
            <w:hideMark/>
          </w:tcPr>
          <w:p w14:paraId="66551161"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0.1%</w:t>
            </w:r>
          </w:p>
        </w:tc>
        <w:tc>
          <w:tcPr>
            <w:tcW w:w="1842" w:type="dxa"/>
          </w:tcPr>
          <w:p w14:paraId="688892EC"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1</w:t>
            </w:r>
          </w:p>
        </w:tc>
        <w:tc>
          <w:tcPr>
            <w:tcW w:w="1290" w:type="dxa"/>
          </w:tcPr>
          <w:p w14:paraId="5A795C06" w14:textId="77777777" w:rsidR="00907F7E" w:rsidRPr="0091560A" w:rsidRDefault="00907F7E">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0.1%</w:t>
            </w:r>
          </w:p>
        </w:tc>
      </w:tr>
      <w:tr w:rsidR="00907F7E" w:rsidRPr="0091560A" w14:paraId="137E0C10" w14:textId="77777777" w:rsidTr="0071612E">
        <w:trPr>
          <w:trHeight w:val="183"/>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F3793B2" w14:textId="77777777" w:rsidR="00907F7E" w:rsidRPr="0091560A" w:rsidRDefault="00907F7E">
            <w:pPr>
              <w:rPr>
                <w:rFonts w:eastAsia="Times New Roman" w:cs="Times New Roman"/>
                <w:color w:val="000000"/>
                <w:szCs w:val="24"/>
                <w:lang w:eastAsia="en-AU"/>
              </w:rPr>
            </w:pPr>
            <w:r w:rsidRPr="0091560A">
              <w:rPr>
                <w:rFonts w:eastAsia="Times New Roman" w:cs="Times New Roman"/>
                <w:color w:val="000000"/>
                <w:szCs w:val="24"/>
                <w:lang w:eastAsia="en-AU"/>
              </w:rPr>
              <w:t>Unknown/no follow up</w:t>
            </w:r>
          </w:p>
        </w:tc>
        <w:tc>
          <w:tcPr>
            <w:tcW w:w="1559" w:type="dxa"/>
            <w:noWrap/>
            <w:hideMark/>
          </w:tcPr>
          <w:p w14:paraId="5229F332"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478</w:t>
            </w:r>
          </w:p>
        </w:tc>
        <w:tc>
          <w:tcPr>
            <w:tcW w:w="1418" w:type="dxa"/>
            <w:noWrap/>
            <w:hideMark/>
          </w:tcPr>
          <w:p w14:paraId="2E63B5B5"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30.3%</w:t>
            </w:r>
          </w:p>
        </w:tc>
        <w:tc>
          <w:tcPr>
            <w:tcW w:w="1842" w:type="dxa"/>
          </w:tcPr>
          <w:p w14:paraId="423EB3D9"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543</w:t>
            </w:r>
          </w:p>
        </w:tc>
        <w:tc>
          <w:tcPr>
            <w:tcW w:w="1290" w:type="dxa"/>
          </w:tcPr>
          <w:p w14:paraId="7A867687" w14:textId="77777777" w:rsidR="00907F7E" w:rsidRPr="0091560A" w:rsidRDefault="00907F7E">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35.8%</w:t>
            </w:r>
          </w:p>
        </w:tc>
      </w:tr>
    </w:tbl>
    <w:p w14:paraId="28193809" w14:textId="689BDA2C" w:rsidR="00907F7E" w:rsidRPr="0091560A" w:rsidRDefault="00907F7E">
      <w:pPr>
        <w:pStyle w:val="Tablenote"/>
      </w:pPr>
      <w:r w:rsidRPr="006029F3">
        <w:t>Double, triple and quadruple dosing refers to the 100mg/kg bag over 16 hours (i.e. 2</w:t>
      </w:r>
      <w:r w:rsidRPr="006029F3">
        <w:rPr>
          <w:vertAlign w:val="superscript"/>
        </w:rPr>
        <w:t>nd</w:t>
      </w:r>
      <w:r w:rsidRPr="006029F3">
        <w:t xml:space="preserve"> bag in standard 2-bag NAC regimen). This is recommended due to very elevated paracetamol levels (&gt;2x nomogram line for double NAC, 3x nomogram line for triple NAC, etc.). Extended regimen refers to continuing the 100mg/kg bag beyond the standard 16 hours. This is recommended when the patient has persistently high paracetamol levels or rising LFTs at the end of the standard </w:t>
      </w:r>
      <w:r w:rsidR="000E13AC" w:rsidRPr="006029F3">
        <w:t>20-hour</w:t>
      </w:r>
      <w:r w:rsidRPr="006029F3">
        <w:t xml:space="preserve"> treatment.</w:t>
      </w:r>
    </w:p>
    <w:p w14:paraId="5404D4CF" w14:textId="036B4156" w:rsidR="007968B1" w:rsidRDefault="006A7EFF" w:rsidP="00CC6128">
      <w:r w:rsidRPr="0091560A">
        <w:t xml:space="preserve">There was little variation </w:t>
      </w:r>
      <w:r w:rsidR="00CB5828" w:rsidRPr="0091560A">
        <w:t xml:space="preserve">in time to presentation by age group (Table </w:t>
      </w:r>
      <w:r w:rsidR="00C8546D">
        <w:t>8</w:t>
      </w:r>
      <w:r w:rsidR="00CB5828" w:rsidRPr="0091560A">
        <w:t xml:space="preserve">), with most people presenting before 8 </w:t>
      </w:r>
      <w:r w:rsidR="00DE692D" w:rsidRPr="0091560A">
        <w:t xml:space="preserve">hours and thus having a good prognosis with acetylcysteine treatment.  However, </w:t>
      </w:r>
      <w:r w:rsidR="00C3301A" w:rsidRPr="0091560A">
        <w:t xml:space="preserve">only a fifth of patients </w:t>
      </w:r>
      <w:r w:rsidR="00C42DFA" w:rsidRPr="0091560A">
        <w:t xml:space="preserve">presented </w:t>
      </w:r>
      <w:r w:rsidR="00C42DFA" w:rsidRPr="00A8345D">
        <w:rPr>
          <w:rFonts w:cs="Times New Roman"/>
        </w:rPr>
        <w:t>within 2 hours</w:t>
      </w:r>
      <w:r w:rsidR="00A8345D" w:rsidRPr="00A8345D">
        <w:t>,</w:t>
      </w:r>
      <w:r w:rsidR="00C42DFA" w:rsidRPr="00A8345D">
        <w:rPr>
          <w:rFonts w:cs="Times New Roman"/>
        </w:rPr>
        <w:t xml:space="preserve"> and less than this were </w:t>
      </w:r>
      <w:r w:rsidR="00DB1357" w:rsidRPr="00A8345D">
        <w:rPr>
          <w:rFonts w:cs="Times New Roman"/>
        </w:rPr>
        <w:t xml:space="preserve">recorded as receiving charcoal (Table </w:t>
      </w:r>
      <w:r w:rsidR="00C8546D" w:rsidRPr="00A8345D">
        <w:rPr>
          <w:rFonts w:cs="Times New Roman"/>
        </w:rPr>
        <w:t>9</w:t>
      </w:r>
      <w:r w:rsidR="00DB1357" w:rsidRPr="00A8345D">
        <w:rPr>
          <w:rFonts w:cs="Times New Roman"/>
        </w:rPr>
        <w:t>).</w:t>
      </w:r>
      <w:r w:rsidR="00DB1357" w:rsidRPr="0091560A">
        <w:t xml:space="preserve"> [Although </w:t>
      </w:r>
      <w:r w:rsidR="00B424CA" w:rsidRPr="0091560A">
        <w:t xml:space="preserve">for </w:t>
      </w:r>
      <w:r w:rsidR="00DB1357" w:rsidRPr="0091560A">
        <w:t>many patien</w:t>
      </w:r>
      <w:r w:rsidR="00B424CA" w:rsidRPr="0091560A">
        <w:t>t</w:t>
      </w:r>
      <w:r w:rsidR="00DB1357" w:rsidRPr="0091560A">
        <w:t xml:space="preserve">s it was </w:t>
      </w:r>
      <w:r w:rsidR="00B424CA" w:rsidRPr="0091560A">
        <w:t>‘</w:t>
      </w:r>
      <w:r w:rsidR="00DB1357" w:rsidRPr="0091560A">
        <w:t>unknown</w:t>
      </w:r>
      <w:r w:rsidR="00B424CA" w:rsidRPr="0091560A">
        <w:t>’</w:t>
      </w:r>
      <w:r w:rsidR="00DB1357" w:rsidRPr="0091560A">
        <w:t xml:space="preserve"> if they received charcoal</w:t>
      </w:r>
      <w:r w:rsidR="00B424CA" w:rsidRPr="0091560A">
        <w:t>, i</w:t>
      </w:r>
      <w:r w:rsidR="00DB1357" w:rsidRPr="0091560A">
        <w:t xml:space="preserve">t is likely that </w:t>
      </w:r>
      <w:r w:rsidR="00E20B57" w:rsidRPr="0091560A">
        <w:t xml:space="preserve">for </w:t>
      </w:r>
      <w:r w:rsidR="00B424CA" w:rsidRPr="0091560A">
        <w:t xml:space="preserve">most of these </w:t>
      </w:r>
      <w:r w:rsidR="00E20B57" w:rsidRPr="0091560A">
        <w:t xml:space="preserve">that they were later than 2 hours and </w:t>
      </w:r>
      <w:r w:rsidR="00B424CA" w:rsidRPr="0091560A">
        <w:t xml:space="preserve">did not receive it </w:t>
      </w:r>
      <w:r w:rsidR="00E20B57" w:rsidRPr="0091560A">
        <w:t>in accordance with Australian guidelines to offer charcoal to those presenting within 2 hours of an immediate release formulation.</w:t>
      </w:r>
      <w:r w:rsidR="00C8546D">
        <w:fldChar w:fldCharType="begin">
          <w:fldData xml:space="preserve">PEVuZE5vdGU+PENpdGU+PEF1dGhvcj5DaGlldzwvQXV0aG9yPjxZZWFyPjIwMjA8L1llYXI+PFJl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</w:fldData>
        </w:fldChar>
      </w:r>
      <w:r w:rsidR="006E08D8">
        <w:instrText xml:space="preserve"> ADDIN EN.CITE </w:instrText>
      </w:r>
      <w:r w:rsidR="006E08D8">
        <w:fldChar w:fldCharType="begin">
          <w:fldData xml:space="preserve">PEVuZE5vdGU+PENpdGU+PEF1dGhvcj5DaGlldzwvQXV0aG9yPjxZZWFyPjIwMjA8L1llYXI+PFJl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</w:fldData>
        </w:fldChar>
      </w:r>
      <w:r w:rsidR="006E08D8">
        <w:instrText xml:space="preserve"> ADDIN EN.CITE.DATA </w:instrText>
      </w:r>
      <w:r w:rsidR="006E08D8">
        <w:fldChar w:fldCharType="end"/>
      </w:r>
      <w:r w:rsidR="00C8546D">
        <w:fldChar w:fldCharType="separate"/>
      </w:r>
      <w:r w:rsidR="00C8546D">
        <w:t>(Chiew et al., 2020)</w:t>
      </w:r>
      <w:r w:rsidR="00C8546D">
        <w:fldChar w:fldCharType="end"/>
      </w:r>
      <w:r w:rsidR="00C8546D">
        <w:t>]</w:t>
      </w:r>
    </w:p>
    <w:p w14:paraId="42867A30" w14:textId="7706A99C" w:rsidR="00907F7E" w:rsidRPr="0091560A" w:rsidRDefault="00932FEE" w:rsidP="006029F3">
      <w:pPr>
        <w:pStyle w:val="Caption"/>
        <w:keepNext/>
        <w:keepLines/>
      </w:pPr>
      <w:bookmarkStart w:id="68" w:name="_Toc114560123"/>
      <w:r>
        <w:t xml:space="preserve">Table </w:t>
      </w:r>
      <w:r>
        <w:fldChar w:fldCharType="begin"/>
      </w:r>
      <w:r>
        <w:instrText>SEQ Table \* ARABIC</w:instrText>
      </w:r>
      <w:r>
        <w:fldChar w:fldCharType="separate"/>
      </w:r>
      <w:r w:rsidR="0091734E">
        <w:rPr>
          <w:noProof/>
        </w:rPr>
        <w:t>8</w:t>
      </w:r>
      <w:r>
        <w:fldChar w:fldCharType="end"/>
      </w:r>
      <w:r w:rsidRPr="0091560A">
        <w:t xml:space="preserve">. </w:t>
      </w:r>
      <w:r w:rsidR="00907F7E" w:rsidRPr="0091560A">
        <w:t>Time from exposure to presentation</w:t>
      </w:r>
      <w:r w:rsidR="008A5B61" w:rsidRPr="0091560A">
        <w:t xml:space="preserve">, paracetamol poisonings </w:t>
      </w:r>
      <w:r w:rsidR="008A5B61" w:rsidRPr="0091560A">
        <w:rPr>
          <w:u w:val="single"/>
        </w:rPr>
        <w:t>&gt;</w:t>
      </w:r>
      <w:r w:rsidR="008A5B61" w:rsidRPr="0091560A">
        <w:t xml:space="preserve"> 10 g, by age group.</w:t>
      </w:r>
      <w:bookmarkEnd w:id="68"/>
    </w:p>
    <w:tbl>
      <w:tblPr>
        <w:tblStyle w:val="ListTable2"/>
        <w:tblW w:w="9072" w:type="dxa"/>
        <w:tblLook w:val="04A0" w:firstRow="1" w:lastRow="0" w:firstColumn="1" w:lastColumn="0" w:noHBand="0" w:noVBand="1"/>
      </w:tblPr>
      <w:tblGrid>
        <w:gridCol w:w="3114"/>
        <w:gridCol w:w="1559"/>
        <w:gridCol w:w="1418"/>
        <w:gridCol w:w="1842"/>
        <w:gridCol w:w="1139"/>
      </w:tblGrid>
      <w:tr w:rsidR="00EB5B71" w:rsidRPr="002E7833" w14:paraId="4CC0698F" w14:textId="77777777" w:rsidTr="0071612E">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666666" w:themeColor="text1" w:themeTint="99"/>
              <w:bottom w:val="nil"/>
            </w:tcBorders>
            <w:shd w:val="clear" w:color="auto" w:fill="595959" w:themeFill="text1" w:themeFillTint="A6"/>
            <w:noWrap/>
          </w:tcPr>
          <w:p w14:paraId="38DCD652" w14:textId="77777777" w:rsidR="00EB5B71" w:rsidRPr="006029F3" w:rsidRDefault="00EB5B71" w:rsidP="006029F3">
            <w:pPr>
              <w:keepNext/>
              <w:keepLines/>
              <w:rPr>
                <w:rFonts w:eastAsia="Times New Roman" w:cs="Times New Roman"/>
                <w:b w:val="0"/>
                <w:bCs w:val="0"/>
                <w:color w:val="FFFFFF" w:themeColor="background1"/>
                <w:szCs w:val="24"/>
                <w:lang w:eastAsia="en-AU"/>
              </w:rPr>
            </w:pPr>
          </w:p>
        </w:tc>
        <w:tc>
          <w:tcPr>
            <w:tcW w:w="2977" w:type="dxa"/>
            <w:gridSpan w:val="2"/>
            <w:tcBorders>
              <w:bottom w:val="single" w:sz="4" w:space="0" w:color="D9D9D9" w:themeColor="background1" w:themeShade="D9"/>
            </w:tcBorders>
            <w:shd w:val="clear" w:color="auto" w:fill="595959" w:themeFill="text1" w:themeFillTint="A6"/>
            <w:noWrap/>
          </w:tcPr>
          <w:p w14:paraId="04BB931E" w14:textId="390278E7" w:rsidR="00EB5B71" w:rsidRPr="006029F3" w:rsidRDefault="00986BAF" w:rsidP="006029F3">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5-19 years</w:t>
            </w:r>
          </w:p>
        </w:tc>
        <w:tc>
          <w:tcPr>
            <w:tcW w:w="2981" w:type="dxa"/>
            <w:gridSpan w:val="2"/>
            <w:tcBorders>
              <w:bottom w:val="single" w:sz="4" w:space="0" w:color="D9D9D9" w:themeColor="background1" w:themeShade="D9"/>
            </w:tcBorders>
            <w:shd w:val="clear" w:color="auto" w:fill="595959" w:themeFill="text1" w:themeFillTint="A6"/>
          </w:tcPr>
          <w:p w14:paraId="5CB95360" w14:textId="21F78981" w:rsidR="00EB5B71" w:rsidRPr="006029F3" w:rsidRDefault="00EB5B71" w:rsidP="006029F3">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bCs w:val="0"/>
                <w:color w:val="FFFFFF" w:themeColor="background1"/>
                <w:szCs w:val="24"/>
                <w:lang w:eastAsia="en-AU"/>
              </w:rPr>
            </w:pPr>
            <w:r w:rsidRPr="006029F3">
              <w:rPr>
                <w:rFonts w:eastAsia="Times New Roman" w:cs="Times New Roman"/>
                <w:color w:val="FFFFFF" w:themeColor="background1"/>
                <w:szCs w:val="24"/>
                <w:lang w:eastAsia="en-AU"/>
              </w:rPr>
              <w:t>Others</w:t>
            </w:r>
          </w:p>
        </w:tc>
      </w:tr>
      <w:tr w:rsidR="009D0166" w:rsidRPr="0091560A" w14:paraId="359636A0" w14:textId="77777777" w:rsidTr="0071612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left w:val="single" w:sz="4" w:space="0" w:color="666666" w:themeColor="text1" w:themeTint="99"/>
              <w:bottom w:val="single" w:sz="4" w:space="0" w:color="666666" w:themeColor="text1" w:themeTint="99"/>
            </w:tcBorders>
            <w:shd w:val="clear" w:color="auto" w:fill="595959" w:themeFill="text1" w:themeFillTint="A6"/>
            <w:noWrap/>
            <w:hideMark/>
          </w:tcPr>
          <w:p w14:paraId="3C0A6DFC" w14:textId="77777777" w:rsidR="00907F7E" w:rsidRPr="006029F3" w:rsidRDefault="00907F7E" w:rsidP="006029F3">
            <w:pPr>
              <w:keepNext/>
              <w:keepLines/>
              <w:rPr>
                <w:rFonts w:eastAsia="Times New Roman" w:cs="Times New Roman"/>
                <w:b w:val="0"/>
                <w:color w:val="FFFFFF" w:themeColor="background1"/>
                <w:szCs w:val="24"/>
                <w:lang w:eastAsia="en-AU"/>
              </w:rPr>
            </w:pPr>
          </w:p>
        </w:tc>
        <w:tc>
          <w:tcPr>
            <w:tcW w:w="1559"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772A419F" w14:textId="2F985D8B" w:rsidR="00907F7E" w:rsidRPr="006029F3"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n</w:t>
            </w:r>
            <w:r w:rsidR="00986BAF">
              <w:rPr>
                <w:rFonts w:eastAsia="Times New Roman" w:cs="Times New Roman"/>
                <w:color w:val="FFFFFF" w:themeColor="background1"/>
                <w:szCs w:val="24"/>
                <w:lang w:eastAsia="en-AU"/>
              </w:rPr>
              <w:br/>
              <w:t xml:space="preserve">(total </w:t>
            </w:r>
            <w:r w:rsidRPr="006029F3">
              <w:rPr>
                <w:rFonts w:eastAsia="Times New Roman" w:cs="Times New Roman"/>
                <w:color w:val="FFFFFF" w:themeColor="background1"/>
                <w:szCs w:val="24"/>
                <w:lang w:eastAsia="en-AU"/>
              </w:rPr>
              <w:t>=1578)</w:t>
            </w:r>
          </w:p>
        </w:tc>
        <w:tc>
          <w:tcPr>
            <w:tcW w:w="1418" w:type="dxa"/>
            <w:tcBorders>
              <w:top w:val="single" w:sz="4" w:space="0" w:color="D9D9D9" w:themeColor="background1" w:themeShade="D9"/>
              <w:bottom w:val="single" w:sz="4" w:space="0" w:color="666666" w:themeColor="text1" w:themeTint="99"/>
            </w:tcBorders>
            <w:shd w:val="clear" w:color="auto" w:fill="595959" w:themeFill="text1" w:themeFillTint="A6"/>
          </w:tcPr>
          <w:p w14:paraId="2B24723D" w14:textId="77777777" w:rsidR="00907F7E" w:rsidRPr="006029F3"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c>
          <w:tcPr>
            <w:tcW w:w="1842" w:type="dxa"/>
            <w:tcBorders>
              <w:top w:val="single" w:sz="4" w:space="0" w:color="D9D9D9" w:themeColor="background1" w:themeShade="D9"/>
              <w:bottom w:val="single" w:sz="4" w:space="0" w:color="666666" w:themeColor="text1" w:themeTint="99"/>
            </w:tcBorders>
            <w:shd w:val="clear" w:color="auto" w:fill="595959" w:themeFill="text1" w:themeFillTint="A6"/>
          </w:tcPr>
          <w:p w14:paraId="303F6334" w14:textId="33B91852" w:rsidR="00907F7E" w:rsidRPr="006029F3"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 xml:space="preserve"> n</w:t>
            </w:r>
            <w:r w:rsidR="00986BAF">
              <w:rPr>
                <w:rFonts w:eastAsia="Times New Roman" w:cs="Times New Roman"/>
                <w:color w:val="FFFFFF" w:themeColor="background1"/>
                <w:szCs w:val="24"/>
                <w:lang w:eastAsia="en-AU"/>
              </w:rPr>
              <w:br/>
              <w:t>(total</w:t>
            </w:r>
            <w:r w:rsidRPr="006029F3">
              <w:rPr>
                <w:rFonts w:eastAsia="Times New Roman" w:cs="Times New Roman"/>
                <w:color w:val="FFFFFF" w:themeColor="background1"/>
                <w:szCs w:val="24"/>
                <w:lang w:eastAsia="en-AU"/>
              </w:rPr>
              <w:t>=1517)</w:t>
            </w:r>
          </w:p>
        </w:tc>
        <w:tc>
          <w:tcPr>
            <w:tcW w:w="1139" w:type="dxa"/>
            <w:tcBorders>
              <w:top w:val="single" w:sz="4" w:space="0" w:color="D9D9D9" w:themeColor="background1" w:themeShade="D9"/>
              <w:bottom w:val="single" w:sz="4" w:space="0" w:color="666666" w:themeColor="text1" w:themeTint="99"/>
            </w:tcBorders>
            <w:shd w:val="clear" w:color="auto" w:fill="595959" w:themeFill="text1" w:themeFillTint="A6"/>
          </w:tcPr>
          <w:p w14:paraId="0DCABBE0" w14:textId="77777777" w:rsidR="00907F7E" w:rsidRPr="006029F3" w:rsidRDefault="00907F7E" w:rsidP="002A13EF">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r>
      <w:tr w:rsidR="00907F7E" w:rsidRPr="0091560A" w14:paraId="63E0FE3F" w14:textId="77777777" w:rsidTr="0071612E">
        <w:trPr>
          <w:trHeight w:val="294"/>
        </w:trPr>
        <w:tc>
          <w:tcPr>
            <w:cnfStyle w:val="001000000000" w:firstRow="0" w:lastRow="0" w:firstColumn="1" w:lastColumn="0" w:oddVBand="0" w:evenVBand="0" w:oddHBand="0" w:evenHBand="0" w:firstRowFirstColumn="0" w:firstRowLastColumn="0" w:lastRowFirstColumn="0" w:lastRowLastColumn="0"/>
            <w:tcW w:w="3114" w:type="dxa"/>
            <w:tcBorders>
              <w:bottom w:val="nil"/>
            </w:tcBorders>
            <w:noWrap/>
          </w:tcPr>
          <w:p w14:paraId="5EBA5F15"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&lt;2h</w:t>
            </w:r>
          </w:p>
        </w:tc>
        <w:tc>
          <w:tcPr>
            <w:tcW w:w="1559" w:type="dxa"/>
            <w:tcBorders>
              <w:bottom w:val="nil"/>
            </w:tcBorders>
            <w:noWrap/>
          </w:tcPr>
          <w:p w14:paraId="2EDE82FE"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349</w:t>
            </w:r>
          </w:p>
        </w:tc>
        <w:tc>
          <w:tcPr>
            <w:tcW w:w="1418" w:type="dxa"/>
            <w:tcBorders>
              <w:bottom w:val="nil"/>
            </w:tcBorders>
          </w:tcPr>
          <w:p w14:paraId="2954265D"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22.1%</w:t>
            </w:r>
          </w:p>
        </w:tc>
        <w:tc>
          <w:tcPr>
            <w:tcW w:w="1842" w:type="dxa"/>
            <w:tcBorders>
              <w:bottom w:val="nil"/>
            </w:tcBorders>
          </w:tcPr>
          <w:p w14:paraId="1C507A54"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269</w:t>
            </w:r>
          </w:p>
        </w:tc>
        <w:tc>
          <w:tcPr>
            <w:tcW w:w="1139" w:type="dxa"/>
            <w:tcBorders>
              <w:bottom w:val="nil"/>
            </w:tcBorders>
          </w:tcPr>
          <w:p w14:paraId="5671B95D"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17.7%</w:t>
            </w:r>
          </w:p>
        </w:tc>
      </w:tr>
      <w:tr w:rsidR="0071612E" w:rsidRPr="0091560A" w14:paraId="1D66251A" w14:textId="77777777" w:rsidTr="0071612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noWrap/>
            <w:hideMark/>
          </w:tcPr>
          <w:p w14:paraId="4986B271"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2-&lt;4h</w:t>
            </w:r>
          </w:p>
        </w:tc>
        <w:tc>
          <w:tcPr>
            <w:tcW w:w="1559" w:type="dxa"/>
            <w:tcBorders>
              <w:top w:val="nil"/>
              <w:bottom w:val="nil"/>
            </w:tcBorders>
            <w:noWrap/>
            <w:hideMark/>
          </w:tcPr>
          <w:p w14:paraId="4F78870B"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518</w:t>
            </w:r>
          </w:p>
        </w:tc>
        <w:tc>
          <w:tcPr>
            <w:tcW w:w="1418" w:type="dxa"/>
            <w:tcBorders>
              <w:top w:val="nil"/>
              <w:bottom w:val="nil"/>
            </w:tcBorders>
          </w:tcPr>
          <w:p w14:paraId="5DE1A3B6"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32.8%</w:t>
            </w:r>
          </w:p>
        </w:tc>
        <w:tc>
          <w:tcPr>
            <w:tcW w:w="1842" w:type="dxa"/>
            <w:tcBorders>
              <w:top w:val="nil"/>
              <w:bottom w:val="nil"/>
            </w:tcBorders>
          </w:tcPr>
          <w:p w14:paraId="34525A7B"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421</w:t>
            </w:r>
          </w:p>
        </w:tc>
        <w:tc>
          <w:tcPr>
            <w:tcW w:w="1139" w:type="dxa"/>
            <w:tcBorders>
              <w:top w:val="nil"/>
              <w:bottom w:val="nil"/>
            </w:tcBorders>
          </w:tcPr>
          <w:p w14:paraId="5665E099"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27.8%</w:t>
            </w:r>
          </w:p>
        </w:tc>
      </w:tr>
      <w:tr w:rsidR="00907F7E" w:rsidRPr="0091560A" w14:paraId="36BDC9A0" w14:textId="77777777" w:rsidTr="0071612E">
        <w:trPr>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noWrap/>
            <w:hideMark/>
          </w:tcPr>
          <w:p w14:paraId="72AA0FEA"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4-&lt;8h</w:t>
            </w:r>
          </w:p>
        </w:tc>
        <w:tc>
          <w:tcPr>
            <w:tcW w:w="1559" w:type="dxa"/>
            <w:tcBorders>
              <w:top w:val="nil"/>
              <w:bottom w:val="nil"/>
            </w:tcBorders>
            <w:noWrap/>
            <w:hideMark/>
          </w:tcPr>
          <w:p w14:paraId="01316A10"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248</w:t>
            </w:r>
          </w:p>
        </w:tc>
        <w:tc>
          <w:tcPr>
            <w:tcW w:w="1418" w:type="dxa"/>
            <w:tcBorders>
              <w:top w:val="nil"/>
              <w:bottom w:val="nil"/>
            </w:tcBorders>
          </w:tcPr>
          <w:p w14:paraId="5FBEAA92"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15.7%</w:t>
            </w:r>
          </w:p>
        </w:tc>
        <w:tc>
          <w:tcPr>
            <w:tcW w:w="1842" w:type="dxa"/>
            <w:tcBorders>
              <w:top w:val="nil"/>
              <w:bottom w:val="nil"/>
            </w:tcBorders>
          </w:tcPr>
          <w:p w14:paraId="30A29D2D"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257</w:t>
            </w:r>
          </w:p>
        </w:tc>
        <w:tc>
          <w:tcPr>
            <w:tcW w:w="1139" w:type="dxa"/>
            <w:tcBorders>
              <w:top w:val="nil"/>
              <w:bottom w:val="nil"/>
            </w:tcBorders>
          </w:tcPr>
          <w:p w14:paraId="69748922"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16.9%</w:t>
            </w:r>
          </w:p>
        </w:tc>
      </w:tr>
      <w:tr w:rsidR="0071612E" w:rsidRPr="0091560A" w14:paraId="042435D0" w14:textId="77777777" w:rsidTr="0071612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noWrap/>
            <w:hideMark/>
          </w:tcPr>
          <w:p w14:paraId="29ECC4A9"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8-&lt;24h</w:t>
            </w:r>
          </w:p>
        </w:tc>
        <w:tc>
          <w:tcPr>
            <w:tcW w:w="1559" w:type="dxa"/>
            <w:tcBorders>
              <w:top w:val="nil"/>
              <w:bottom w:val="nil"/>
            </w:tcBorders>
            <w:noWrap/>
            <w:hideMark/>
          </w:tcPr>
          <w:p w14:paraId="7B415072"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280</w:t>
            </w:r>
          </w:p>
        </w:tc>
        <w:tc>
          <w:tcPr>
            <w:tcW w:w="1418" w:type="dxa"/>
            <w:tcBorders>
              <w:top w:val="nil"/>
              <w:bottom w:val="nil"/>
            </w:tcBorders>
          </w:tcPr>
          <w:p w14:paraId="13B82971"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17.7%</w:t>
            </w:r>
          </w:p>
        </w:tc>
        <w:tc>
          <w:tcPr>
            <w:tcW w:w="1842" w:type="dxa"/>
            <w:tcBorders>
              <w:top w:val="nil"/>
              <w:bottom w:val="nil"/>
            </w:tcBorders>
          </w:tcPr>
          <w:p w14:paraId="1B1A89A1"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239</w:t>
            </w:r>
          </w:p>
        </w:tc>
        <w:tc>
          <w:tcPr>
            <w:tcW w:w="1139" w:type="dxa"/>
            <w:tcBorders>
              <w:top w:val="nil"/>
              <w:bottom w:val="nil"/>
            </w:tcBorders>
          </w:tcPr>
          <w:p w14:paraId="641E9418"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15.8%</w:t>
            </w:r>
          </w:p>
        </w:tc>
      </w:tr>
      <w:tr w:rsidR="00907F7E" w:rsidRPr="0091560A" w14:paraId="00785ADF" w14:textId="77777777" w:rsidTr="0071612E">
        <w:trPr>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bottom w:val="nil"/>
            </w:tcBorders>
            <w:noWrap/>
            <w:hideMark/>
          </w:tcPr>
          <w:p w14:paraId="7C311EE9"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24h+</w:t>
            </w:r>
          </w:p>
        </w:tc>
        <w:tc>
          <w:tcPr>
            <w:tcW w:w="1559" w:type="dxa"/>
            <w:tcBorders>
              <w:top w:val="nil"/>
              <w:bottom w:val="nil"/>
            </w:tcBorders>
            <w:noWrap/>
            <w:hideMark/>
          </w:tcPr>
          <w:p w14:paraId="037BD340"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100</w:t>
            </w:r>
          </w:p>
        </w:tc>
        <w:tc>
          <w:tcPr>
            <w:tcW w:w="1418" w:type="dxa"/>
            <w:tcBorders>
              <w:top w:val="nil"/>
              <w:bottom w:val="nil"/>
            </w:tcBorders>
          </w:tcPr>
          <w:p w14:paraId="4063E271"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6.3%</w:t>
            </w:r>
          </w:p>
        </w:tc>
        <w:tc>
          <w:tcPr>
            <w:tcW w:w="1842" w:type="dxa"/>
            <w:tcBorders>
              <w:top w:val="nil"/>
              <w:bottom w:val="nil"/>
            </w:tcBorders>
          </w:tcPr>
          <w:p w14:paraId="52F2D8A0"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179</w:t>
            </w:r>
          </w:p>
        </w:tc>
        <w:tc>
          <w:tcPr>
            <w:tcW w:w="1139" w:type="dxa"/>
            <w:tcBorders>
              <w:top w:val="nil"/>
              <w:bottom w:val="nil"/>
            </w:tcBorders>
          </w:tcPr>
          <w:p w14:paraId="496D4838" w14:textId="77777777" w:rsidR="00907F7E" w:rsidRPr="0091560A" w:rsidRDefault="00907F7E" w:rsidP="006029F3">
            <w:pPr>
              <w:keepNext/>
              <w:keepLines/>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11.8%</w:t>
            </w:r>
          </w:p>
        </w:tc>
      </w:tr>
      <w:tr w:rsidR="0071612E" w:rsidRPr="0091560A" w14:paraId="360982B4" w14:textId="77777777" w:rsidTr="0071612E">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114" w:type="dxa"/>
            <w:tcBorders>
              <w:top w:val="nil"/>
            </w:tcBorders>
            <w:noWrap/>
            <w:hideMark/>
          </w:tcPr>
          <w:p w14:paraId="2442DE47" w14:textId="77777777" w:rsidR="00907F7E" w:rsidRPr="0091560A" w:rsidRDefault="00907F7E" w:rsidP="006029F3">
            <w:pPr>
              <w:keepNext/>
              <w:keepLines/>
              <w:rPr>
                <w:rFonts w:eastAsia="Times New Roman" w:cs="Times New Roman"/>
                <w:color w:val="000000"/>
                <w:szCs w:val="24"/>
                <w:lang w:eastAsia="en-AU"/>
              </w:rPr>
            </w:pPr>
            <w:r w:rsidRPr="0091560A">
              <w:rPr>
                <w:rFonts w:eastAsia="Times New Roman" w:cs="Times New Roman"/>
                <w:color w:val="000000"/>
                <w:szCs w:val="24"/>
                <w:lang w:eastAsia="en-AU"/>
              </w:rPr>
              <w:t xml:space="preserve">Unknown time </w:t>
            </w:r>
          </w:p>
        </w:tc>
        <w:tc>
          <w:tcPr>
            <w:tcW w:w="1559" w:type="dxa"/>
            <w:tcBorders>
              <w:top w:val="nil"/>
            </w:tcBorders>
            <w:noWrap/>
            <w:hideMark/>
          </w:tcPr>
          <w:p w14:paraId="3456054A"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83</w:t>
            </w:r>
          </w:p>
        </w:tc>
        <w:tc>
          <w:tcPr>
            <w:tcW w:w="1418" w:type="dxa"/>
            <w:tcBorders>
              <w:top w:val="nil"/>
            </w:tcBorders>
          </w:tcPr>
          <w:p w14:paraId="6315AF66"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5.3%</w:t>
            </w:r>
          </w:p>
        </w:tc>
        <w:tc>
          <w:tcPr>
            <w:tcW w:w="1842" w:type="dxa"/>
            <w:tcBorders>
              <w:top w:val="nil"/>
            </w:tcBorders>
          </w:tcPr>
          <w:p w14:paraId="51F6D780"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152</w:t>
            </w:r>
          </w:p>
        </w:tc>
        <w:tc>
          <w:tcPr>
            <w:tcW w:w="1139" w:type="dxa"/>
            <w:tcBorders>
              <w:top w:val="nil"/>
            </w:tcBorders>
          </w:tcPr>
          <w:p w14:paraId="05B619D4" w14:textId="77777777" w:rsidR="00907F7E" w:rsidRPr="0091560A" w:rsidRDefault="00907F7E" w:rsidP="006029F3">
            <w:pPr>
              <w:keepNext/>
              <w:keepLines/>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10.0%</w:t>
            </w:r>
          </w:p>
        </w:tc>
      </w:tr>
    </w:tbl>
    <w:p w14:paraId="25E7FF12" w14:textId="77777777" w:rsidR="00907F7E" w:rsidRPr="0091560A" w:rsidRDefault="00907F7E" w:rsidP="006029F3">
      <w:pPr>
        <w:keepNext/>
        <w:keepLines/>
        <w:rPr>
          <w:rFonts w:cs="Times New Roman"/>
          <w:i/>
          <w:iCs/>
        </w:rPr>
      </w:pPr>
      <w:r w:rsidRPr="0091560A">
        <w:rPr>
          <w:rFonts w:cs="Times New Roman"/>
          <w:i/>
          <w:iCs/>
        </w:rPr>
        <w:t>If time to presentation not stated, time to initial bloods, or time to call to PIC is taken (whichever is earliest)</w:t>
      </w:r>
    </w:p>
    <w:p w14:paraId="3C513016" w14:textId="177FE460" w:rsidR="002D2D40" w:rsidRPr="0091560A" w:rsidRDefault="00C734FE" w:rsidP="00C734FE">
      <w:pPr>
        <w:pStyle w:val="Caption"/>
      </w:pPr>
      <w:bookmarkStart w:id="69" w:name="_Toc114560124"/>
      <w:r>
        <w:t xml:space="preserve">Table </w:t>
      </w:r>
      <w:r>
        <w:fldChar w:fldCharType="begin"/>
      </w:r>
      <w:r>
        <w:instrText>SEQ Table \* ARABIC</w:instrText>
      </w:r>
      <w:r>
        <w:fldChar w:fldCharType="separate"/>
      </w:r>
      <w:r w:rsidR="0091734E">
        <w:rPr>
          <w:noProof/>
        </w:rPr>
        <w:t>9</w:t>
      </w:r>
      <w:r>
        <w:fldChar w:fldCharType="end"/>
      </w:r>
      <w:r w:rsidRPr="0091560A">
        <w:t xml:space="preserve">. </w:t>
      </w:r>
      <w:r>
        <w:t>C</w:t>
      </w:r>
      <w:r w:rsidR="002D2D40" w:rsidRPr="0091560A">
        <w:t>harcoal administration</w:t>
      </w:r>
      <w:bookmarkEnd w:id="69"/>
    </w:p>
    <w:tbl>
      <w:tblPr>
        <w:tblStyle w:val="ListTable2"/>
        <w:tblW w:w="9072" w:type="dxa"/>
        <w:tblLook w:val="04A0" w:firstRow="1" w:lastRow="0" w:firstColumn="1" w:lastColumn="0" w:noHBand="0" w:noVBand="1"/>
      </w:tblPr>
      <w:tblGrid>
        <w:gridCol w:w="3119"/>
        <w:gridCol w:w="1559"/>
        <w:gridCol w:w="1418"/>
        <w:gridCol w:w="1842"/>
        <w:gridCol w:w="1134"/>
      </w:tblGrid>
      <w:tr w:rsidR="0071612E" w:rsidRPr="0091560A" w14:paraId="38372678" w14:textId="77777777" w:rsidTr="00F50390">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119" w:type="dxa"/>
            <w:tcBorders>
              <w:bottom w:val="nil"/>
            </w:tcBorders>
            <w:shd w:val="clear" w:color="auto" w:fill="595959" w:themeFill="text1" w:themeFillTint="A6"/>
            <w:noWrap/>
          </w:tcPr>
          <w:p w14:paraId="40C26BE0" w14:textId="77777777" w:rsidR="0071612E" w:rsidRPr="006029F3" w:rsidRDefault="0071612E">
            <w:pPr>
              <w:rPr>
                <w:rFonts w:eastAsia="Times New Roman" w:cs="Times New Roman"/>
                <w:b w:val="0"/>
                <w:color w:val="FFFFFF" w:themeColor="background1"/>
                <w:szCs w:val="24"/>
                <w:lang w:eastAsia="en-AU"/>
              </w:rPr>
            </w:pPr>
          </w:p>
        </w:tc>
        <w:tc>
          <w:tcPr>
            <w:tcW w:w="2977" w:type="dxa"/>
            <w:gridSpan w:val="2"/>
            <w:tcBorders>
              <w:bottom w:val="single" w:sz="4" w:space="0" w:color="D9D9D9" w:themeColor="background1" w:themeShade="D9"/>
            </w:tcBorders>
            <w:shd w:val="clear" w:color="auto" w:fill="595959" w:themeFill="text1" w:themeFillTint="A6"/>
            <w:noWrap/>
          </w:tcPr>
          <w:p w14:paraId="12F22EC1" w14:textId="02B74F5D" w:rsidR="0071612E" w:rsidRPr="006029F3" w:rsidRDefault="0071612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5-19 years</w:t>
            </w:r>
          </w:p>
        </w:tc>
        <w:tc>
          <w:tcPr>
            <w:tcW w:w="2976" w:type="dxa"/>
            <w:gridSpan w:val="2"/>
            <w:tcBorders>
              <w:bottom w:val="single" w:sz="4" w:space="0" w:color="D9D9D9" w:themeColor="background1" w:themeShade="D9"/>
            </w:tcBorders>
            <w:shd w:val="clear" w:color="auto" w:fill="595959" w:themeFill="text1" w:themeFillTint="A6"/>
          </w:tcPr>
          <w:p w14:paraId="25E408ED" w14:textId="0ADC5EDF" w:rsidR="0071612E" w:rsidRPr="006029F3" w:rsidRDefault="0071612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029F3">
              <w:rPr>
                <w:rFonts w:eastAsia="Times New Roman" w:cs="Times New Roman"/>
                <w:color w:val="FFFFFF" w:themeColor="background1"/>
                <w:szCs w:val="24"/>
                <w:lang w:eastAsia="en-AU"/>
              </w:rPr>
              <w:t>Others</w:t>
            </w:r>
          </w:p>
        </w:tc>
      </w:tr>
      <w:tr w:rsidR="00E50898" w:rsidRPr="0091560A" w14:paraId="6B3EA0EB" w14:textId="77777777" w:rsidTr="00F5039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666666" w:themeColor="text1" w:themeTint="99"/>
            </w:tcBorders>
            <w:shd w:val="clear" w:color="auto" w:fill="595959" w:themeFill="text1" w:themeFillTint="A6"/>
            <w:noWrap/>
            <w:hideMark/>
          </w:tcPr>
          <w:p w14:paraId="11AE89C5" w14:textId="77777777" w:rsidR="002D2D40" w:rsidRPr="006029F3" w:rsidRDefault="002D2D40">
            <w:pPr>
              <w:rPr>
                <w:rFonts w:eastAsia="Times New Roman" w:cs="Times New Roman"/>
                <w:b w:val="0"/>
                <w:color w:val="FFFFFF" w:themeColor="background1"/>
                <w:szCs w:val="24"/>
                <w:lang w:eastAsia="en-AU"/>
              </w:rPr>
            </w:pPr>
          </w:p>
        </w:tc>
        <w:tc>
          <w:tcPr>
            <w:tcW w:w="1559"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6FE812DF" w14:textId="0C2C7483" w:rsidR="002D2D40" w:rsidRPr="006029F3"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 xml:space="preserve"> </w:t>
            </w:r>
            <w:r w:rsidR="0071612E">
              <w:rPr>
                <w:rFonts w:eastAsia="Times New Roman" w:cs="Times New Roman"/>
                <w:color w:val="FFFFFF" w:themeColor="background1"/>
                <w:szCs w:val="24"/>
                <w:lang w:eastAsia="en-AU"/>
              </w:rPr>
              <w:t>n</w:t>
            </w:r>
            <w:r w:rsidR="0071612E">
              <w:rPr>
                <w:rFonts w:eastAsia="Times New Roman" w:cs="Times New Roman"/>
                <w:color w:val="FFFFFF" w:themeColor="background1"/>
                <w:szCs w:val="24"/>
                <w:lang w:eastAsia="en-AU"/>
              </w:rPr>
              <w:br/>
              <w:t xml:space="preserve">(total </w:t>
            </w:r>
            <w:r w:rsidRPr="006029F3">
              <w:rPr>
                <w:rFonts w:eastAsia="Times New Roman" w:cs="Times New Roman"/>
                <w:color w:val="FFFFFF" w:themeColor="background1"/>
                <w:szCs w:val="24"/>
                <w:lang w:eastAsia="en-AU"/>
              </w:rPr>
              <w:t>=1578)</w:t>
            </w:r>
          </w:p>
        </w:tc>
        <w:tc>
          <w:tcPr>
            <w:tcW w:w="1418"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3528D9B7" w14:textId="77777777" w:rsidR="002D2D40" w:rsidRPr="006029F3"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c>
          <w:tcPr>
            <w:tcW w:w="1842" w:type="dxa"/>
            <w:tcBorders>
              <w:top w:val="single" w:sz="4" w:space="0" w:color="D9D9D9" w:themeColor="background1" w:themeShade="D9"/>
              <w:bottom w:val="single" w:sz="4" w:space="0" w:color="666666" w:themeColor="text1" w:themeTint="99"/>
            </w:tcBorders>
            <w:shd w:val="clear" w:color="auto" w:fill="595959" w:themeFill="text1" w:themeFillTint="A6"/>
          </w:tcPr>
          <w:p w14:paraId="7B35201D" w14:textId="506D62BD" w:rsidR="002D2D40" w:rsidRPr="006029F3"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 xml:space="preserve"> n</w:t>
            </w:r>
            <w:r w:rsidR="0071612E">
              <w:rPr>
                <w:rFonts w:eastAsia="Times New Roman" w:cs="Times New Roman"/>
                <w:color w:val="FFFFFF" w:themeColor="background1"/>
                <w:szCs w:val="24"/>
                <w:lang w:eastAsia="en-AU"/>
              </w:rPr>
              <w:br/>
              <w:t xml:space="preserve">(total </w:t>
            </w:r>
            <w:r w:rsidRPr="006029F3">
              <w:rPr>
                <w:rFonts w:eastAsia="Times New Roman" w:cs="Times New Roman"/>
                <w:color w:val="FFFFFF" w:themeColor="background1"/>
                <w:szCs w:val="24"/>
                <w:lang w:eastAsia="en-AU"/>
              </w:rPr>
              <w:t>=1517)</w:t>
            </w:r>
          </w:p>
        </w:tc>
        <w:tc>
          <w:tcPr>
            <w:tcW w:w="1134" w:type="dxa"/>
            <w:tcBorders>
              <w:top w:val="single" w:sz="4" w:space="0" w:color="D9D9D9" w:themeColor="background1" w:themeShade="D9"/>
              <w:bottom w:val="single" w:sz="4" w:space="0" w:color="666666" w:themeColor="text1" w:themeTint="99"/>
            </w:tcBorders>
            <w:shd w:val="clear" w:color="auto" w:fill="595959" w:themeFill="text1" w:themeFillTint="A6"/>
          </w:tcPr>
          <w:p w14:paraId="557B0368" w14:textId="77777777" w:rsidR="002D2D40" w:rsidRPr="006029F3"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r>
      <w:tr w:rsidR="002D2D40" w:rsidRPr="0091560A" w14:paraId="5EFEAB5B" w14:textId="77777777" w:rsidTr="00F50390">
        <w:trPr>
          <w:trHeight w:val="246"/>
        </w:trPr>
        <w:tc>
          <w:tcPr>
            <w:cnfStyle w:val="001000000000" w:firstRow="0" w:lastRow="0" w:firstColumn="1" w:lastColumn="0" w:oddVBand="0" w:evenVBand="0" w:oddHBand="0" w:evenHBand="0" w:firstRowFirstColumn="0" w:firstRowLastColumn="0" w:lastRowFirstColumn="0" w:lastRowLastColumn="0"/>
            <w:tcW w:w="3119" w:type="dxa"/>
            <w:tcBorders>
              <w:bottom w:val="nil"/>
            </w:tcBorders>
            <w:noWrap/>
            <w:hideMark/>
          </w:tcPr>
          <w:p w14:paraId="5CB0460A" w14:textId="77777777" w:rsidR="002D2D40" w:rsidRPr="0091560A" w:rsidRDefault="002D2D40">
            <w:pPr>
              <w:rPr>
                <w:rFonts w:eastAsia="Times New Roman" w:cs="Times New Roman"/>
                <w:color w:val="000000"/>
                <w:szCs w:val="24"/>
                <w:lang w:eastAsia="en-AU"/>
              </w:rPr>
            </w:pPr>
            <w:r w:rsidRPr="0091560A">
              <w:rPr>
                <w:rFonts w:eastAsia="Times New Roman" w:cs="Times New Roman"/>
                <w:color w:val="000000"/>
                <w:szCs w:val="24"/>
                <w:lang w:eastAsia="en-AU"/>
              </w:rPr>
              <w:t>No</w:t>
            </w:r>
          </w:p>
        </w:tc>
        <w:tc>
          <w:tcPr>
            <w:tcW w:w="1559" w:type="dxa"/>
            <w:tcBorders>
              <w:bottom w:val="nil"/>
            </w:tcBorders>
            <w:noWrap/>
            <w:hideMark/>
          </w:tcPr>
          <w:p w14:paraId="717BD269"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238</w:t>
            </w:r>
          </w:p>
        </w:tc>
        <w:tc>
          <w:tcPr>
            <w:tcW w:w="1418" w:type="dxa"/>
            <w:tcBorders>
              <w:bottom w:val="nil"/>
            </w:tcBorders>
            <w:noWrap/>
            <w:hideMark/>
          </w:tcPr>
          <w:p w14:paraId="3643EBC0"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15.1%</w:t>
            </w:r>
          </w:p>
        </w:tc>
        <w:tc>
          <w:tcPr>
            <w:tcW w:w="1842" w:type="dxa"/>
            <w:tcBorders>
              <w:bottom w:val="nil"/>
            </w:tcBorders>
          </w:tcPr>
          <w:p w14:paraId="66B7E3EA"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255</w:t>
            </w:r>
          </w:p>
        </w:tc>
        <w:tc>
          <w:tcPr>
            <w:tcW w:w="1134" w:type="dxa"/>
            <w:tcBorders>
              <w:bottom w:val="nil"/>
            </w:tcBorders>
          </w:tcPr>
          <w:p w14:paraId="37AF6691"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16.8%</w:t>
            </w:r>
          </w:p>
        </w:tc>
      </w:tr>
      <w:tr w:rsidR="002D2D40" w:rsidRPr="0091560A" w14:paraId="342D0991" w14:textId="77777777" w:rsidTr="00F50390">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noWrap/>
            <w:hideMark/>
          </w:tcPr>
          <w:p w14:paraId="6B00A45D" w14:textId="77777777" w:rsidR="002D2D40" w:rsidRPr="0091560A" w:rsidRDefault="002D2D40">
            <w:pPr>
              <w:rPr>
                <w:rFonts w:eastAsia="Times New Roman" w:cs="Times New Roman"/>
                <w:color w:val="000000"/>
                <w:szCs w:val="24"/>
                <w:lang w:eastAsia="en-AU"/>
              </w:rPr>
            </w:pPr>
            <w:r w:rsidRPr="0091560A">
              <w:rPr>
                <w:rFonts w:eastAsia="Times New Roman" w:cs="Times New Roman"/>
                <w:color w:val="000000"/>
                <w:szCs w:val="24"/>
                <w:lang w:eastAsia="en-AU"/>
              </w:rPr>
              <w:t>Yes</w:t>
            </w:r>
          </w:p>
        </w:tc>
        <w:tc>
          <w:tcPr>
            <w:tcW w:w="1559" w:type="dxa"/>
            <w:tcBorders>
              <w:top w:val="nil"/>
              <w:bottom w:val="nil"/>
            </w:tcBorders>
            <w:noWrap/>
            <w:hideMark/>
          </w:tcPr>
          <w:p w14:paraId="12AE699E" w14:textId="77777777" w:rsidR="002D2D40" w:rsidRPr="0091560A"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346</w:t>
            </w:r>
          </w:p>
        </w:tc>
        <w:tc>
          <w:tcPr>
            <w:tcW w:w="1418" w:type="dxa"/>
            <w:tcBorders>
              <w:top w:val="nil"/>
              <w:bottom w:val="nil"/>
            </w:tcBorders>
            <w:noWrap/>
            <w:hideMark/>
          </w:tcPr>
          <w:p w14:paraId="4816802E" w14:textId="77777777" w:rsidR="002D2D40" w:rsidRPr="0091560A" w:rsidRDefault="002D2D4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21.9%</w:t>
            </w:r>
          </w:p>
        </w:tc>
        <w:tc>
          <w:tcPr>
            <w:tcW w:w="1842" w:type="dxa"/>
            <w:tcBorders>
              <w:top w:val="nil"/>
              <w:bottom w:val="nil"/>
            </w:tcBorders>
          </w:tcPr>
          <w:p w14:paraId="22403DE1" w14:textId="77777777" w:rsidR="002D2D40" w:rsidRPr="0091560A" w:rsidRDefault="002D2D40">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226</w:t>
            </w:r>
          </w:p>
        </w:tc>
        <w:tc>
          <w:tcPr>
            <w:tcW w:w="1134" w:type="dxa"/>
            <w:tcBorders>
              <w:top w:val="nil"/>
              <w:bottom w:val="nil"/>
            </w:tcBorders>
          </w:tcPr>
          <w:p w14:paraId="15929A10" w14:textId="77777777" w:rsidR="002D2D40" w:rsidRPr="0091560A" w:rsidRDefault="002D2D40">
            <w:pPr>
              <w:jc w:val="right"/>
              <w:cnfStyle w:val="000000100000" w:firstRow="0" w:lastRow="0" w:firstColumn="0" w:lastColumn="0" w:oddVBand="0" w:evenVBand="0" w:oddHBand="1" w:evenHBand="0" w:firstRowFirstColumn="0" w:firstRowLastColumn="0" w:lastRowFirstColumn="0" w:lastRowLastColumn="0"/>
              <w:rPr>
                <w:rFonts w:cs="Times New Roman"/>
              </w:rPr>
            </w:pPr>
            <w:r w:rsidRPr="0091560A">
              <w:rPr>
                <w:rFonts w:cs="Times New Roman"/>
                <w:color w:val="000000"/>
              </w:rPr>
              <w:t>14.9%</w:t>
            </w:r>
          </w:p>
        </w:tc>
      </w:tr>
      <w:tr w:rsidR="002D2D40" w:rsidRPr="0091560A" w14:paraId="23F9FEEC" w14:textId="77777777" w:rsidTr="00F50390">
        <w:trPr>
          <w:trHeight w:val="246"/>
        </w:trPr>
        <w:tc>
          <w:tcPr>
            <w:cnfStyle w:val="001000000000" w:firstRow="0" w:lastRow="0" w:firstColumn="1" w:lastColumn="0" w:oddVBand="0" w:evenVBand="0" w:oddHBand="0" w:evenHBand="0" w:firstRowFirstColumn="0" w:firstRowLastColumn="0" w:lastRowFirstColumn="0" w:lastRowLastColumn="0"/>
            <w:tcW w:w="3119" w:type="dxa"/>
            <w:tcBorders>
              <w:top w:val="nil"/>
            </w:tcBorders>
            <w:noWrap/>
            <w:hideMark/>
          </w:tcPr>
          <w:p w14:paraId="3ED4CA88" w14:textId="77777777" w:rsidR="002D2D40" w:rsidRPr="0091560A" w:rsidRDefault="002D2D40">
            <w:pPr>
              <w:rPr>
                <w:rFonts w:eastAsia="Times New Roman" w:cs="Times New Roman"/>
                <w:color w:val="000000"/>
                <w:szCs w:val="24"/>
                <w:lang w:eastAsia="en-AU"/>
              </w:rPr>
            </w:pPr>
            <w:r w:rsidRPr="0091560A">
              <w:rPr>
                <w:rFonts w:eastAsia="Times New Roman" w:cs="Times New Roman"/>
                <w:color w:val="000000"/>
                <w:szCs w:val="24"/>
                <w:lang w:eastAsia="en-AU"/>
              </w:rPr>
              <w:t>Unknown</w:t>
            </w:r>
          </w:p>
        </w:tc>
        <w:tc>
          <w:tcPr>
            <w:tcW w:w="1559" w:type="dxa"/>
            <w:tcBorders>
              <w:top w:val="nil"/>
            </w:tcBorders>
            <w:noWrap/>
            <w:hideMark/>
          </w:tcPr>
          <w:p w14:paraId="046A887E"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994</w:t>
            </w:r>
          </w:p>
        </w:tc>
        <w:tc>
          <w:tcPr>
            <w:tcW w:w="1418" w:type="dxa"/>
            <w:tcBorders>
              <w:top w:val="nil"/>
            </w:tcBorders>
            <w:noWrap/>
            <w:hideMark/>
          </w:tcPr>
          <w:p w14:paraId="06030F63"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63.0%</w:t>
            </w:r>
          </w:p>
        </w:tc>
        <w:tc>
          <w:tcPr>
            <w:tcW w:w="1842" w:type="dxa"/>
            <w:tcBorders>
              <w:top w:val="nil"/>
            </w:tcBorders>
          </w:tcPr>
          <w:p w14:paraId="3E71F2A0"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1036</w:t>
            </w:r>
          </w:p>
        </w:tc>
        <w:tc>
          <w:tcPr>
            <w:tcW w:w="1134" w:type="dxa"/>
            <w:tcBorders>
              <w:top w:val="nil"/>
            </w:tcBorders>
          </w:tcPr>
          <w:p w14:paraId="3475BDAA" w14:textId="77777777" w:rsidR="002D2D40" w:rsidRPr="0091560A" w:rsidRDefault="002D2D40">
            <w:pPr>
              <w:jc w:val="right"/>
              <w:cnfStyle w:val="000000000000" w:firstRow="0" w:lastRow="0" w:firstColumn="0" w:lastColumn="0" w:oddVBand="0" w:evenVBand="0" w:oddHBand="0" w:evenHBand="0" w:firstRowFirstColumn="0" w:firstRowLastColumn="0" w:lastRowFirstColumn="0" w:lastRowLastColumn="0"/>
              <w:rPr>
                <w:rFonts w:cs="Times New Roman"/>
              </w:rPr>
            </w:pPr>
            <w:r w:rsidRPr="0091560A">
              <w:rPr>
                <w:rFonts w:cs="Times New Roman"/>
                <w:color w:val="000000"/>
              </w:rPr>
              <w:t>68.3%</w:t>
            </w:r>
          </w:p>
        </w:tc>
      </w:tr>
    </w:tbl>
    <w:p w14:paraId="55E30046" w14:textId="77777777" w:rsidR="00F92E8C" w:rsidRDefault="00F92E8C" w:rsidP="006029F3"/>
    <w:p w14:paraId="50311A8C" w14:textId="0BCE842E" w:rsidR="00907F7E" w:rsidRPr="0091560A" w:rsidRDefault="00E23BD9" w:rsidP="000A557D">
      <w:pPr>
        <w:pStyle w:val="Heading5"/>
      </w:pPr>
      <w:r w:rsidRPr="0091560A">
        <w:t xml:space="preserve">Clinical outcomes, </w:t>
      </w:r>
      <w:r w:rsidR="007968B1">
        <w:t>l</w:t>
      </w:r>
      <w:r w:rsidRPr="0091560A">
        <w:t xml:space="preserve">iver injury &amp; </w:t>
      </w:r>
      <w:r w:rsidR="007968B1">
        <w:t>d</w:t>
      </w:r>
      <w:r w:rsidRPr="0091560A">
        <w:t>eath.</w:t>
      </w:r>
    </w:p>
    <w:p w14:paraId="06D451DE" w14:textId="7FBB4C34" w:rsidR="00907F7E" w:rsidRPr="0091560A" w:rsidRDefault="00E23BD9" w:rsidP="00907F7E">
      <w:pPr>
        <w:rPr>
          <w:rFonts w:cs="Times New Roman"/>
        </w:rPr>
      </w:pPr>
      <w:r w:rsidRPr="0091560A">
        <w:rPr>
          <w:rFonts w:cs="Times New Roman"/>
        </w:rPr>
        <w:t>One patient with a very delayed presentation died</w:t>
      </w:r>
      <w:r w:rsidR="00F15C56" w:rsidRPr="0091560A">
        <w:rPr>
          <w:rFonts w:cs="Times New Roman"/>
        </w:rPr>
        <w:t xml:space="preserve">; </w:t>
      </w:r>
      <w:r w:rsidR="00907F7E" w:rsidRPr="0091560A">
        <w:rPr>
          <w:rFonts w:cs="Times New Roman"/>
        </w:rPr>
        <w:t xml:space="preserve">351 had </w:t>
      </w:r>
      <w:r w:rsidR="00F15C56" w:rsidRPr="0091560A">
        <w:rPr>
          <w:rFonts w:cs="Times New Roman"/>
        </w:rPr>
        <w:t>some evidence of liver injury (</w:t>
      </w:r>
      <w:r w:rsidR="00907F7E" w:rsidRPr="0091560A">
        <w:rPr>
          <w:rFonts w:cs="Times New Roman"/>
        </w:rPr>
        <w:t xml:space="preserve">ALT &gt;50), and 119 had </w:t>
      </w:r>
      <w:r w:rsidR="005C54E5" w:rsidRPr="0091560A">
        <w:rPr>
          <w:rFonts w:cs="Times New Roman"/>
        </w:rPr>
        <w:t>severe liver injury (</w:t>
      </w:r>
      <w:r w:rsidR="00907F7E" w:rsidRPr="0091560A">
        <w:rPr>
          <w:rFonts w:cs="Times New Roman"/>
        </w:rPr>
        <w:t>ALT &gt;100</w:t>
      </w:r>
      <w:r w:rsidR="005C54E5" w:rsidRPr="0091560A">
        <w:rPr>
          <w:rFonts w:cs="Times New Roman"/>
        </w:rPr>
        <w:t>0).</w:t>
      </w:r>
      <w:r w:rsidR="0037444E" w:rsidRPr="0091560A">
        <w:rPr>
          <w:rFonts w:cs="Times New Roman"/>
        </w:rPr>
        <w:t xml:space="preserve"> There were 12 cases who also had INR &gt;3 (indicating acute liver failure).</w:t>
      </w:r>
      <w:r w:rsidR="00971E35" w:rsidRPr="0091560A">
        <w:rPr>
          <w:rFonts w:cs="Times New Roman"/>
        </w:rPr>
        <w:t xml:space="preserve"> Outcome data was not obtained for all calls, these data likely underestimate hepatotoxicity and deaths.</w:t>
      </w:r>
    </w:p>
    <w:p w14:paraId="583AD820" w14:textId="2CB621A6" w:rsidR="00907F7E" w:rsidRPr="0091560A" w:rsidRDefault="005C54E5" w:rsidP="00907F7E">
      <w:pPr>
        <w:rPr>
          <w:rFonts w:cs="Times New Roman"/>
        </w:rPr>
      </w:pPr>
      <w:r w:rsidRPr="0091560A">
        <w:rPr>
          <w:rFonts w:cs="Times New Roman"/>
        </w:rPr>
        <w:t>Of th</w:t>
      </w:r>
      <w:r w:rsidR="00907F7E" w:rsidRPr="0091560A">
        <w:rPr>
          <w:rFonts w:cs="Times New Roman"/>
        </w:rPr>
        <w:t xml:space="preserve">e 119 cases with ALT &gt;1000, 44 (2.8%) </w:t>
      </w:r>
      <w:r w:rsidR="00A844C7" w:rsidRPr="0091560A">
        <w:rPr>
          <w:rFonts w:cs="Times New Roman"/>
        </w:rPr>
        <w:t xml:space="preserve">were </w:t>
      </w:r>
      <w:r w:rsidR="00907F7E" w:rsidRPr="0091560A">
        <w:rPr>
          <w:rFonts w:cs="Times New Roman"/>
        </w:rPr>
        <w:t xml:space="preserve">in the 5-19 years age group and 75 (4.9%) in the other age group. The median age </w:t>
      </w:r>
      <w:r w:rsidR="00A844C7" w:rsidRPr="0091560A">
        <w:rPr>
          <w:rFonts w:cs="Times New Roman"/>
        </w:rPr>
        <w:t xml:space="preserve">was </w:t>
      </w:r>
      <w:r w:rsidR="00907F7E" w:rsidRPr="0091560A">
        <w:rPr>
          <w:rFonts w:cs="Times New Roman"/>
        </w:rPr>
        <w:t>23 years (</w:t>
      </w:r>
      <w:r w:rsidR="00A844C7" w:rsidRPr="0091560A">
        <w:rPr>
          <w:rFonts w:cs="Times New Roman"/>
        </w:rPr>
        <w:t xml:space="preserve">IQR: </w:t>
      </w:r>
      <w:r w:rsidR="00907F7E" w:rsidRPr="0091560A">
        <w:rPr>
          <w:rFonts w:cs="Times New Roman"/>
        </w:rPr>
        <w:t xml:space="preserve">16- 42). </w:t>
      </w:r>
      <w:r w:rsidR="00A844C7" w:rsidRPr="0091560A">
        <w:rPr>
          <w:rFonts w:cs="Times New Roman"/>
        </w:rPr>
        <w:t>The m</w:t>
      </w:r>
      <w:r w:rsidR="00907F7E" w:rsidRPr="0091560A">
        <w:rPr>
          <w:rFonts w:cs="Times New Roman"/>
        </w:rPr>
        <w:t xml:space="preserve">edian dose ingested </w:t>
      </w:r>
      <w:r w:rsidR="00A844C7" w:rsidRPr="0091560A">
        <w:rPr>
          <w:rFonts w:cs="Times New Roman"/>
        </w:rPr>
        <w:t xml:space="preserve">was </w:t>
      </w:r>
      <w:r w:rsidR="00907F7E" w:rsidRPr="0091560A">
        <w:rPr>
          <w:rFonts w:cs="Times New Roman"/>
        </w:rPr>
        <w:t>22</w:t>
      </w:r>
      <w:r w:rsidR="00A8075D">
        <w:rPr>
          <w:rFonts w:cs="Times New Roman"/>
        </w:rPr>
        <w:t xml:space="preserve"> </w:t>
      </w:r>
      <w:r w:rsidR="00907F7E" w:rsidRPr="0091560A">
        <w:rPr>
          <w:rFonts w:cs="Times New Roman"/>
        </w:rPr>
        <w:t>g (</w:t>
      </w:r>
      <w:r w:rsidR="00A844C7" w:rsidRPr="0091560A">
        <w:rPr>
          <w:rFonts w:cs="Times New Roman"/>
        </w:rPr>
        <w:t xml:space="preserve">IQR: </w:t>
      </w:r>
      <w:r w:rsidR="00907F7E" w:rsidRPr="0091560A">
        <w:rPr>
          <w:rFonts w:cs="Times New Roman"/>
        </w:rPr>
        <w:t>15 – 40). Modified release paracetamol was in</w:t>
      </w:r>
      <w:r w:rsidR="0037444E" w:rsidRPr="0091560A">
        <w:rPr>
          <w:rFonts w:cs="Times New Roman"/>
        </w:rPr>
        <w:t xml:space="preserve">gested </w:t>
      </w:r>
      <w:r w:rsidR="00907F7E" w:rsidRPr="0091560A">
        <w:rPr>
          <w:rFonts w:cs="Times New Roman"/>
        </w:rPr>
        <w:t>in 16% (n=19). Only two were documented to have received charcoal.</w:t>
      </w:r>
      <w:r w:rsidR="00E9046E">
        <w:rPr>
          <w:rFonts w:cs="Times New Roman"/>
        </w:rPr>
        <w:t xml:space="preserve"> Most of these patients presented with a considerable delay (Table 10).</w:t>
      </w:r>
    </w:p>
    <w:p w14:paraId="6F9165D0" w14:textId="54DDBA3F" w:rsidR="00907F7E" w:rsidRPr="0091560A" w:rsidRDefault="00932FEE" w:rsidP="00932FEE">
      <w:pPr>
        <w:pStyle w:val="Caption"/>
      </w:pPr>
      <w:bookmarkStart w:id="70" w:name="_Toc114560125"/>
      <w:r>
        <w:t xml:space="preserve">Table </w:t>
      </w:r>
      <w:r>
        <w:fldChar w:fldCharType="begin"/>
      </w:r>
      <w:r>
        <w:instrText>SEQ Table \* ARABIC</w:instrText>
      </w:r>
      <w:r>
        <w:fldChar w:fldCharType="separate"/>
      </w:r>
      <w:r w:rsidR="0091734E">
        <w:rPr>
          <w:noProof/>
        </w:rPr>
        <w:t>10</w:t>
      </w:r>
      <w:r>
        <w:fldChar w:fldCharType="end"/>
      </w:r>
      <w:r w:rsidRPr="0091560A">
        <w:t xml:space="preserve">. </w:t>
      </w:r>
      <w:r w:rsidR="00907F7E" w:rsidRPr="0091560A">
        <w:t>Time from exposure to presentation, cases with ALT &gt;1000</w:t>
      </w:r>
      <w:bookmarkEnd w:id="70"/>
    </w:p>
    <w:tbl>
      <w:tblPr>
        <w:tblStyle w:val="ListTable2"/>
        <w:tblW w:w="9072" w:type="dxa"/>
        <w:tblLayout w:type="fixed"/>
        <w:tblLook w:val="04A0" w:firstRow="1" w:lastRow="0" w:firstColumn="1" w:lastColumn="0" w:noHBand="0" w:noVBand="1"/>
      </w:tblPr>
      <w:tblGrid>
        <w:gridCol w:w="3119"/>
        <w:gridCol w:w="1559"/>
        <w:gridCol w:w="1418"/>
        <w:gridCol w:w="1701"/>
        <w:gridCol w:w="1275"/>
      </w:tblGrid>
      <w:tr w:rsidR="00F50390" w:rsidRPr="0091560A" w14:paraId="6B15E851" w14:textId="77777777" w:rsidTr="00F50390">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119" w:type="dxa"/>
            <w:tcBorders>
              <w:bottom w:val="nil"/>
            </w:tcBorders>
            <w:shd w:val="clear" w:color="auto" w:fill="595959" w:themeFill="text1" w:themeFillTint="A6"/>
            <w:noWrap/>
          </w:tcPr>
          <w:p w14:paraId="7CBEB164" w14:textId="77777777" w:rsidR="00F50390" w:rsidRPr="006029F3" w:rsidRDefault="00F50390">
            <w:pPr>
              <w:rPr>
                <w:rFonts w:eastAsia="Times New Roman" w:cs="Times New Roman"/>
                <w:b w:val="0"/>
                <w:color w:val="FFFFFF" w:themeColor="background1"/>
                <w:szCs w:val="24"/>
                <w:lang w:eastAsia="en-AU"/>
              </w:rPr>
            </w:pPr>
          </w:p>
        </w:tc>
        <w:tc>
          <w:tcPr>
            <w:tcW w:w="2977" w:type="dxa"/>
            <w:gridSpan w:val="2"/>
            <w:tcBorders>
              <w:bottom w:val="single" w:sz="4" w:space="0" w:color="D9D9D9" w:themeColor="background1" w:themeShade="D9"/>
            </w:tcBorders>
            <w:shd w:val="clear" w:color="auto" w:fill="595959" w:themeFill="text1" w:themeFillTint="A6"/>
          </w:tcPr>
          <w:p w14:paraId="63C68769" w14:textId="79476C38" w:rsidR="00F50390" w:rsidRPr="006029F3" w:rsidRDefault="00F5039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6029F3">
              <w:rPr>
                <w:rFonts w:eastAsia="Times New Roman" w:cs="Times New Roman"/>
                <w:color w:val="FFFFFF" w:themeColor="background1"/>
                <w:szCs w:val="24"/>
                <w:lang w:eastAsia="en-AU"/>
              </w:rPr>
              <w:t>5-19 years</w:t>
            </w:r>
          </w:p>
        </w:tc>
        <w:tc>
          <w:tcPr>
            <w:tcW w:w="2976" w:type="dxa"/>
            <w:gridSpan w:val="2"/>
            <w:tcBorders>
              <w:bottom w:val="single" w:sz="4" w:space="0" w:color="D9D9D9" w:themeColor="background1" w:themeShade="D9"/>
            </w:tcBorders>
            <w:shd w:val="clear" w:color="auto" w:fill="595959" w:themeFill="text1" w:themeFillTint="A6"/>
            <w:noWrap/>
          </w:tcPr>
          <w:p w14:paraId="591A5D38" w14:textId="104437F8" w:rsidR="00F50390" w:rsidRPr="006029F3" w:rsidRDefault="00F50390" w:rsidP="00F5039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6029F3">
              <w:rPr>
                <w:rFonts w:eastAsia="Times New Roman" w:cs="Times New Roman"/>
                <w:color w:val="FFFFFF" w:themeColor="background1"/>
                <w:szCs w:val="24"/>
                <w:lang w:eastAsia="en-AU"/>
              </w:rPr>
              <w:t xml:space="preserve">Others </w:t>
            </w:r>
          </w:p>
        </w:tc>
      </w:tr>
      <w:tr w:rsidR="00F50390" w:rsidRPr="0091560A" w14:paraId="645BE0C9" w14:textId="77777777" w:rsidTr="00E279D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single" w:sz="4" w:space="0" w:color="666666" w:themeColor="text1" w:themeTint="99"/>
            </w:tcBorders>
            <w:shd w:val="clear" w:color="auto" w:fill="595959" w:themeFill="text1" w:themeFillTint="A6"/>
            <w:noWrap/>
            <w:hideMark/>
          </w:tcPr>
          <w:p w14:paraId="37FBCDC8" w14:textId="77777777" w:rsidR="00F50390" w:rsidRPr="006029F3" w:rsidRDefault="00F50390">
            <w:pPr>
              <w:rPr>
                <w:rFonts w:eastAsia="Times New Roman" w:cs="Times New Roman"/>
                <w:b w:val="0"/>
                <w:color w:val="FFFFFF" w:themeColor="background1"/>
                <w:szCs w:val="24"/>
                <w:lang w:eastAsia="en-AU"/>
              </w:rPr>
            </w:pPr>
          </w:p>
        </w:tc>
        <w:tc>
          <w:tcPr>
            <w:tcW w:w="1559" w:type="dxa"/>
            <w:tcBorders>
              <w:top w:val="single" w:sz="4" w:space="0" w:color="D9D9D9" w:themeColor="background1" w:themeShade="D9"/>
              <w:bottom w:val="single" w:sz="4" w:space="0" w:color="666666" w:themeColor="text1" w:themeTint="99"/>
            </w:tcBorders>
            <w:shd w:val="clear" w:color="auto" w:fill="595959" w:themeFill="text1" w:themeFillTint="A6"/>
          </w:tcPr>
          <w:p w14:paraId="521236D0" w14:textId="35F81FB6" w:rsidR="00F50390" w:rsidRPr="006029F3"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n</w:t>
            </w:r>
            <w:r>
              <w:rPr>
                <w:rFonts w:eastAsia="Times New Roman" w:cs="Times New Roman"/>
                <w:color w:val="FFFFFF" w:themeColor="background1"/>
                <w:szCs w:val="24"/>
                <w:lang w:eastAsia="en-AU"/>
              </w:rPr>
              <w:br/>
              <w:t>(total</w:t>
            </w:r>
            <w:r w:rsidRPr="006029F3">
              <w:rPr>
                <w:rFonts w:eastAsia="Times New Roman" w:cs="Times New Roman"/>
                <w:color w:val="FFFFFF" w:themeColor="background1"/>
                <w:szCs w:val="24"/>
                <w:lang w:eastAsia="en-AU"/>
              </w:rPr>
              <w:t>=44)</w:t>
            </w:r>
          </w:p>
        </w:tc>
        <w:tc>
          <w:tcPr>
            <w:tcW w:w="1418" w:type="dxa"/>
            <w:tcBorders>
              <w:top w:val="single" w:sz="4" w:space="0" w:color="D9D9D9" w:themeColor="background1" w:themeShade="D9"/>
              <w:bottom w:val="single" w:sz="4" w:space="0" w:color="666666" w:themeColor="text1" w:themeTint="99"/>
            </w:tcBorders>
            <w:shd w:val="clear" w:color="auto" w:fill="595959" w:themeFill="text1" w:themeFillTint="A6"/>
          </w:tcPr>
          <w:p w14:paraId="1FCDBC81" w14:textId="77777777" w:rsidR="00F50390" w:rsidRPr="006029F3"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c>
          <w:tcPr>
            <w:tcW w:w="1701"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5AEA751E" w14:textId="7AD402E9" w:rsidR="00F50390" w:rsidRPr="006029F3"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n</w:t>
            </w:r>
            <w:r>
              <w:rPr>
                <w:rFonts w:eastAsia="Times New Roman" w:cs="Times New Roman"/>
                <w:color w:val="FFFFFF" w:themeColor="background1"/>
                <w:szCs w:val="24"/>
                <w:lang w:eastAsia="en-AU"/>
              </w:rPr>
              <w:br/>
              <w:t>(total</w:t>
            </w:r>
            <w:r w:rsidRPr="006029F3">
              <w:rPr>
                <w:rFonts w:eastAsia="Times New Roman" w:cs="Times New Roman"/>
                <w:color w:val="FFFFFF" w:themeColor="background1"/>
                <w:szCs w:val="24"/>
                <w:lang w:eastAsia="en-AU"/>
              </w:rPr>
              <w:t>=75)</w:t>
            </w:r>
          </w:p>
        </w:tc>
        <w:tc>
          <w:tcPr>
            <w:tcW w:w="1275" w:type="dxa"/>
            <w:tcBorders>
              <w:top w:val="single" w:sz="4" w:space="0" w:color="D9D9D9" w:themeColor="background1" w:themeShade="D9"/>
              <w:bottom w:val="single" w:sz="4" w:space="0" w:color="666666" w:themeColor="text1" w:themeTint="99"/>
            </w:tcBorders>
            <w:shd w:val="clear" w:color="auto" w:fill="595959" w:themeFill="text1" w:themeFillTint="A6"/>
          </w:tcPr>
          <w:p w14:paraId="48CEFB67" w14:textId="77777777" w:rsidR="00F50390" w:rsidRPr="006029F3"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szCs w:val="24"/>
                <w:lang w:eastAsia="en-AU"/>
              </w:rPr>
            </w:pPr>
            <w:r w:rsidRPr="006029F3">
              <w:rPr>
                <w:rFonts w:eastAsia="Times New Roman" w:cs="Times New Roman"/>
                <w:color w:val="FFFFFF" w:themeColor="background1"/>
                <w:szCs w:val="24"/>
                <w:lang w:eastAsia="en-AU"/>
              </w:rPr>
              <w:t>%</w:t>
            </w:r>
          </w:p>
        </w:tc>
      </w:tr>
      <w:tr w:rsidR="00F50390" w:rsidRPr="0091560A" w14:paraId="33FA3BDB" w14:textId="77777777" w:rsidTr="00E279D1">
        <w:trPr>
          <w:trHeight w:val="269"/>
        </w:trPr>
        <w:tc>
          <w:tcPr>
            <w:cnfStyle w:val="001000000000" w:firstRow="0" w:lastRow="0" w:firstColumn="1" w:lastColumn="0" w:oddVBand="0" w:evenVBand="0" w:oddHBand="0" w:evenHBand="0" w:firstRowFirstColumn="0" w:firstRowLastColumn="0" w:lastRowFirstColumn="0" w:lastRowLastColumn="0"/>
            <w:tcW w:w="3119" w:type="dxa"/>
            <w:tcBorders>
              <w:bottom w:val="nil"/>
            </w:tcBorders>
            <w:noWrap/>
          </w:tcPr>
          <w:p w14:paraId="33CB7AE1"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&lt;2h</w:t>
            </w:r>
          </w:p>
        </w:tc>
        <w:tc>
          <w:tcPr>
            <w:tcW w:w="1559" w:type="dxa"/>
            <w:tcBorders>
              <w:bottom w:val="nil"/>
            </w:tcBorders>
          </w:tcPr>
          <w:p w14:paraId="2035C6E2"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0</w:t>
            </w:r>
          </w:p>
        </w:tc>
        <w:tc>
          <w:tcPr>
            <w:tcW w:w="1418" w:type="dxa"/>
            <w:tcBorders>
              <w:bottom w:val="nil"/>
            </w:tcBorders>
          </w:tcPr>
          <w:p w14:paraId="4A1B87F8"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0%</w:t>
            </w:r>
          </w:p>
        </w:tc>
        <w:tc>
          <w:tcPr>
            <w:tcW w:w="1701" w:type="dxa"/>
            <w:tcBorders>
              <w:bottom w:val="nil"/>
            </w:tcBorders>
            <w:noWrap/>
          </w:tcPr>
          <w:p w14:paraId="1D3C13F5"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eastAsia="Times New Roman" w:cs="Times New Roman"/>
                <w:color w:val="000000"/>
                <w:szCs w:val="24"/>
                <w:lang w:eastAsia="en-AU"/>
              </w:rPr>
              <w:t>0</w:t>
            </w:r>
          </w:p>
        </w:tc>
        <w:tc>
          <w:tcPr>
            <w:tcW w:w="1275" w:type="dxa"/>
            <w:tcBorders>
              <w:bottom w:val="nil"/>
            </w:tcBorders>
          </w:tcPr>
          <w:p w14:paraId="24D64FD5"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0%</w:t>
            </w:r>
          </w:p>
        </w:tc>
      </w:tr>
      <w:tr w:rsidR="00F50390" w:rsidRPr="0091560A" w14:paraId="55CA9359" w14:textId="77777777" w:rsidTr="00E279D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noWrap/>
            <w:hideMark/>
          </w:tcPr>
          <w:p w14:paraId="21D7068B"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2-&lt;4h</w:t>
            </w:r>
          </w:p>
        </w:tc>
        <w:tc>
          <w:tcPr>
            <w:tcW w:w="1559" w:type="dxa"/>
            <w:tcBorders>
              <w:top w:val="nil"/>
              <w:bottom w:val="nil"/>
            </w:tcBorders>
          </w:tcPr>
          <w:p w14:paraId="5122CEFF"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w:t>
            </w:r>
          </w:p>
        </w:tc>
        <w:tc>
          <w:tcPr>
            <w:tcW w:w="1418" w:type="dxa"/>
            <w:tcBorders>
              <w:top w:val="nil"/>
              <w:bottom w:val="nil"/>
            </w:tcBorders>
          </w:tcPr>
          <w:p w14:paraId="3F6BF7EF"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6.8%</w:t>
            </w:r>
          </w:p>
        </w:tc>
        <w:tc>
          <w:tcPr>
            <w:tcW w:w="1701" w:type="dxa"/>
            <w:tcBorders>
              <w:top w:val="nil"/>
              <w:bottom w:val="nil"/>
            </w:tcBorders>
            <w:noWrap/>
            <w:hideMark/>
          </w:tcPr>
          <w:p w14:paraId="2C1369DC"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w:t>
            </w:r>
          </w:p>
        </w:tc>
        <w:tc>
          <w:tcPr>
            <w:tcW w:w="1275" w:type="dxa"/>
            <w:tcBorders>
              <w:top w:val="nil"/>
              <w:bottom w:val="nil"/>
            </w:tcBorders>
          </w:tcPr>
          <w:p w14:paraId="7FD0F52F"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5.3%</w:t>
            </w:r>
          </w:p>
        </w:tc>
      </w:tr>
      <w:tr w:rsidR="00F50390" w:rsidRPr="0091560A" w14:paraId="10356B00" w14:textId="77777777" w:rsidTr="00E279D1">
        <w:trPr>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noWrap/>
            <w:hideMark/>
          </w:tcPr>
          <w:p w14:paraId="5783B105"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4-&lt;8h</w:t>
            </w:r>
          </w:p>
        </w:tc>
        <w:tc>
          <w:tcPr>
            <w:tcW w:w="1559" w:type="dxa"/>
            <w:tcBorders>
              <w:top w:val="nil"/>
              <w:bottom w:val="nil"/>
            </w:tcBorders>
          </w:tcPr>
          <w:p w14:paraId="722AF809"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w:t>
            </w:r>
          </w:p>
        </w:tc>
        <w:tc>
          <w:tcPr>
            <w:tcW w:w="1418" w:type="dxa"/>
            <w:tcBorders>
              <w:top w:val="nil"/>
              <w:bottom w:val="nil"/>
            </w:tcBorders>
          </w:tcPr>
          <w:p w14:paraId="757A6EB2"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2.3%</w:t>
            </w:r>
          </w:p>
        </w:tc>
        <w:tc>
          <w:tcPr>
            <w:tcW w:w="1701" w:type="dxa"/>
            <w:tcBorders>
              <w:top w:val="nil"/>
              <w:bottom w:val="nil"/>
            </w:tcBorders>
            <w:noWrap/>
            <w:hideMark/>
          </w:tcPr>
          <w:p w14:paraId="74F5A590"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w:t>
            </w:r>
          </w:p>
        </w:tc>
        <w:tc>
          <w:tcPr>
            <w:tcW w:w="1275" w:type="dxa"/>
            <w:tcBorders>
              <w:top w:val="nil"/>
              <w:bottom w:val="nil"/>
            </w:tcBorders>
          </w:tcPr>
          <w:p w14:paraId="0EDD6BBE"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2.7%</w:t>
            </w:r>
          </w:p>
        </w:tc>
      </w:tr>
      <w:tr w:rsidR="00F50390" w:rsidRPr="0091560A" w14:paraId="243D0863" w14:textId="77777777" w:rsidTr="00E279D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noWrap/>
            <w:hideMark/>
          </w:tcPr>
          <w:p w14:paraId="6C569B51"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8-&lt;24h</w:t>
            </w:r>
          </w:p>
        </w:tc>
        <w:tc>
          <w:tcPr>
            <w:tcW w:w="1559" w:type="dxa"/>
            <w:tcBorders>
              <w:top w:val="nil"/>
              <w:bottom w:val="nil"/>
            </w:tcBorders>
          </w:tcPr>
          <w:p w14:paraId="519154BB"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16</w:t>
            </w:r>
          </w:p>
        </w:tc>
        <w:tc>
          <w:tcPr>
            <w:tcW w:w="1418" w:type="dxa"/>
            <w:tcBorders>
              <w:top w:val="nil"/>
              <w:bottom w:val="nil"/>
            </w:tcBorders>
          </w:tcPr>
          <w:p w14:paraId="4F6C6FC3"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36.4%</w:t>
            </w:r>
          </w:p>
        </w:tc>
        <w:tc>
          <w:tcPr>
            <w:tcW w:w="1701" w:type="dxa"/>
            <w:tcBorders>
              <w:top w:val="nil"/>
              <w:bottom w:val="nil"/>
            </w:tcBorders>
            <w:noWrap/>
            <w:hideMark/>
          </w:tcPr>
          <w:p w14:paraId="0E085FEA"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22</w:t>
            </w:r>
          </w:p>
        </w:tc>
        <w:tc>
          <w:tcPr>
            <w:tcW w:w="1275" w:type="dxa"/>
            <w:tcBorders>
              <w:top w:val="nil"/>
              <w:bottom w:val="nil"/>
            </w:tcBorders>
          </w:tcPr>
          <w:p w14:paraId="72543FD7"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29.3%</w:t>
            </w:r>
          </w:p>
        </w:tc>
      </w:tr>
      <w:tr w:rsidR="00F50390" w:rsidRPr="0091560A" w14:paraId="0D7763CF" w14:textId="77777777" w:rsidTr="00E279D1">
        <w:trPr>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bottom w:val="nil"/>
            </w:tcBorders>
            <w:noWrap/>
            <w:hideMark/>
          </w:tcPr>
          <w:p w14:paraId="54778C57"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24h+</w:t>
            </w:r>
          </w:p>
        </w:tc>
        <w:tc>
          <w:tcPr>
            <w:tcW w:w="1559" w:type="dxa"/>
            <w:tcBorders>
              <w:top w:val="nil"/>
              <w:bottom w:val="nil"/>
            </w:tcBorders>
          </w:tcPr>
          <w:p w14:paraId="094FBF4C"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19</w:t>
            </w:r>
          </w:p>
        </w:tc>
        <w:tc>
          <w:tcPr>
            <w:tcW w:w="1418" w:type="dxa"/>
            <w:tcBorders>
              <w:top w:val="nil"/>
              <w:bottom w:val="nil"/>
            </w:tcBorders>
          </w:tcPr>
          <w:p w14:paraId="536A8A58"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43.2%</w:t>
            </w:r>
          </w:p>
        </w:tc>
        <w:tc>
          <w:tcPr>
            <w:tcW w:w="1701" w:type="dxa"/>
            <w:tcBorders>
              <w:top w:val="nil"/>
              <w:bottom w:val="nil"/>
            </w:tcBorders>
            <w:noWrap/>
            <w:hideMark/>
          </w:tcPr>
          <w:p w14:paraId="394A339A"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36</w:t>
            </w:r>
          </w:p>
        </w:tc>
        <w:tc>
          <w:tcPr>
            <w:tcW w:w="1275" w:type="dxa"/>
            <w:tcBorders>
              <w:top w:val="nil"/>
              <w:bottom w:val="nil"/>
            </w:tcBorders>
          </w:tcPr>
          <w:p w14:paraId="6EAA686B" w14:textId="77777777" w:rsidR="00F50390" w:rsidRPr="0091560A" w:rsidRDefault="00F50390">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48.0%</w:t>
            </w:r>
          </w:p>
        </w:tc>
      </w:tr>
      <w:tr w:rsidR="00F50390" w:rsidRPr="0091560A" w14:paraId="7778954C" w14:textId="77777777" w:rsidTr="00E279D1">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3119" w:type="dxa"/>
            <w:tcBorders>
              <w:top w:val="nil"/>
            </w:tcBorders>
            <w:noWrap/>
            <w:hideMark/>
          </w:tcPr>
          <w:p w14:paraId="383CB9F1" w14:textId="77777777" w:rsidR="00F50390" w:rsidRPr="0091560A" w:rsidRDefault="00F50390">
            <w:pPr>
              <w:rPr>
                <w:rFonts w:eastAsia="Times New Roman" w:cs="Times New Roman"/>
                <w:color w:val="000000"/>
                <w:szCs w:val="24"/>
                <w:lang w:eastAsia="en-AU"/>
              </w:rPr>
            </w:pPr>
            <w:r w:rsidRPr="0091560A">
              <w:rPr>
                <w:rFonts w:eastAsia="Times New Roman" w:cs="Times New Roman"/>
                <w:color w:val="000000"/>
                <w:szCs w:val="24"/>
                <w:lang w:eastAsia="en-AU"/>
              </w:rPr>
              <w:t xml:space="preserve">Unknown time </w:t>
            </w:r>
          </w:p>
        </w:tc>
        <w:tc>
          <w:tcPr>
            <w:tcW w:w="1559" w:type="dxa"/>
            <w:tcBorders>
              <w:top w:val="nil"/>
            </w:tcBorders>
          </w:tcPr>
          <w:p w14:paraId="0CB61FCE"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5</w:t>
            </w:r>
          </w:p>
        </w:tc>
        <w:tc>
          <w:tcPr>
            <w:tcW w:w="1418" w:type="dxa"/>
            <w:tcBorders>
              <w:top w:val="nil"/>
            </w:tcBorders>
          </w:tcPr>
          <w:p w14:paraId="41EEDFBA"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11.4%</w:t>
            </w:r>
          </w:p>
        </w:tc>
        <w:tc>
          <w:tcPr>
            <w:tcW w:w="1701" w:type="dxa"/>
            <w:tcBorders>
              <w:top w:val="nil"/>
            </w:tcBorders>
            <w:noWrap/>
            <w:hideMark/>
          </w:tcPr>
          <w:p w14:paraId="0409BDC3"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11</w:t>
            </w:r>
          </w:p>
        </w:tc>
        <w:tc>
          <w:tcPr>
            <w:tcW w:w="1275" w:type="dxa"/>
            <w:tcBorders>
              <w:top w:val="nil"/>
            </w:tcBorders>
          </w:tcPr>
          <w:p w14:paraId="04C1977E" w14:textId="77777777" w:rsidR="00F50390" w:rsidRPr="0091560A" w:rsidRDefault="00F50390">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91560A">
              <w:rPr>
                <w:rFonts w:cs="Times New Roman"/>
                <w:color w:val="000000"/>
              </w:rPr>
              <w:t>14.7%</w:t>
            </w:r>
          </w:p>
        </w:tc>
      </w:tr>
    </w:tbl>
    <w:p w14:paraId="6804840F" w14:textId="77777777" w:rsidR="00907F7E" w:rsidRPr="0091560A" w:rsidRDefault="00907F7E">
      <w:pPr>
        <w:pStyle w:val="Tablenote"/>
      </w:pPr>
      <w:r w:rsidRPr="0091560A">
        <w:t>If time to presentation not stated, time to initial bloods, or time to call to PIC is taken (whichever is earliest)</w:t>
      </w:r>
    </w:p>
    <w:p w14:paraId="0EC0A878" w14:textId="77777777" w:rsidR="001256FB" w:rsidRDefault="001256FB">
      <w:pPr>
        <w:rPr>
          <w:rFonts w:cs="Times New Roman"/>
        </w:rPr>
      </w:pPr>
    </w:p>
    <w:p w14:paraId="52C5127A" w14:textId="3DB974BF" w:rsidR="00C8546D" w:rsidRDefault="004A12F0">
      <w:pPr>
        <w:rPr>
          <w:rFonts w:cs="Times New Roman"/>
        </w:rPr>
      </w:pPr>
      <w:r>
        <w:rPr>
          <w:rFonts w:cs="Times New Roman"/>
        </w:rPr>
        <w:t xml:space="preserve">The dose ingested was also </w:t>
      </w:r>
      <w:r w:rsidR="003A2789">
        <w:rPr>
          <w:rFonts w:cs="Times New Roman"/>
        </w:rPr>
        <w:t>clearly important, as demonstrated in the concentrations of those with and without liver injury recorded against the nomogram (Figure 25).</w:t>
      </w:r>
    </w:p>
    <w:p w14:paraId="2CABDD04" w14:textId="77777777" w:rsidR="001256FB" w:rsidRDefault="001256FB">
      <w:pPr>
        <w:rPr>
          <w:rFonts w:cs="Times New Roman"/>
          <w:i/>
          <w:iCs/>
          <w:color w:val="44546A" w:themeColor="text2"/>
          <w:sz w:val="18"/>
          <w:szCs w:val="18"/>
        </w:rPr>
      </w:pPr>
    </w:p>
    <w:p w14:paraId="1EC3D832" w14:textId="77777777" w:rsidR="00681183" w:rsidRDefault="007C0CD0" w:rsidP="00681183">
      <w:r>
        <w:rPr>
          <w:noProof/>
        </w:rPr>
        <w:drawing>
          <wp:inline distT="0" distB="0" distL="0" distR="0" wp14:anchorId="6633DBAC" wp14:editId="25FA08E6">
            <wp:extent cx="5730875" cy="3767455"/>
            <wp:effectExtent l="0" t="0" r="3175" b="4445"/>
            <wp:docPr id="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0875" cy="3767455"/>
                    </a:xfrm>
                    <a:prstGeom prst="rect">
                      <a:avLst/>
                    </a:prstGeom>
                    <a:noFill/>
                  </pic:spPr>
                </pic:pic>
              </a:graphicData>
            </a:graphic>
          </wp:inline>
        </w:drawing>
      </w:r>
    </w:p>
    <w:p w14:paraId="2536E1BB" w14:textId="5040F328" w:rsidR="00A52564" w:rsidRPr="0091560A" w:rsidRDefault="00A52564" w:rsidP="00681183">
      <w:pPr>
        <w:pStyle w:val="FigureCaption"/>
      </w:pPr>
      <w:bookmarkStart w:id="71" w:name="_Toc114559986"/>
      <w:r w:rsidRPr="0091560A">
        <w:t xml:space="preserve">Figure </w:t>
      </w:r>
      <w:r>
        <w:fldChar w:fldCharType="begin"/>
      </w:r>
      <w:r>
        <w:instrText>SEQ Figure \* ARABIC</w:instrText>
      </w:r>
      <w:r>
        <w:fldChar w:fldCharType="separate"/>
      </w:r>
      <w:r w:rsidR="0091734E">
        <w:rPr>
          <w:noProof/>
        </w:rPr>
        <w:t>25</w:t>
      </w:r>
      <w:r>
        <w:fldChar w:fldCharType="end"/>
      </w:r>
      <w:r w:rsidRPr="0091560A">
        <w:t>. Peak paracetamol levels of 1513 cases where paracetamol level and known time of ingestion was documented in PIC call record.</w:t>
      </w:r>
      <w:bookmarkEnd w:id="71"/>
      <w:r w:rsidRPr="0091560A">
        <w:t xml:space="preserve"> </w:t>
      </w:r>
    </w:p>
    <w:p w14:paraId="39D3C1EC" w14:textId="56ADFB48" w:rsidR="00907F7E" w:rsidRPr="00882746" w:rsidRDefault="1F982074">
      <w:pPr>
        <w:pStyle w:val="Figurenote"/>
      </w:pPr>
      <w:r w:rsidRPr="001256FB">
        <w:t xml:space="preserve">Note: </w:t>
      </w:r>
      <w:r w:rsidR="7B66B020" w:rsidRPr="001256FB">
        <w:t>Paracetamol concentrations are plotted aga</w:t>
      </w:r>
      <w:r w:rsidR="7B66B020" w:rsidRPr="0014178E">
        <w:t xml:space="preserve">inst paracetamol nomogram treatment lines. Levels that were reported in </w:t>
      </w:r>
      <w:r w:rsidR="7B66B020" w:rsidRPr="007D79C1" w:rsidDel="00787E88">
        <w:t>micromol</w:t>
      </w:r>
      <w:r w:rsidR="7B66B020" w:rsidRPr="002A13EF">
        <w:t xml:space="preserve">/L were converted to mg/L by dividing by 6.614. Those with hepatotoxicity (defined as ALT &gt;50 or &gt;1000 for severe toxicity) are coloured red, and the one death is marked with a cross. </w:t>
      </w:r>
    </w:p>
    <w:p w14:paraId="6FC5EBB7" w14:textId="163EC9FE" w:rsidR="002E1F5B" w:rsidRPr="0091560A" w:rsidRDefault="00F9420A" w:rsidP="000A557D">
      <w:pPr>
        <w:pStyle w:val="Heading3"/>
      </w:pPr>
      <w:bookmarkStart w:id="72" w:name="_Toc112843917"/>
      <w:r>
        <w:t>2.</w:t>
      </w:r>
      <w:r w:rsidR="00215648">
        <w:t xml:space="preserve">4.3 </w:t>
      </w:r>
      <w:r>
        <w:t xml:space="preserve"> </w:t>
      </w:r>
      <w:r w:rsidR="001601BA" w:rsidRPr="0091560A">
        <w:t>Electronic medical record (e</w:t>
      </w:r>
      <w:r w:rsidR="002E1F5B" w:rsidRPr="0091560A">
        <w:t>MR</w:t>
      </w:r>
      <w:r w:rsidR="001601BA" w:rsidRPr="0091560A">
        <w:t>)</w:t>
      </w:r>
      <w:r w:rsidR="002E1F5B" w:rsidRPr="0091560A">
        <w:t xml:space="preserve"> data</w:t>
      </w:r>
      <w:r w:rsidR="00E97C2E">
        <w:t xml:space="preserve"> on NSW PIC cases</w:t>
      </w:r>
      <w:bookmarkEnd w:id="72"/>
    </w:p>
    <w:p w14:paraId="25BC7FC0" w14:textId="05E14515" w:rsidR="001601BA" w:rsidRPr="00B2525D" w:rsidRDefault="001601BA" w:rsidP="000A557D">
      <w:pPr>
        <w:pStyle w:val="Heading4"/>
      </w:pPr>
      <w:r w:rsidRPr="00B2525D">
        <w:t>Methods</w:t>
      </w:r>
    </w:p>
    <w:p w14:paraId="2CDA204F" w14:textId="6393056C" w:rsidR="002E1F5B" w:rsidRPr="0091560A" w:rsidRDefault="00E079B2" w:rsidP="002E1F5B">
      <w:pPr>
        <w:rPr>
          <w:rFonts w:cs="Times New Roman"/>
        </w:rPr>
      </w:pPr>
      <w:r w:rsidRPr="0091560A">
        <w:rPr>
          <w:rFonts w:cs="Times New Roman"/>
        </w:rPr>
        <w:t>A</w:t>
      </w:r>
      <w:r w:rsidR="00BF044C" w:rsidRPr="0091560A">
        <w:rPr>
          <w:rFonts w:cs="Times New Roman"/>
        </w:rPr>
        <w:t>s there was no follow-up the above data are likely a</w:t>
      </w:r>
      <w:r w:rsidR="00F950D4" w:rsidRPr="0091560A">
        <w:rPr>
          <w:rFonts w:cs="Times New Roman"/>
        </w:rPr>
        <w:t xml:space="preserve"> significant </w:t>
      </w:r>
      <w:r w:rsidR="00BF044C" w:rsidRPr="0091560A">
        <w:rPr>
          <w:rFonts w:cs="Times New Roman"/>
        </w:rPr>
        <w:t xml:space="preserve">underestimate of morbidity. </w:t>
      </w:r>
      <w:r w:rsidR="00580831" w:rsidRPr="0091560A">
        <w:rPr>
          <w:rFonts w:cs="Times New Roman"/>
        </w:rPr>
        <w:t xml:space="preserve">The PIC also collects very little data on </w:t>
      </w:r>
      <w:r w:rsidR="00F950D4" w:rsidRPr="0091560A">
        <w:rPr>
          <w:rFonts w:cs="Times New Roman"/>
        </w:rPr>
        <w:t>intent or underlying reasons for self-poisoning.</w:t>
      </w:r>
      <w:r w:rsidR="00580831" w:rsidRPr="0091560A">
        <w:rPr>
          <w:rFonts w:cs="Times New Roman"/>
        </w:rPr>
        <w:t xml:space="preserve"> </w:t>
      </w:r>
      <w:r w:rsidRPr="0091560A">
        <w:rPr>
          <w:rFonts w:cs="Times New Roman"/>
        </w:rPr>
        <w:t>Therefore, b</w:t>
      </w:r>
      <w:r w:rsidR="002E1F5B" w:rsidRPr="0091560A">
        <w:rPr>
          <w:rFonts w:cs="Times New Roman"/>
        </w:rPr>
        <w:t>etween 1 February 2022 and 30 March 2022, we attempted to gain full outcome data on paracetamol self-poisoning exposures reported to NSW</w:t>
      </w:r>
      <w:r w:rsidR="00CB47B2">
        <w:rPr>
          <w:rFonts w:cs="Times New Roman"/>
        </w:rPr>
        <w:t xml:space="preserve"> </w:t>
      </w:r>
      <w:r w:rsidR="002E1F5B" w:rsidRPr="0091560A">
        <w:rPr>
          <w:rFonts w:cs="Times New Roman"/>
        </w:rPr>
        <w:t>PIC. To do this we extracted data from electronic medical records to which NSW</w:t>
      </w:r>
      <w:r w:rsidR="00CB47B2">
        <w:rPr>
          <w:rFonts w:cs="Times New Roman"/>
        </w:rPr>
        <w:t xml:space="preserve"> </w:t>
      </w:r>
      <w:r w:rsidR="002E1F5B" w:rsidRPr="0091560A">
        <w:rPr>
          <w:rFonts w:cs="Times New Roman"/>
        </w:rPr>
        <w:t>PIC has access (approximately 50% of NSW based cases).</w:t>
      </w:r>
    </w:p>
    <w:p w14:paraId="3AD81570" w14:textId="77777777" w:rsidR="002E1F5B" w:rsidRPr="0091560A" w:rsidRDefault="002E1F5B" w:rsidP="002E1F5B">
      <w:pPr>
        <w:rPr>
          <w:rFonts w:cs="Times New Roman"/>
        </w:rPr>
      </w:pPr>
      <w:r w:rsidRPr="0091560A">
        <w:rPr>
          <w:rFonts w:cs="Times New Roman"/>
        </w:rPr>
        <w:t>The following information was collected:</w:t>
      </w:r>
    </w:p>
    <w:p w14:paraId="0EBB4D0C" w14:textId="77777777" w:rsidR="002E1F5B" w:rsidRPr="00497288" w:rsidRDefault="002E1F5B" w:rsidP="00791C2A">
      <w:pPr>
        <w:pStyle w:val="ListParagraph"/>
        <w:numPr>
          <w:ilvl w:val="0"/>
          <w:numId w:val="49"/>
        </w:numPr>
        <w:spacing w:after="0" w:line="240" w:lineRule="auto"/>
        <w:rPr>
          <w:rFonts w:cs="Times New Roman"/>
        </w:rPr>
      </w:pPr>
      <w:r w:rsidRPr="00A70969">
        <w:rPr>
          <w:rFonts w:cs="Times New Roman"/>
        </w:rPr>
        <w:t xml:space="preserve">Treatment received (N-acetylcysteine, </w:t>
      </w:r>
      <w:r w:rsidRPr="00275777">
        <w:rPr>
          <w:rFonts w:cs="Times New Roman"/>
        </w:rPr>
        <w:t>activated charcoal)</w:t>
      </w:r>
    </w:p>
    <w:p w14:paraId="4287734A" w14:textId="77777777" w:rsidR="002E1F5B" w:rsidRPr="0038312B" w:rsidRDefault="002E1F5B" w:rsidP="00791C2A">
      <w:pPr>
        <w:pStyle w:val="ListParagraph"/>
        <w:numPr>
          <w:ilvl w:val="0"/>
          <w:numId w:val="49"/>
        </w:numPr>
        <w:spacing w:after="0" w:line="240" w:lineRule="auto"/>
        <w:rPr>
          <w:rFonts w:cs="Times New Roman"/>
        </w:rPr>
      </w:pPr>
      <w:r w:rsidRPr="00C03854">
        <w:rPr>
          <w:rFonts w:cs="Times New Roman"/>
        </w:rPr>
        <w:t>Peak ALT</w:t>
      </w:r>
    </w:p>
    <w:p w14:paraId="615EC4FC" w14:textId="77777777" w:rsidR="002E1F5B" w:rsidRPr="00AF5ECD" w:rsidRDefault="002E1F5B" w:rsidP="00791C2A">
      <w:pPr>
        <w:pStyle w:val="ListParagraph"/>
        <w:numPr>
          <w:ilvl w:val="0"/>
          <w:numId w:val="49"/>
        </w:numPr>
        <w:spacing w:after="0" w:line="240" w:lineRule="auto"/>
        <w:rPr>
          <w:rFonts w:cs="Times New Roman"/>
        </w:rPr>
      </w:pPr>
      <w:r w:rsidRPr="00A85B9E">
        <w:rPr>
          <w:rFonts w:cs="Times New Roman"/>
        </w:rPr>
        <w:t>Peak INR</w:t>
      </w:r>
    </w:p>
    <w:p w14:paraId="0BB7CEFE" w14:textId="3ACCA1EE" w:rsidR="002E1F5B" w:rsidRPr="00275777" w:rsidRDefault="6A84B3A1" w:rsidP="00791C2A">
      <w:pPr>
        <w:pStyle w:val="ListParagraph"/>
        <w:numPr>
          <w:ilvl w:val="0"/>
          <w:numId w:val="49"/>
        </w:numPr>
        <w:spacing w:after="0" w:line="240" w:lineRule="auto"/>
        <w:rPr>
          <w:rFonts w:cs="Times New Roman"/>
        </w:rPr>
      </w:pPr>
      <w:r w:rsidRPr="00A8345D">
        <w:rPr>
          <w:rFonts w:cs="Times New Roman"/>
        </w:rPr>
        <w:t>Pea</w:t>
      </w:r>
      <w:r w:rsidR="00D20013" w:rsidRPr="00A8345D">
        <w:rPr>
          <w:rFonts w:cs="Times New Roman"/>
        </w:rPr>
        <w:t>k</w:t>
      </w:r>
      <w:r w:rsidRPr="00A70969">
        <w:rPr>
          <w:rFonts w:cs="Times New Roman"/>
        </w:rPr>
        <w:t xml:space="preserve"> paracetamol level and time of level</w:t>
      </w:r>
    </w:p>
    <w:p w14:paraId="258C98C7" w14:textId="77777777" w:rsidR="002E1F5B" w:rsidRPr="00497288" w:rsidRDefault="002E1F5B" w:rsidP="00791C2A">
      <w:pPr>
        <w:pStyle w:val="ListParagraph"/>
        <w:numPr>
          <w:ilvl w:val="0"/>
          <w:numId w:val="49"/>
        </w:numPr>
        <w:spacing w:after="0" w:line="240" w:lineRule="auto"/>
        <w:rPr>
          <w:rFonts w:cs="Times New Roman"/>
        </w:rPr>
      </w:pPr>
      <w:r w:rsidRPr="00497288">
        <w:rPr>
          <w:rFonts w:cs="Times New Roman"/>
        </w:rPr>
        <w:t>Whether the patient was transferred to a liver centre/received a transplant</w:t>
      </w:r>
    </w:p>
    <w:p w14:paraId="1DCDCE1B" w14:textId="56E084DA" w:rsidR="002E1F5B" w:rsidRPr="0038312B" w:rsidRDefault="002E1F5B" w:rsidP="00791C2A">
      <w:pPr>
        <w:pStyle w:val="ListParagraph"/>
        <w:numPr>
          <w:ilvl w:val="0"/>
          <w:numId w:val="49"/>
        </w:numPr>
        <w:spacing w:after="0" w:line="240" w:lineRule="auto"/>
        <w:rPr>
          <w:rFonts w:cs="Times New Roman"/>
        </w:rPr>
      </w:pPr>
      <w:r w:rsidRPr="00C03854">
        <w:rPr>
          <w:rFonts w:cs="Times New Roman"/>
        </w:rPr>
        <w:t>Other treatments (e.g.</w:t>
      </w:r>
      <w:r w:rsidR="00DD658B">
        <w:rPr>
          <w:rFonts w:cs="Times New Roman"/>
        </w:rPr>
        <w:t>,</w:t>
      </w:r>
      <w:r w:rsidRPr="00C03854">
        <w:rPr>
          <w:rFonts w:cs="Times New Roman"/>
        </w:rPr>
        <w:t xml:space="preserve"> dialysis)</w:t>
      </w:r>
    </w:p>
    <w:p w14:paraId="7B68A40B" w14:textId="483D8215" w:rsidR="002E1F5B" w:rsidRPr="00E62BF0" w:rsidRDefault="002E1F5B" w:rsidP="00791C2A">
      <w:pPr>
        <w:pStyle w:val="ListParagraph"/>
        <w:numPr>
          <w:ilvl w:val="0"/>
          <w:numId w:val="49"/>
        </w:numPr>
        <w:spacing w:after="0" w:line="240" w:lineRule="auto"/>
        <w:rPr>
          <w:rFonts w:cs="Times New Roman"/>
        </w:rPr>
      </w:pPr>
      <w:r w:rsidRPr="00A85B9E">
        <w:rPr>
          <w:rFonts w:cs="Times New Roman"/>
        </w:rPr>
        <w:t xml:space="preserve">Psychiatric disposition (admitted under psychiatry, scheduled under </w:t>
      </w:r>
      <w:r w:rsidR="00FB5923" w:rsidRPr="00AF5ECD">
        <w:rPr>
          <w:rFonts w:cs="Times New Roman"/>
        </w:rPr>
        <w:t xml:space="preserve">NSW </w:t>
      </w:r>
      <w:r w:rsidRPr="00E62BF0">
        <w:rPr>
          <w:rFonts w:cs="Times New Roman"/>
        </w:rPr>
        <w:t>Mental Health Act)</w:t>
      </w:r>
    </w:p>
    <w:p w14:paraId="786A29B6" w14:textId="77777777" w:rsidR="002E1F5B" w:rsidRPr="00A57D80" w:rsidRDefault="002E1F5B" w:rsidP="00791C2A">
      <w:pPr>
        <w:pStyle w:val="ListParagraph"/>
        <w:numPr>
          <w:ilvl w:val="0"/>
          <w:numId w:val="49"/>
        </w:numPr>
        <w:spacing w:after="0" w:line="240" w:lineRule="auto"/>
        <w:rPr>
          <w:rFonts w:cs="Times New Roman"/>
        </w:rPr>
      </w:pPr>
      <w:r w:rsidRPr="006B127E">
        <w:rPr>
          <w:rFonts w:cs="Times New Roman"/>
        </w:rPr>
        <w:t>Psychiatric diagnos</w:t>
      </w:r>
      <w:r w:rsidRPr="00A57D80">
        <w:rPr>
          <w:rFonts w:cs="Times New Roman"/>
        </w:rPr>
        <w:t>es</w:t>
      </w:r>
    </w:p>
    <w:p w14:paraId="1BCF24BA" w14:textId="77777777" w:rsidR="002E1F5B" w:rsidRPr="00A57D80" w:rsidRDefault="002E1F5B" w:rsidP="00791C2A">
      <w:pPr>
        <w:pStyle w:val="ListParagraph"/>
        <w:numPr>
          <w:ilvl w:val="0"/>
          <w:numId w:val="49"/>
        </w:numPr>
        <w:spacing w:after="0" w:line="240" w:lineRule="auto"/>
        <w:rPr>
          <w:rFonts w:cs="Times New Roman"/>
        </w:rPr>
      </w:pPr>
      <w:r w:rsidRPr="00A57D80">
        <w:rPr>
          <w:rFonts w:cs="Times New Roman"/>
        </w:rPr>
        <w:t>Reason for self-poisoning</w:t>
      </w:r>
    </w:p>
    <w:p w14:paraId="74C0C5EA" w14:textId="77777777" w:rsidR="002E1F5B" w:rsidRPr="00840495" w:rsidRDefault="002E1F5B" w:rsidP="00791C2A">
      <w:pPr>
        <w:pStyle w:val="ListParagraph"/>
        <w:numPr>
          <w:ilvl w:val="0"/>
          <w:numId w:val="49"/>
        </w:numPr>
        <w:spacing w:after="0" w:line="240" w:lineRule="auto"/>
        <w:rPr>
          <w:rFonts w:cs="Times New Roman"/>
        </w:rPr>
      </w:pPr>
      <w:r w:rsidRPr="00840495">
        <w:rPr>
          <w:rFonts w:cs="Times New Roman"/>
        </w:rPr>
        <w:t>Prior deliberate self-poisonings or suicide attempts</w:t>
      </w:r>
    </w:p>
    <w:p w14:paraId="227593C0" w14:textId="77777777" w:rsidR="002E1F5B" w:rsidRPr="00840495" w:rsidRDefault="002E1F5B" w:rsidP="00791C2A">
      <w:pPr>
        <w:pStyle w:val="ListParagraph"/>
        <w:numPr>
          <w:ilvl w:val="0"/>
          <w:numId w:val="49"/>
        </w:numPr>
        <w:spacing w:after="0" w:line="240" w:lineRule="auto"/>
        <w:rPr>
          <w:rFonts w:cs="Times New Roman"/>
        </w:rPr>
      </w:pPr>
      <w:r w:rsidRPr="00840495">
        <w:rPr>
          <w:rFonts w:cs="Times New Roman"/>
        </w:rPr>
        <w:t>Medical length of stay</w:t>
      </w:r>
    </w:p>
    <w:p w14:paraId="157EC42C" w14:textId="6C4BCB64" w:rsidR="00B77CF5" w:rsidRPr="00B2525D" w:rsidRDefault="00B77CF5" w:rsidP="00791C2A">
      <w:pPr>
        <w:pStyle w:val="Heading4"/>
      </w:pPr>
      <w:r w:rsidRPr="00B2525D">
        <w:t>Results</w:t>
      </w:r>
    </w:p>
    <w:p w14:paraId="6F3D0530" w14:textId="7E559308" w:rsidR="00AA30E2" w:rsidRPr="0091560A" w:rsidRDefault="00AA30E2" w:rsidP="00AA30E2">
      <w:pPr>
        <w:rPr>
          <w:rFonts w:cs="Times New Roman"/>
        </w:rPr>
      </w:pPr>
      <w:r w:rsidRPr="0091560A">
        <w:rPr>
          <w:rFonts w:cs="Times New Roman"/>
        </w:rPr>
        <w:t>Of the 171 cases reviewed, 148 were female (86%).  The median age was 19 (IQR: 15-28 years, 8 missing). About half (87, 51%) had taken 10</w:t>
      </w:r>
      <w:r w:rsidR="00DD658B">
        <w:rPr>
          <w:rFonts w:cs="Times New Roman"/>
        </w:rPr>
        <w:t xml:space="preserve"> </w:t>
      </w:r>
      <w:r w:rsidRPr="0091560A">
        <w:rPr>
          <w:rFonts w:cs="Times New Roman"/>
        </w:rPr>
        <w:t>g of paracetamol or more.</w:t>
      </w:r>
    </w:p>
    <w:p w14:paraId="0FDF5961" w14:textId="207CC5BA" w:rsidR="00AA30E2" w:rsidRPr="0091560A" w:rsidRDefault="006A5303" w:rsidP="006A5303">
      <w:pPr>
        <w:pStyle w:val="Caption"/>
      </w:pPr>
      <w:bookmarkStart w:id="73" w:name="_Toc114560126"/>
      <w:r>
        <w:t xml:space="preserve">Table </w:t>
      </w:r>
      <w:r>
        <w:fldChar w:fldCharType="begin"/>
      </w:r>
      <w:r>
        <w:instrText>SEQ Table \* ARABIC</w:instrText>
      </w:r>
      <w:r>
        <w:fldChar w:fldCharType="separate"/>
      </w:r>
      <w:r w:rsidR="0091734E">
        <w:rPr>
          <w:noProof/>
        </w:rPr>
        <w:t>11</w:t>
      </w:r>
      <w:r>
        <w:fldChar w:fldCharType="end"/>
      </w:r>
      <w:r w:rsidRPr="0091560A">
        <w:t xml:space="preserve">. </w:t>
      </w:r>
      <w:r w:rsidR="00AA30E2" w:rsidRPr="0091560A">
        <w:t>Psychiatric diagnoses recorded</w:t>
      </w:r>
      <w:r w:rsidR="00FB30AD" w:rsidRPr="0091560A">
        <w:t xml:space="preserve"> in paracetamol </w:t>
      </w:r>
      <w:r w:rsidR="0005474F" w:rsidRPr="0091560A">
        <w:t>self-poisoning</w:t>
      </w:r>
      <w:r w:rsidR="00FB30AD" w:rsidRPr="0091560A">
        <w:t>s</w:t>
      </w:r>
      <w:bookmarkEnd w:id="73"/>
    </w:p>
    <w:tbl>
      <w:tblPr>
        <w:tblStyle w:val="ListTable2"/>
        <w:tblW w:w="8993" w:type="dxa"/>
        <w:tblLook w:val="04A0" w:firstRow="1" w:lastRow="0" w:firstColumn="1" w:lastColumn="0" w:noHBand="0" w:noVBand="1"/>
      </w:tblPr>
      <w:tblGrid>
        <w:gridCol w:w="3402"/>
        <w:gridCol w:w="1434"/>
        <w:gridCol w:w="1260"/>
        <w:gridCol w:w="1704"/>
        <w:gridCol w:w="1193"/>
      </w:tblGrid>
      <w:tr w:rsidR="00F50390" w:rsidRPr="0091560A" w14:paraId="719E4D77" w14:textId="77777777" w:rsidTr="00F50390">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shd w:val="clear" w:color="auto" w:fill="595959" w:themeFill="text1" w:themeFillTint="A6"/>
            <w:noWrap/>
          </w:tcPr>
          <w:p w14:paraId="3FEDB5CB" w14:textId="77777777" w:rsidR="00F50390" w:rsidRPr="001256FB" w:rsidRDefault="00F50390">
            <w:pPr>
              <w:rPr>
                <w:rFonts w:eastAsia="Times New Roman" w:cs="Times New Roman"/>
                <w:b w:val="0"/>
                <w:color w:val="FFFFFF" w:themeColor="background1"/>
                <w:lang w:eastAsia="en-GB"/>
              </w:rPr>
            </w:pPr>
          </w:p>
        </w:tc>
        <w:tc>
          <w:tcPr>
            <w:tcW w:w="2694" w:type="dxa"/>
            <w:gridSpan w:val="2"/>
            <w:tcBorders>
              <w:bottom w:val="single" w:sz="4" w:space="0" w:color="D9D9D9" w:themeColor="background1" w:themeShade="D9"/>
            </w:tcBorders>
            <w:shd w:val="clear" w:color="auto" w:fill="595959" w:themeFill="text1" w:themeFillTint="A6"/>
            <w:noWrap/>
          </w:tcPr>
          <w:p w14:paraId="1F2733A5" w14:textId="326F5936" w:rsidR="00F50390" w:rsidRPr="001256FB" w:rsidRDefault="00F5039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GB"/>
              </w:rPr>
            </w:pPr>
            <w:r w:rsidRPr="001256FB">
              <w:rPr>
                <w:rFonts w:eastAsia="Times New Roman" w:cs="Times New Roman"/>
                <w:color w:val="FFFFFF" w:themeColor="background1"/>
                <w:lang w:eastAsia="en-GB"/>
              </w:rPr>
              <w:t>5-19 years</w:t>
            </w:r>
          </w:p>
        </w:tc>
        <w:tc>
          <w:tcPr>
            <w:tcW w:w="2897" w:type="dxa"/>
            <w:gridSpan w:val="2"/>
            <w:tcBorders>
              <w:bottom w:val="single" w:sz="4" w:space="0" w:color="D9D9D9" w:themeColor="background1" w:themeShade="D9"/>
            </w:tcBorders>
            <w:shd w:val="clear" w:color="auto" w:fill="595959" w:themeFill="text1" w:themeFillTint="A6"/>
          </w:tcPr>
          <w:p w14:paraId="7A2ED495" w14:textId="236AE34F" w:rsidR="00F50390" w:rsidRPr="001256FB" w:rsidRDefault="00F50390">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GB"/>
              </w:rPr>
            </w:pPr>
            <w:r w:rsidRPr="001256FB">
              <w:rPr>
                <w:rFonts w:eastAsia="Times New Roman" w:cs="Times New Roman"/>
                <w:color w:val="FFFFFF" w:themeColor="background1"/>
                <w:lang w:eastAsia="en-GB"/>
              </w:rPr>
              <w:t>Others</w:t>
            </w:r>
          </w:p>
        </w:tc>
      </w:tr>
      <w:tr w:rsidR="00AA30E2" w:rsidRPr="0091560A" w14:paraId="0A67D37B"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single" w:sz="4" w:space="0" w:color="666666" w:themeColor="text1" w:themeTint="99"/>
            </w:tcBorders>
            <w:shd w:val="clear" w:color="auto" w:fill="595959" w:themeFill="text1" w:themeFillTint="A6"/>
            <w:noWrap/>
            <w:hideMark/>
          </w:tcPr>
          <w:p w14:paraId="06749A7C" w14:textId="77777777" w:rsidR="00AA30E2" w:rsidRPr="001256FB" w:rsidRDefault="00AA30E2">
            <w:pPr>
              <w:rPr>
                <w:rFonts w:eastAsia="Times New Roman" w:cs="Times New Roman"/>
                <w:b w:val="0"/>
                <w:color w:val="FFFFFF" w:themeColor="background1"/>
                <w:lang w:eastAsia="en-GB"/>
              </w:rPr>
            </w:pPr>
          </w:p>
        </w:tc>
        <w:tc>
          <w:tcPr>
            <w:tcW w:w="1434"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42573C05" w14:textId="60144492" w:rsidR="00AA30E2" w:rsidRPr="001256FB"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b/>
                <w:color w:val="FFFFFF" w:themeColor="background1"/>
                <w:lang w:eastAsia="en-GB"/>
              </w:rPr>
            </w:pPr>
            <w:r w:rsidRPr="001256FB">
              <w:rPr>
                <w:rFonts w:eastAsia="Times New Roman" w:cs="Times New Roman"/>
                <w:color w:val="FFFFFF" w:themeColor="background1"/>
                <w:lang w:eastAsia="en-GB"/>
              </w:rPr>
              <w:t>(n=88)</w:t>
            </w:r>
          </w:p>
        </w:tc>
        <w:tc>
          <w:tcPr>
            <w:tcW w:w="1260"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27A675C4" w14:textId="77777777" w:rsidR="00AA30E2" w:rsidRPr="001256FB"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en-GB"/>
              </w:rPr>
            </w:pPr>
            <w:r w:rsidRPr="001256FB">
              <w:rPr>
                <w:rFonts w:eastAsia="Times New Roman" w:cs="Times New Roman"/>
                <w:color w:val="FFFFFF" w:themeColor="background1"/>
                <w:lang w:eastAsia="en-GB"/>
              </w:rPr>
              <w:t>%</w:t>
            </w:r>
          </w:p>
        </w:tc>
        <w:tc>
          <w:tcPr>
            <w:tcW w:w="1704" w:type="dxa"/>
            <w:tcBorders>
              <w:top w:val="single" w:sz="4" w:space="0" w:color="D9D9D9" w:themeColor="background1" w:themeShade="D9"/>
              <w:bottom w:val="single" w:sz="4" w:space="0" w:color="666666" w:themeColor="text1" w:themeTint="99"/>
            </w:tcBorders>
            <w:shd w:val="clear" w:color="auto" w:fill="595959" w:themeFill="text1" w:themeFillTint="A6"/>
          </w:tcPr>
          <w:p w14:paraId="3800B3E6" w14:textId="3B404780" w:rsidR="00AA30E2" w:rsidRPr="001256FB"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en-GB"/>
              </w:rPr>
            </w:pPr>
            <w:r w:rsidRPr="001256FB">
              <w:rPr>
                <w:rFonts w:eastAsia="Times New Roman" w:cs="Times New Roman"/>
                <w:color w:val="FFFFFF" w:themeColor="background1"/>
                <w:lang w:eastAsia="en-GB"/>
              </w:rPr>
              <w:t xml:space="preserve"> (n=83)</w:t>
            </w:r>
          </w:p>
        </w:tc>
        <w:tc>
          <w:tcPr>
            <w:tcW w:w="1193" w:type="dxa"/>
            <w:tcBorders>
              <w:top w:val="single" w:sz="4" w:space="0" w:color="D9D9D9" w:themeColor="background1" w:themeShade="D9"/>
              <w:bottom w:val="single" w:sz="4" w:space="0" w:color="666666" w:themeColor="text1" w:themeTint="99"/>
            </w:tcBorders>
            <w:shd w:val="clear" w:color="auto" w:fill="595959" w:themeFill="text1" w:themeFillTint="A6"/>
          </w:tcPr>
          <w:p w14:paraId="0E025447" w14:textId="77777777" w:rsidR="00AA30E2" w:rsidRPr="001256FB"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lang w:eastAsia="en-GB"/>
              </w:rPr>
            </w:pPr>
            <w:r w:rsidRPr="001256FB">
              <w:rPr>
                <w:rFonts w:eastAsia="Times New Roman" w:cs="Times New Roman"/>
                <w:color w:val="FFFFFF" w:themeColor="background1"/>
                <w:lang w:eastAsia="en-GB"/>
              </w:rPr>
              <w:t>%</w:t>
            </w:r>
          </w:p>
        </w:tc>
      </w:tr>
      <w:tr w:rsidR="00AA30E2" w:rsidRPr="0091560A" w14:paraId="788A71EB"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bottom w:val="nil"/>
            </w:tcBorders>
            <w:noWrap/>
            <w:hideMark/>
          </w:tcPr>
          <w:p w14:paraId="4C28C530" w14:textId="77777777" w:rsidR="00AA30E2" w:rsidRPr="0091560A" w:rsidRDefault="00AA30E2">
            <w:pPr>
              <w:rPr>
                <w:rFonts w:eastAsia="Times New Roman" w:cs="Times New Roman"/>
                <w:color w:val="000000"/>
                <w:lang w:eastAsia="en-GB"/>
              </w:rPr>
            </w:pPr>
            <w:r w:rsidRPr="0091560A">
              <w:rPr>
                <w:rFonts w:cs="Times New Roman"/>
                <w:color w:val="000000"/>
              </w:rPr>
              <w:t>Depression</w:t>
            </w:r>
          </w:p>
        </w:tc>
        <w:tc>
          <w:tcPr>
            <w:tcW w:w="1434" w:type="dxa"/>
            <w:tcBorders>
              <w:bottom w:val="nil"/>
            </w:tcBorders>
            <w:noWrap/>
            <w:hideMark/>
          </w:tcPr>
          <w:p w14:paraId="5321A26B"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47</w:t>
            </w:r>
          </w:p>
        </w:tc>
        <w:tc>
          <w:tcPr>
            <w:tcW w:w="1260" w:type="dxa"/>
            <w:tcBorders>
              <w:bottom w:val="nil"/>
            </w:tcBorders>
            <w:noWrap/>
            <w:hideMark/>
          </w:tcPr>
          <w:p w14:paraId="4C60D6DC"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53%</w:t>
            </w:r>
          </w:p>
        </w:tc>
        <w:tc>
          <w:tcPr>
            <w:tcW w:w="1704" w:type="dxa"/>
            <w:tcBorders>
              <w:bottom w:val="nil"/>
            </w:tcBorders>
          </w:tcPr>
          <w:p w14:paraId="3A1F96A8"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50</w:t>
            </w:r>
          </w:p>
        </w:tc>
        <w:tc>
          <w:tcPr>
            <w:tcW w:w="1193" w:type="dxa"/>
            <w:tcBorders>
              <w:bottom w:val="nil"/>
            </w:tcBorders>
          </w:tcPr>
          <w:p w14:paraId="68E3719D"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60%</w:t>
            </w:r>
          </w:p>
        </w:tc>
      </w:tr>
      <w:tr w:rsidR="00AA30E2" w:rsidRPr="0091560A" w14:paraId="79AA9BA9"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7241350F" w14:textId="77777777" w:rsidR="00AA30E2" w:rsidRPr="0091560A" w:rsidRDefault="00AA30E2">
            <w:pPr>
              <w:rPr>
                <w:rFonts w:eastAsia="Times New Roman" w:cs="Times New Roman"/>
                <w:color w:val="000000"/>
                <w:lang w:eastAsia="en-GB"/>
              </w:rPr>
            </w:pPr>
            <w:r w:rsidRPr="0091560A">
              <w:rPr>
                <w:rFonts w:cs="Times New Roman"/>
                <w:color w:val="000000"/>
              </w:rPr>
              <w:t>Anxiety</w:t>
            </w:r>
          </w:p>
        </w:tc>
        <w:tc>
          <w:tcPr>
            <w:tcW w:w="1434" w:type="dxa"/>
            <w:tcBorders>
              <w:top w:val="nil"/>
              <w:bottom w:val="nil"/>
            </w:tcBorders>
            <w:noWrap/>
            <w:hideMark/>
          </w:tcPr>
          <w:p w14:paraId="4A9D87D8"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40</w:t>
            </w:r>
          </w:p>
        </w:tc>
        <w:tc>
          <w:tcPr>
            <w:tcW w:w="1260" w:type="dxa"/>
            <w:tcBorders>
              <w:top w:val="nil"/>
              <w:bottom w:val="nil"/>
            </w:tcBorders>
            <w:noWrap/>
            <w:hideMark/>
          </w:tcPr>
          <w:p w14:paraId="18714C01"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45%</w:t>
            </w:r>
          </w:p>
        </w:tc>
        <w:tc>
          <w:tcPr>
            <w:tcW w:w="1704" w:type="dxa"/>
            <w:tcBorders>
              <w:top w:val="nil"/>
              <w:bottom w:val="nil"/>
            </w:tcBorders>
          </w:tcPr>
          <w:p w14:paraId="4D7D705E"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38</w:t>
            </w:r>
          </w:p>
        </w:tc>
        <w:tc>
          <w:tcPr>
            <w:tcW w:w="1193" w:type="dxa"/>
            <w:tcBorders>
              <w:top w:val="nil"/>
              <w:bottom w:val="nil"/>
            </w:tcBorders>
          </w:tcPr>
          <w:p w14:paraId="604CB437"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46%</w:t>
            </w:r>
          </w:p>
        </w:tc>
      </w:tr>
      <w:tr w:rsidR="00AA30E2" w:rsidRPr="0091560A" w14:paraId="1A4198C5"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2122A200" w14:textId="77777777" w:rsidR="00AA30E2" w:rsidRPr="0091560A" w:rsidRDefault="00AA30E2">
            <w:pPr>
              <w:rPr>
                <w:rFonts w:eastAsia="Times New Roman" w:cs="Times New Roman"/>
                <w:color w:val="000000"/>
                <w:lang w:eastAsia="en-GB"/>
              </w:rPr>
            </w:pPr>
            <w:r w:rsidRPr="0091560A">
              <w:rPr>
                <w:rFonts w:cs="Times New Roman"/>
                <w:color w:val="000000"/>
              </w:rPr>
              <w:t>PTSD</w:t>
            </w:r>
          </w:p>
        </w:tc>
        <w:tc>
          <w:tcPr>
            <w:tcW w:w="1434" w:type="dxa"/>
            <w:tcBorders>
              <w:top w:val="nil"/>
              <w:bottom w:val="nil"/>
            </w:tcBorders>
            <w:noWrap/>
            <w:hideMark/>
          </w:tcPr>
          <w:p w14:paraId="48AD9A5D"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14</w:t>
            </w:r>
          </w:p>
        </w:tc>
        <w:tc>
          <w:tcPr>
            <w:tcW w:w="1260" w:type="dxa"/>
            <w:tcBorders>
              <w:top w:val="nil"/>
              <w:bottom w:val="nil"/>
            </w:tcBorders>
            <w:noWrap/>
            <w:hideMark/>
          </w:tcPr>
          <w:p w14:paraId="4707BCBF"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16%</w:t>
            </w:r>
          </w:p>
        </w:tc>
        <w:tc>
          <w:tcPr>
            <w:tcW w:w="1704" w:type="dxa"/>
            <w:tcBorders>
              <w:top w:val="nil"/>
              <w:bottom w:val="nil"/>
            </w:tcBorders>
          </w:tcPr>
          <w:p w14:paraId="0EE0D8DC"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20</w:t>
            </w:r>
          </w:p>
        </w:tc>
        <w:tc>
          <w:tcPr>
            <w:tcW w:w="1193" w:type="dxa"/>
            <w:tcBorders>
              <w:top w:val="nil"/>
              <w:bottom w:val="nil"/>
            </w:tcBorders>
          </w:tcPr>
          <w:p w14:paraId="62EC31DB"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24%</w:t>
            </w:r>
          </w:p>
        </w:tc>
      </w:tr>
      <w:tr w:rsidR="00AA30E2" w:rsidRPr="0091560A" w14:paraId="760CECEE"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18E7ADB" w14:textId="77777777" w:rsidR="00AA30E2" w:rsidRPr="0091560A" w:rsidRDefault="00AA30E2">
            <w:pPr>
              <w:rPr>
                <w:rFonts w:eastAsia="Times New Roman" w:cs="Times New Roman"/>
                <w:color w:val="000000"/>
                <w:lang w:eastAsia="en-GB"/>
              </w:rPr>
            </w:pPr>
            <w:r w:rsidRPr="0091560A">
              <w:rPr>
                <w:rFonts w:cs="Times New Roman"/>
                <w:color w:val="000000"/>
              </w:rPr>
              <w:t>Borderline personality disorder</w:t>
            </w:r>
          </w:p>
        </w:tc>
        <w:tc>
          <w:tcPr>
            <w:tcW w:w="1434" w:type="dxa"/>
            <w:tcBorders>
              <w:top w:val="nil"/>
              <w:bottom w:val="nil"/>
            </w:tcBorders>
            <w:noWrap/>
            <w:hideMark/>
          </w:tcPr>
          <w:p w14:paraId="320C13BA"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7</w:t>
            </w:r>
          </w:p>
        </w:tc>
        <w:tc>
          <w:tcPr>
            <w:tcW w:w="1260" w:type="dxa"/>
            <w:tcBorders>
              <w:top w:val="nil"/>
              <w:bottom w:val="nil"/>
            </w:tcBorders>
            <w:noWrap/>
            <w:hideMark/>
          </w:tcPr>
          <w:p w14:paraId="145D9D31"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8%</w:t>
            </w:r>
          </w:p>
        </w:tc>
        <w:tc>
          <w:tcPr>
            <w:tcW w:w="1704" w:type="dxa"/>
            <w:tcBorders>
              <w:top w:val="nil"/>
              <w:bottom w:val="nil"/>
            </w:tcBorders>
          </w:tcPr>
          <w:p w14:paraId="66641360"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19</w:t>
            </w:r>
          </w:p>
        </w:tc>
        <w:tc>
          <w:tcPr>
            <w:tcW w:w="1193" w:type="dxa"/>
            <w:tcBorders>
              <w:top w:val="nil"/>
              <w:bottom w:val="nil"/>
            </w:tcBorders>
          </w:tcPr>
          <w:p w14:paraId="28483B05"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23%</w:t>
            </w:r>
          </w:p>
        </w:tc>
      </w:tr>
      <w:tr w:rsidR="00AA30E2" w:rsidRPr="0091560A" w14:paraId="4724E39D"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8EA568D" w14:textId="77777777" w:rsidR="00AA30E2" w:rsidRPr="0091560A" w:rsidRDefault="00AA30E2">
            <w:pPr>
              <w:rPr>
                <w:rFonts w:eastAsia="Times New Roman" w:cs="Times New Roman"/>
                <w:color w:val="000000"/>
                <w:lang w:eastAsia="en-GB"/>
              </w:rPr>
            </w:pPr>
            <w:r w:rsidRPr="0091560A">
              <w:rPr>
                <w:rFonts w:cs="Times New Roman"/>
                <w:color w:val="000000"/>
              </w:rPr>
              <w:t>ADHD</w:t>
            </w:r>
          </w:p>
        </w:tc>
        <w:tc>
          <w:tcPr>
            <w:tcW w:w="1434" w:type="dxa"/>
            <w:tcBorders>
              <w:top w:val="nil"/>
              <w:bottom w:val="nil"/>
            </w:tcBorders>
            <w:noWrap/>
            <w:hideMark/>
          </w:tcPr>
          <w:p w14:paraId="0107553D"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12</w:t>
            </w:r>
          </w:p>
        </w:tc>
        <w:tc>
          <w:tcPr>
            <w:tcW w:w="1260" w:type="dxa"/>
            <w:tcBorders>
              <w:top w:val="nil"/>
              <w:bottom w:val="nil"/>
            </w:tcBorders>
            <w:noWrap/>
            <w:hideMark/>
          </w:tcPr>
          <w:p w14:paraId="115DBBDC"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14%</w:t>
            </w:r>
          </w:p>
        </w:tc>
        <w:tc>
          <w:tcPr>
            <w:tcW w:w="1704" w:type="dxa"/>
            <w:tcBorders>
              <w:top w:val="nil"/>
              <w:bottom w:val="nil"/>
            </w:tcBorders>
          </w:tcPr>
          <w:p w14:paraId="53FCB153"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8</w:t>
            </w:r>
          </w:p>
        </w:tc>
        <w:tc>
          <w:tcPr>
            <w:tcW w:w="1193" w:type="dxa"/>
            <w:tcBorders>
              <w:top w:val="nil"/>
              <w:bottom w:val="nil"/>
            </w:tcBorders>
          </w:tcPr>
          <w:p w14:paraId="202BB0A8"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10%</w:t>
            </w:r>
          </w:p>
        </w:tc>
      </w:tr>
      <w:tr w:rsidR="00AA30E2" w:rsidRPr="0091560A" w14:paraId="0D0A6C55"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D3CDBEB" w14:textId="77777777" w:rsidR="00AA30E2" w:rsidRPr="0091560A" w:rsidRDefault="00AA30E2">
            <w:pPr>
              <w:rPr>
                <w:rFonts w:eastAsia="Times New Roman" w:cs="Times New Roman"/>
                <w:color w:val="000000"/>
                <w:lang w:eastAsia="en-GB"/>
              </w:rPr>
            </w:pPr>
            <w:r w:rsidRPr="0091560A">
              <w:rPr>
                <w:rFonts w:cs="Times New Roman"/>
                <w:color w:val="000000"/>
              </w:rPr>
              <w:t>Other</w:t>
            </w:r>
          </w:p>
        </w:tc>
        <w:tc>
          <w:tcPr>
            <w:tcW w:w="1434" w:type="dxa"/>
            <w:tcBorders>
              <w:top w:val="nil"/>
              <w:bottom w:val="nil"/>
            </w:tcBorders>
            <w:noWrap/>
            <w:hideMark/>
          </w:tcPr>
          <w:p w14:paraId="52CDB710"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9</w:t>
            </w:r>
          </w:p>
        </w:tc>
        <w:tc>
          <w:tcPr>
            <w:tcW w:w="1260" w:type="dxa"/>
            <w:tcBorders>
              <w:top w:val="nil"/>
              <w:bottom w:val="nil"/>
            </w:tcBorders>
            <w:noWrap/>
            <w:hideMark/>
          </w:tcPr>
          <w:p w14:paraId="38F4C1D8"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10%</w:t>
            </w:r>
          </w:p>
        </w:tc>
        <w:tc>
          <w:tcPr>
            <w:tcW w:w="1704" w:type="dxa"/>
            <w:tcBorders>
              <w:top w:val="nil"/>
              <w:bottom w:val="nil"/>
            </w:tcBorders>
          </w:tcPr>
          <w:p w14:paraId="20BD5DED"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9</w:t>
            </w:r>
          </w:p>
        </w:tc>
        <w:tc>
          <w:tcPr>
            <w:tcW w:w="1193" w:type="dxa"/>
            <w:tcBorders>
              <w:top w:val="nil"/>
              <w:bottom w:val="nil"/>
            </w:tcBorders>
          </w:tcPr>
          <w:p w14:paraId="1BC91A80"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11%</w:t>
            </w:r>
          </w:p>
        </w:tc>
      </w:tr>
      <w:tr w:rsidR="00AA30E2" w:rsidRPr="0091560A" w14:paraId="704A4DDB"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3EAA576" w14:textId="77777777" w:rsidR="00AA30E2" w:rsidRPr="0091560A" w:rsidRDefault="00AA30E2">
            <w:pPr>
              <w:rPr>
                <w:rFonts w:eastAsia="Times New Roman" w:cs="Times New Roman"/>
                <w:color w:val="000000"/>
                <w:lang w:eastAsia="en-GB"/>
              </w:rPr>
            </w:pPr>
            <w:r w:rsidRPr="0091560A">
              <w:rPr>
                <w:rFonts w:cs="Times New Roman"/>
                <w:color w:val="000000"/>
              </w:rPr>
              <w:t>Eating disorder</w:t>
            </w:r>
          </w:p>
        </w:tc>
        <w:tc>
          <w:tcPr>
            <w:tcW w:w="1434" w:type="dxa"/>
            <w:tcBorders>
              <w:top w:val="nil"/>
              <w:bottom w:val="nil"/>
            </w:tcBorders>
            <w:noWrap/>
            <w:hideMark/>
          </w:tcPr>
          <w:p w14:paraId="3BDA7CA1"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7</w:t>
            </w:r>
          </w:p>
        </w:tc>
        <w:tc>
          <w:tcPr>
            <w:tcW w:w="1260" w:type="dxa"/>
            <w:tcBorders>
              <w:top w:val="nil"/>
              <w:bottom w:val="nil"/>
            </w:tcBorders>
            <w:noWrap/>
            <w:hideMark/>
          </w:tcPr>
          <w:p w14:paraId="47EC0162"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8%</w:t>
            </w:r>
          </w:p>
        </w:tc>
        <w:tc>
          <w:tcPr>
            <w:tcW w:w="1704" w:type="dxa"/>
            <w:tcBorders>
              <w:top w:val="nil"/>
              <w:bottom w:val="nil"/>
            </w:tcBorders>
          </w:tcPr>
          <w:p w14:paraId="43FDDEB9"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8</w:t>
            </w:r>
          </w:p>
        </w:tc>
        <w:tc>
          <w:tcPr>
            <w:tcW w:w="1193" w:type="dxa"/>
            <w:tcBorders>
              <w:top w:val="nil"/>
              <w:bottom w:val="nil"/>
            </w:tcBorders>
          </w:tcPr>
          <w:p w14:paraId="7D563C0A"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10%</w:t>
            </w:r>
          </w:p>
        </w:tc>
      </w:tr>
      <w:tr w:rsidR="00AA30E2" w:rsidRPr="0091560A" w14:paraId="04CA41B4"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D99BF12" w14:textId="77777777" w:rsidR="00AA30E2" w:rsidRPr="0091560A" w:rsidRDefault="00AA30E2">
            <w:pPr>
              <w:rPr>
                <w:rFonts w:eastAsia="Times New Roman" w:cs="Times New Roman"/>
                <w:color w:val="000000"/>
                <w:lang w:eastAsia="en-GB"/>
              </w:rPr>
            </w:pPr>
            <w:r w:rsidRPr="0091560A">
              <w:rPr>
                <w:rFonts w:cs="Times New Roman"/>
                <w:color w:val="000000"/>
              </w:rPr>
              <w:t>Bipolar disorder</w:t>
            </w:r>
          </w:p>
        </w:tc>
        <w:tc>
          <w:tcPr>
            <w:tcW w:w="1434" w:type="dxa"/>
            <w:tcBorders>
              <w:top w:val="nil"/>
              <w:bottom w:val="nil"/>
            </w:tcBorders>
            <w:noWrap/>
            <w:hideMark/>
          </w:tcPr>
          <w:p w14:paraId="3E4400C3"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260" w:type="dxa"/>
            <w:tcBorders>
              <w:top w:val="nil"/>
              <w:bottom w:val="nil"/>
            </w:tcBorders>
            <w:noWrap/>
            <w:hideMark/>
          </w:tcPr>
          <w:p w14:paraId="51DE0FFB"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704" w:type="dxa"/>
            <w:tcBorders>
              <w:top w:val="nil"/>
              <w:bottom w:val="nil"/>
            </w:tcBorders>
          </w:tcPr>
          <w:p w14:paraId="4F17F38A"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9</w:t>
            </w:r>
          </w:p>
        </w:tc>
        <w:tc>
          <w:tcPr>
            <w:tcW w:w="1193" w:type="dxa"/>
            <w:tcBorders>
              <w:top w:val="nil"/>
              <w:bottom w:val="nil"/>
            </w:tcBorders>
          </w:tcPr>
          <w:p w14:paraId="64E6C96D"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11%</w:t>
            </w:r>
          </w:p>
        </w:tc>
      </w:tr>
      <w:tr w:rsidR="00AA30E2" w:rsidRPr="0091560A" w14:paraId="73FC6C69"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5E474778" w14:textId="77777777" w:rsidR="00AA30E2" w:rsidRPr="0091560A" w:rsidRDefault="00AA30E2">
            <w:pPr>
              <w:rPr>
                <w:rFonts w:eastAsia="Times New Roman" w:cs="Times New Roman"/>
                <w:color w:val="000000"/>
                <w:lang w:eastAsia="en-GB"/>
              </w:rPr>
            </w:pPr>
            <w:r w:rsidRPr="0091560A">
              <w:rPr>
                <w:rFonts w:cs="Times New Roman"/>
                <w:color w:val="000000"/>
              </w:rPr>
              <w:t>Other mood disorder</w:t>
            </w:r>
          </w:p>
        </w:tc>
        <w:tc>
          <w:tcPr>
            <w:tcW w:w="1434" w:type="dxa"/>
            <w:tcBorders>
              <w:top w:val="nil"/>
              <w:bottom w:val="nil"/>
            </w:tcBorders>
            <w:noWrap/>
            <w:hideMark/>
          </w:tcPr>
          <w:p w14:paraId="6F8D9F75"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260" w:type="dxa"/>
            <w:tcBorders>
              <w:top w:val="nil"/>
              <w:bottom w:val="nil"/>
            </w:tcBorders>
            <w:noWrap/>
            <w:hideMark/>
          </w:tcPr>
          <w:p w14:paraId="272B35AE"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704" w:type="dxa"/>
            <w:tcBorders>
              <w:top w:val="nil"/>
              <w:bottom w:val="nil"/>
            </w:tcBorders>
          </w:tcPr>
          <w:p w14:paraId="3FB71686"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4</w:t>
            </w:r>
          </w:p>
        </w:tc>
        <w:tc>
          <w:tcPr>
            <w:tcW w:w="1193" w:type="dxa"/>
            <w:tcBorders>
              <w:top w:val="nil"/>
              <w:bottom w:val="nil"/>
            </w:tcBorders>
          </w:tcPr>
          <w:p w14:paraId="6DE7E300"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5%</w:t>
            </w:r>
          </w:p>
        </w:tc>
      </w:tr>
      <w:tr w:rsidR="00AA30E2" w:rsidRPr="0091560A" w14:paraId="11B3F05C"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35D7EA43" w14:textId="77777777" w:rsidR="00AA30E2" w:rsidRPr="0091560A" w:rsidRDefault="00AA30E2">
            <w:pPr>
              <w:rPr>
                <w:rFonts w:eastAsia="Times New Roman" w:cs="Times New Roman"/>
                <w:color w:val="000000"/>
                <w:lang w:eastAsia="en-GB"/>
              </w:rPr>
            </w:pPr>
            <w:r w:rsidRPr="0091560A">
              <w:rPr>
                <w:rFonts w:cs="Times New Roman"/>
                <w:color w:val="000000"/>
              </w:rPr>
              <w:t>Obsessive compulsive disorder</w:t>
            </w:r>
          </w:p>
        </w:tc>
        <w:tc>
          <w:tcPr>
            <w:tcW w:w="1434" w:type="dxa"/>
            <w:tcBorders>
              <w:top w:val="nil"/>
              <w:bottom w:val="nil"/>
            </w:tcBorders>
            <w:noWrap/>
            <w:hideMark/>
          </w:tcPr>
          <w:p w14:paraId="3742D865"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260" w:type="dxa"/>
            <w:tcBorders>
              <w:top w:val="nil"/>
              <w:bottom w:val="nil"/>
            </w:tcBorders>
            <w:noWrap/>
            <w:hideMark/>
          </w:tcPr>
          <w:p w14:paraId="1A745C2E"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3%</w:t>
            </w:r>
          </w:p>
        </w:tc>
        <w:tc>
          <w:tcPr>
            <w:tcW w:w="1704" w:type="dxa"/>
            <w:tcBorders>
              <w:top w:val="nil"/>
              <w:bottom w:val="nil"/>
            </w:tcBorders>
          </w:tcPr>
          <w:p w14:paraId="7D01211B"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w:t>
            </w:r>
          </w:p>
        </w:tc>
        <w:tc>
          <w:tcPr>
            <w:tcW w:w="1193" w:type="dxa"/>
            <w:tcBorders>
              <w:top w:val="nil"/>
              <w:bottom w:val="nil"/>
            </w:tcBorders>
          </w:tcPr>
          <w:p w14:paraId="2F600531"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4%</w:t>
            </w:r>
          </w:p>
        </w:tc>
      </w:tr>
      <w:tr w:rsidR="00AA30E2" w:rsidRPr="0091560A" w14:paraId="67F96492"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3F18BECE" w14:textId="77777777" w:rsidR="00AA30E2" w:rsidRPr="0091560A" w:rsidRDefault="00AA30E2">
            <w:pPr>
              <w:rPr>
                <w:rFonts w:eastAsia="Times New Roman" w:cs="Times New Roman"/>
                <w:color w:val="000000"/>
                <w:lang w:eastAsia="en-GB"/>
              </w:rPr>
            </w:pPr>
            <w:r w:rsidRPr="0091560A">
              <w:rPr>
                <w:rFonts w:cs="Times New Roman"/>
                <w:color w:val="000000"/>
              </w:rPr>
              <w:t>Other personality disorder</w:t>
            </w:r>
          </w:p>
        </w:tc>
        <w:tc>
          <w:tcPr>
            <w:tcW w:w="1434" w:type="dxa"/>
            <w:tcBorders>
              <w:top w:val="nil"/>
              <w:bottom w:val="nil"/>
            </w:tcBorders>
            <w:noWrap/>
            <w:hideMark/>
          </w:tcPr>
          <w:p w14:paraId="335CC652"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2</w:t>
            </w:r>
          </w:p>
        </w:tc>
        <w:tc>
          <w:tcPr>
            <w:tcW w:w="1260" w:type="dxa"/>
            <w:tcBorders>
              <w:top w:val="nil"/>
              <w:bottom w:val="nil"/>
            </w:tcBorders>
            <w:noWrap/>
            <w:hideMark/>
          </w:tcPr>
          <w:p w14:paraId="0930F755"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2%</w:t>
            </w:r>
          </w:p>
        </w:tc>
        <w:tc>
          <w:tcPr>
            <w:tcW w:w="1704" w:type="dxa"/>
            <w:tcBorders>
              <w:top w:val="nil"/>
              <w:bottom w:val="nil"/>
            </w:tcBorders>
          </w:tcPr>
          <w:p w14:paraId="368D2C8E"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4</w:t>
            </w:r>
          </w:p>
        </w:tc>
        <w:tc>
          <w:tcPr>
            <w:tcW w:w="1193" w:type="dxa"/>
            <w:tcBorders>
              <w:top w:val="nil"/>
              <w:bottom w:val="nil"/>
            </w:tcBorders>
          </w:tcPr>
          <w:p w14:paraId="60F311A9"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5%</w:t>
            </w:r>
          </w:p>
        </w:tc>
      </w:tr>
      <w:tr w:rsidR="00AA30E2" w:rsidRPr="0091560A" w14:paraId="7892699A"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65942F9F" w14:textId="77777777" w:rsidR="00AA30E2" w:rsidRPr="0091560A" w:rsidRDefault="00AA30E2">
            <w:pPr>
              <w:rPr>
                <w:rFonts w:eastAsia="Times New Roman" w:cs="Times New Roman"/>
                <w:color w:val="000000"/>
                <w:lang w:eastAsia="en-GB"/>
              </w:rPr>
            </w:pPr>
            <w:r w:rsidRPr="0091560A">
              <w:rPr>
                <w:rFonts w:cs="Times New Roman"/>
                <w:color w:val="000000"/>
              </w:rPr>
              <w:t>Psychosis</w:t>
            </w:r>
          </w:p>
        </w:tc>
        <w:tc>
          <w:tcPr>
            <w:tcW w:w="1434" w:type="dxa"/>
            <w:tcBorders>
              <w:top w:val="nil"/>
              <w:bottom w:val="nil"/>
            </w:tcBorders>
            <w:noWrap/>
            <w:hideMark/>
          </w:tcPr>
          <w:p w14:paraId="00F3C6E6"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2</w:t>
            </w:r>
          </w:p>
        </w:tc>
        <w:tc>
          <w:tcPr>
            <w:tcW w:w="1260" w:type="dxa"/>
            <w:tcBorders>
              <w:top w:val="nil"/>
              <w:bottom w:val="nil"/>
            </w:tcBorders>
            <w:noWrap/>
            <w:hideMark/>
          </w:tcPr>
          <w:p w14:paraId="23221AC2"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2%</w:t>
            </w:r>
          </w:p>
        </w:tc>
        <w:tc>
          <w:tcPr>
            <w:tcW w:w="1704" w:type="dxa"/>
            <w:tcBorders>
              <w:top w:val="nil"/>
              <w:bottom w:val="nil"/>
            </w:tcBorders>
          </w:tcPr>
          <w:p w14:paraId="6E69369A"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w:t>
            </w:r>
          </w:p>
        </w:tc>
        <w:tc>
          <w:tcPr>
            <w:tcW w:w="1193" w:type="dxa"/>
            <w:tcBorders>
              <w:top w:val="nil"/>
              <w:bottom w:val="nil"/>
            </w:tcBorders>
          </w:tcPr>
          <w:p w14:paraId="5560AB24"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w:t>
            </w:r>
          </w:p>
        </w:tc>
      </w:tr>
      <w:tr w:rsidR="00AA30E2" w:rsidRPr="0091560A" w14:paraId="57FA9EAE" w14:textId="77777777" w:rsidTr="00E279D1">
        <w:trPr>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bottom w:val="nil"/>
            </w:tcBorders>
            <w:noWrap/>
            <w:hideMark/>
          </w:tcPr>
          <w:p w14:paraId="23EA3DDF" w14:textId="77777777" w:rsidR="00AA30E2" w:rsidRPr="0091560A" w:rsidRDefault="00AA30E2">
            <w:pPr>
              <w:rPr>
                <w:rFonts w:eastAsia="Times New Roman" w:cs="Times New Roman"/>
                <w:color w:val="000000"/>
                <w:lang w:eastAsia="en-GB"/>
              </w:rPr>
            </w:pPr>
            <w:r w:rsidRPr="0091560A">
              <w:rPr>
                <w:rFonts w:cs="Times New Roman"/>
                <w:color w:val="000000"/>
              </w:rPr>
              <w:t>Autism</w:t>
            </w:r>
          </w:p>
        </w:tc>
        <w:tc>
          <w:tcPr>
            <w:tcW w:w="1434" w:type="dxa"/>
            <w:tcBorders>
              <w:top w:val="nil"/>
              <w:bottom w:val="nil"/>
            </w:tcBorders>
            <w:noWrap/>
            <w:hideMark/>
          </w:tcPr>
          <w:p w14:paraId="6C54507A"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4</w:t>
            </w:r>
          </w:p>
        </w:tc>
        <w:tc>
          <w:tcPr>
            <w:tcW w:w="1260" w:type="dxa"/>
            <w:tcBorders>
              <w:top w:val="nil"/>
              <w:bottom w:val="nil"/>
            </w:tcBorders>
            <w:noWrap/>
            <w:hideMark/>
          </w:tcPr>
          <w:p w14:paraId="79A0488F"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GB"/>
              </w:rPr>
            </w:pPr>
            <w:r w:rsidRPr="0091560A">
              <w:rPr>
                <w:rFonts w:cs="Times New Roman"/>
                <w:color w:val="000000"/>
              </w:rPr>
              <w:t>5%</w:t>
            </w:r>
          </w:p>
        </w:tc>
        <w:tc>
          <w:tcPr>
            <w:tcW w:w="1704" w:type="dxa"/>
            <w:tcBorders>
              <w:top w:val="nil"/>
              <w:bottom w:val="nil"/>
            </w:tcBorders>
          </w:tcPr>
          <w:p w14:paraId="150C9A0D"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0</w:t>
            </w:r>
          </w:p>
        </w:tc>
        <w:tc>
          <w:tcPr>
            <w:tcW w:w="1193" w:type="dxa"/>
            <w:tcBorders>
              <w:top w:val="nil"/>
              <w:bottom w:val="nil"/>
            </w:tcBorders>
          </w:tcPr>
          <w:p w14:paraId="1F7EA131" w14:textId="77777777" w:rsidR="00AA30E2" w:rsidRPr="0091560A" w:rsidRDefault="00AA30E2">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0%</w:t>
            </w:r>
          </w:p>
        </w:tc>
      </w:tr>
      <w:tr w:rsidR="00AA30E2" w:rsidRPr="0091560A" w14:paraId="7423755C" w14:textId="77777777" w:rsidTr="00E279D1">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402" w:type="dxa"/>
            <w:tcBorders>
              <w:top w:val="nil"/>
            </w:tcBorders>
            <w:noWrap/>
          </w:tcPr>
          <w:p w14:paraId="44A656CC" w14:textId="77777777" w:rsidR="00AA30E2" w:rsidRPr="0091560A" w:rsidRDefault="00AA30E2">
            <w:pPr>
              <w:rPr>
                <w:rFonts w:cs="Times New Roman"/>
                <w:color w:val="000000"/>
              </w:rPr>
            </w:pPr>
            <w:r w:rsidRPr="0091560A">
              <w:rPr>
                <w:rFonts w:cs="Times New Roman"/>
                <w:color w:val="000000"/>
              </w:rPr>
              <w:t>Schizophrenia</w:t>
            </w:r>
          </w:p>
        </w:tc>
        <w:tc>
          <w:tcPr>
            <w:tcW w:w="1434" w:type="dxa"/>
            <w:tcBorders>
              <w:top w:val="nil"/>
            </w:tcBorders>
            <w:noWrap/>
          </w:tcPr>
          <w:p w14:paraId="3C5CA4EE"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0</w:t>
            </w:r>
          </w:p>
        </w:tc>
        <w:tc>
          <w:tcPr>
            <w:tcW w:w="1260" w:type="dxa"/>
            <w:tcBorders>
              <w:top w:val="nil"/>
            </w:tcBorders>
            <w:noWrap/>
          </w:tcPr>
          <w:p w14:paraId="4930099D"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GB"/>
              </w:rPr>
            </w:pPr>
            <w:r w:rsidRPr="0091560A">
              <w:rPr>
                <w:rFonts w:cs="Times New Roman"/>
                <w:color w:val="000000"/>
              </w:rPr>
              <w:t>0%</w:t>
            </w:r>
          </w:p>
        </w:tc>
        <w:tc>
          <w:tcPr>
            <w:tcW w:w="1704" w:type="dxa"/>
            <w:tcBorders>
              <w:top w:val="nil"/>
            </w:tcBorders>
          </w:tcPr>
          <w:p w14:paraId="52EDACFE"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w:t>
            </w:r>
          </w:p>
        </w:tc>
        <w:tc>
          <w:tcPr>
            <w:tcW w:w="1193" w:type="dxa"/>
            <w:tcBorders>
              <w:top w:val="nil"/>
            </w:tcBorders>
          </w:tcPr>
          <w:p w14:paraId="031267C4" w14:textId="77777777" w:rsidR="00AA30E2" w:rsidRPr="0091560A" w:rsidRDefault="00AA30E2">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4%</w:t>
            </w:r>
          </w:p>
        </w:tc>
      </w:tr>
    </w:tbl>
    <w:p w14:paraId="28D451CA" w14:textId="78AF12B7" w:rsidR="00AA30E2" w:rsidRPr="00520D03" w:rsidRDefault="00AA30E2">
      <w:pPr>
        <w:pStyle w:val="Tablenote"/>
      </w:pPr>
      <w:r w:rsidRPr="00520D03">
        <w:t xml:space="preserve">Can have &gt;1 </w:t>
      </w:r>
      <w:r w:rsidR="00FB30AD" w:rsidRPr="00520D03">
        <w:t xml:space="preserve">diagnosis </w:t>
      </w:r>
      <w:r w:rsidRPr="00520D03">
        <w:t>recorded per patient</w:t>
      </w:r>
      <w:r w:rsidR="0005474F" w:rsidRPr="00520D03">
        <w:t xml:space="preserve">. </w:t>
      </w:r>
      <w:r w:rsidRPr="00520D03">
        <w:t>There were 27 patients (16%) with no documented psychiatric diagnosis.</w:t>
      </w:r>
    </w:p>
    <w:p w14:paraId="5B7EEDBC" w14:textId="59088D4A" w:rsidR="00F3155C" w:rsidRPr="0091560A" w:rsidRDefault="00925D60" w:rsidP="00F3155C">
      <w:r w:rsidRPr="0091560A">
        <w:t xml:space="preserve">The majority </w:t>
      </w:r>
      <w:r w:rsidR="00F3155C" w:rsidRPr="0091560A">
        <w:t xml:space="preserve">were documented </w:t>
      </w:r>
      <w:r w:rsidRPr="0091560A">
        <w:t>as</w:t>
      </w:r>
      <w:r w:rsidR="00F3155C" w:rsidRPr="0091560A">
        <w:t xml:space="preserve"> suicide attempts, </w:t>
      </w:r>
      <w:r w:rsidR="007F3EE0" w:rsidRPr="0091560A">
        <w:t xml:space="preserve">and most of the rest as </w:t>
      </w:r>
      <w:r w:rsidR="00F3155C" w:rsidRPr="0091560A">
        <w:t>self-poisonings</w:t>
      </w:r>
      <w:r w:rsidR="007F3EE0" w:rsidRPr="0091560A">
        <w:t xml:space="preserve">.  </w:t>
      </w:r>
      <w:r w:rsidR="00EF5BE9">
        <w:t>Psychiatric</w:t>
      </w:r>
      <w:r w:rsidR="009537B1">
        <w:t xml:space="preserve"> diagnoses were commonly recorded (Table 11). </w:t>
      </w:r>
      <w:r w:rsidR="007F3EE0" w:rsidRPr="0091560A">
        <w:t>However,</w:t>
      </w:r>
      <w:r w:rsidR="00F3155C" w:rsidRPr="0091560A">
        <w:t xml:space="preserve"> </w:t>
      </w:r>
      <w:r w:rsidR="00AE2DD5" w:rsidRPr="0091560A">
        <w:t>the majority also indicated to be impulsive and relatively few had significant planning</w:t>
      </w:r>
      <w:r w:rsidR="0012734E" w:rsidRPr="0091560A">
        <w:t xml:space="preserve"> documented (Table </w:t>
      </w:r>
      <w:r w:rsidR="009063F7">
        <w:t>12</w:t>
      </w:r>
      <w:r w:rsidR="0012734E" w:rsidRPr="0091560A">
        <w:t>).</w:t>
      </w:r>
      <w:r w:rsidR="0058445C" w:rsidRPr="0091560A">
        <w:t xml:space="preserve"> Over half the patients were discharged home (not admitted to a psychiatric facility)</w:t>
      </w:r>
      <w:r w:rsidR="00D174FE" w:rsidRPr="0091560A">
        <w:t xml:space="preserve"> and 80% of children</w:t>
      </w:r>
      <w:r w:rsidR="001331D3" w:rsidRPr="0091560A">
        <w:t>/</w:t>
      </w:r>
      <w:r w:rsidR="00D174FE" w:rsidRPr="0091560A">
        <w:t xml:space="preserve">adolescent </w:t>
      </w:r>
      <w:r w:rsidR="001331D3" w:rsidRPr="0091560A">
        <w:t xml:space="preserve">intentional </w:t>
      </w:r>
      <w:r w:rsidR="00CB4FFC" w:rsidRPr="0091560A">
        <w:t xml:space="preserve">paracetamol </w:t>
      </w:r>
      <w:r w:rsidR="001331D3" w:rsidRPr="0091560A">
        <w:t xml:space="preserve">poisonings </w:t>
      </w:r>
      <w:r w:rsidR="00D174FE" w:rsidRPr="0091560A">
        <w:t>were n</w:t>
      </w:r>
      <w:r w:rsidR="001331D3" w:rsidRPr="0091560A">
        <w:t xml:space="preserve">either </w:t>
      </w:r>
      <w:r w:rsidR="00D174FE" w:rsidRPr="0091560A">
        <w:t xml:space="preserve">admitted </w:t>
      </w:r>
      <w:r w:rsidR="001331D3" w:rsidRPr="0091560A">
        <w:t>n</w:t>
      </w:r>
      <w:r w:rsidR="00D174FE" w:rsidRPr="0091560A">
        <w:t>or scheduled</w:t>
      </w:r>
      <w:r w:rsidR="001331D3" w:rsidRPr="0091560A">
        <w:t xml:space="preserve"> (involuntarily detained under the mental health act)</w:t>
      </w:r>
      <w:r w:rsidR="00D174FE" w:rsidRPr="0091560A">
        <w:t xml:space="preserve"> </w:t>
      </w:r>
      <w:r w:rsidR="001331D3" w:rsidRPr="0091560A">
        <w:t>at any time.</w:t>
      </w:r>
    </w:p>
    <w:p w14:paraId="2E816666" w14:textId="545C66A4" w:rsidR="00CB7B8D" w:rsidRPr="0091560A" w:rsidRDefault="006A5303" w:rsidP="00F50390">
      <w:pPr>
        <w:pStyle w:val="Caption"/>
        <w:keepNext/>
      </w:pPr>
      <w:bookmarkStart w:id="74" w:name="_Toc114560127"/>
      <w:r>
        <w:t xml:space="preserve">Table </w:t>
      </w:r>
      <w:r>
        <w:fldChar w:fldCharType="begin"/>
      </w:r>
      <w:r>
        <w:instrText>SEQ Table \* ARABIC</w:instrText>
      </w:r>
      <w:r>
        <w:fldChar w:fldCharType="separate"/>
      </w:r>
      <w:r w:rsidR="0091734E">
        <w:rPr>
          <w:noProof/>
        </w:rPr>
        <w:t>12</w:t>
      </w:r>
      <w:r>
        <w:fldChar w:fldCharType="end"/>
      </w:r>
      <w:r w:rsidRPr="0091560A">
        <w:t xml:space="preserve">. </w:t>
      </w:r>
      <w:r w:rsidR="00CB7B8D" w:rsidRPr="0091560A">
        <w:t>Reason for exposure</w:t>
      </w:r>
      <w:r w:rsidR="007C4EA8" w:rsidRPr="0091560A">
        <w:t>, and extent of planning</w:t>
      </w:r>
      <w:bookmarkEnd w:id="74"/>
      <w:r w:rsidR="007C4EA8" w:rsidRPr="0091560A">
        <w:t xml:space="preserve"> </w:t>
      </w:r>
    </w:p>
    <w:tbl>
      <w:tblPr>
        <w:tblStyle w:val="ListTable2"/>
        <w:tblW w:w="9072" w:type="dxa"/>
        <w:tblLook w:val="04A0" w:firstRow="1" w:lastRow="0" w:firstColumn="1" w:lastColumn="0" w:noHBand="0" w:noVBand="1"/>
      </w:tblPr>
      <w:tblGrid>
        <w:gridCol w:w="1769"/>
        <w:gridCol w:w="2059"/>
        <w:gridCol w:w="1178"/>
        <w:gridCol w:w="1275"/>
        <w:gridCol w:w="1548"/>
        <w:gridCol w:w="1287"/>
      </w:tblGrid>
      <w:tr w:rsidR="00F50390" w:rsidRPr="0091560A" w14:paraId="3CB97821" w14:textId="77777777" w:rsidTr="00F50390">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bottom w:val="nil"/>
            </w:tcBorders>
            <w:shd w:val="clear" w:color="auto" w:fill="595959" w:themeFill="text1" w:themeFillTint="A6"/>
            <w:noWrap/>
          </w:tcPr>
          <w:p w14:paraId="01828BDC" w14:textId="77777777" w:rsidR="00F50390" w:rsidRPr="00791C2A" w:rsidRDefault="00F50390" w:rsidP="00F50390">
            <w:pPr>
              <w:keepNext/>
              <w:rPr>
                <w:rFonts w:eastAsia="Times New Roman" w:cs="Times New Roman"/>
                <w:color w:val="FFFFFF" w:themeColor="background1"/>
                <w:szCs w:val="24"/>
                <w:lang w:eastAsia="en-AU"/>
              </w:rPr>
            </w:pPr>
          </w:p>
        </w:tc>
        <w:tc>
          <w:tcPr>
            <w:tcW w:w="2059" w:type="dxa"/>
            <w:tcBorders>
              <w:bottom w:val="nil"/>
            </w:tcBorders>
            <w:shd w:val="clear" w:color="auto" w:fill="595959" w:themeFill="text1" w:themeFillTint="A6"/>
            <w:noWrap/>
          </w:tcPr>
          <w:p w14:paraId="083C16B2" w14:textId="77777777" w:rsidR="00F50390" w:rsidRPr="00791C2A" w:rsidRDefault="00F50390" w:rsidP="00F50390">
            <w:pPr>
              <w:keepNex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p>
        </w:tc>
        <w:tc>
          <w:tcPr>
            <w:tcW w:w="2409" w:type="dxa"/>
            <w:gridSpan w:val="2"/>
            <w:tcBorders>
              <w:bottom w:val="single" w:sz="4" w:space="0" w:color="D9D9D9" w:themeColor="background1" w:themeShade="D9"/>
            </w:tcBorders>
            <w:shd w:val="clear" w:color="auto" w:fill="595959" w:themeFill="text1" w:themeFillTint="A6"/>
            <w:noWrap/>
          </w:tcPr>
          <w:p w14:paraId="0E226738" w14:textId="3371F7A3" w:rsidR="00F50390" w:rsidRPr="00791C2A" w:rsidRDefault="00F50390" w:rsidP="00F50390">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91C2A">
              <w:rPr>
                <w:rFonts w:eastAsia="Times New Roman" w:cs="Times New Roman"/>
                <w:color w:val="FFFFFF" w:themeColor="background1"/>
                <w:szCs w:val="24"/>
                <w:lang w:eastAsia="en-AU"/>
              </w:rPr>
              <w:t>5-19 years</w:t>
            </w:r>
          </w:p>
        </w:tc>
        <w:tc>
          <w:tcPr>
            <w:tcW w:w="2835" w:type="dxa"/>
            <w:gridSpan w:val="2"/>
            <w:tcBorders>
              <w:bottom w:val="single" w:sz="4" w:space="0" w:color="D9D9D9" w:themeColor="background1" w:themeShade="D9"/>
            </w:tcBorders>
            <w:shd w:val="clear" w:color="auto" w:fill="595959" w:themeFill="text1" w:themeFillTint="A6"/>
            <w:noWrap/>
          </w:tcPr>
          <w:p w14:paraId="6E3D3224" w14:textId="60000DEA" w:rsidR="00F50390" w:rsidRPr="00F50390" w:rsidRDefault="00F50390" w:rsidP="00F50390">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FFFFFF" w:themeColor="background1"/>
                <w:szCs w:val="24"/>
                <w:lang w:eastAsia="en-AU"/>
              </w:rPr>
            </w:pPr>
            <w:r w:rsidRPr="00791C2A">
              <w:rPr>
                <w:rFonts w:eastAsia="Times New Roman" w:cs="Times New Roman"/>
                <w:color w:val="FFFFFF" w:themeColor="background1"/>
                <w:szCs w:val="24"/>
                <w:lang w:eastAsia="en-AU"/>
              </w:rPr>
              <w:t>Others</w:t>
            </w:r>
          </w:p>
        </w:tc>
      </w:tr>
      <w:tr w:rsidR="00503633" w:rsidRPr="0091560A" w14:paraId="32244363"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single" w:sz="4" w:space="0" w:color="666666" w:themeColor="text1" w:themeTint="99"/>
            </w:tcBorders>
            <w:shd w:val="clear" w:color="auto" w:fill="595959" w:themeFill="text1" w:themeFillTint="A6"/>
            <w:noWrap/>
            <w:hideMark/>
          </w:tcPr>
          <w:p w14:paraId="6F4129A1" w14:textId="77777777" w:rsidR="00503633" w:rsidRPr="00791C2A" w:rsidRDefault="00503633" w:rsidP="00F50390">
            <w:pPr>
              <w:keepNext/>
              <w:rPr>
                <w:rFonts w:eastAsia="Times New Roman" w:cs="Times New Roman"/>
                <w:color w:val="FFFFFF" w:themeColor="background1"/>
                <w:szCs w:val="24"/>
                <w:lang w:eastAsia="en-AU"/>
              </w:rPr>
            </w:pPr>
          </w:p>
        </w:tc>
        <w:tc>
          <w:tcPr>
            <w:tcW w:w="2059" w:type="dxa"/>
            <w:tcBorders>
              <w:top w:val="nil"/>
              <w:bottom w:val="single" w:sz="4" w:space="0" w:color="666666" w:themeColor="text1" w:themeTint="99"/>
            </w:tcBorders>
            <w:shd w:val="clear" w:color="auto" w:fill="595959" w:themeFill="text1" w:themeFillTint="A6"/>
            <w:noWrap/>
            <w:hideMark/>
          </w:tcPr>
          <w:p w14:paraId="31E6ED7D"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p>
        </w:tc>
        <w:tc>
          <w:tcPr>
            <w:tcW w:w="1134"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0331B2C0" w14:textId="47EE96FE"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791C2A">
              <w:rPr>
                <w:rFonts w:eastAsia="Times New Roman" w:cs="Times New Roman"/>
                <w:color w:val="FFFFFF" w:themeColor="background1"/>
                <w:szCs w:val="24"/>
                <w:lang w:eastAsia="en-AU"/>
              </w:rPr>
              <w:t>n</w:t>
            </w:r>
            <w:r w:rsidR="00F50390">
              <w:rPr>
                <w:rFonts w:eastAsia="Times New Roman" w:cs="Times New Roman"/>
                <w:color w:val="FFFFFF" w:themeColor="background1"/>
                <w:szCs w:val="24"/>
                <w:lang w:eastAsia="en-AU"/>
              </w:rPr>
              <w:br/>
              <w:t>(total</w:t>
            </w:r>
            <w:r w:rsidRPr="00791C2A">
              <w:rPr>
                <w:rFonts w:eastAsia="Times New Roman" w:cs="Times New Roman"/>
                <w:color w:val="FFFFFF" w:themeColor="background1"/>
                <w:szCs w:val="24"/>
                <w:lang w:eastAsia="en-AU"/>
              </w:rPr>
              <w:t>=88)</w:t>
            </w:r>
          </w:p>
        </w:tc>
        <w:tc>
          <w:tcPr>
            <w:tcW w:w="1275"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24A3172A"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791C2A">
              <w:rPr>
                <w:rFonts w:eastAsia="Times New Roman" w:cs="Times New Roman"/>
                <w:color w:val="FFFFFF" w:themeColor="background1"/>
                <w:szCs w:val="24"/>
                <w:lang w:eastAsia="en-AU"/>
              </w:rPr>
              <w:t>%</w:t>
            </w:r>
          </w:p>
        </w:tc>
        <w:tc>
          <w:tcPr>
            <w:tcW w:w="1548"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1FBC6E91" w14:textId="2A767222"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791C2A">
              <w:rPr>
                <w:rFonts w:eastAsia="Times New Roman" w:cs="Times New Roman"/>
                <w:color w:val="FFFFFF" w:themeColor="background1"/>
                <w:szCs w:val="24"/>
                <w:lang w:eastAsia="en-AU"/>
              </w:rPr>
              <w:t>n</w:t>
            </w:r>
            <w:r w:rsidR="00F50390">
              <w:rPr>
                <w:rFonts w:eastAsia="Times New Roman" w:cs="Times New Roman"/>
                <w:color w:val="FFFFFF" w:themeColor="background1"/>
                <w:szCs w:val="24"/>
                <w:lang w:eastAsia="en-AU"/>
              </w:rPr>
              <w:br/>
              <w:t>(total</w:t>
            </w:r>
            <w:r w:rsidRPr="00791C2A">
              <w:rPr>
                <w:rFonts w:eastAsia="Times New Roman" w:cs="Times New Roman"/>
                <w:color w:val="FFFFFF" w:themeColor="background1"/>
                <w:szCs w:val="24"/>
                <w:lang w:eastAsia="en-AU"/>
              </w:rPr>
              <w:t>=88)</w:t>
            </w:r>
          </w:p>
        </w:tc>
        <w:tc>
          <w:tcPr>
            <w:tcW w:w="1287"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1AEA8606"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Cs w:val="24"/>
                <w:lang w:eastAsia="en-AU"/>
              </w:rPr>
            </w:pPr>
            <w:r w:rsidRPr="00791C2A">
              <w:rPr>
                <w:rFonts w:eastAsia="Times New Roman" w:cs="Times New Roman"/>
                <w:color w:val="FFFFFF" w:themeColor="background1"/>
                <w:szCs w:val="24"/>
                <w:lang w:eastAsia="en-AU"/>
              </w:rPr>
              <w:t>%</w:t>
            </w:r>
          </w:p>
        </w:tc>
      </w:tr>
      <w:tr w:rsidR="00503633" w:rsidRPr="0091560A" w14:paraId="2E896592"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bottom w:val="nil"/>
            </w:tcBorders>
            <w:noWrap/>
            <w:hideMark/>
          </w:tcPr>
          <w:p w14:paraId="3439F113" w14:textId="77777777" w:rsidR="00503633" w:rsidRPr="00791C2A" w:rsidRDefault="00503633" w:rsidP="00F50390">
            <w:pPr>
              <w:keepNext/>
              <w:rPr>
                <w:rFonts w:eastAsia="Times New Roman" w:cs="Times New Roman"/>
                <w:color w:val="000000"/>
                <w:szCs w:val="24"/>
                <w:lang w:eastAsia="en-AU"/>
              </w:rPr>
            </w:pPr>
            <w:r w:rsidRPr="00791C2A">
              <w:rPr>
                <w:rFonts w:eastAsia="Times New Roman" w:cs="Times New Roman"/>
                <w:color w:val="000000"/>
                <w:szCs w:val="24"/>
                <w:lang w:eastAsia="en-AU"/>
              </w:rPr>
              <w:t>Reason</w:t>
            </w:r>
          </w:p>
        </w:tc>
        <w:tc>
          <w:tcPr>
            <w:tcW w:w="2059" w:type="dxa"/>
            <w:tcBorders>
              <w:bottom w:val="nil"/>
            </w:tcBorders>
            <w:noWrap/>
            <w:hideMark/>
          </w:tcPr>
          <w:p w14:paraId="2DE24404"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1134" w:type="dxa"/>
            <w:tcBorders>
              <w:bottom w:val="nil"/>
            </w:tcBorders>
            <w:noWrap/>
            <w:hideMark/>
          </w:tcPr>
          <w:p w14:paraId="5C580653"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275" w:type="dxa"/>
            <w:tcBorders>
              <w:bottom w:val="nil"/>
            </w:tcBorders>
            <w:noWrap/>
            <w:hideMark/>
          </w:tcPr>
          <w:p w14:paraId="37F772D2"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548" w:type="dxa"/>
            <w:tcBorders>
              <w:bottom w:val="nil"/>
            </w:tcBorders>
            <w:noWrap/>
            <w:hideMark/>
          </w:tcPr>
          <w:p w14:paraId="2AFCC5DF"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287" w:type="dxa"/>
            <w:tcBorders>
              <w:bottom w:val="nil"/>
            </w:tcBorders>
            <w:noWrap/>
            <w:hideMark/>
          </w:tcPr>
          <w:p w14:paraId="3E3FBED9"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r>
      <w:tr w:rsidR="00503633" w:rsidRPr="0091560A" w14:paraId="78029E97"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680A6A9A" w14:textId="77777777" w:rsidR="00503633" w:rsidRPr="00791C2A" w:rsidRDefault="00503633" w:rsidP="00F50390">
            <w:pPr>
              <w:keepNext/>
              <w:rPr>
                <w:rFonts w:eastAsia="Times New Roman" w:cs="Times New Roman"/>
                <w:szCs w:val="24"/>
                <w:lang w:eastAsia="en-AU"/>
              </w:rPr>
            </w:pPr>
          </w:p>
        </w:tc>
        <w:tc>
          <w:tcPr>
            <w:tcW w:w="2059" w:type="dxa"/>
            <w:tcBorders>
              <w:top w:val="nil"/>
              <w:bottom w:val="nil"/>
            </w:tcBorders>
            <w:noWrap/>
            <w:hideMark/>
          </w:tcPr>
          <w:p w14:paraId="72A88A9B"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Self-poisoning</w:t>
            </w:r>
          </w:p>
        </w:tc>
        <w:tc>
          <w:tcPr>
            <w:tcW w:w="1134" w:type="dxa"/>
            <w:tcBorders>
              <w:top w:val="nil"/>
              <w:bottom w:val="nil"/>
            </w:tcBorders>
            <w:noWrap/>
            <w:hideMark/>
          </w:tcPr>
          <w:p w14:paraId="46DA5565"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33</w:t>
            </w:r>
          </w:p>
        </w:tc>
        <w:tc>
          <w:tcPr>
            <w:tcW w:w="1275" w:type="dxa"/>
            <w:tcBorders>
              <w:top w:val="nil"/>
              <w:bottom w:val="nil"/>
            </w:tcBorders>
            <w:noWrap/>
            <w:hideMark/>
          </w:tcPr>
          <w:p w14:paraId="410ACB8C"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38%</w:t>
            </w:r>
          </w:p>
        </w:tc>
        <w:tc>
          <w:tcPr>
            <w:tcW w:w="1548" w:type="dxa"/>
            <w:tcBorders>
              <w:top w:val="nil"/>
              <w:bottom w:val="nil"/>
            </w:tcBorders>
            <w:noWrap/>
            <w:hideMark/>
          </w:tcPr>
          <w:p w14:paraId="562F9B1E"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19</w:t>
            </w:r>
          </w:p>
        </w:tc>
        <w:tc>
          <w:tcPr>
            <w:tcW w:w="1287" w:type="dxa"/>
            <w:tcBorders>
              <w:top w:val="nil"/>
              <w:bottom w:val="nil"/>
            </w:tcBorders>
            <w:noWrap/>
            <w:hideMark/>
          </w:tcPr>
          <w:p w14:paraId="7B5E9EE5"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23%</w:t>
            </w:r>
          </w:p>
        </w:tc>
      </w:tr>
      <w:tr w:rsidR="00503633" w:rsidRPr="0091560A" w14:paraId="11A97AF2"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178AFA2C"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49AC3271"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Suicide</w:t>
            </w:r>
          </w:p>
        </w:tc>
        <w:tc>
          <w:tcPr>
            <w:tcW w:w="1134" w:type="dxa"/>
            <w:tcBorders>
              <w:top w:val="nil"/>
              <w:bottom w:val="nil"/>
            </w:tcBorders>
            <w:noWrap/>
            <w:hideMark/>
          </w:tcPr>
          <w:p w14:paraId="6E17E553"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47</w:t>
            </w:r>
          </w:p>
        </w:tc>
        <w:tc>
          <w:tcPr>
            <w:tcW w:w="1275" w:type="dxa"/>
            <w:tcBorders>
              <w:top w:val="nil"/>
              <w:bottom w:val="nil"/>
            </w:tcBorders>
            <w:noWrap/>
            <w:hideMark/>
          </w:tcPr>
          <w:p w14:paraId="25C59DE9"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53%</w:t>
            </w:r>
          </w:p>
        </w:tc>
        <w:tc>
          <w:tcPr>
            <w:tcW w:w="1548" w:type="dxa"/>
            <w:tcBorders>
              <w:top w:val="nil"/>
              <w:bottom w:val="nil"/>
            </w:tcBorders>
            <w:noWrap/>
            <w:hideMark/>
          </w:tcPr>
          <w:p w14:paraId="2947B7C2"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55</w:t>
            </w:r>
          </w:p>
        </w:tc>
        <w:tc>
          <w:tcPr>
            <w:tcW w:w="1287" w:type="dxa"/>
            <w:tcBorders>
              <w:top w:val="nil"/>
              <w:bottom w:val="nil"/>
            </w:tcBorders>
            <w:noWrap/>
            <w:hideMark/>
          </w:tcPr>
          <w:p w14:paraId="3F614539"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66%</w:t>
            </w:r>
          </w:p>
        </w:tc>
      </w:tr>
      <w:tr w:rsidR="00503633" w:rsidRPr="0091560A" w14:paraId="54CC1265"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2DDE4439"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42EBFBEC"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Other intentional</w:t>
            </w:r>
          </w:p>
        </w:tc>
        <w:tc>
          <w:tcPr>
            <w:tcW w:w="1134" w:type="dxa"/>
            <w:tcBorders>
              <w:top w:val="nil"/>
              <w:bottom w:val="nil"/>
            </w:tcBorders>
            <w:noWrap/>
            <w:hideMark/>
          </w:tcPr>
          <w:p w14:paraId="722C75EE"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w:t>
            </w:r>
          </w:p>
        </w:tc>
        <w:tc>
          <w:tcPr>
            <w:tcW w:w="1275" w:type="dxa"/>
            <w:tcBorders>
              <w:top w:val="nil"/>
              <w:bottom w:val="nil"/>
            </w:tcBorders>
            <w:noWrap/>
            <w:hideMark/>
          </w:tcPr>
          <w:p w14:paraId="2EB52C90"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w:t>
            </w:r>
          </w:p>
        </w:tc>
        <w:tc>
          <w:tcPr>
            <w:tcW w:w="1548" w:type="dxa"/>
            <w:tcBorders>
              <w:top w:val="nil"/>
              <w:bottom w:val="nil"/>
            </w:tcBorders>
            <w:noWrap/>
            <w:hideMark/>
          </w:tcPr>
          <w:p w14:paraId="777B68F3"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c>
          <w:tcPr>
            <w:tcW w:w="1287" w:type="dxa"/>
            <w:tcBorders>
              <w:top w:val="nil"/>
              <w:bottom w:val="nil"/>
            </w:tcBorders>
            <w:noWrap/>
            <w:hideMark/>
          </w:tcPr>
          <w:p w14:paraId="54762DE8"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w:t>
            </w:r>
          </w:p>
        </w:tc>
      </w:tr>
      <w:tr w:rsidR="00503633" w:rsidRPr="0091560A" w14:paraId="00B7E40A" w14:textId="77777777" w:rsidTr="00E279D1">
        <w:trPr>
          <w:trHeight w:val="36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33EA82DC"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46AB076A"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Unknown</w:t>
            </w:r>
          </w:p>
        </w:tc>
        <w:tc>
          <w:tcPr>
            <w:tcW w:w="1134" w:type="dxa"/>
            <w:tcBorders>
              <w:top w:val="nil"/>
              <w:bottom w:val="nil"/>
            </w:tcBorders>
            <w:noWrap/>
            <w:hideMark/>
          </w:tcPr>
          <w:p w14:paraId="2A485104"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w:t>
            </w:r>
          </w:p>
        </w:tc>
        <w:tc>
          <w:tcPr>
            <w:tcW w:w="1275" w:type="dxa"/>
            <w:tcBorders>
              <w:top w:val="nil"/>
              <w:bottom w:val="nil"/>
            </w:tcBorders>
            <w:noWrap/>
            <w:hideMark/>
          </w:tcPr>
          <w:p w14:paraId="3358C252"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7%</w:t>
            </w:r>
          </w:p>
        </w:tc>
        <w:tc>
          <w:tcPr>
            <w:tcW w:w="1548" w:type="dxa"/>
            <w:tcBorders>
              <w:top w:val="nil"/>
              <w:bottom w:val="nil"/>
            </w:tcBorders>
            <w:noWrap/>
            <w:hideMark/>
          </w:tcPr>
          <w:p w14:paraId="6F23A2A5"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c>
          <w:tcPr>
            <w:tcW w:w="1287" w:type="dxa"/>
            <w:tcBorders>
              <w:top w:val="nil"/>
              <w:bottom w:val="nil"/>
            </w:tcBorders>
            <w:noWrap/>
            <w:hideMark/>
          </w:tcPr>
          <w:p w14:paraId="4523927F"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r>
      <w:tr w:rsidR="00503633" w:rsidRPr="0091560A" w14:paraId="5872604E"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29B3F534" w14:textId="77777777" w:rsidR="00503633" w:rsidRPr="00791C2A" w:rsidRDefault="00503633" w:rsidP="00F50390">
            <w:pPr>
              <w:keepNext/>
              <w:rPr>
                <w:rFonts w:eastAsia="Times New Roman" w:cs="Times New Roman"/>
                <w:color w:val="000000"/>
                <w:szCs w:val="24"/>
                <w:lang w:eastAsia="en-AU"/>
              </w:rPr>
            </w:pPr>
            <w:r w:rsidRPr="00791C2A">
              <w:rPr>
                <w:rFonts w:eastAsia="Times New Roman" w:cs="Times New Roman"/>
                <w:color w:val="000000"/>
                <w:szCs w:val="24"/>
                <w:lang w:eastAsia="en-AU"/>
              </w:rPr>
              <w:t>Planning</w:t>
            </w:r>
          </w:p>
        </w:tc>
        <w:tc>
          <w:tcPr>
            <w:tcW w:w="2059" w:type="dxa"/>
            <w:tcBorders>
              <w:top w:val="nil"/>
              <w:bottom w:val="nil"/>
            </w:tcBorders>
            <w:noWrap/>
            <w:hideMark/>
          </w:tcPr>
          <w:p w14:paraId="77D28DC0"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134" w:type="dxa"/>
            <w:tcBorders>
              <w:top w:val="nil"/>
              <w:bottom w:val="nil"/>
            </w:tcBorders>
            <w:noWrap/>
            <w:hideMark/>
          </w:tcPr>
          <w:p w14:paraId="6394FD7D"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275" w:type="dxa"/>
            <w:tcBorders>
              <w:top w:val="nil"/>
              <w:bottom w:val="nil"/>
            </w:tcBorders>
            <w:noWrap/>
            <w:hideMark/>
          </w:tcPr>
          <w:p w14:paraId="65CD9ADF"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548" w:type="dxa"/>
            <w:tcBorders>
              <w:top w:val="nil"/>
              <w:bottom w:val="nil"/>
            </w:tcBorders>
            <w:noWrap/>
            <w:hideMark/>
          </w:tcPr>
          <w:p w14:paraId="1BBB3D86"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287" w:type="dxa"/>
            <w:tcBorders>
              <w:top w:val="nil"/>
              <w:bottom w:val="nil"/>
            </w:tcBorders>
            <w:noWrap/>
            <w:hideMark/>
          </w:tcPr>
          <w:p w14:paraId="7933EF5B"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503633" w:rsidRPr="0091560A" w14:paraId="578B23BE"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36E5800E" w14:textId="77777777" w:rsidR="00503633" w:rsidRPr="00791C2A" w:rsidRDefault="00503633" w:rsidP="00F50390">
            <w:pPr>
              <w:keepNext/>
              <w:rPr>
                <w:rFonts w:eastAsia="Times New Roman" w:cs="Times New Roman"/>
                <w:szCs w:val="24"/>
                <w:lang w:eastAsia="en-AU"/>
              </w:rPr>
            </w:pPr>
          </w:p>
        </w:tc>
        <w:tc>
          <w:tcPr>
            <w:tcW w:w="2059" w:type="dxa"/>
            <w:tcBorders>
              <w:top w:val="nil"/>
              <w:bottom w:val="nil"/>
            </w:tcBorders>
            <w:noWrap/>
            <w:hideMark/>
          </w:tcPr>
          <w:p w14:paraId="1D6E6C42"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Impulsive</w:t>
            </w:r>
          </w:p>
        </w:tc>
        <w:tc>
          <w:tcPr>
            <w:tcW w:w="1134" w:type="dxa"/>
            <w:tcBorders>
              <w:top w:val="nil"/>
              <w:bottom w:val="nil"/>
            </w:tcBorders>
            <w:noWrap/>
            <w:hideMark/>
          </w:tcPr>
          <w:p w14:paraId="303BEB48"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47</w:t>
            </w:r>
          </w:p>
        </w:tc>
        <w:tc>
          <w:tcPr>
            <w:tcW w:w="1275" w:type="dxa"/>
            <w:tcBorders>
              <w:top w:val="nil"/>
              <w:bottom w:val="nil"/>
            </w:tcBorders>
            <w:noWrap/>
            <w:hideMark/>
          </w:tcPr>
          <w:p w14:paraId="05BDF1B1"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53%</w:t>
            </w:r>
          </w:p>
        </w:tc>
        <w:tc>
          <w:tcPr>
            <w:tcW w:w="1548" w:type="dxa"/>
            <w:tcBorders>
              <w:top w:val="nil"/>
              <w:bottom w:val="nil"/>
            </w:tcBorders>
            <w:noWrap/>
            <w:hideMark/>
          </w:tcPr>
          <w:p w14:paraId="62EDC02E"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50</w:t>
            </w:r>
          </w:p>
        </w:tc>
        <w:tc>
          <w:tcPr>
            <w:tcW w:w="1287" w:type="dxa"/>
            <w:tcBorders>
              <w:top w:val="nil"/>
              <w:bottom w:val="nil"/>
            </w:tcBorders>
            <w:noWrap/>
            <w:hideMark/>
          </w:tcPr>
          <w:p w14:paraId="55F29D58"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60%</w:t>
            </w:r>
          </w:p>
        </w:tc>
      </w:tr>
      <w:tr w:rsidR="00503633" w:rsidRPr="0091560A" w14:paraId="457D4202"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0FE703A6"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2C839FB1"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Same day plan</w:t>
            </w:r>
          </w:p>
        </w:tc>
        <w:tc>
          <w:tcPr>
            <w:tcW w:w="1134" w:type="dxa"/>
            <w:tcBorders>
              <w:top w:val="nil"/>
              <w:bottom w:val="nil"/>
            </w:tcBorders>
            <w:noWrap/>
            <w:hideMark/>
          </w:tcPr>
          <w:p w14:paraId="50921F78"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w:t>
            </w:r>
          </w:p>
        </w:tc>
        <w:tc>
          <w:tcPr>
            <w:tcW w:w="1275" w:type="dxa"/>
            <w:tcBorders>
              <w:top w:val="nil"/>
              <w:bottom w:val="nil"/>
            </w:tcBorders>
            <w:noWrap/>
            <w:hideMark/>
          </w:tcPr>
          <w:p w14:paraId="10CE1417"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9%</w:t>
            </w:r>
          </w:p>
        </w:tc>
        <w:tc>
          <w:tcPr>
            <w:tcW w:w="1548" w:type="dxa"/>
            <w:tcBorders>
              <w:top w:val="nil"/>
              <w:bottom w:val="nil"/>
            </w:tcBorders>
            <w:noWrap/>
            <w:hideMark/>
          </w:tcPr>
          <w:p w14:paraId="4CE5737F"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w:t>
            </w:r>
          </w:p>
        </w:tc>
        <w:tc>
          <w:tcPr>
            <w:tcW w:w="1287" w:type="dxa"/>
            <w:tcBorders>
              <w:top w:val="nil"/>
              <w:bottom w:val="nil"/>
            </w:tcBorders>
            <w:noWrap/>
            <w:hideMark/>
          </w:tcPr>
          <w:p w14:paraId="198CB15F"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r>
      <w:tr w:rsidR="00503633" w:rsidRPr="0091560A" w14:paraId="5BA28302"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715A1EEA"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2960EF32" w14:textId="77777777" w:rsidR="00503633" w:rsidRPr="00791C2A" w:rsidRDefault="00503633"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More advanced plan</w:t>
            </w:r>
          </w:p>
        </w:tc>
        <w:tc>
          <w:tcPr>
            <w:tcW w:w="1134" w:type="dxa"/>
            <w:tcBorders>
              <w:top w:val="nil"/>
              <w:bottom w:val="nil"/>
            </w:tcBorders>
            <w:noWrap/>
            <w:hideMark/>
          </w:tcPr>
          <w:p w14:paraId="06C51221"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11</w:t>
            </w:r>
          </w:p>
        </w:tc>
        <w:tc>
          <w:tcPr>
            <w:tcW w:w="1275" w:type="dxa"/>
            <w:tcBorders>
              <w:top w:val="nil"/>
              <w:bottom w:val="nil"/>
            </w:tcBorders>
            <w:noWrap/>
            <w:hideMark/>
          </w:tcPr>
          <w:p w14:paraId="515541F8"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13%</w:t>
            </w:r>
          </w:p>
        </w:tc>
        <w:tc>
          <w:tcPr>
            <w:tcW w:w="1548" w:type="dxa"/>
            <w:tcBorders>
              <w:top w:val="nil"/>
              <w:bottom w:val="nil"/>
            </w:tcBorders>
            <w:noWrap/>
            <w:hideMark/>
          </w:tcPr>
          <w:p w14:paraId="4ED0B9F5"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c>
          <w:tcPr>
            <w:tcW w:w="1287" w:type="dxa"/>
            <w:tcBorders>
              <w:top w:val="nil"/>
              <w:bottom w:val="nil"/>
            </w:tcBorders>
            <w:noWrap/>
            <w:hideMark/>
          </w:tcPr>
          <w:p w14:paraId="387AD74D" w14:textId="77777777" w:rsidR="00503633" w:rsidRPr="00791C2A" w:rsidRDefault="00503633"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w:t>
            </w:r>
          </w:p>
        </w:tc>
      </w:tr>
      <w:tr w:rsidR="00503633" w:rsidRPr="0091560A" w14:paraId="26D4982A"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0488BBFF" w14:textId="77777777" w:rsidR="00503633" w:rsidRPr="00791C2A" w:rsidRDefault="00503633"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0CA0D811" w14:textId="77777777" w:rsidR="00503633" w:rsidRPr="00791C2A" w:rsidRDefault="00503633"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Unspecified plan</w:t>
            </w:r>
          </w:p>
        </w:tc>
        <w:tc>
          <w:tcPr>
            <w:tcW w:w="1134" w:type="dxa"/>
            <w:tcBorders>
              <w:top w:val="nil"/>
              <w:bottom w:val="nil"/>
            </w:tcBorders>
            <w:noWrap/>
            <w:hideMark/>
          </w:tcPr>
          <w:p w14:paraId="118DC105"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c>
          <w:tcPr>
            <w:tcW w:w="1275" w:type="dxa"/>
            <w:tcBorders>
              <w:top w:val="nil"/>
              <w:bottom w:val="nil"/>
            </w:tcBorders>
            <w:noWrap/>
            <w:hideMark/>
          </w:tcPr>
          <w:p w14:paraId="0632A32E"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c>
          <w:tcPr>
            <w:tcW w:w="1548" w:type="dxa"/>
            <w:tcBorders>
              <w:top w:val="nil"/>
              <w:bottom w:val="nil"/>
            </w:tcBorders>
            <w:noWrap/>
            <w:hideMark/>
          </w:tcPr>
          <w:p w14:paraId="5FAABE54"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0</w:t>
            </w:r>
          </w:p>
        </w:tc>
        <w:tc>
          <w:tcPr>
            <w:tcW w:w="1287" w:type="dxa"/>
            <w:tcBorders>
              <w:top w:val="nil"/>
              <w:bottom w:val="nil"/>
            </w:tcBorders>
            <w:noWrap/>
            <w:hideMark/>
          </w:tcPr>
          <w:p w14:paraId="34547335" w14:textId="77777777" w:rsidR="00503633" w:rsidRPr="00791C2A" w:rsidRDefault="00503633"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0%</w:t>
            </w:r>
          </w:p>
        </w:tc>
      </w:tr>
      <w:tr w:rsidR="00465E79" w:rsidRPr="0091560A" w14:paraId="6BF8F2F6"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tcPr>
          <w:p w14:paraId="75B15E91" w14:textId="77777777" w:rsidR="00465E79" w:rsidRPr="00791C2A" w:rsidRDefault="00465E79" w:rsidP="00F50390">
            <w:pPr>
              <w:keepNext/>
              <w:rPr>
                <w:rFonts w:eastAsia="Times New Roman" w:cs="Times New Roman"/>
                <w:color w:val="000000"/>
                <w:szCs w:val="24"/>
                <w:lang w:eastAsia="en-AU"/>
              </w:rPr>
            </w:pPr>
          </w:p>
        </w:tc>
        <w:tc>
          <w:tcPr>
            <w:tcW w:w="2059" w:type="dxa"/>
            <w:tcBorders>
              <w:top w:val="nil"/>
              <w:bottom w:val="nil"/>
            </w:tcBorders>
            <w:noWrap/>
          </w:tcPr>
          <w:p w14:paraId="3085DB69" w14:textId="72286FC6"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 xml:space="preserve">Unknown </w:t>
            </w:r>
          </w:p>
        </w:tc>
        <w:tc>
          <w:tcPr>
            <w:tcW w:w="1134" w:type="dxa"/>
            <w:tcBorders>
              <w:top w:val="nil"/>
              <w:bottom w:val="nil"/>
            </w:tcBorders>
            <w:noWrap/>
          </w:tcPr>
          <w:p w14:paraId="1A3F1E64" w14:textId="5C098C1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18</w:t>
            </w:r>
          </w:p>
        </w:tc>
        <w:tc>
          <w:tcPr>
            <w:tcW w:w="1275" w:type="dxa"/>
            <w:tcBorders>
              <w:top w:val="nil"/>
              <w:bottom w:val="nil"/>
            </w:tcBorders>
            <w:noWrap/>
          </w:tcPr>
          <w:p w14:paraId="027DB49A" w14:textId="755022A6"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20%</w:t>
            </w:r>
          </w:p>
        </w:tc>
        <w:tc>
          <w:tcPr>
            <w:tcW w:w="1548" w:type="dxa"/>
            <w:tcBorders>
              <w:top w:val="nil"/>
              <w:bottom w:val="nil"/>
            </w:tcBorders>
            <w:noWrap/>
          </w:tcPr>
          <w:p w14:paraId="2B863C5B" w14:textId="1E4E2169"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25</w:t>
            </w:r>
          </w:p>
        </w:tc>
        <w:tc>
          <w:tcPr>
            <w:tcW w:w="1287" w:type="dxa"/>
            <w:tcBorders>
              <w:top w:val="nil"/>
              <w:bottom w:val="nil"/>
            </w:tcBorders>
            <w:noWrap/>
          </w:tcPr>
          <w:p w14:paraId="57C642AE" w14:textId="36646A39"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30%</w:t>
            </w:r>
          </w:p>
        </w:tc>
      </w:tr>
      <w:tr w:rsidR="00465E79" w:rsidRPr="0091560A" w14:paraId="6E93BD57"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tcPr>
          <w:p w14:paraId="6ACC0BF9" w14:textId="5F117F63" w:rsidR="00465E79" w:rsidRPr="00791C2A" w:rsidRDefault="00285962" w:rsidP="00F50390">
            <w:pPr>
              <w:keepNext/>
              <w:rPr>
                <w:rFonts w:eastAsia="Times New Roman" w:cs="Times New Roman"/>
                <w:color w:val="000000"/>
                <w:szCs w:val="24"/>
                <w:lang w:eastAsia="en-AU"/>
              </w:rPr>
            </w:pPr>
            <w:r w:rsidRPr="00791C2A">
              <w:rPr>
                <w:rFonts w:eastAsia="Times New Roman" w:cs="Times New Roman"/>
                <w:color w:val="000000"/>
                <w:szCs w:val="24"/>
                <w:lang w:eastAsia="en-AU"/>
              </w:rPr>
              <w:t>History of previous self-harm</w:t>
            </w:r>
          </w:p>
        </w:tc>
        <w:tc>
          <w:tcPr>
            <w:tcW w:w="2059" w:type="dxa"/>
            <w:tcBorders>
              <w:top w:val="nil"/>
              <w:bottom w:val="nil"/>
            </w:tcBorders>
            <w:noWrap/>
          </w:tcPr>
          <w:p w14:paraId="30F431EA"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134" w:type="dxa"/>
            <w:tcBorders>
              <w:top w:val="nil"/>
              <w:bottom w:val="nil"/>
            </w:tcBorders>
            <w:noWrap/>
          </w:tcPr>
          <w:p w14:paraId="232BAB90"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275" w:type="dxa"/>
            <w:tcBorders>
              <w:top w:val="nil"/>
              <w:bottom w:val="nil"/>
            </w:tcBorders>
            <w:noWrap/>
          </w:tcPr>
          <w:p w14:paraId="5D6166B6"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548" w:type="dxa"/>
            <w:tcBorders>
              <w:top w:val="nil"/>
              <w:bottom w:val="nil"/>
            </w:tcBorders>
            <w:noWrap/>
          </w:tcPr>
          <w:p w14:paraId="7CAE452E"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287" w:type="dxa"/>
            <w:tcBorders>
              <w:top w:val="nil"/>
              <w:bottom w:val="nil"/>
            </w:tcBorders>
            <w:noWrap/>
          </w:tcPr>
          <w:p w14:paraId="44A0F996"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r>
      <w:tr w:rsidR="00465E79" w:rsidRPr="0091560A" w14:paraId="30F1C90D"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tcPr>
          <w:p w14:paraId="0C27629B" w14:textId="77777777" w:rsidR="00465E79" w:rsidRPr="00791C2A" w:rsidRDefault="00465E79" w:rsidP="00F50390">
            <w:pPr>
              <w:keepNext/>
              <w:rPr>
                <w:rFonts w:eastAsia="Times New Roman" w:cs="Times New Roman"/>
                <w:color w:val="000000"/>
                <w:szCs w:val="24"/>
                <w:lang w:eastAsia="en-AU"/>
              </w:rPr>
            </w:pPr>
          </w:p>
        </w:tc>
        <w:tc>
          <w:tcPr>
            <w:tcW w:w="2059" w:type="dxa"/>
            <w:tcBorders>
              <w:top w:val="nil"/>
              <w:bottom w:val="nil"/>
            </w:tcBorders>
            <w:noWrap/>
          </w:tcPr>
          <w:p w14:paraId="5DFE8636" w14:textId="13705330"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No</w:t>
            </w:r>
          </w:p>
        </w:tc>
        <w:tc>
          <w:tcPr>
            <w:tcW w:w="1134" w:type="dxa"/>
            <w:tcBorders>
              <w:top w:val="nil"/>
              <w:bottom w:val="nil"/>
            </w:tcBorders>
            <w:noWrap/>
          </w:tcPr>
          <w:p w14:paraId="086F9E69" w14:textId="304C7953"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w:t>
            </w:r>
          </w:p>
        </w:tc>
        <w:tc>
          <w:tcPr>
            <w:tcW w:w="1275" w:type="dxa"/>
            <w:tcBorders>
              <w:top w:val="nil"/>
              <w:bottom w:val="nil"/>
            </w:tcBorders>
            <w:noWrap/>
          </w:tcPr>
          <w:p w14:paraId="3D1CDEFD" w14:textId="00D73E66"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9%</w:t>
            </w:r>
          </w:p>
        </w:tc>
        <w:tc>
          <w:tcPr>
            <w:tcW w:w="1548" w:type="dxa"/>
            <w:tcBorders>
              <w:top w:val="nil"/>
              <w:bottom w:val="nil"/>
            </w:tcBorders>
            <w:noWrap/>
          </w:tcPr>
          <w:p w14:paraId="17A35645" w14:textId="5C817FFB"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10</w:t>
            </w:r>
          </w:p>
        </w:tc>
        <w:tc>
          <w:tcPr>
            <w:tcW w:w="1287" w:type="dxa"/>
            <w:tcBorders>
              <w:top w:val="nil"/>
              <w:bottom w:val="nil"/>
            </w:tcBorders>
            <w:noWrap/>
          </w:tcPr>
          <w:p w14:paraId="70315E0B" w14:textId="6F17B179"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12%</w:t>
            </w:r>
          </w:p>
        </w:tc>
      </w:tr>
      <w:tr w:rsidR="00465E79" w:rsidRPr="0091560A" w14:paraId="7A67D9E5"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tcPr>
          <w:p w14:paraId="55E8160F" w14:textId="77777777" w:rsidR="00465E79" w:rsidRPr="00791C2A" w:rsidRDefault="00465E79" w:rsidP="00F50390">
            <w:pPr>
              <w:keepNext/>
              <w:rPr>
                <w:rFonts w:eastAsia="Times New Roman" w:cs="Times New Roman"/>
                <w:color w:val="000000"/>
                <w:szCs w:val="24"/>
                <w:lang w:eastAsia="en-AU"/>
              </w:rPr>
            </w:pPr>
          </w:p>
        </w:tc>
        <w:tc>
          <w:tcPr>
            <w:tcW w:w="2059" w:type="dxa"/>
            <w:tcBorders>
              <w:top w:val="nil"/>
              <w:bottom w:val="nil"/>
            </w:tcBorders>
            <w:noWrap/>
          </w:tcPr>
          <w:p w14:paraId="43A30EF9" w14:textId="734B5704"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Yes</w:t>
            </w:r>
          </w:p>
        </w:tc>
        <w:tc>
          <w:tcPr>
            <w:tcW w:w="1134" w:type="dxa"/>
            <w:tcBorders>
              <w:top w:val="nil"/>
              <w:bottom w:val="nil"/>
            </w:tcBorders>
            <w:noWrap/>
          </w:tcPr>
          <w:p w14:paraId="618231E8" w14:textId="7B006CD5"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57</w:t>
            </w:r>
          </w:p>
        </w:tc>
        <w:tc>
          <w:tcPr>
            <w:tcW w:w="1275" w:type="dxa"/>
            <w:tcBorders>
              <w:top w:val="nil"/>
              <w:bottom w:val="nil"/>
            </w:tcBorders>
            <w:noWrap/>
          </w:tcPr>
          <w:p w14:paraId="5AC18E1C" w14:textId="5A5C2D93"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65%</w:t>
            </w:r>
          </w:p>
        </w:tc>
        <w:tc>
          <w:tcPr>
            <w:tcW w:w="1548" w:type="dxa"/>
            <w:tcBorders>
              <w:top w:val="nil"/>
              <w:bottom w:val="nil"/>
            </w:tcBorders>
            <w:noWrap/>
          </w:tcPr>
          <w:p w14:paraId="4E75B98A" w14:textId="1D4D4688"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43</w:t>
            </w:r>
          </w:p>
        </w:tc>
        <w:tc>
          <w:tcPr>
            <w:tcW w:w="1287" w:type="dxa"/>
            <w:tcBorders>
              <w:top w:val="nil"/>
              <w:bottom w:val="nil"/>
            </w:tcBorders>
            <w:noWrap/>
          </w:tcPr>
          <w:p w14:paraId="155BB628" w14:textId="389798FD"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52%</w:t>
            </w:r>
          </w:p>
        </w:tc>
      </w:tr>
      <w:tr w:rsidR="00465E79" w:rsidRPr="0091560A" w14:paraId="6BA469A1"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744F97B1" w14:textId="77777777" w:rsidR="00465E79" w:rsidRPr="00791C2A" w:rsidRDefault="00465E79" w:rsidP="00F50390">
            <w:pPr>
              <w:keepNext/>
              <w:rPr>
                <w:rFonts w:eastAsia="Times New Roman" w:cs="Times New Roman"/>
                <w:color w:val="000000"/>
                <w:szCs w:val="24"/>
                <w:lang w:eastAsia="en-AU"/>
              </w:rPr>
            </w:pPr>
            <w:r w:rsidRPr="00791C2A">
              <w:rPr>
                <w:rFonts w:eastAsia="Times New Roman" w:cs="Times New Roman"/>
                <w:color w:val="000000"/>
                <w:szCs w:val="24"/>
                <w:lang w:eastAsia="en-AU"/>
              </w:rPr>
              <w:t xml:space="preserve"> </w:t>
            </w:r>
          </w:p>
        </w:tc>
        <w:tc>
          <w:tcPr>
            <w:tcW w:w="2059" w:type="dxa"/>
            <w:tcBorders>
              <w:top w:val="nil"/>
              <w:bottom w:val="nil"/>
            </w:tcBorders>
            <w:noWrap/>
            <w:hideMark/>
          </w:tcPr>
          <w:p w14:paraId="2C7B68D9" w14:textId="77777777"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Unknown</w:t>
            </w:r>
          </w:p>
        </w:tc>
        <w:tc>
          <w:tcPr>
            <w:tcW w:w="1134" w:type="dxa"/>
            <w:tcBorders>
              <w:top w:val="nil"/>
              <w:bottom w:val="nil"/>
            </w:tcBorders>
            <w:noWrap/>
            <w:hideMark/>
          </w:tcPr>
          <w:p w14:paraId="157216F0"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23</w:t>
            </w:r>
          </w:p>
        </w:tc>
        <w:tc>
          <w:tcPr>
            <w:tcW w:w="1275" w:type="dxa"/>
            <w:tcBorders>
              <w:top w:val="nil"/>
              <w:bottom w:val="nil"/>
            </w:tcBorders>
            <w:noWrap/>
            <w:hideMark/>
          </w:tcPr>
          <w:p w14:paraId="54E6C150"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26%</w:t>
            </w:r>
          </w:p>
        </w:tc>
        <w:tc>
          <w:tcPr>
            <w:tcW w:w="1548" w:type="dxa"/>
            <w:tcBorders>
              <w:top w:val="nil"/>
              <w:bottom w:val="nil"/>
            </w:tcBorders>
            <w:noWrap/>
            <w:hideMark/>
          </w:tcPr>
          <w:p w14:paraId="339308E2"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30</w:t>
            </w:r>
          </w:p>
        </w:tc>
        <w:tc>
          <w:tcPr>
            <w:tcW w:w="1287" w:type="dxa"/>
            <w:tcBorders>
              <w:top w:val="nil"/>
              <w:bottom w:val="nil"/>
            </w:tcBorders>
            <w:noWrap/>
            <w:hideMark/>
          </w:tcPr>
          <w:p w14:paraId="2AC89261"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36%</w:t>
            </w:r>
          </w:p>
        </w:tc>
      </w:tr>
      <w:tr w:rsidR="00465E79" w:rsidRPr="0091560A" w14:paraId="2D4539A9" w14:textId="77777777" w:rsidTr="00E279D1">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1D752FE4" w14:textId="77777777" w:rsidR="00465E79" w:rsidRPr="00791C2A" w:rsidRDefault="00465E79" w:rsidP="00F50390">
            <w:pPr>
              <w:keepNext/>
              <w:rPr>
                <w:rFonts w:eastAsia="Times New Roman" w:cs="Times New Roman"/>
                <w:color w:val="000000"/>
                <w:szCs w:val="24"/>
                <w:lang w:eastAsia="en-AU"/>
              </w:rPr>
            </w:pPr>
            <w:r w:rsidRPr="00791C2A">
              <w:rPr>
                <w:rFonts w:eastAsia="Times New Roman" w:cs="Times New Roman"/>
                <w:color w:val="000000"/>
                <w:szCs w:val="24"/>
                <w:lang w:eastAsia="en-AU"/>
              </w:rPr>
              <w:t>Psychiatric disposition</w:t>
            </w:r>
          </w:p>
        </w:tc>
        <w:tc>
          <w:tcPr>
            <w:tcW w:w="2059" w:type="dxa"/>
            <w:tcBorders>
              <w:top w:val="nil"/>
              <w:bottom w:val="nil"/>
            </w:tcBorders>
            <w:noWrap/>
            <w:hideMark/>
          </w:tcPr>
          <w:p w14:paraId="33BAEE9C"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134" w:type="dxa"/>
            <w:tcBorders>
              <w:top w:val="nil"/>
              <w:bottom w:val="nil"/>
            </w:tcBorders>
            <w:noWrap/>
            <w:hideMark/>
          </w:tcPr>
          <w:p w14:paraId="256093AA"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275" w:type="dxa"/>
            <w:tcBorders>
              <w:top w:val="nil"/>
              <w:bottom w:val="nil"/>
            </w:tcBorders>
            <w:noWrap/>
            <w:hideMark/>
          </w:tcPr>
          <w:p w14:paraId="050DB50E"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548" w:type="dxa"/>
            <w:tcBorders>
              <w:top w:val="nil"/>
              <w:bottom w:val="nil"/>
            </w:tcBorders>
            <w:noWrap/>
            <w:hideMark/>
          </w:tcPr>
          <w:p w14:paraId="79E79AD2"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287" w:type="dxa"/>
            <w:tcBorders>
              <w:top w:val="nil"/>
              <w:bottom w:val="nil"/>
            </w:tcBorders>
            <w:noWrap/>
            <w:hideMark/>
          </w:tcPr>
          <w:p w14:paraId="452B6818"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465E79" w:rsidRPr="0091560A" w14:paraId="17740110"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53C1D32C" w14:textId="77777777" w:rsidR="00465E79" w:rsidRPr="00791C2A" w:rsidRDefault="00465E79" w:rsidP="00F50390">
            <w:pPr>
              <w:keepNext/>
              <w:rPr>
                <w:rFonts w:eastAsia="Times New Roman" w:cs="Times New Roman"/>
                <w:szCs w:val="24"/>
                <w:lang w:eastAsia="en-AU"/>
              </w:rPr>
            </w:pPr>
          </w:p>
        </w:tc>
        <w:tc>
          <w:tcPr>
            <w:tcW w:w="2059" w:type="dxa"/>
            <w:tcBorders>
              <w:top w:val="nil"/>
              <w:bottom w:val="nil"/>
            </w:tcBorders>
            <w:noWrap/>
            <w:hideMark/>
          </w:tcPr>
          <w:p w14:paraId="4DCF2376" w14:textId="77777777"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None</w:t>
            </w:r>
          </w:p>
        </w:tc>
        <w:tc>
          <w:tcPr>
            <w:tcW w:w="1134" w:type="dxa"/>
            <w:tcBorders>
              <w:top w:val="nil"/>
              <w:bottom w:val="nil"/>
            </w:tcBorders>
            <w:noWrap/>
            <w:hideMark/>
          </w:tcPr>
          <w:p w14:paraId="1E9055F6"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70</w:t>
            </w:r>
          </w:p>
        </w:tc>
        <w:tc>
          <w:tcPr>
            <w:tcW w:w="1275" w:type="dxa"/>
            <w:tcBorders>
              <w:top w:val="nil"/>
              <w:bottom w:val="nil"/>
            </w:tcBorders>
            <w:noWrap/>
            <w:hideMark/>
          </w:tcPr>
          <w:p w14:paraId="223E8E05"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80%</w:t>
            </w:r>
          </w:p>
        </w:tc>
        <w:tc>
          <w:tcPr>
            <w:tcW w:w="1548" w:type="dxa"/>
            <w:tcBorders>
              <w:top w:val="nil"/>
              <w:bottom w:val="nil"/>
            </w:tcBorders>
            <w:noWrap/>
            <w:hideMark/>
          </w:tcPr>
          <w:p w14:paraId="54DB0C83"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45</w:t>
            </w:r>
          </w:p>
        </w:tc>
        <w:tc>
          <w:tcPr>
            <w:tcW w:w="1287" w:type="dxa"/>
            <w:tcBorders>
              <w:top w:val="nil"/>
              <w:bottom w:val="nil"/>
            </w:tcBorders>
            <w:noWrap/>
            <w:hideMark/>
          </w:tcPr>
          <w:p w14:paraId="727BEE5B"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54%</w:t>
            </w:r>
          </w:p>
        </w:tc>
      </w:tr>
      <w:tr w:rsidR="00465E79" w:rsidRPr="0091560A" w14:paraId="45470EF1"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58597AC8" w14:textId="77777777" w:rsidR="00465E79" w:rsidRPr="00791C2A" w:rsidRDefault="00465E79"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7BC83ECB"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Admitted under psychiatry</w:t>
            </w:r>
          </w:p>
        </w:tc>
        <w:tc>
          <w:tcPr>
            <w:tcW w:w="1134" w:type="dxa"/>
            <w:tcBorders>
              <w:top w:val="nil"/>
              <w:bottom w:val="nil"/>
            </w:tcBorders>
            <w:noWrap/>
            <w:hideMark/>
          </w:tcPr>
          <w:p w14:paraId="4C1DE06A"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c>
          <w:tcPr>
            <w:tcW w:w="1275" w:type="dxa"/>
            <w:tcBorders>
              <w:top w:val="nil"/>
              <w:bottom w:val="nil"/>
            </w:tcBorders>
            <w:noWrap/>
            <w:hideMark/>
          </w:tcPr>
          <w:p w14:paraId="3137274A"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w:t>
            </w:r>
          </w:p>
        </w:tc>
        <w:tc>
          <w:tcPr>
            <w:tcW w:w="1548" w:type="dxa"/>
            <w:tcBorders>
              <w:top w:val="nil"/>
              <w:bottom w:val="nil"/>
            </w:tcBorders>
            <w:noWrap/>
            <w:hideMark/>
          </w:tcPr>
          <w:p w14:paraId="2BEB0120"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18</w:t>
            </w:r>
          </w:p>
        </w:tc>
        <w:tc>
          <w:tcPr>
            <w:tcW w:w="1287" w:type="dxa"/>
            <w:tcBorders>
              <w:top w:val="nil"/>
              <w:bottom w:val="nil"/>
            </w:tcBorders>
            <w:noWrap/>
            <w:hideMark/>
          </w:tcPr>
          <w:p w14:paraId="7196E7C9"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22%</w:t>
            </w:r>
          </w:p>
        </w:tc>
      </w:tr>
      <w:tr w:rsidR="00465E79" w:rsidRPr="0091560A" w14:paraId="2170A9B3"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52151661" w14:textId="77777777" w:rsidR="00465E79" w:rsidRPr="00791C2A" w:rsidRDefault="00465E79"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0E08777C" w14:textId="64B2DAC8"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 xml:space="preserve">Scheduled under </w:t>
            </w:r>
            <w:r w:rsidR="00FB5923" w:rsidRPr="00791C2A">
              <w:rPr>
                <w:rFonts w:eastAsia="Times New Roman" w:cs="Times New Roman"/>
                <w:color w:val="000000"/>
                <w:szCs w:val="24"/>
                <w:lang w:eastAsia="en-AU"/>
              </w:rPr>
              <w:t xml:space="preserve">NSW </w:t>
            </w:r>
            <w:r w:rsidRPr="00791C2A">
              <w:rPr>
                <w:rFonts w:eastAsia="Times New Roman" w:cs="Times New Roman"/>
                <w:color w:val="000000"/>
                <w:szCs w:val="24"/>
                <w:lang w:eastAsia="en-AU"/>
              </w:rPr>
              <w:t>Mental Health Act</w:t>
            </w:r>
          </w:p>
        </w:tc>
        <w:tc>
          <w:tcPr>
            <w:tcW w:w="1134" w:type="dxa"/>
            <w:tcBorders>
              <w:top w:val="nil"/>
              <w:bottom w:val="nil"/>
            </w:tcBorders>
            <w:noWrap/>
            <w:hideMark/>
          </w:tcPr>
          <w:p w14:paraId="75DC8744"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w:t>
            </w:r>
          </w:p>
        </w:tc>
        <w:tc>
          <w:tcPr>
            <w:tcW w:w="1275" w:type="dxa"/>
            <w:tcBorders>
              <w:top w:val="nil"/>
              <w:bottom w:val="nil"/>
            </w:tcBorders>
            <w:noWrap/>
            <w:hideMark/>
          </w:tcPr>
          <w:p w14:paraId="283E36E3"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9%</w:t>
            </w:r>
          </w:p>
        </w:tc>
        <w:tc>
          <w:tcPr>
            <w:tcW w:w="1548" w:type="dxa"/>
            <w:tcBorders>
              <w:top w:val="nil"/>
              <w:bottom w:val="nil"/>
            </w:tcBorders>
            <w:noWrap/>
            <w:hideMark/>
          </w:tcPr>
          <w:p w14:paraId="75CC6D9D"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12</w:t>
            </w:r>
          </w:p>
        </w:tc>
        <w:tc>
          <w:tcPr>
            <w:tcW w:w="1287" w:type="dxa"/>
            <w:tcBorders>
              <w:top w:val="nil"/>
              <w:bottom w:val="nil"/>
            </w:tcBorders>
            <w:noWrap/>
            <w:hideMark/>
          </w:tcPr>
          <w:p w14:paraId="3E96275B"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14%</w:t>
            </w:r>
          </w:p>
        </w:tc>
      </w:tr>
      <w:tr w:rsidR="00465E79" w:rsidRPr="0091560A" w14:paraId="3516FACC"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bottom w:val="nil"/>
            </w:tcBorders>
            <w:noWrap/>
            <w:hideMark/>
          </w:tcPr>
          <w:p w14:paraId="7A2AF11F" w14:textId="77777777" w:rsidR="00465E79" w:rsidRPr="00791C2A" w:rsidRDefault="00465E79" w:rsidP="00F50390">
            <w:pPr>
              <w:keepNext/>
              <w:jc w:val="right"/>
              <w:rPr>
                <w:rFonts w:eastAsia="Times New Roman" w:cs="Times New Roman"/>
                <w:color w:val="000000"/>
                <w:szCs w:val="24"/>
                <w:lang w:eastAsia="en-AU"/>
              </w:rPr>
            </w:pPr>
          </w:p>
        </w:tc>
        <w:tc>
          <w:tcPr>
            <w:tcW w:w="2059" w:type="dxa"/>
            <w:tcBorders>
              <w:top w:val="nil"/>
              <w:bottom w:val="nil"/>
            </w:tcBorders>
            <w:noWrap/>
            <w:hideMark/>
          </w:tcPr>
          <w:p w14:paraId="5C711BD6" w14:textId="77777777" w:rsidR="00465E79" w:rsidRPr="00791C2A" w:rsidRDefault="00465E79" w:rsidP="00F50390">
            <w:pPr>
              <w:keepNex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Admitted and Scheduled</w:t>
            </w:r>
          </w:p>
        </w:tc>
        <w:tc>
          <w:tcPr>
            <w:tcW w:w="1134" w:type="dxa"/>
            <w:tcBorders>
              <w:top w:val="nil"/>
              <w:bottom w:val="nil"/>
            </w:tcBorders>
            <w:noWrap/>
            <w:hideMark/>
          </w:tcPr>
          <w:p w14:paraId="7A45B808"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c>
          <w:tcPr>
            <w:tcW w:w="1275" w:type="dxa"/>
            <w:tcBorders>
              <w:top w:val="nil"/>
              <w:bottom w:val="nil"/>
            </w:tcBorders>
            <w:noWrap/>
            <w:hideMark/>
          </w:tcPr>
          <w:p w14:paraId="5FB1FC32"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w:t>
            </w:r>
          </w:p>
        </w:tc>
        <w:tc>
          <w:tcPr>
            <w:tcW w:w="1548" w:type="dxa"/>
            <w:tcBorders>
              <w:top w:val="nil"/>
              <w:bottom w:val="nil"/>
            </w:tcBorders>
            <w:noWrap/>
            <w:hideMark/>
          </w:tcPr>
          <w:p w14:paraId="4A24FC94"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7</w:t>
            </w:r>
          </w:p>
        </w:tc>
        <w:tc>
          <w:tcPr>
            <w:tcW w:w="1287" w:type="dxa"/>
            <w:tcBorders>
              <w:top w:val="nil"/>
              <w:bottom w:val="nil"/>
            </w:tcBorders>
            <w:noWrap/>
            <w:hideMark/>
          </w:tcPr>
          <w:p w14:paraId="07FAA19F" w14:textId="77777777" w:rsidR="00465E79" w:rsidRPr="00791C2A" w:rsidRDefault="00465E79" w:rsidP="00F50390">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w:t>
            </w:r>
          </w:p>
        </w:tc>
      </w:tr>
      <w:tr w:rsidR="00465E79" w:rsidRPr="0091560A" w14:paraId="40EB3D19" w14:textId="77777777" w:rsidTr="00E279D1">
        <w:trPr>
          <w:trHeight w:val="330"/>
        </w:trPr>
        <w:tc>
          <w:tcPr>
            <w:cnfStyle w:val="001000000000" w:firstRow="0" w:lastRow="0" w:firstColumn="1" w:lastColumn="0" w:oddVBand="0" w:evenVBand="0" w:oddHBand="0" w:evenHBand="0" w:firstRowFirstColumn="0" w:firstRowLastColumn="0" w:lastRowFirstColumn="0" w:lastRowLastColumn="0"/>
            <w:tcW w:w="1769" w:type="dxa"/>
            <w:tcBorders>
              <w:top w:val="nil"/>
            </w:tcBorders>
            <w:noWrap/>
            <w:hideMark/>
          </w:tcPr>
          <w:p w14:paraId="4DA03A20" w14:textId="77777777" w:rsidR="00465E79" w:rsidRPr="00791C2A" w:rsidRDefault="00465E79" w:rsidP="00F50390">
            <w:pPr>
              <w:keepNext/>
              <w:jc w:val="right"/>
              <w:rPr>
                <w:rFonts w:eastAsia="Times New Roman" w:cs="Times New Roman"/>
                <w:color w:val="000000"/>
                <w:szCs w:val="24"/>
                <w:lang w:eastAsia="en-AU"/>
              </w:rPr>
            </w:pPr>
          </w:p>
        </w:tc>
        <w:tc>
          <w:tcPr>
            <w:tcW w:w="2059" w:type="dxa"/>
            <w:tcBorders>
              <w:top w:val="nil"/>
            </w:tcBorders>
            <w:noWrap/>
            <w:hideMark/>
          </w:tcPr>
          <w:p w14:paraId="16E2CB8C" w14:textId="77777777"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Other*</w:t>
            </w:r>
          </w:p>
        </w:tc>
        <w:tc>
          <w:tcPr>
            <w:tcW w:w="1134" w:type="dxa"/>
            <w:tcBorders>
              <w:top w:val="nil"/>
            </w:tcBorders>
            <w:noWrap/>
            <w:hideMark/>
          </w:tcPr>
          <w:p w14:paraId="15A77F3F" w14:textId="77777777"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c>
          <w:tcPr>
            <w:tcW w:w="1275" w:type="dxa"/>
            <w:tcBorders>
              <w:top w:val="nil"/>
            </w:tcBorders>
            <w:noWrap/>
            <w:hideMark/>
          </w:tcPr>
          <w:p w14:paraId="55C94F01" w14:textId="77777777" w:rsidR="00465E79" w:rsidRPr="00791C2A" w:rsidRDefault="00465E79" w:rsidP="00F50390">
            <w:pPr>
              <w:keepNex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c>
          <w:tcPr>
            <w:tcW w:w="1548" w:type="dxa"/>
            <w:tcBorders>
              <w:top w:val="nil"/>
            </w:tcBorders>
            <w:noWrap/>
            <w:hideMark/>
          </w:tcPr>
          <w:p w14:paraId="26E8BF45"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287" w:type="dxa"/>
            <w:tcBorders>
              <w:top w:val="nil"/>
            </w:tcBorders>
            <w:noWrap/>
            <w:hideMark/>
          </w:tcPr>
          <w:p w14:paraId="49FE6EBE" w14:textId="77777777" w:rsidR="00465E79" w:rsidRPr="00791C2A" w:rsidRDefault="00465E79" w:rsidP="00F50390">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r>
    </w:tbl>
    <w:p w14:paraId="43E0C196" w14:textId="402241CA" w:rsidR="001A0A17" w:rsidRDefault="00BE23D5" w:rsidP="009131F1">
      <w:pPr>
        <w:pStyle w:val="Tablenote"/>
      </w:pPr>
      <w:r w:rsidRPr="0091560A">
        <w:t>*one patient died before decision required</w:t>
      </w:r>
      <w:r w:rsidR="00025CD6" w:rsidRPr="0091560A">
        <w:t xml:space="preserve"> (from co-ingested drugs rather than paracetamol)</w:t>
      </w:r>
    </w:p>
    <w:p w14:paraId="7DCA9F37" w14:textId="6809326F" w:rsidR="00C562ED" w:rsidRPr="00B2525D" w:rsidRDefault="00C562ED" w:rsidP="00791C2A">
      <w:pPr>
        <w:pStyle w:val="Heading5"/>
      </w:pPr>
      <w:r w:rsidRPr="00B2525D">
        <w:t xml:space="preserve">Medical </w:t>
      </w:r>
      <w:r w:rsidR="000B5F10">
        <w:t>t</w:t>
      </w:r>
      <w:r w:rsidRPr="00B2525D">
        <w:t>reatments</w:t>
      </w:r>
      <w:r w:rsidR="00145F4D" w:rsidRPr="00B2525D">
        <w:t xml:space="preserve"> &amp; complications</w:t>
      </w:r>
    </w:p>
    <w:p w14:paraId="3639EBFD" w14:textId="013C0613" w:rsidR="00DA48F4" w:rsidRPr="0091560A" w:rsidRDefault="00DA48F4" w:rsidP="00DA48F4">
      <w:pPr>
        <w:rPr>
          <w:rFonts w:cs="Times New Roman"/>
        </w:rPr>
      </w:pPr>
      <w:r w:rsidRPr="0091560A">
        <w:rPr>
          <w:rFonts w:cs="Times New Roman"/>
        </w:rPr>
        <w:t xml:space="preserve">Activated charcoal and acetylcysteine were the most common treatments. </w:t>
      </w:r>
      <w:r w:rsidR="00293063" w:rsidRPr="0091560A">
        <w:rPr>
          <w:rFonts w:cs="Times New Roman"/>
        </w:rPr>
        <w:t xml:space="preserve">A significant minority required more than the </w:t>
      </w:r>
      <w:r w:rsidRPr="0091560A">
        <w:rPr>
          <w:rFonts w:cs="Times New Roman"/>
        </w:rPr>
        <w:t xml:space="preserve">standard </w:t>
      </w:r>
      <w:r w:rsidR="007421FC" w:rsidRPr="0091560A">
        <w:rPr>
          <w:rFonts w:cs="Times New Roman"/>
        </w:rPr>
        <w:t>20-hour</w:t>
      </w:r>
      <w:r w:rsidRPr="0091560A">
        <w:rPr>
          <w:rFonts w:cs="Times New Roman"/>
        </w:rPr>
        <w:t xml:space="preserve"> regimen</w:t>
      </w:r>
      <w:r w:rsidR="00293063" w:rsidRPr="0091560A">
        <w:rPr>
          <w:rFonts w:cs="Times New Roman"/>
        </w:rPr>
        <w:t xml:space="preserve"> of acetylcysteine.</w:t>
      </w:r>
    </w:p>
    <w:p w14:paraId="02C37C7A" w14:textId="3194624E" w:rsidR="007C26FE" w:rsidRPr="0091560A" w:rsidRDefault="007C26FE" w:rsidP="007C26FE">
      <w:pPr>
        <w:rPr>
          <w:rFonts w:cs="Times New Roman"/>
        </w:rPr>
      </w:pPr>
      <w:r w:rsidRPr="0091560A">
        <w:rPr>
          <w:rFonts w:cs="Times New Roman"/>
        </w:rPr>
        <w:t xml:space="preserve">Around 10% </w:t>
      </w:r>
      <w:r w:rsidR="0082037F" w:rsidRPr="0091560A">
        <w:rPr>
          <w:rFonts w:cs="Times New Roman"/>
        </w:rPr>
        <w:t>had some evidence of liver injury (ALT</w:t>
      </w:r>
      <w:r w:rsidR="00393C34">
        <w:rPr>
          <w:rFonts w:cs="Times New Roman"/>
        </w:rPr>
        <w:t xml:space="preserve"> </w:t>
      </w:r>
      <w:r w:rsidR="0082037F" w:rsidRPr="0091560A">
        <w:rPr>
          <w:rFonts w:cs="Times New Roman"/>
        </w:rPr>
        <w:t xml:space="preserve">&gt;50). </w:t>
      </w:r>
      <w:r w:rsidR="002F2247" w:rsidRPr="0091560A">
        <w:rPr>
          <w:rFonts w:cs="Times New Roman"/>
        </w:rPr>
        <w:t xml:space="preserve">Four </w:t>
      </w:r>
      <w:r w:rsidRPr="0091560A">
        <w:rPr>
          <w:rFonts w:cs="Times New Roman"/>
        </w:rPr>
        <w:t xml:space="preserve">patients </w:t>
      </w:r>
      <w:r w:rsidR="002F2247" w:rsidRPr="0091560A">
        <w:rPr>
          <w:rFonts w:cs="Times New Roman"/>
        </w:rPr>
        <w:t xml:space="preserve">had an </w:t>
      </w:r>
      <w:r w:rsidRPr="0091560A">
        <w:rPr>
          <w:rFonts w:cs="Times New Roman"/>
        </w:rPr>
        <w:t>ALT</w:t>
      </w:r>
      <w:r w:rsidR="00393C34">
        <w:rPr>
          <w:rFonts w:cs="Times New Roman"/>
        </w:rPr>
        <w:t xml:space="preserve"> </w:t>
      </w:r>
      <w:r w:rsidRPr="0091560A">
        <w:rPr>
          <w:rFonts w:cs="Times New Roman"/>
        </w:rPr>
        <w:t xml:space="preserve">&gt;1000 </w:t>
      </w:r>
      <w:r w:rsidR="002F2247" w:rsidRPr="0091560A">
        <w:rPr>
          <w:rFonts w:cs="Times New Roman"/>
        </w:rPr>
        <w:t xml:space="preserve">and two of these </w:t>
      </w:r>
      <w:r w:rsidRPr="0091560A">
        <w:rPr>
          <w:rFonts w:cs="Times New Roman"/>
        </w:rPr>
        <w:t xml:space="preserve">also had </w:t>
      </w:r>
      <w:r w:rsidR="002F2247" w:rsidRPr="0091560A">
        <w:rPr>
          <w:rFonts w:cs="Times New Roman"/>
        </w:rPr>
        <w:t xml:space="preserve">an </w:t>
      </w:r>
      <w:r w:rsidRPr="0091560A">
        <w:rPr>
          <w:rFonts w:cs="Times New Roman"/>
        </w:rPr>
        <w:t>INR &gt;2</w:t>
      </w:r>
      <w:r w:rsidR="002F2247" w:rsidRPr="0091560A">
        <w:rPr>
          <w:rFonts w:cs="Times New Roman"/>
        </w:rPr>
        <w:t xml:space="preserve">, indicating </w:t>
      </w:r>
      <w:r w:rsidR="00145F4D" w:rsidRPr="0091560A">
        <w:rPr>
          <w:rFonts w:cs="Times New Roman"/>
        </w:rPr>
        <w:t xml:space="preserve">severely </w:t>
      </w:r>
      <w:r w:rsidR="002F2247" w:rsidRPr="0091560A">
        <w:rPr>
          <w:rFonts w:cs="Times New Roman"/>
        </w:rPr>
        <w:t xml:space="preserve">impaired </w:t>
      </w:r>
      <w:r w:rsidR="00145F4D" w:rsidRPr="0091560A">
        <w:rPr>
          <w:rFonts w:cs="Times New Roman"/>
        </w:rPr>
        <w:t xml:space="preserve">liver </w:t>
      </w:r>
      <w:r w:rsidR="002F2247" w:rsidRPr="0091560A">
        <w:rPr>
          <w:rFonts w:cs="Times New Roman"/>
        </w:rPr>
        <w:t>function</w:t>
      </w:r>
      <w:r w:rsidRPr="0091560A">
        <w:rPr>
          <w:rFonts w:cs="Times New Roman"/>
        </w:rPr>
        <w:t xml:space="preserve">. None </w:t>
      </w:r>
      <w:r w:rsidR="00145F4D" w:rsidRPr="0091560A">
        <w:rPr>
          <w:rFonts w:cs="Times New Roman"/>
        </w:rPr>
        <w:t xml:space="preserve">of the patients reviewed </w:t>
      </w:r>
      <w:r w:rsidRPr="0091560A">
        <w:rPr>
          <w:rFonts w:cs="Times New Roman"/>
        </w:rPr>
        <w:t>received transplants, dialysis, or liver unit admissions.</w:t>
      </w:r>
    </w:p>
    <w:p w14:paraId="66D133F7" w14:textId="40B9CDA7" w:rsidR="007C26FE" w:rsidRPr="0091560A" w:rsidRDefault="006A5303" w:rsidP="00F50390">
      <w:pPr>
        <w:pStyle w:val="Caption"/>
        <w:keepNext/>
      </w:pPr>
      <w:bookmarkStart w:id="75" w:name="_Toc114560128"/>
      <w:r>
        <w:t xml:space="preserve">Table </w:t>
      </w:r>
      <w:r>
        <w:fldChar w:fldCharType="begin"/>
      </w:r>
      <w:r>
        <w:instrText>SEQ Table \* ARABIC</w:instrText>
      </w:r>
      <w:r>
        <w:fldChar w:fldCharType="separate"/>
      </w:r>
      <w:r w:rsidR="0091734E">
        <w:rPr>
          <w:noProof/>
        </w:rPr>
        <w:t>13</w:t>
      </w:r>
      <w:r>
        <w:fldChar w:fldCharType="end"/>
      </w:r>
      <w:r w:rsidRPr="0091560A">
        <w:t xml:space="preserve">. </w:t>
      </w:r>
      <w:r w:rsidR="00145F4D" w:rsidRPr="0091560A">
        <w:t>Me</w:t>
      </w:r>
      <w:r w:rsidR="00754D28" w:rsidRPr="0091560A">
        <w:t>d</w:t>
      </w:r>
      <w:r w:rsidR="00145F4D" w:rsidRPr="0091560A">
        <w:t xml:space="preserve">ical treatments </w:t>
      </w:r>
      <w:r w:rsidR="00754D28" w:rsidRPr="0091560A">
        <w:t>and liver damage by age group.</w:t>
      </w:r>
      <w:bookmarkEnd w:id="75"/>
    </w:p>
    <w:tbl>
      <w:tblPr>
        <w:tblStyle w:val="ListTable2"/>
        <w:tblW w:w="9072" w:type="dxa"/>
        <w:tblLook w:val="04A0" w:firstRow="1" w:lastRow="0" w:firstColumn="1" w:lastColumn="0" w:noHBand="0" w:noVBand="1"/>
      </w:tblPr>
      <w:tblGrid>
        <w:gridCol w:w="1163"/>
        <w:gridCol w:w="2481"/>
        <w:gridCol w:w="1885"/>
        <w:gridCol w:w="1134"/>
        <w:gridCol w:w="1417"/>
        <w:gridCol w:w="992"/>
      </w:tblGrid>
      <w:tr w:rsidR="00F50390" w:rsidRPr="0091560A" w14:paraId="68FF2A88" w14:textId="77777777" w:rsidTr="00F5039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tcBorders>
              <w:bottom w:val="nil"/>
            </w:tcBorders>
            <w:shd w:val="clear" w:color="auto" w:fill="595959" w:themeFill="text1" w:themeFillTint="A6"/>
            <w:noWrap/>
          </w:tcPr>
          <w:p w14:paraId="1E92592A" w14:textId="77777777" w:rsidR="00F50390" w:rsidRPr="001256FB" w:rsidRDefault="00F50390" w:rsidP="00DA48F4">
            <w:pPr>
              <w:rPr>
                <w:rFonts w:eastAsia="Times New Roman" w:cs="Times New Roman"/>
                <w:color w:val="FFFFFF" w:themeColor="background1"/>
                <w:sz w:val="20"/>
                <w:szCs w:val="24"/>
                <w:lang w:eastAsia="en-AU"/>
              </w:rPr>
            </w:pPr>
          </w:p>
        </w:tc>
        <w:tc>
          <w:tcPr>
            <w:tcW w:w="2481" w:type="dxa"/>
            <w:tcBorders>
              <w:bottom w:val="nil"/>
            </w:tcBorders>
            <w:shd w:val="clear" w:color="auto" w:fill="595959" w:themeFill="text1" w:themeFillTint="A6"/>
            <w:noWrap/>
          </w:tcPr>
          <w:p w14:paraId="6F7353BB" w14:textId="77777777" w:rsidR="00F50390" w:rsidRPr="001256FB" w:rsidRDefault="00F50390" w:rsidP="00DA48F4">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3019" w:type="dxa"/>
            <w:gridSpan w:val="2"/>
            <w:tcBorders>
              <w:bottom w:val="single" w:sz="4" w:space="0" w:color="D9D9D9" w:themeColor="background1" w:themeShade="D9"/>
            </w:tcBorders>
            <w:shd w:val="clear" w:color="auto" w:fill="595959" w:themeFill="text1" w:themeFillTint="A6"/>
            <w:noWrap/>
          </w:tcPr>
          <w:p w14:paraId="217717A3" w14:textId="3B13DF64" w:rsidR="00F50390" w:rsidRPr="001256FB" w:rsidRDefault="00F50390" w:rsidP="00E26DB1">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1256FB">
              <w:rPr>
                <w:rFonts w:eastAsia="Times New Roman" w:cs="Times New Roman"/>
                <w:color w:val="FFFFFF" w:themeColor="background1"/>
                <w:sz w:val="22"/>
                <w:lang w:eastAsia="en-AU"/>
              </w:rPr>
              <w:t>5-19 years</w:t>
            </w:r>
          </w:p>
        </w:tc>
        <w:tc>
          <w:tcPr>
            <w:tcW w:w="2409" w:type="dxa"/>
            <w:gridSpan w:val="2"/>
            <w:tcBorders>
              <w:bottom w:val="single" w:sz="4" w:space="0" w:color="D9D9D9" w:themeColor="background1" w:themeShade="D9"/>
            </w:tcBorders>
            <w:shd w:val="clear" w:color="auto" w:fill="595959" w:themeFill="text1" w:themeFillTint="A6"/>
            <w:noWrap/>
          </w:tcPr>
          <w:p w14:paraId="563922F6" w14:textId="158143B4" w:rsidR="00F50390" w:rsidRPr="001256FB" w:rsidRDefault="00F50390" w:rsidP="00E26DB1">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sidRPr="001256FB">
              <w:rPr>
                <w:rFonts w:eastAsia="Times New Roman" w:cs="Times New Roman"/>
                <w:color w:val="FFFFFF" w:themeColor="background1"/>
                <w:sz w:val="22"/>
                <w:lang w:eastAsia="en-AU"/>
              </w:rPr>
              <w:t>Others</w:t>
            </w:r>
          </w:p>
        </w:tc>
      </w:tr>
      <w:tr w:rsidR="00DA48F4" w:rsidRPr="0091560A" w14:paraId="612B351B"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single" w:sz="4" w:space="0" w:color="666666" w:themeColor="text1" w:themeTint="99"/>
            </w:tcBorders>
            <w:shd w:val="clear" w:color="auto" w:fill="595959" w:themeFill="text1" w:themeFillTint="A6"/>
            <w:noWrap/>
            <w:hideMark/>
          </w:tcPr>
          <w:p w14:paraId="0BC2D0DE" w14:textId="77777777" w:rsidR="00DA48F4" w:rsidRPr="001256FB" w:rsidRDefault="00DA48F4" w:rsidP="00DA48F4">
            <w:pPr>
              <w:rPr>
                <w:rFonts w:eastAsia="Times New Roman" w:cs="Times New Roman"/>
                <w:color w:val="FFFFFF" w:themeColor="background1"/>
                <w:sz w:val="20"/>
                <w:szCs w:val="24"/>
                <w:lang w:eastAsia="en-AU"/>
              </w:rPr>
            </w:pPr>
          </w:p>
        </w:tc>
        <w:tc>
          <w:tcPr>
            <w:tcW w:w="2481" w:type="dxa"/>
            <w:tcBorders>
              <w:top w:val="nil"/>
              <w:bottom w:val="single" w:sz="4" w:space="0" w:color="666666" w:themeColor="text1" w:themeTint="99"/>
            </w:tcBorders>
            <w:shd w:val="clear" w:color="auto" w:fill="595959" w:themeFill="text1" w:themeFillTint="A6"/>
            <w:noWrap/>
            <w:hideMark/>
          </w:tcPr>
          <w:p w14:paraId="4BD37FBB" w14:textId="77777777" w:rsidR="00DA48F4" w:rsidRPr="001256FB"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885"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0BD813C9" w14:textId="3BB3FDA0" w:rsidR="00DA48F4" w:rsidRPr="001256FB" w:rsidRDefault="00F50390" w:rsidP="00E26D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2"/>
                <w:lang w:eastAsia="en-AU"/>
              </w:rPr>
            </w:pPr>
            <w:r>
              <w:rPr>
                <w:rFonts w:eastAsia="Times New Roman" w:cs="Times New Roman"/>
                <w:color w:val="FFFFFF" w:themeColor="background1"/>
                <w:sz w:val="22"/>
                <w:lang w:eastAsia="en-AU"/>
              </w:rPr>
              <w:t>n</w:t>
            </w:r>
            <w:r>
              <w:rPr>
                <w:rFonts w:eastAsia="Times New Roman" w:cs="Times New Roman"/>
                <w:color w:val="FFFFFF" w:themeColor="background1"/>
                <w:sz w:val="22"/>
                <w:lang w:eastAsia="en-AU"/>
              </w:rPr>
              <w:br/>
              <w:t>(total</w:t>
            </w:r>
            <w:r w:rsidR="00DA48F4" w:rsidRPr="001256FB">
              <w:rPr>
                <w:rFonts w:eastAsia="Times New Roman" w:cs="Times New Roman"/>
                <w:color w:val="FFFFFF" w:themeColor="background1"/>
                <w:sz w:val="22"/>
                <w:lang w:eastAsia="en-AU"/>
              </w:rPr>
              <w:t>=88)</w:t>
            </w:r>
          </w:p>
        </w:tc>
        <w:tc>
          <w:tcPr>
            <w:tcW w:w="1134"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7B7BBA3E" w14:textId="77777777" w:rsidR="00DA48F4" w:rsidRPr="001256FB" w:rsidRDefault="00DA48F4" w:rsidP="00E26D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2"/>
                <w:lang w:eastAsia="en-AU"/>
              </w:rPr>
            </w:pPr>
            <w:r w:rsidRPr="001256FB">
              <w:rPr>
                <w:rFonts w:eastAsia="Times New Roman" w:cs="Times New Roman"/>
                <w:color w:val="FFFFFF" w:themeColor="background1"/>
                <w:sz w:val="22"/>
                <w:lang w:eastAsia="en-AU"/>
              </w:rPr>
              <w:t>%</w:t>
            </w:r>
          </w:p>
        </w:tc>
        <w:tc>
          <w:tcPr>
            <w:tcW w:w="1417"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54A4CD84" w14:textId="239EE49B" w:rsidR="00DA48F4" w:rsidRPr="001256FB" w:rsidRDefault="00DA48F4" w:rsidP="00E26D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2"/>
                <w:lang w:eastAsia="en-AU"/>
              </w:rPr>
            </w:pPr>
            <w:r w:rsidRPr="001256FB">
              <w:rPr>
                <w:rFonts w:eastAsia="Times New Roman" w:cs="Times New Roman"/>
                <w:color w:val="FFFFFF" w:themeColor="background1"/>
                <w:sz w:val="22"/>
                <w:lang w:eastAsia="en-AU"/>
              </w:rPr>
              <w:t xml:space="preserve"> n</w:t>
            </w:r>
            <w:r w:rsidR="00F50390">
              <w:rPr>
                <w:rFonts w:eastAsia="Times New Roman" w:cs="Times New Roman"/>
                <w:color w:val="FFFFFF" w:themeColor="background1"/>
                <w:sz w:val="22"/>
                <w:lang w:eastAsia="en-AU"/>
              </w:rPr>
              <w:br/>
              <w:t>(total</w:t>
            </w:r>
            <w:r w:rsidRPr="001256FB">
              <w:rPr>
                <w:rFonts w:eastAsia="Times New Roman" w:cs="Times New Roman"/>
                <w:color w:val="FFFFFF" w:themeColor="background1"/>
                <w:sz w:val="22"/>
                <w:lang w:eastAsia="en-AU"/>
              </w:rPr>
              <w:t>=88)</w:t>
            </w:r>
          </w:p>
        </w:tc>
        <w:tc>
          <w:tcPr>
            <w:tcW w:w="992"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516D177F" w14:textId="77777777" w:rsidR="00DA48F4" w:rsidRPr="001256FB" w:rsidRDefault="00DA48F4" w:rsidP="00E26DB1">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2"/>
                <w:lang w:eastAsia="en-AU"/>
              </w:rPr>
            </w:pPr>
            <w:r w:rsidRPr="001256FB">
              <w:rPr>
                <w:rFonts w:eastAsia="Times New Roman" w:cs="Times New Roman"/>
                <w:color w:val="FFFFFF" w:themeColor="background1"/>
                <w:sz w:val="22"/>
                <w:lang w:eastAsia="en-AU"/>
              </w:rPr>
              <w:t>%</w:t>
            </w:r>
          </w:p>
        </w:tc>
      </w:tr>
      <w:tr w:rsidR="00DA48F4" w:rsidRPr="0091560A" w14:paraId="34F64C71"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3644" w:type="dxa"/>
            <w:gridSpan w:val="2"/>
            <w:tcBorders>
              <w:bottom w:val="nil"/>
            </w:tcBorders>
            <w:noWrap/>
            <w:hideMark/>
          </w:tcPr>
          <w:p w14:paraId="51A14212" w14:textId="2B4E7E87" w:rsidR="00DA48F4" w:rsidRPr="00791C2A" w:rsidRDefault="001902FA" w:rsidP="00DA48F4">
            <w:pPr>
              <w:rPr>
                <w:rFonts w:eastAsia="Times New Roman" w:cs="Times New Roman"/>
                <w:color w:val="000000"/>
                <w:szCs w:val="24"/>
                <w:lang w:eastAsia="en-AU"/>
              </w:rPr>
            </w:pPr>
            <w:r w:rsidRPr="00791C2A">
              <w:rPr>
                <w:rFonts w:eastAsia="Times New Roman" w:cs="Times New Roman"/>
                <w:color w:val="000000"/>
                <w:szCs w:val="24"/>
                <w:lang w:eastAsia="en-AU"/>
              </w:rPr>
              <w:t xml:space="preserve">Acetylcysteine (NAC) </w:t>
            </w:r>
            <w:r w:rsidR="00DA48F4" w:rsidRPr="00791C2A">
              <w:rPr>
                <w:rFonts w:eastAsia="Times New Roman" w:cs="Times New Roman"/>
                <w:color w:val="000000"/>
                <w:szCs w:val="24"/>
                <w:lang w:eastAsia="en-AU"/>
              </w:rPr>
              <w:t>treatment</w:t>
            </w:r>
          </w:p>
        </w:tc>
        <w:tc>
          <w:tcPr>
            <w:tcW w:w="1885" w:type="dxa"/>
            <w:tcBorders>
              <w:bottom w:val="nil"/>
            </w:tcBorders>
            <w:noWrap/>
            <w:hideMark/>
          </w:tcPr>
          <w:p w14:paraId="327090A5"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1134" w:type="dxa"/>
            <w:tcBorders>
              <w:bottom w:val="nil"/>
            </w:tcBorders>
            <w:noWrap/>
            <w:hideMark/>
          </w:tcPr>
          <w:p w14:paraId="2369D732"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417" w:type="dxa"/>
            <w:tcBorders>
              <w:bottom w:val="nil"/>
            </w:tcBorders>
            <w:noWrap/>
            <w:hideMark/>
          </w:tcPr>
          <w:p w14:paraId="2E71570E"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992" w:type="dxa"/>
            <w:tcBorders>
              <w:bottom w:val="nil"/>
            </w:tcBorders>
            <w:noWrap/>
            <w:hideMark/>
          </w:tcPr>
          <w:p w14:paraId="4D258F46"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r>
      <w:tr w:rsidR="00DA48F4" w:rsidRPr="0091560A" w14:paraId="028EA518"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67DF66FC" w14:textId="77777777" w:rsidR="00DA48F4" w:rsidRPr="00791C2A" w:rsidRDefault="00DA48F4" w:rsidP="00DA48F4">
            <w:pPr>
              <w:rPr>
                <w:rFonts w:eastAsia="Times New Roman" w:cs="Times New Roman"/>
                <w:szCs w:val="24"/>
                <w:lang w:eastAsia="en-AU"/>
              </w:rPr>
            </w:pPr>
          </w:p>
        </w:tc>
        <w:tc>
          <w:tcPr>
            <w:tcW w:w="2481" w:type="dxa"/>
            <w:tcBorders>
              <w:top w:val="nil"/>
              <w:bottom w:val="nil"/>
            </w:tcBorders>
            <w:noWrap/>
            <w:hideMark/>
          </w:tcPr>
          <w:p w14:paraId="007ECCE2"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No</w:t>
            </w:r>
          </w:p>
        </w:tc>
        <w:tc>
          <w:tcPr>
            <w:tcW w:w="1885" w:type="dxa"/>
            <w:tcBorders>
              <w:top w:val="nil"/>
              <w:bottom w:val="nil"/>
            </w:tcBorders>
            <w:noWrap/>
            <w:hideMark/>
          </w:tcPr>
          <w:p w14:paraId="1B86ACD5"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52</w:t>
            </w:r>
          </w:p>
        </w:tc>
        <w:tc>
          <w:tcPr>
            <w:tcW w:w="1134" w:type="dxa"/>
            <w:tcBorders>
              <w:top w:val="nil"/>
              <w:bottom w:val="nil"/>
            </w:tcBorders>
            <w:noWrap/>
            <w:hideMark/>
          </w:tcPr>
          <w:p w14:paraId="18A119BC"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59%</w:t>
            </w:r>
          </w:p>
        </w:tc>
        <w:tc>
          <w:tcPr>
            <w:tcW w:w="1417" w:type="dxa"/>
            <w:tcBorders>
              <w:top w:val="nil"/>
              <w:bottom w:val="nil"/>
            </w:tcBorders>
            <w:noWrap/>
            <w:hideMark/>
          </w:tcPr>
          <w:p w14:paraId="776502AB"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55</w:t>
            </w:r>
          </w:p>
        </w:tc>
        <w:tc>
          <w:tcPr>
            <w:tcW w:w="992" w:type="dxa"/>
            <w:tcBorders>
              <w:top w:val="nil"/>
              <w:bottom w:val="nil"/>
            </w:tcBorders>
            <w:noWrap/>
            <w:hideMark/>
          </w:tcPr>
          <w:p w14:paraId="7924599C"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66%</w:t>
            </w:r>
          </w:p>
        </w:tc>
      </w:tr>
      <w:tr w:rsidR="00DA48F4" w:rsidRPr="0091560A" w14:paraId="2A04F085"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35604117"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48ADF21D"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Yes, standard regimen</w:t>
            </w:r>
          </w:p>
        </w:tc>
        <w:tc>
          <w:tcPr>
            <w:tcW w:w="1885" w:type="dxa"/>
            <w:tcBorders>
              <w:top w:val="nil"/>
              <w:bottom w:val="nil"/>
            </w:tcBorders>
            <w:noWrap/>
            <w:hideMark/>
          </w:tcPr>
          <w:p w14:paraId="542E1C73"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25</w:t>
            </w:r>
          </w:p>
        </w:tc>
        <w:tc>
          <w:tcPr>
            <w:tcW w:w="1134" w:type="dxa"/>
            <w:tcBorders>
              <w:top w:val="nil"/>
              <w:bottom w:val="nil"/>
            </w:tcBorders>
            <w:noWrap/>
            <w:hideMark/>
          </w:tcPr>
          <w:p w14:paraId="0806406C"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28%</w:t>
            </w:r>
          </w:p>
        </w:tc>
        <w:tc>
          <w:tcPr>
            <w:tcW w:w="1417" w:type="dxa"/>
            <w:tcBorders>
              <w:top w:val="nil"/>
              <w:bottom w:val="nil"/>
            </w:tcBorders>
            <w:noWrap/>
            <w:hideMark/>
          </w:tcPr>
          <w:p w14:paraId="72E21E23"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24</w:t>
            </w:r>
          </w:p>
        </w:tc>
        <w:tc>
          <w:tcPr>
            <w:tcW w:w="992" w:type="dxa"/>
            <w:tcBorders>
              <w:top w:val="nil"/>
              <w:bottom w:val="nil"/>
            </w:tcBorders>
            <w:noWrap/>
            <w:hideMark/>
          </w:tcPr>
          <w:p w14:paraId="67AB19AD"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29%</w:t>
            </w:r>
          </w:p>
        </w:tc>
      </w:tr>
      <w:tr w:rsidR="00DA48F4" w:rsidRPr="0091560A" w14:paraId="1598480D"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1A8BDCA9"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029CF7AB"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Yes, double dose NAC</w:t>
            </w:r>
          </w:p>
        </w:tc>
        <w:tc>
          <w:tcPr>
            <w:tcW w:w="1885" w:type="dxa"/>
            <w:tcBorders>
              <w:top w:val="nil"/>
              <w:bottom w:val="nil"/>
            </w:tcBorders>
            <w:noWrap/>
            <w:hideMark/>
          </w:tcPr>
          <w:p w14:paraId="5AD61E68"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10</w:t>
            </w:r>
          </w:p>
        </w:tc>
        <w:tc>
          <w:tcPr>
            <w:tcW w:w="1134" w:type="dxa"/>
            <w:tcBorders>
              <w:top w:val="nil"/>
              <w:bottom w:val="nil"/>
            </w:tcBorders>
            <w:noWrap/>
            <w:hideMark/>
          </w:tcPr>
          <w:p w14:paraId="635959F7"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11%</w:t>
            </w:r>
          </w:p>
        </w:tc>
        <w:tc>
          <w:tcPr>
            <w:tcW w:w="1417" w:type="dxa"/>
            <w:tcBorders>
              <w:top w:val="nil"/>
              <w:bottom w:val="nil"/>
            </w:tcBorders>
            <w:noWrap/>
            <w:hideMark/>
          </w:tcPr>
          <w:p w14:paraId="75DD55EF"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c>
          <w:tcPr>
            <w:tcW w:w="992" w:type="dxa"/>
            <w:tcBorders>
              <w:top w:val="nil"/>
              <w:bottom w:val="nil"/>
            </w:tcBorders>
            <w:noWrap/>
            <w:hideMark/>
          </w:tcPr>
          <w:p w14:paraId="47369FAB"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r>
      <w:tr w:rsidR="00DA48F4" w:rsidRPr="0091560A" w14:paraId="604D1BAB"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0E10E7E7"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399D3FD7"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Yes, triple dose NAC</w:t>
            </w:r>
          </w:p>
        </w:tc>
        <w:tc>
          <w:tcPr>
            <w:tcW w:w="1885" w:type="dxa"/>
            <w:tcBorders>
              <w:top w:val="nil"/>
              <w:bottom w:val="nil"/>
            </w:tcBorders>
            <w:noWrap/>
            <w:hideMark/>
          </w:tcPr>
          <w:p w14:paraId="60A6FA6A"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134" w:type="dxa"/>
            <w:tcBorders>
              <w:top w:val="nil"/>
              <w:bottom w:val="nil"/>
            </w:tcBorders>
            <w:noWrap/>
            <w:hideMark/>
          </w:tcPr>
          <w:p w14:paraId="00E19026"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417" w:type="dxa"/>
            <w:tcBorders>
              <w:top w:val="nil"/>
              <w:bottom w:val="nil"/>
            </w:tcBorders>
            <w:noWrap/>
            <w:hideMark/>
          </w:tcPr>
          <w:p w14:paraId="6863BAE6" w14:textId="77777777" w:rsidR="00DA48F4" w:rsidRPr="00791C2A" w:rsidRDefault="00DA48F4" w:rsidP="00D61B1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c>
          <w:tcPr>
            <w:tcW w:w="992" w:type="dxa"/>
            <w:tcBorders>
              <w:top w:val="nil"/>
              <w:bottom w:val="nil"/>
            </w:tcBorders>
            <w:noWrap/>
            <w:hideMark/>
          </w:tcPr>
          <w:p w14:paraId="5505F321" w14:textId="77777777" w:rsidR="00DA48F4" w:rsidRPr="00791C2A" w:rsidRDefault="00DA48F4" w:rsidP="00D61B1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r>
      <w:tr w:rsidR="00DA48F4" w:rsidRPr="0091560A" w14:paraId="004BD9BA"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092B516E" w14:textId="77777777" w:rsidR="00DA48F4" w:rsidRPr="00791C2A" w:rsidRDefault="00DA48F4" w:rsidP="00DA48F4">
            <w:pPr>
              <w:rPr>
                <w:rFonts w:eastAsia="Times New Roman" w:cs="Times New Roman"/>
                <w:color w:val="000000"/>
                <w:szCs w:val="24"/>
                <w:lang w:eastAsia="en-AU"/>
              </w:rPr>
            </w:pPr>
          </w:p>
        </w:tc>
        <w:tc>
          <w:tcPr>
            <w:tcW w:w="2481" w:type="dxa"/>
            <w:tcBorders>
              <w:top w:val="nil"/>
              <w:bottom w:val="nil"/>
            </w:tcBorders>
            <w:noWrap/>
            <w:hideMark/>
          </w:tcPr>
          <w:p w14:paraId="5DDFA86C"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Extended (&gt; 20h)</w:t>
            </w:r>
          </w:p>
        </w:tc>
        <w:tc>
          <w:tcPr>
            <w:tcW w:w="1885" w:type="dxa"/>
            <w:tcBorders>
              <w:top w:val="nil"/>
              <w:bottom w:val="nil"/>
            </w:tcBorders>
            <w:noWrap/>
            <w:hideMark/>
          </w:tcPr>
          <w:p w14:paraId="684D31AA"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10</w:t>
            </w:r>
          </w:p>
        </w:tc>
        <w:tc>
          <w:tcPr>
            <w:tcW w:w="1134" w:type="dxa"/>
            <w:tcBorders>
              <w:top w:val="nil"/>
              <w:bottom w:val="nil"/>
            </w:tcBorders>
            <w:noWrap/>
            <w:hideMark/>
          </w:tcPr>
          <w:p w14:paraId="74773F51"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11%</w:t>
            </w:r>
          </w:p>
        </w:tc>
        <w:tc>
          <w:tcPr>
            <w:tcW w:w="1417" w:type="dxa"/>
            <w:tcBorders>
              <w:top w:val="nil"/>
              <w:bottom w:val="nil"/>
            </w:tcBorders>
            <w:noWrap/>
            <w:hideMark/>
          </w:tcPr>
          <w:p w14:paraId="1DC4EA3C"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c>
          <w:tcPr>
            <w:tcW w:w="992" w:type="dxa"/>
            <w:tcBorders>
              <w:top w:val="nil"/>
              <w:bottom w:val="nil"/>
            </w:tcBorders>
            <w:noWrap/>
            <w:hideMark/>
          </w:tcPr>
          <w:p w14:paraId="265AB12D"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r>
      <w:tr w:rsidR="00DA48F4" w:rsidRPr="0091560A" w14:paraId="3026F7F5"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78EC67E5" w14:textId="77777777" w:rsidR="00DA48F4" w:rsidRPr="00791C2A" w:rsidRDefault="00DA48F4" w:rsidP="00DA48F4">
            <w:pPr>
              <w:rPr>
                <w:rFonts w:eastAsia="Times New Roman" w:cs="Times New Roman"/>
                <w:color w:val="000000"/>
                <w:szCs w:val="24"/>
                <w:lang w:eastAsia="en-AU"/>
              </w:rPr>
            </w:pPr>
            <w:r w:rsidRPr="00791C2A">
              <w:rPr>
                <w:rFonts w:eastAsia="Times New Roman" w:cs="Times New Roman"/>
                <w:color w:val="000000"/>
                <w:szCs w:val="24"/>
                <w:lang w:eastAsia="en-AU"/>
              </w:rPr>
              <w:t>Charcoal</w:t>
            </w:r>
          </w:p>
        </w:tc>
        <w:tc>
          <w:tcPr>
            <w:tcW w:w="2481" w:type="dxa"/>
            <w:tcBorders>
              <w:top w:val="nil"/>
              <w:bottom w:val="nil"/>
            </w:tcBorders>
            <w:noWrap/>
            <w:hideMark/>
          </w:tcPr>
          <w:p w14:paraId="205AA64B"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1885" w:type="dxa"/>
            <w:tcBorders>
              <w:top w:val="nil"/>
              <w:bottom w:val="nil"/>
            </w:tcBorders>
            <w:noWrap/>
            <w:hideMark/>
          </w:tcPr>
          <w:p w14:paraId="50AA54E6"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134" w:type="dxa"/>
            <w:tcBorders>
              <w:top w:val="nil"/>
              <w:bottom w:val="nil"/>
            </w:tcBorders>
            <w:noWrap/>
            <w:hideMark/>
          </w:tcPr>
          <w:p w14:paraId="3187EA9A"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1417" w:type="dxa"/>
            <w:tcBorders>
              <w:top w:val="nil"/>
              <w:bottom w:val="nil"/>
            </w:tcBorders>
            <w:noWrap/>
            <w:hideMark/>
          </w:tcPr>
          <w:p w14:paraId="463FD0C4"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992" w:type="dxa"/>
            <w:tcBorders>
              <w:top w:val="nil"/>
              <w:bottom w:val="nil"/>
            </w:tcBorders>
            <w:noWrap/>
            <w:hideMark/>
          </w:tcPr>
          <w:p w14:paraId="1938B93C"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r>
      <w:tr w:rsidR="00DA48F4" w:rsidRPr="0091560A" w14:paraId="59A41500"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62033E94" w14:textId="77777777" w:rsidR="00DA48F4" w:rsidRPr="00791C2A" w:rsidRDefault="00DA48F4" w:rsidP="00DA48F4">
            <w:pPr>
              <w:rPr>
                <w:rFonts w:eastAsia="Times New Roman" w:cs="Times New Roman"/>
                <w:szCs w:val="24"/>
                <w:lang w:eastAsia="en-AU"/>
              </w:rPr>
            </w:pPr>
          </w:p>
        </w:tc>
        <w:tc>
          <w:tcPr>
            <w:tcW w:w="2481" w:type="dxa"/>
            <w:tcBorders>
              <w:top w:val="nil"/>
              <w:bottom w:val="nil"/>
            </w:tcBorders>
            <w:noWrap/>
            <w:hideMark/>
          </w:tcPr>
          <w:p w14:paraId="3184A608"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No</w:t>
            </w:r>
          </w:p>
        </w:tc>
        <w:tc>
          <w:tcPr>
            <w:tcW w:w="1885" w:type="dxa"/>
            <w:tcBorders>
              <w:top w:val="nil"/>
              <w:bottom w:val="nil"/>
            </w:tcBorders>
            <w:noWrap/>
            <w:hideMark/>
          </w:tcPr>
          <w:p w14:paraId="48E25AD2"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71</w:t>
            </w:r>
          </w:p>
        </w:tc>
        <w:tc>
          <w:tcPr>
            <w:tcW w:w="1134" w:type="dxa"/>
            <w:tcBorders>
              <w:top w:val="nil"/>
              <w:bottom w:val="nil"/>
            </w:tcBorders>
            <w:noWrap/>
            <w:hideMark/>
          </w:tcPr>
          <w:p w14:paraId="2EC302EE"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81%</w:t>
            </w:r>
          </w:p>
        </w:tc>
        <w:tc>
          <w:tcPr>
            <w:tcW w:w="1417" w:type="dxa"/>
            <w:tcBorders>
              <w:top w:val="nil"/>
              <w:bottom w:val="nil"/>
            </w:tcBorders>
            <w:noWrap/>
            <w:hideMark/>
          </w:tcPr>
          <w:p w14:paraId="0A5439BC"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58</w:t>
            </w:r>
          </w:p>
        </w:tc>
        <w:tc>
          <w:tcPr>
            <w:tcW w:w="992" w:type="dxa"/>
            <w:tcBorders>
              <w:top w:val="nil"/>
              <w:bottom w:val="nil"/>
            </w:tcBorders>
            <w:noWrap/>
            <w:hideMark/>
          </w:tcPr>
          <w:p w14:paraId="5C378988"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70%</w:t>
            </w:r>
          </w:p>
        </w:tc>
      </w:tr>
      <w:tr w:rsidR="00DA48F4" w:rsidRPr="0091560A" w14:paraId="3EEDBF46"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06C67EBD"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07F8D50E"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Yes</w:t>
            </w:r>
          </w:p>
        </w:tc>
        <w:tc>
          <w:tcPr>
            <w:tcW w:w="1885" w:type="dxa"/>
            <w:tcBorders>
              <w:top w:val="nil"/>
              <w:bottom w:val="nil"/>
            </w:tcBorders>
            <w:noWrap/>
            <w:hideMark/>
          </w:tcPr>
          <w:p w14:paraId="70123CFF"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14</w:t>
            </w:r>
          </w:p>
        </w:tc>
        <w:tc>
          <w:tcPr>
            <w:tcW w:w="1134" w:type="dxa"/>
            <w:tcBorders>
              <w:top w:val="nil"/>
              <w:bottom w:val="nil"/>
            </w:tcBorders>
            <w:noWrap/>
            <w:hideMark/>
          </w:tcPr>
          <w:p w14:paraId="06BAE459"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16%</w:t>
            </w:r>
          </w:p>
        </w:tc>
        <w:tc>
          <w:tcPr>
            <w:tcW w:w="1417" w:type="dxa"/>
            <w:tcBorders>
              <w:top w:val="nil"/>
              <w:bottom w:val="nil"/>
            </w:tcBorders>
            <w:noWrap/>
            <w:hideMark/>
          </w:tcPr>
          <w:p w14:paraId="4AD6D86A"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21</w:t>
            </w:r>
          </w:p>
        </w:tc>
        <w:tc>
          <w:tcPr>
            <w:tcW w:w="992" w:type="dxa"/>
            <w:tcBorders>
              <w:top w:val="nil"/>
              <w:bottom w:val="nil"/>
            </w:tcBorders>
            <w:noWrap/>
            <w:hideMark/>
          </w:tcPr>
          <w:p w14:paraId="2F39292F"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25%</w:t>
            </w:r>
          </w:p>
        </w:tc>
      </w:tr>
      <w:tr w:rsidR="00DA48F4" w:rsidRPr="0091560A" w14:paraId="310F0886"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41CFBA0B"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59211B20"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Recommended, not received</w:t>
            </w:r>
          </w:p>
        </w:tc>
        <w:tc>
          <w:tcPr>
            <w:tcW w:w="1885" w:type="dxa"/>
            <w:tcBorders>
              <w:top w:val="nil"/>
              <w:bottom w:val="nil"/>
            </w:tcBorders>
            <w:noWrap/>
            <w:hideMark/>
          </w:tcPr>
          <w:p w14:paraId="661A8060"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134" w:type="dxa"/>
            <w:tcBorders>
              <w:top w:val="nil"/>
              <w:bottom w:val="nil"/>
            </w:tcBorders>
            <w:noWrap/>
            <w:hideMark/>
          </w:tcPr>
          <w:p w14:paraId="21BBD657"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417" w:type="dxa"/>
            <w:tcBorders>
              <w:top w:val="nil"/>
              <w:bottom w:val="nil"/>
            </w:tcBorders>
            <w:noWrap/>
            <w:hideMark/>
          </w:tcPr>
          <w:p w14:paraId="3E1A9DEC"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c>
          <w:tcPr>
            <w:tcW w:w="992" w:type="dxa"/>
            <w:tcBorders>
              <w:top w:val="nil"/>
              <w:bottom w:val="nil"/>
            </w:tcBorders>
            <w:noWrap/>
            <w:hideMark/>
          </w:tcPr>
          <w:p w14:paraId="1E294A2B"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5%</w:t>
            </w:r>
          </w:p>
        </w:tc>
      </w:tr>
      <w:tr w:rsidR="00DA48F4" w:rsidRPr="0091560A" w14:paraId="23092EDE"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28C6B94C"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bottom w:val="nil"/>
            </w:tcBorders>
            <w:noWrap/>
            <w:hideMark/>
          </w:tcPr>
          <w:p w14:paraId="6ABF706C"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Other/unknown</w:t>
            </w:r>
          </w:p>
        </w:tc>
        <w:tc>
          <w:tcPr>
            <w:tcW w:w="1885" w:type="dxa"/>
            <w:tcBorders>
              <w:top w:val="nil"/>
              <w:bottom w:val="nil"/>
            </w:tcBorders>
            <w:noWrap/>
            <w:hideMark/>
          </w:tcPr>
          <w:p w14:paraId="4D48DAF1"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w:t>
            </w:r>
          </w:p>
        </w:tc>
        <w:tc>
          <w:tcPr>
            <w:tcW w:w="1134" w:type="dxa"/>
            <w:tcBorders>
              <w:top w:val="nil"/>
              <w:bottom w:val="nil"/>
            </w:tcBorders>
            <w:noWrap/>
            <w:hideMark/>
          </w:tcPr>
          <w:p w14:paraId="7F04251E"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2%</w:t>
            </w:r>
          </w:p>
        </w:tc>
        <w:tc>
          <w:tcPr>
            <w:tcW w:w="1417" w:type="dxa"/>
            <w:tcBorders>
              <w:top w:val="nil"/>
              <w:bottom w:val="nil"/>
            </w:tcBorders>
            <w:noWrap/>
            <w:hideMark/>
          </w:tcPr>
          <w:p w14:paraId="5D10DA5F" w14:textId="77777777" w:rsidR="00DA48F4" w:rsidRPr="00791C2A" w:rsidRDefault="00DA48F4" w:rsidP="00D61B1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c>
          <w:tcPr>
            <w:tcW w:w="992" w:type="dxa"/>
            <w:tcBorders>
              <w:top w:val="nil"/>
              <w:bottom w:val="nil"/>
            </w:tcBorders>
            <w:noWrap/>
            <w:hideMark/>
          </w:tcPr>
          <w:p w14:paraId="6A964CB2" w14:textId="77777777" w:rsidR="00DA48F4" w:rsidRPr="00791C2A" w:rsidRDefault="00DA48F4" w:rsidP="00D61B1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w:t>
            </w:r>
          </w:p>
        </w:tc>
      </w:tr>
      <w:tr w:rsidR="00DA48F4" w:rsidRPr="0091560A" w14:paraId="7F6B7A37" w14:textId="77777777" w:rsidTr="00E279D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644" w:type="dxa"/>
            <w:gridSpan w:val="2"/>
            <w:tcBorders>
              <w:top w:val="nil"/>
              <w:bottom w:val="nil"/>
            </w:tcBorders>
            <w:noWrap/>
            <w:hideMark/>
          </w:tcPr>
          <w:p w14:paraId="3257CB33" w14:textId="77777777" w:rsidR="00DA48F4" w:rsidRPr="002A13EF" w:rsidRDefault="00DA48F4" w:rsidP="00DA48F4">
            <w:pPr>
              <w:rPr>
                <w:rFonts w:eastAsia="Times New Roman" w:cs="Times New Roman"/>
                <w:color w:val="000000"/>
                <w:szCs w:val="24"/>
                <w:lang w:eastAsia="en-AU"/>
              </w:rPr>
            </w:pPr>
            <w:r w:rsidRPr="0014178E">
              <w:rPr>
                <w:rFonts w:eastAsia="Times New Roman" w:cs="Times New Roman"/>
                <w:color w:val="000000"/>
                <w:szCs w:val="24"/>
                <w:lang w:eastAsia="en-AU"/>
              </w:rPr>
              <w:t>Hepatotoxicity</w:t>
            </w:r>
          </w:p>
        </w:tc>
        <w:tc>
          <w:tcPr>
            <w:tcW w:w="1885" w:type="dxa"/>
            <w:tcBorders>
              <w:top w:val="nil"/>
              <w:bottom w:val="nil"/>
            </w:tcBorders>
            <w:noWrap/>
            <w:hideMark/>
          </w:tcPr>
          <w:p w14:paraId="6D1B211E" w14:textId="77777777" w:rsidR="00DA48F4" w:rsidRPr="001830B9"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Cs w:val="24"/>
                <w:lang w:eastAsia="en-AU"/>
              </w:rPr>
            </w:pPr>
          </w:p>
        </w:tc>
        <w:tc>
          <w:tcPr>
            <w:tcW w:w="1134" w:type="dxa"/>
            <w:tcBorders>
              <w:top w:val="nil"/>
              <w:bottom w:val="nil"/>
            </w:tcBorders>
            <w:noWrap/>
            <w:hideMark/>
          </w:tcPr>
          <w:p w14:paraId="44D26193"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417" w:type="dxa"/>
            <w:tcBorders>
              <w:top w:val="nil"/>
              <w:bottom w:val="nil"/>
            </w:tcBorders>
            <w:noWrap/>
            <w:hideMark/>
          </w:tcPr>
          <w:p w14:paraId="55F630F9"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992" w:type="dxa"/>
            <w:tcBorders>
              <w:top w:val="nil"/>
              <w:bottom w:val="nil"/>
            </w:tcBorders>
            <w:noWrap/>
            <w:hideMark/>
          </w:tcPr>
          <w:p w14:paraId="60C1A1DD"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DA48F4" w:rsidRPr="0091560A" w14:paraId="27DC1D9E" w14:textId="77777777" w:rsidTr="00E279D1">
        <w:trPr>
          <w:trHeight w:val="315"/>
        </w:trPr>
        <w:tc>
          <w:tcPr>
            <w:cnfStyle w:val="001000000000" w:firstRow="0" w:lastRow="0" w:firstColumn="1" w:lastColumn="0" w:oddVBand="0" w:evenVBand="0" w:oddHBand="0" w:evenHBand="0" w:firstRowFirstColumn="0" w:firstRowLastColumn="0" w:lastRowFirstColumn="0" w:lastRowLastColumn="0"/>
            <w:tcW w:w="1163" w:type="dxa"/>
            <w:tcBorders>
              <w:top w:val="nil"/>
              <w:bottom w:val="nil"/>
            </w:tcBorders>
            <w:noWrap/>
            <w:hideMark/>
          </w:tcPr>
          <w:p w14:paraId="593C9580" w14:textId="77777777" w:rsidR="00DA48F4" w:rsidRPr="00791C2A" w:rsidRDefault="00DA48F4" w:rsidP="00DA48F4">
            <w:pPr>
              <w:rPr>
                <w:rFonts w:eastAsia="Times New Roman" w:cs="Times New Roman"/>
                <w:szCs w:val="24"/>
                <w:lang w:eastAsia="en-AU"/>
              </w:rPr>
            </w:pPr>
          </w:p>
        </w:tc>
        <w:tc>
          <w:tcPr>
            <w:tcW w:w="2481" w:type="dxa"/>
            <w:tcBorders>
              <w:top w:val="nil"/>
              <w:bottom w:val="nil"/>
            </w:tcBorders>
            <w:noWrap/>
            <w:hideMark/>
          </w:tcPr>
          <w:p w14:paraId="044043B8" w14:textId="77777777" w:rsidR="00DA48F4" w:rsidRPr="00791C2A" w:rsidRDefault="00DA48F4" w:rsidP="00DA48F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ALT &gt;50</w:t>
            </w:r>
          </w:p>
        </w:tc>
        <w:tc>
          <w:tcPr>
            <w:tcW w:w="1885" w:type="dxa"/>
            <w:tcBorders>
              <w:top w:val="nil"/>
              <w:bottom w:val="nil"/>
            </w:tcBorders>
            <w:noWrap/>
            <w:hideMark/>
          </w:tcPr>
          <w:p w14:paraId="307292C2"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10</w:t>
            </w:r>
          </w:p>
        </w:tc>
        <w:tc>
          <w:tcPr>
            <w:tcW w:w="1134" w:type="dxa"/>
            <w:tcBorders>
              <w:top w:val="nil"/>
              <w:bottom w:val="nil"/>
            </w:tcBorders>
            <w:noWrap/>
            <w:hideMark/>
          </w:tcPr>
          <w:p w14:paraId="3674D6B2"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11%</w:t>
            </w:r>
          </w:p>
        </w:tc>
        <w:tc>
          <w:tcPr>
            <w:tcW w:w="1417" w:type="dxa"/>
            <w:tcBorders>
              <w:top w:val="nil"/>
              <w:bottom w:val="nil"/>
            </w:tcBorders>
            <w:noWrap/>
            <w:hideMark/>
          </w:tcPr>
          <w:p w14:paraId="3B5D49AC"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8</w:t>
            </w:r>
          </w:p>
        </w:tc>
        <w:tc>
          <w:tcPr>
            <w:tcW w:w="992" w:type="dxa"/>
            <w:tcBorders>
              <w:top w:val="nil"/>
              <w:bottom w:val="nil"/>
            </w:tcBorders>
            <w:noWrap/>
            <w:hideMark/>
          </w:tcPr>
          <w:p w14:paraId="04E0319E" w14:textId="77777777" w:rsidR="00DA48F4" w:rsidRPr="00791C2A" w:rsidRDefault="00DA48F4" w:rsidP="00DA48F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10%</w:t>
            </w:r>
          </w:p>
        </w:tc>
      </w:tr>
      <w:tr w:rsidR="00DA48F4" w:rsidRPr="0091560A" w14:paraId="40DE7C78" w14:textId="77777777" w:rsidTr="00E279D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163" w:type="dxa"/>
            <w:tcBorders>
              <w:top w:val="nil"/>
            </w:tcBorders>
            <w:noWrap/>
            <w:hideMark/>
          </w:tcPr>
          <w:p w14:paraId="4268F81C" w14:textId="77777777" w:rsidR="00DA48F4" w:rsidRPr="00791C2A" w:rsidRDefault="00DA48F4" w:rsidP="00DA48F4">
            <w:pPr>
              <w:jc w:val="right"/>
              <w:rPr>
                <w:rFonts w:eastAsia="Times New Roman" w:cs="Times New Roman"/>
                <w:color w:val="000000"/>
                <w:szCs w:val="24"/>
                <w:lang w:eastAsia="en-AU"/>
              </w:rPr>
            </w:pPr>
          </w:p>
        </w:tc>
        <w:tc>
          <w:tcPr>
            <w:tcW w:w="2481" w:type="dxa"/>
            <w:tcBorders>
              <w:top w:val="nil"/>
            </w:tcBorders>
            <w:noWrap/>
            <w:hideMark/>
          </w:tcPr>
          <w:p w14:paraId="50032F79" w14:textId="77777777" w:rsidR="00DA48F4" w:rsidRPr="00791C2A" w:rsidRDefault="00DA48F4" w:rsidP="00DA48F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ALT &gt;1000</w:t>
            </w:r>
          </w:p>
        </w:tc>
        <w:tc>
          <w:tcPr>
            <w:tcW w:w="1885" w:type="dxa"/>
            <w:tcBorders>
              <w:top w:val="nil"/>
            </w:tcBorders>
            <w:noWrap/>
            <w:hideMark/>
          </w:tcPr>
          <w:p w14:paraId="254124FA"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134" w:type="dxa"/>
            <w:tcBorders>
              <w:top w:val="nil"/>
            </w:tcBorders>
            <w:noWrap/>
            <w:hideMark/>
          </w:tcPr>
          <w:p w14:paraId="4F345380"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1%</w:t>
            </w:r>
          </w:p>
        </w:tc>
        <w:tc>
          <w:tcPr>
            <w:tcW w:w="1417" w:type="dxa"/>
            <w:tcBorders>
              <w:top w:val="nil"/>
            </w:tcBorders>
            <w:noWrap/>
            <w:hideMark/>
          </w:tcPr>
          <w:p w14:paraId="257436AF"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3</w:t>
            </w:r>
          </w:p>
        </w:tc>
        <w:tc>
          <w:tcPr>
            <w:tcW w:w="992" w:type="dxa"/>
            <w:tcBorders>
              <w:top w:val="nil"/>
            </w:tcBorders>
            <w:noWrap/>
            <w:hideMark/>
          </w:tcPr>
          <w:p w14:paraId="7662A19A" w14:textId="77777777" w:rsidR="00DA48F4" w:rsidRPr="00791C2A" w:rsidRDefault="00DA48F4" w:rsidP="00DA48F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91C2A">
              <w:rPr>
                <w:rFonts w:eastAsia="Times New Roman" w:cs="Times New Roman"/>
                <w:color w:val="000000"/>
                <w:szCs w:val="24"/>
                <w:lang w:eastAsia="en-AU"/>
              </w:rPr>
              <w:t>4%</w:t>
            </w:r>
          </w:p>
        </w:tc>
      </w:tr>
    </w:tbl>
    <w:p w14:paraId="31A87DDD" w14:textId="77777777" w:rsidR="00CA00B2" w:rsidRDefault="00F3155C">
      <w:pPr>
        <w:rPr>
          <w:rFonts w:cs="Times New Roman"/>
        </w:rPr>
      </w:pPr>
      <w:r w:rsidRPr="0091560A">
        <w:rPr>
          <w:rFonts w:cs="Times New Roman"/>
        </w:rPr>
        <w:br/>
      </w:r>
    </w:p>
    <w:p w14:paraId="4C93BEB4" w14:textId="634520ED" w:rsidR="00BE2AD8" w:rsidRPr="0091560A" w:rsidRDefault="000D1DAF">
      <w:pPr>
        <w:rPr>
          <w:rFonts w:cs="Times New Roman"/>
          <w:i/>
          <w:iCs/>
          <w:color w:val="44546A" w:themeColor="text2"/>
          <w:sz w:val="18"/>
          <w:szCs w:val="18"/>
        </w:rPr>
      </w:pPr>
      <w:r>
        <w:rPr>
          <w:rFonts w:cs="Times New Roman"/>
        </w:rPr>
        <w:t>F</w:t>
      </w:r>
      <w:r w:rsidR="001D2D25" w:rsidRPr="0091560A">
        <w:rPr>
          <w:rFonts w:cs="Times New Roman"/>
        </w:rPr>
        <w:t xml:space="preserve">igure </w:t>
      </w:r>
      <w:r>
        <w:rPr>
          <w:rFonts w:cs="Times New Roman"/>
        </w:rPr>
        <w:t xml:space="preserve">26 </w:t>
      </w:r>
      <w:r w:rsidR="008A70F3" w:rsidRPr="0091560A">
        <w:rPr>
          <w:rFonts w:cs="Times New Roman"/>
        </w:rPr>
        <w:t xml:space="preserve">explains the rationale for acetylcysteine </w:t>
      </w:r>
      <w:r w:rsidR="001902FA" w:rsidRPr="0091560A">
        <w:rPr>
          <w:rFonts w:cs="Times New Roman"/>
        </w:rPr>
        <w:t xml:space="preserve">(NAC) </w:t>
      </w:r>
      <w:r w:rsidR="008A70F3" w:rsidRPr="0091560A">
        <w:rPr>
          <w:rFonts w:cs="Times New Roman"/>
        </w:rPr>
        <w:t xml:space="preserve">treatment. </w:t>
      </w:r>
      <w:r w:rsidR="00FA5567" w:rsidRPr="0091560A">
        <w:rPr>
          <w:rFonts w:cs="Times New Roman"/>
        </w:rPr>
        <w:t xml:space="preserve">It </w:t>
      </w:r>
      <w:r w:rsidR="001D2D25" w:rsidRPr="0091560A">
        <w:rPr>
          <w:rFonts w:cs="Times New Roman"/>
        </w:rPr>
        <w:t xml:space="preserve">shows the highest measured paracetamol level </w:t>
      </w:r>
      <w:r w:rsidR="008A70F3" w:rsidRPr="0091560A">
        <w:rPr>
          <w:rFonts w:cs="Times New Roman"/>
        </w:rPr>
        <w:t>against the standard nomogram line</w:t>
      </w:r>
      <w:r w:rsidR="006F16FF" w:rsidRPr="0091560A">
        <w:rPr>
          <w:rFonts w:cs="Times New Roman"/>
        </w:rPr>
        <w:t xml:space="preserve">. Those over the line or with evidence of any liver damage would have received NAC; </w:t>
      </w:r>
      <w:r w:rsidR="00FA5567" w:rsidRPr="0091560A">
        <w:rPr>
          <w:rFonts w:cs="Times New Roman"/>
        </w:rPr>
        <w:t>those over double the nomogram line are</w:t>
      </w:r>
      <w:r w:rsidR="001902FA" w:rsidRPr="0091560A">
        <w:rPr>
          <w:rFonts w:cs="Times New Roman"/>
        </w:rPr>
        <w:t xml:space="preserve"> those likely to have received double dose NAC</w:t>
      </w:r>
      <w:r w:rsidR="00276621" w:rsidRPr="0091560A">
        <w:rPr>
          <w:rFonts w:cs="Times New Roman"/>
        </w:rPr>
        <w:t xml:space="preserve">, and extended NAC </w:t>
      </w:r>
      <w:r w:rsidR="00C751D0" w:rsidRPr="0091560A">
        <w:rPr>
          <w:rFonts w:cs="Times New Roman"/>
        </w:rPr>
        <w:t>generally</w:t>
      </w:r>
      <w:r w:rsidR="00276621" w:rsidRPr="0091560A">
        <w:rPr>
          <w:rFonts w:cs="Times New Roman"/>
        </w:rPr>
        <w:t xml:space="preserve"> included those with ALT</w:t>
      </w:r>
      <w:r w:rsidR="00747980">
        <w:rPr>
          <w:rFonts w:cs="Times New Roman"/>
        </w:rPr>
        <w:t xml:space="preserve"> </w:t>
      </w:r>
      <w:r w:rsidR="00276621" w:rsidRPr="0091560A">
        <w:rPr>
          <w:rFonts w:cs="Times New Roman"/>
        </w:rPr>
        <w:t>&gt;1000</w:t>
      </w:r>
      <w:r w:rsidR="001902FA" w:rsidRPr="0091560A">
        <w:rPr>
          <w:rFonts w:cs="Times New Roman"/>
        </w:rPr>
        <w:t xml:space="preserve"> </w:t>
      </w:r>
      <w:r w:rsidR="00C751D0" w:rsidRPr="0091560A">
        <w:rPr>
          <w:rFonts w:cs="Times New Roman"/>
        </w:rPr>
        <w:t xml:space="preserve">and those </w:t>
      </w:r>
      <w:r w:rsidR="00CE29C4" w:rsidRPr="0091560A">
        <w:rPr>
          <w:rFonts w:cs="Times New Roman"/>
        </w:rPr>
        <w:t>ingesting MR paracetamol with prolonged high levels.</w:t>
      </w:r>
    </w:p>
    <w:p w14:paraId="0C06F1F4" w14:textId="77777777" w:rsidR="00681183" w:rsidRDefault="007C0CD0" w:rsidP="001A0A17">
      <w:pPr>
        <w:spacing w:after="0"/>
      </w:pPr>
      <w:r>
        <w:rPr>
          <w:noProof/>
        </w:rPr>
        <w:drawing>
          <wp:inline distT="0" distB="0" distL="0" distR="0" wp14:anchorId="20ED831D" wp14:editId="4F93E4F6">
            <wp:extent cx="5542915" cy="4695190"/>
            <wp:effectExtent l="0" t="0" r="635" b="0"/>
            <wp:docPr id="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42915" cy="4695190"/>
                    </a:xfrm>
                    <a:prstGeom prst="rect">
                      <a:avLst/>
                    </a:prstGeom>
                    <a:noFill/>
                  </pic:spPr>
                </pic:pic>
              </a:graphicData>
            </a:graphic>
          </wp:inline>
        </w:drawing>
      </w:r>
    </w:p>
    <w:p w14:paraId="67DAFDAD" w14:textId="289EF081" w:rsidR="00520D03" w:rsidRDefault="00BE2AD8" w:rsidP="00681183">
      <w:pPr>
        <w:pStyle w:val="FigureCaption"/>
      </w:pPr>
      <w:bookmarkStart w:id="76" w:name="_Toc114559987"/>
      <w:r w:rsidRPr="0091560A">
        <w:t xml:space="preserve">Figure </w:t>
      </w:r>
      <w:r>
        <w:fldChar w:fldCharType="begin"/>
      </w:r>
      <w:r>
        <w:instrText>SEQ Figure \* ARABIC</w:instrText>
      </w:r>
      <w:r>
        <w:fldChar w:fldCharType="separate"/>
      </w:r>
      <w:r w:rsidR="0091734E">
        <w:rPr>
          <w:noProof/>
        </w:rPr>
        <w:t>26</w:t>
      </w:r>
      <w:r>
        <w:fldChar w:fldCharType="end"/>
      </w:r>
      <w:r w:rsidRPr="0091560A">
        <w:t>. Peak paracetamol levels (n=121 patients with detectable paracetamol level and known time of ingestion).</w:t>
      </w:r>
      <w:bookmarkEnd w:id="76"/>
      <w:r w:rsidRPr="0091560A">
        <w:t xml:space="preserve"> </w:t>
      </w:r>
    </w:p>
    <w:p w14:paraId="0BE822D5" w14:textId="57FA4D29" w:rsidR="00E079B2" w:rsidRDefault="00562648">
      <w:pPr>
        <w:pStyle w:val="Figurenote"/>
      </w:pPr>
      <w:r w:rsidRPr="0091560A">
        <w:t>Each patient is represented by a dot. Red stars indicate patients with mild hepatotoxicity (ALT &gt;50), red dots indicate patients who developed severe hepatotoxicity</w:t>
      </w:r>
      <w:r>
        <w:t>.</w:t>
      </w:r>
      <w:r w:rsidRPr="0091560A">
        <w:t xml:space="preserve"> </w:t>
      </w:r>
      <w:r w:rsidR="00BE2AD8" w:rsidRPr="0091560A">
        <w:t>(ALT</w:t>
      </w:r>
      <w:r w:rsidR="007570D8">
        <w:t xml:space="preserve"> </w:t>
      </w:r>
      <w:r w:rsidR="00BE2AD8" w:rsidRPr="0091560A">
        <w:t>&gt;1000). Lines represent paracetamol treatment nomogram.</w:t>
      </w:r>
      <w:r>
        <w:t xml:space="preserve"> </w:t>
      </w:r>
      <w:r w:rsidR="00BE2AD8" w:rsidRPr="0091560A">
        <w:t xml:space="preserve">Note: the </w:t>
      </w:r>
      <w:r w:rsidR="00E126A5" w:rsidRPr="005C07F7">
        <w:t>4</w:t>
      </w:r>
      <w:r w:rsidR="00E126A5" w:rsidRPr="001256FB">
        <w:rPr>
          <w:vertAlign w:val="superscript"/>
        </w:rPr>
        <w:t>th</w:t>
      </w:r>
      <w:r w:rsidR="00BE2AD8" w:rsidRPr="0091560A">
        <w:t xml:space="preserve"> patient who developed hepatotoxicity had an undetectable paracetamol level on presentation, &gt;3 days post overdose</w:t>
      </w:r>
      <w:r w:rsidR="00977877">
        <w:t>.</w:t>
      </w:r>
    </w:p>
    <w:p w14:paraId="7B518C9A" w14:textId="2717FCB9" w:rsidR="00A648A3" w:rsidRPr="00A648A3" w:rsidRDefault="00A648A3" w:rsidP="00A648A3">
      <w:r>
        <w:t xml:space="preserve">It is worth noting that </w:t>
      </w:r>
      <w:r w:rsidR="00DF6450">
        <w:t>the results from the NSW PIC database review and those involving a full eMR review were very similar in terms of the proportion requiring treatment with acetylcysteine, and those with minor and severe liver injury</w:t>
      </w:r>
      <w:r w:rsidR="00C123AB">
        <w:t xml:space="preserve">, and thus reinforcing that estimates </w:t>
      </w:r>
      <w:r w:rsidR="00CA5E54">
        <w:t xml:space="preserve">of morbidity </w:t>
      </w:r>
      <w:r w:rsidR="00C123AB">
        <w:t xml:space="preserve">based on Australian PIC data alone are reasonably accurate (relevant to </w:t>
      </w:r>
      <w:r w:rsidR="00CA5E54">
        <w:t>international</w:t>
      </w:r>
      <w:r w:rsidR="00C123AB">
        <w:t xml:space="preserve"> comparisons</w:t>
      </w:r>
      <w:r w:rsidR="00CA5E54">
        <w:t>).</w:t>
      </w:r>
    </w:p>
    <w:p w14:paraId="18CA507B" w14:textId="77777777" w:rsidR="00977877" w:rsidRPr="00A648A3" w:rsidRDefault="00977877" w:rsidP="001A0A17"/>
    <w:p w14:paraId="07008EA0" w14:textId="65562A8E" w:rsidR="00CC07F9" w:rsidRDefault="00187C66" w:rsidP="00AB635C">
      <w:pPr>
        <w:pStyle w:val="Heading3"/>
      </w:pPr>
      <w:bookmarkStart w:id="77" w:name="_Toc112843918"/>
      <w:r>
        <w:t>2.</w:t>
      </w:r>
      <w:r w:rsidR="0089009D">
        <w:t xml:space="preserve">4.4 </w:t>
      </w:r>
      <w:r>
        <w:t xml:space="preserve"> </w:t>
      </w:r>
      <w:r w:rsidR="00CC07F9" w:rsidRPr="0091560A">
        <w:t>Total Australian PIC calls</w:t>
      </w:r>
      <w:bookmarkEnd w:id="77"/>
    </w:p>
    <w:tbl>
      <w:tblPr>
        <w:tblStyle w:val="TableGrid"/>
        <w:tblW w:w="0" w:type="auto"/>
        <w:shd w:val="clear" w:color="auto" w:fill="EDEDED" w:themeFill="accent3" w:themeFillTint="33"/>
        <w:tblLook w:val="04A0" w:firstRow="1" w:lastRow="0" w:firstColumn="1" w:lastColumn="0" w:noHBand="0" w:noVBand="1"/>
      </w:tblPr>
      <w:tblGrid>
        <w:gridCol w:w="9016"/>
      </w:tblGrid>
      <w:tr w:rsidR="00D73899" w14:paraId="6C15C109" w14:textId="77777777" w:rsidTr="0067366B">
        <w:tc>
          <w:tcPr>
            <w:tcW w:w="9016" w:type="dxa"/>
            <w:shd w:val="clear" w:color="auto" w:fill="EDEDED" w:themeFill="accent3" w:themeFillTint="33"/>
          </w:tcPr>
          <w:p w14:paraId="3C46F5C0" w14:textId="2F568728" w:rsidR="00D73899" w:rsidRDefault="3517C5FC" w:rsidP="00AB635C">
            <w:pPr>
              <w:pStyle w:val="ListParagraph"/>
              <w:keepNext/>
              <w:numPr>
                <w:ilvl w:val="0"/>
                <w:numId w:val="83"/>
              </w:numPr>
              <w:spacing w:after="120" w:line="259" w:lineRule="auto"/>
              <w:ind w:left="357" w:hanging="357"/>
              <w:contextualSpacing w:val="0"/>
            </w:pPr>
            <w:r>
              <w:t>Nationally, the total number of poisoning calls and proportion of calls due to paracetamol have remained reasonably constant until an increase in 2021</w:t>
            </w:r>
            <w:r w:rsidR="14DA10AC">
              <w:t>.</w:t>
            </w:r>
          </w:p>
          <w:p w14:paraId="74BDD9A9" w14:textId="66B44A20" w:rsidR="00D73899" w:rsidRDefault="14DA10AC" w:rsidP="00AB635C">
            <w:pPr>
              <w:pStyle w:val="ListParagraph"/>
              <w:keepNext/>
              <w:numPr>
                <w:ilvl w:val="0"/>
                <w:numId w:val="83"/>
              </w:numPr>
              <w:spacing w:after="120" w:line="259" w:lineRule="auto"/>
              <w:ind w:left="357" w:hanging="357"/>
              <w:contextualSpacing w:val="0"/>
            </w:pPr>
            <w:r>
              <w:t>Deliberate self-poisoning is the category of exposure increasing the most in recent years, in particular amongst children and adolescents, which is consisten</w:t>
            </w:r>
            <w:r w:rsidR="72BC86B4">
              <w:t>t with increases in the number of poisoning hospital admissions in those aged 10 years and over.</w:t>
            </w:r>
          </w:p>
          <w:p w14:paraId="3D5E775B" w14:textId="2AD07BBA" w:rsidR="00C948C4" w:rsidRDefault="72BC86B4" w:rsidP="00AB635C">
            <w:pPr>
              <w:pStyle w:val="ListParagraph"/>
              <w:keepNext/>
              <w:numPr>
                <w:ilvl w:val="0"/>
                <w:numId w:val="83"/>
              </w:numPr>
              <w:spacing w:after="120" w:line="259" w:lineRule="auto"/>
              <w:ind w:left="357" w:hanging="357"/>
              <w:contextualSpacing w:val="0"/>
            </w:pPr>
            <w:r>
              <w:t xml:space="preserve">Although NSW PIC data accounts for nearly half </w:t>
            </w:r>
            <w:r w:rsidR="00FD599C">
              <w:t>o</w:t>
            </w:r>
            <w:r>
              <w:t xml:space="preserve">f all Australian PIC calls, data from all four PICs show similar trends with respect to paracetamol exposures, paracetamol deliberate self-poisonings </w:t>
            </w:r>
            <w:r w:rsidR="234E0611">
              <w:t>and child/adolescent paracetamol poisonings.</w:t>
            </w:r>
            <w:r w:rsidR="008E73DE">
              <w:t xml:space="preserve"> </w:t>
            </w:r>
          </w:p>
        </w:tc>
      </w:tr>
    </w:tbl>
    <w:p w14:paraId="60BD8251" w14:textId="77777777" w:rsidR="00D73899" w:rsidRPr="006B127E" w:rsidRDefault="00D73899" w:rsidP="00E74756"/>
    <w:p w14:paraId="0594CC10" w14:textId="06EB34B2" w:rsidR="00CC07F9" w:rsidRPr="00B2525D" w:rsidRDefault="00CC07F9" w:rsidP="0067366B">
      <w:pPr>
        <w:pStyle w:val="Heading4"/>
      </w:pPr>
      <w:r w:rsidRPr="00B2525D">
        <w:t>Methods</w:t>
      </w:r>
    </w:p>
    <w:p w14:paraId="0851471A" w14:textId="12BD682D" w:rsidR="00CC07F9" w:rsidRPr="0091560A" w:rsidRDefault="00F11968" w:rsidP="00CC07F9">
      <w:pPr>
        <w:rPr>
          <w:rFonts w:cs="Times New Roman"/>
        </w:rPr>
      </w:pPr>
      <w:r w:rsidRPr="0091560A">
        <w:rPr>
          <w:rFonts w:cs="Times New Roman"/>
        </w:rPr>
        <w:t xml:space="preserve">The TGA requested </w:t>
      </w:r>
      <w:r w:rsidR="004F1ACE" w:rsidRPr="0091560A">
        <w:rPr>
          <w:rFonts w:cs="Times New Roman"/>
        </w:rPr>
        <w:t xml:space="preserve">2017-2021 </w:t>
      </w:r>
      <w:r w:rsidRPr="0091560A">
        <w:rPr>
          <w:rFonts w:cs="Times New Roman"/>
        </w:rPr>
        <w:t xml:space="preserve">data </w:t>
      </w:r>
      <w:r w:rsidR="004F1ACE" w:rsidRPr="0091560A">
        <w:rPr>
          <w:rFonts w:cs="Times New Roman"/>
        </w:rPr>
        <w:t xml:space="preserve">on paracetamol exposure calls </w:t>
      </w:r>
      <w:r w:rsidRPr="0091560A">
        <w:rPr>
          <w:rFonts w:cs="Times New Roman"/>
        </w:rPr>
        <w:t>from W</w:t>
      </w:r>
      <w:r w:rsidR="008E31DA">
        <w:rPr>
          <w:rFonts w:cs="Times New Roman"/>
        </w:rPr>
        <w:t>estern Australia</w:t>
      </w:r>
      <w:r w:rsidRPr="0091560A">
        <w:rPr>
          <w:rFonts w:cs="Times New Roman"/>
        </w:rPr>
        <w:t xml:space="preserve">, Queensland and Victorian PICs, providing a template </w:t>
      </w:r>
      <w:r w:rsidR="004F1ACE" w:rsidRPr="0091560A">
        <w:rPr>
          <w:rFonts w:cs="Times New Roman"/>
        </w:rPr>
        <w:t>for data extraction. This included data on all calls, calls by broad age categories</w:t>
      </w:r>
      <w:r w:rsidR="00235881" w:rsidRPr="0091560A">
        <w:rPr>
          <w:rFonts w:cs="Times New Roman"/>
        </w:rPr>
        <w:t>, intent, and separating paracetamol only exposures from those involving multiple agents. No dose, gender</w:t>
      </w:r>
      <w:r w:rsidR="00A26917" w:rsidRPr="0091560A">
        <w:rPr>
          <w:rFonts w:cs="Times New Roman"/>
        </w:rPr>
        <w:t>, or specific preparation data was provided</w:t>
      </w:r>
      <w:r w:rsidR="00066E13" w:rsidRPr="0091560A">
        <w:rPr>
          <w:rFonts w:cs="Times New Roman"/>
        </w:rPr>
        <w:t xml:space="preserve"> within this template</w:t>
      </w:r>
      <w:r w:rsidR="00A26917" w:rsidRPr="0091560A">
        <w:rPr>
          <w:rFonts w:cs="Times New Roman"/>
        </w:rPr>
        <w:t>.</w:t>
      </w:r>
      <w:r w:rsidR="004F1ACE" w:rsidRPr="0091560A">
        <w:rPr>
          <w:rFonts w:cs="Times New Roman"/>
        </w:rPr>
        <w:t xml:space="preserve"> </w:t>
      </w:r>
      <w:r w:rsidR="00B5261E">
        <w:rPr>
          <w:rFonts w:cs="Times New Roman"/>
        </w:rPr>
        <w:t>Similar data from NSW was also extracted to create a national PIC dataset.</w:t>
      </w:r>
    </w:p>
    <w:p w14:paraId="2AA33295" w14:textId="07523841" w:rsidR="004D726E" w:rsidRPr="0091560A" w:rsidRDefault="004D726E" w:rsidP="00CC07F9">
      <w:pPr>
        <w:rPr>
          <w:rFonts w:cs="Times New Roman"/>
        </w:rPr>
      </w:pPr>
      <w:r w:rsidRPr="0091560A">
        <w:rPr>
          <w:rFonts w:cs="Times New Roman"/>
        </w:rPr>
        <w:t>This was analysed to determine the proportion of total</w:t>
      </w:r>
      <w:r w:rsidR="007421FC">
        <w:rPr>
          <w:rFonts w:cs="Times New Roman"/>
        </w:rPr>
        <w:t xml:space="preserve"> </w:t>
      </w:r>
      <w:r w:rsidR="00BD056E">
        <w:rPr>
          <w:rFonts w:cs="Times New Roman"/>
        </w:rPr>
        <w:t>exposure calls</w:t>
      </w:r>
      <w:r w:rsidR="006A4521" w:rsidRPr="0091560A">
        <w:rPr>
          <w:rFonts w:cs="Times New Roman"/>
        </w:rPr>
        <w:t>, paracetamol poisoning</w:t>
      </w:r>
      <w:r w:rsidR="00BD056E">
        <w:rPr>
          <w:rFonts w:cs="Times New Roman"/>
        </w:rPr>
        <w:t>,</w:t>
      </w:r>
      <w:r w:rsidR="006A4521" w:rsidRPr="0091560A">
        <w:rPr>
          <w:rFonts w:cs="Times New Roman"/>
        </w:rPr>
        <w:t xml:space="preserve"> and deliberate self-poisoning </w:t>
      </w:r>
      <w:r w:rsidRPr="0091560A">
        <w:rPr>
          <w:rFonts w:cs="Times New Roman"/>
        </w:rPr>
        <w:t xml:space="preserve">PIC calls </w:t>
      </w:r>
      <w:r w:rsidR="006A4521" w:rsidRPr="0091560A">
        <w:rPr>
          <w:rFonts w:cs="Times New Roman"/>
        </w:rPr>
        <w:t xml:space="preserve">were </w:t>
      </w:r>
      <w:r w:rsidRPr="0091560A">
        <w:rPr>
          <w:rFonts w:cs="Times New Roman"/>
        </w:rPr>
        <w:t>taken by each poisons cen</w:t>
      </w:r>
      <w:r w:rsidR="006A4521" w:rsidRPr="0091560A">
        <w:rPr>
          <w:rFonts w:cs="Times New Roman"/>
        </w:rPr>
        <w:t>t</w:t>
      </w:r>
      <w:r w:rsidRPr="0091560A">
        <w:rPr>
          <w:rFonts w:cs="Times New Roman"/>
        </w:rPr>
        <w:t>re</w:t>
      </w:r>
      <w:r w:rsidR="006A4521" w:rsidRPr="0091560A">
        <w:rPr>
          <w:rFonts w:cs="Times New Roman"/>
        </w:rPr>
        <w:t xml:space="preserve">. </w:t>
      </w:r>
      <w:r w:rsidR="00061A79" w:rsidRPr="0091560A">
        <w:rPr>
          <w:rFonts w:cs="Times New Roman"/>
        </w:rPr>
        <w:t xml:space="preserve">Queensland data for 2017 </w:t>
      </w:r>
      <w:r w:rsidR="004B1A60" w:rsidRPr="0091560A">
        <w:rPr>
          <w:rFonts w:cs="Times New Roman"/>
        </w:rPr>
        <w:t>was from two databases with two different database structures</w:t>
      </w:r>
      <w:r w:rsidR="00E54C14" w:rsidRPr="0091560A">
        <w:rPr>
          <w:rFonts w:cs="Times New Roman"/>
        </w:rPr>
        <w:t xml:space="preserve"> and was difficult to collate and compare for some measures.</w:t>
      </w:r>
    </w:p>
    <w:p w14:paraId="0D550D2A" w14:textId="7844C809" w:rsidR="00B23715" w:rsidRPr="0091560A" w:rsidRDefault="00B95C49" w:rsidP="00CC07F9">
      <w:pPr>
        <w:rPr>
          <w:rFonts w:cs="Times New Roman"/>
        </w:rPr>
      </w:pPr>
      <w:r w:rsidRPr="0091560A">
        <w:rPr>
          <w:rFonts w:cs="Times New Roman"/>
        </w:rPr>
        <w:t>A further analysis was done on 2018-2021 data</w:t>
      </w:r>
      <w:r w:rsidR="00061A79" w:rsidRPr="0091560A">
        <w:rPr>
          <w:rFonts w:cs="Times New Roman"/>
        </w:rPr>
        <w:t xml:space="preserve"> </w:t>
      </w:r>
      <w:r w:rsidR="00E54C14" w:rsidRPr="0091560A">
        <w:rPr>
          <w:rFonts w:cs="Times New Roman"/>
        </w:rPr>
        <w:t xml:space="preserve">from all PICs </w:t>
      </w:r>
      <w:r w:rsidR="00061A79" w:rsidRPr="0091560A">
        <w:rPr>
          <w:rFonts w:cs="Times New Roman"/>
        </w:rPr>
        <w:t xml:space="preserve">against population denominators </w:t>
      </w:r>
      <w:r w:rsidR="004B0DEF">
        <w:rPr>
          <w:rFonts w:cs="Times New Roman"/>
        </w:rPr>
        <w:t>(ww</w:t>
      </w:r>
      <w:r w:rsidR="007B26A5" w:rsidRPr="0091560A">
        <w:rPr>
          <w:rFonts w:cs="Times New Roman"/>
        </w:rPr>
        <w:t>w.abs.gov.au/statistics/people/population/national-state-and-territory-population/dec-2021#data-download)</w:t>
      </w:r>
      <w:r w:rsidR="00D00C45" w:rsidRPr="0091560A">
        <w:rPr>
          <w:rFonts w:cs="Times New Roman"/>
        </w:rPr>
        <w:t xml:space="preserve"> </w:t>
      </w:r>
      <w:r w:rsidR="007B26A5" w:rsidRPr="0091560A">
        <w:rPr>
          <w:rFonts w:cs="Times New Roman"/>
        </w:rPr>
        <w:t xml:space="preserve">to examine </w:t>
      </w:r>
      <w:r w:rsidR="00D00C45" w:rsidRPr="0091560A">
        <w:rPr>
          <w:rFonts w:cs="Times New Roman"/>
        </w:rPr>
        <w:t xml:space="preserve">whether there was any substantial variation in call rates overall, for paracetamol poisonings and </w:t>
      </w:r>
      <w:r w:rsidR="007A72E7" w:rsidRPr="0091560A">
        <w:rPr>
          <w:rFonts w:cs="Times New Roman"/>
        </w:rPr>
        <w:t xml:space="preserve">subsequent </w:t>
      </w:r>
      <w:r w:rsidR="00D00C45" w:rsidRPr="0091560A">
        <w:rPr>
          <w:rFonts w:cs="Times New Roman"/>
        </w:rPr>
        <w:t>hospitalisations</w:t>
      </w:r>
      <w:r w:rsidR="007A72E7" w:rsidRPr="0091560A">
        <w:rPr>
          <w:rFonts w:cs="Times New Roman"/>
        </w:rPr>
        <w:t>. The latter were also compared to the AIHW</w:t>
      </w:r>
      <w:r w:rsidR="00FC03EE" w:rsidRPr="0091560A">
        <w:rPr>
          <w:rFonts w:cs="Times New Roman"/>
        </w:rPr>
        <w:t xml:space="preserve"> admission </w:t>
      </w:r>
      <w:r w:rsidR="007A72E7" w:rsidRPr="0091560A">
        <w:rPr>
          <w:rFonts w:cs="Times New Roman"/>
        </w:rPr>
        <w:t xml:space="preserve">data to examine whether state of hospitalisation </w:t>
      </w:r>
      <w:r w:rsidR="009A5FCE" w:rsidRPr="0091560A">
        <w:rPr>
          <w:rFonts w:cs="Times New Roman"/>
        </w:rPr>
        <w:t>results in different rates of PIC consultation.</w:t>
      </w:r>
      <w:r w:rsidR="007A72E7" w:rsidRPr="0091560A">
        <w:rPr>
          <w:rFonts w:cs="Times New Roman"/>
        </w:rPr>
        <w:t xml:space="preserve"> </w:t>
      </w:r>
      <w:r w:rsidR="00D00C45" w:rsidRPr="0091560A">
        <w:rPr>
          <w:rFonts w:cs="Times New Roman"/>
        </w:rPr>
        <w:t xml:space="preserve"> </w:t>
      </w:r>
    </w:p>
    <w:p w14:paraId="59579DA1" w14:textId="2882711F" w:rsidR="004A4CEE" w:rsidRPr="0091560A" w:rsidRDefault="005744ED" w:rsidP="0067366B">
      <w:pPr>
        <w:pStyle w:val="Heading4"/>
      </w:pPr>
      <w:r w:rsidRPr="0091560A">
        <w:t>Five-year</w:t>
      </w:r>
      <w:r w:rsidR="009B473D" w:rsidRPr="0091560A">
        <w:t xml:space="preserve"> trends in combined PIC calls (2017-21)</w:t>
      </w:r>
    </w:p>
    <w:p w14:paraId="0B32C4ED" w14:textId="0A8F7D7F" w:rsidR="00F13C22" w:rsidRPr="00B2525D" w:rsidRDefault="00F13C22" w:rsidP="0067366B">
      <w:pPr>
        <w:pStyle w:val="Heading5"/>
      </w:pPr>
      <w:r w:rsidRPr="00B2525D">
        <w:t xml:space="preserve">Overall </w:t>
      </w:r>
      <w:r w:rsidR="00022814" w:rsidRPr="00B2525D">
        <w:t xml:space="preserve">national </w:t>
      </w:r>
      <w:r w:rsidRPr="00B2525D">
        <w:t>trends</w:t>
      </w:r>
      <w:r w:rsidR="00022814" w:rsidRPr="00B2525D">
        <w:t xml:space="preserve"> in calls</w:t>
      </w:r>
    </w:p>
    <w:p w14:paraId="79063392" w14:textId="01BB0AD8" w:rsidR="00C268DF" w:rsidRPr="0091560A" w:rsidRDefault="00035C26" w:rsidP="00C268DF">
      <w:r w:rsidRPr="0091560A">
        <w:t xml:space="preserve">The total poisoning exposure calls and the proportion of calls due to paracetamol have been </w:t>
      </w:r>
      <w:r w:rsidR="00BA5691" w:rsidRPr="0091560A">
        <w:t xml:space="preserve">reasonably constant across these years </w:t>
      </w:r>
      <w:r w:rsidR="008B5115" w:rsidRPr="0091560A">
        <w:t>until a</w:t>
      </w:r>
      <w:r w:rsidR="00B5261E">
        <w:t xml:space="preserve">n increase </w:t>
      </w:r>
      <w:r w:rsidR="008B5115" w:rsidRPr="0091560A">
        <w:t xml:space="preserve">in 2021 </w:t>
      </w:r>
      <w:r w:rsidR="00BA5691" w:rsidRPr="0091560A">
        <w:t xml:space="preserve">(Table </w:t>
      </w:r>
      <w:r w:rsidR="000A0496">
        <w:t>14</w:t>
      </w:r>
      <w:r w:rsidR="00BA5691" w:rsidRPr="0091560A">
        <w:t>).</w:t>
      </w:r>
      <w:r w:rsidR="00B80474" w:rsidRPr="0091560A">
        <w:t xml:space="preserve"> </w:t>
      </w:r>
      <w:r w:rsidR="00991D00" w:rsidRPr="0091560A">
        <w:t xml:space="preserve">The age range for all exposures </w:t>
      </w:r>
      <w:r w:rsidR="00607C52" w:rsidRPr="0091560A">
        <w:t xml:space="preserve">(Figure </w:t>
      </w:r>
      <w:r w:rsidR="000A0496">
        <w:t>27</w:t>
      </w:r>
      <w:r w:rsidR="00607C52" w:rsidRPr="0091560A">
        <w:t>) shows many infant exposures</w:t>
      </w:r>
      <w:r w:rsidR="00AA0F5B" w:rsidRPr="0091560A">
        <w:t xml:space="preserve">, but also increasing child adolescent </w:t>
      </w:r>
      <w:r w:rsidR="000A0496" w:rsidRPr="0091560A">
        <w:t>exposures</w:t>
      </w:r>
      <w:r w:rsidR="00AA0F5B" w:rsidRPr="0091560A">
        <w:t xml:space="preserve"> in recent years.</w:t>
      </w:r>
    </w:p>
    <w:p w14:paraId="3D43E14C" w14:textId="44A9480D" w:rsidR="000C185C" w:rsidRPr="0091560A" w:rsidRDefault="006A5303" w:rsidP="001A0A17">
      <w:pPr>
        <w:pStyle w:val="Caption"/>
        <w:keepNext/>
        <w:keepLines/>
      </w:pPr>
      <w:bookmarkStart w:id="78" w:name="_Toc114560129"/>
      <w:r>
        <w:t xml:space="preserve">Table </w:t>
      </w:r>
      <w:r>
        <w:fldChar w:fldCharType="begin"/>
      </w:r>
      <w:r>
        <w:instrText>SEQ Table \* ARABIC</w:instrText>
      </w:r>
      <w:r>
        <w:fldChar w:fldCharType="separate"/>
      </w:r>
      <w:r w:rsidR="0091734E">
        <w:rPr>
          <w:noProof/>
        </w:rPr>
        <w:t>14</w:t>
      </w:r>
      <w:r>
        <w:fldChar w:fldCharType="end"/>
      </w:r>
      <w:r w:rsidRPr="0091560A">
        <w:t xml:space="preserve">. </w:t>
      </w:r>
      <w:r w:rsidR="00D41BC5" w:rsidRPr="0091560A">
        <w:t xml:space="preserve"> Numbers of exposure calls to Australian PICs 2017-21</w:t>
      </w:r>
      <w:bookmarkEnd w:id="78"/>
    </w:p>
    <w:tbl>
      <w:tblPr>
        <w:tblStyle w:val="ListTable2"/>
        <w:tblW w:w="9072" w:type="dxa"/>
        <w:tblLook w:val="04A0" w:firstRow="1" w:lastRow="0" w:firstColumn="1" w:lastColumn="0" w:noHBand="0" w:noVBand="1"/>
      </w:tblPr>
      <w:tblGrid>
        <w:gridCol w:w="743"/>
        <w:gridCol w:w="3381"/>
        <w:gridCol w:w="3057"/>
        <w:gridCol w:w="1891"/>
      </w:tblGrid>
      <w:tr w:rsidR="00857F3F" w:rsidRPr="0091560A" w14:paraId="1C30432C" w14:textId="77777777" w:rsidTr="00E279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shd w:val="clear" w:color="auto" w:fill="595959" w:themeFill="text1" w:themeFillTint="A6"/>
            <w:noWrap/>
            <w:hideMark/>
          </w:tcPr>
          <w:p w14:paraId="3CD2C8BC" w14:textId="77777777" w:rsidR="00857F3F" w:rsidRPr="001256FB" w:rsidRDefault="00857F3F" w:rsidP="001A0A17">
            <w:pPr>
              <w:keepNext/>
              <w:keepLines/>
              <w:jc w:val="right"/>
              <w:rPr>
                <w:rFonts w:eastAsia="Times New Roman" w:cs="Times New Roman"/>
                <w:color w:val="FFFFFF" w:themeColor="background1"/>
                <w:lang w:eastAsia="en-AU"/>
              </w:rPr>
            </w:pPr>
            <w:r w:rsidRPr="001256FB">
              <w:rPr>
                <w:rFonts w:eastAsia="Times New Roman" w:cs="Times New Roman"/>
                <w:color w:val="FFFFFF" w:themeColor="background1"/>
                <w:lang w:eastAsia="en-AU"/>
              </w:rPr>
              <w:t>Year</w:t>
            </w:r>
          </w:p>
        </w:tc>
        <w:tc>
          <w:tcPr>
            <w:tcW w:w="3293" w:type="dxa"/>
            <w:tcBorders>
              <w:bottom w:val="single" w:sz="4" w:space="0" w:color="666666" w:themeColor="text1" w:themeTint="99"/>
            </w:tcBorders>
            <w:shd w:val="clear" w:color="auto" w:fill="595959" w:themeFill="text1" w:themeFillTint="A6"/>
            <w:noWrap/>
            <w:hideMark/>
          </w:tcPr>
          <w:p w14:paraId="7D6BA597" w14:textId="77777777" w:rsidR="00857F3F" w:rsidRPr="001256FB" w:rsidRDefault="00857F3F" w:rsidP="001A0A17">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Total exposure calls</w:t>
            </w:r>
          </w:p>
        </w:tc>
        <w:tc>
          <w:tcPr>
            <w:tcW w:w="2977" w:type="dxa"/>
            <w:tcBorders>
              <w:bottom w:val="single" w:sz="4" w:space="0" w:color="666666" w:themeColor="text1" w:themeTint="99"/>
            </w:tcBorders>
            <w:shd w:val="clear" w:color="auto" w:fill="595959" w:themeFill="text1" w:themeFillTint="A6"/>
            <w:noWrap/>
            <w:hideMark/>
          </w:tcPr>
          <w:p w14:paraId="25BC9522" w14:textId="77777777" w:rsidR="00857F3F" w:rsidRPr="001256FB" w:rsidRDefault="00857F3F" w:rsidP="001A0A17">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Paracetamol exposures</w:t>
            </w:r>
          </w:p>
        </w:tc>
        <w:tc>
          <w:tcPr>
            <w:tcW w:w="1842" w:type="dxa"/>
            <w:tcBorders>
              <w:bottom w:val="single" w:sz="4" w:space="0" w:color="666666" w:themeColor="text1" w:themeTint="99"/>
            </w:tcBorders>
            <w:shd w:val="clear" w:color="auto" w:fill="595959" w:themeFill="text1" w:themeFillTint="A6"/>
            <w:noWrap/>
            <w:hideMark/>
          </w:tcPr>
          <w:p w14:paraId="4EB1F5D1" w14:textId="77777777" w:rsidR="00857F3F" w:rsidRPr="001256FB" w:rsidRDefault="00857F3F" w:rsidP="001A0A17">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w:t>
            </w:r>
          </w:p>
        </w:tc>
      </w:tr>
      <w:tr w:rsidR="00857F3F" w:rsidRPr="0091560A" w14:paraId="1AEFF3DC" w14:textId="77777777" w:rsidTr="00E27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noWrap/>
            <w:hideMark/>
          </w:tcPr>
          <w:p w14:paraId="028DA636" w14:textId="77777777" w:rsidR="00857F3F" w:rsidRPr="0091560A" w:rsidRDefault="00857F3F" w:rsidP="001A0A17">
            <w:pPr>
              <w:keepNext/>
              <w:keepLines/>
              <w:jc w:val="right"/>
              <w:rPr>
                <w:rFonts w:eastAsia="Times New Roman" w:cs="Times New Roman"/>
                <w:color w:val="000000"/>
                <w:lang w:eastAsia="en-AU"/>
              </w:rPr>
            </w:pPr>
            <w:r w:rsidRPr="0091560A">
              <w:rPr>
                <w:rFonts w:eastAsia="Times New Roman" w:cs="Times New Roman"/>
                <w:color w:val="000000"/>
                <w:lang w:eastAsia="en-AU"/>
              </w:rPr>
              <w:t>2017</w:t>
            </w:r>
          </w:p>
        </w:tc>
        <w:tc>
          <w:tcPr>
            <w:tcW w:w="3293" w:type="dxa"/>
            <w:tcBorders>
              <w:bottom w:val="nil"/>
            </w:tcBorders>
            <w:noWrap/>
            <w:hideMark/>
          </w:tcPr>
          <w:p w14:paraId="0F2E1413"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164176</w:t>
            </w:r>
          </w:p>
        </w:tc>
        <w:tc>
          <w:tcPr>
            <w:tcW w:w="2977" w:type="dxa"/>
            <w:tcBorders>
              <w:bottom w:val="nil"/>
            </w:tcBorders>
            <w:noWrap/>
            <w:hideMark/>
          </w:tcPr>
          <w:p w14:paraId="75C4E80E"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16573</w:t>
            </w:r>
          </w:p>
        </w:tc>
        <w:tc>
          <w:tcPr>
            <w:tcW w:w="1842" w:type="dxa"/>
            <w:tcBorders>
              <w:bottom w:val="nil"/>
            </w:tcBorders>
            <w:noWrap/>
            <w:hideMark/>
          </w:tcPr>
          <w:p w14:paraId="1E07590C"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10.1%</w:t>
            </w:r>
          </w:p>
        </w:tc>
      </w:tr>
      <w:tr w:rsidR="00857F3F" w:rsidRPr="0091560A" w14:paraId="05F7D2B0" w14:textId="77777777" w:rsidTr="00E279D1">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noWrap/>
            <w:hideMark/>
          </w:tcPr>
          <w:p w14:paraId="026AF1E1" w14:textId="77777777" w:rsidR="00857F3F" w:rsidRPr="0091560A" w:rsidRDefault="00857F3F" w:rsidP="001A0A17">
            <w:pPr>
              <w:keepNext/>
              <w:keepLines/>
              <w:jc w:val="right"/>
              <w:rPr>
                <w:rFonts w:eastAsia="Times New Roman" w:cs="Times New Roman"/>
                <w:color w:val="000000"/>
                <w:lang w:eastAsia="en-AU"/>
              </w:rPr>
            </w:pPr>
            <w:r w:rsidRPr="0091560A">
              <w:rPr>
                <w:rFonts w:eastAsia="Times New Roman" w:cs="Times New Roman"/>
                <w:color w:val="000000"/>
                <w:lang w:eastAsia="en-AU"/>
              </w:rPr>
              <w:t>2018</w:t>
            </w:r>
          </w:p>
        </w:tc>
        <w:tc>
          <w:tcPr>
            <w:tcW w:w="3293" w:type="dxa"/>
            <w:tcBorders>
              <w:top w:val="nil"/>
              <w:bottom w:val="nil"/>
            </w:tcBorders>
            <w:noWrap/>
            <w:hideMark/>
          </w:tcPr>
          <w:p w14:paraId="5BCDE5A1"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162855</w:t>
            </w:r>
          </w:p>
        </w:tc>
        <w:tc>
          <w:tcPr>
            <w:tcW w:w="2977" w:type="dxa"/>
            <w:tcBorders>
              <w:top w:val="nil"/>
              <w:bottom w:val="nil"/>
            </w:tcBorders>
            <w:noWrap/>
            <w:hideMark/>
          </w:tcPr>
          <w:p w14:paraId="04EF47BB"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15406</w:t>
            </w:r>
          </w:p>
        </w:tc>
        <w:tc>
          <w:tcPr>
            <w:tcW w:w="1842" w:type="dxa"/>
            <w:tcBorders>
              <w:top w:val="nil"/>
              <w:bottom w:val="nil"/>
            </w:tcBorders>
            <w:noWrap/>
            <w:hideMark/>
          </w:tcPr>
          <w:p w14:paraId="6A9F8D2C"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9.5%</w:t>
            </w:r>
          </w:p>
        </w:tc>
      </w:tr>
      <w:tr w:rsidR="00857F3F" w:rsidRPr="0091560A" w14:paraId="680518A5" w14:textId="77777777" w:rsidTr="00E27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noWrap/>
            <w:hideMark/>
          </w:tcPr>
          <w:p w14:paraId="0F5A6D87" w14:textId="77777777" w:rsidR="00857F3F" w:rsidRPr="0091560A" w:rsidRDefault="00857F3F" w:rsidP="001A0A17">
            <w:pPr>
              <w:keepNext/>
              <w:keepLines/>
              <w:jc w:val="right"/>
              <w:rPr>
                <w:rFonts w:eastAsia="Times New Roman" w:cs="Times New Roman"/>
                <w:color w:val="000000"/>
                <w:lang w:eastAsia="en-AU"/>
              </w:rPr>
            </w:pPr>
            <w:r w:rsidRPr="0091560A">
              <w:rPr>
                <w:rFonts w:eastAsia="Times New Roman" w:cs="Times New Roman"/>
                <w:color w:val="000000"/>
                <w:lang w:eastAsia="en-AU"/>
              </w:rPr>
              <w:t>2019</w:t>
            </w:r>
          </w:p>
        </w:tc>
        <w:tc>
          <w:tcPr>
            <w:tcW w:w="3293" w:type="dxa"/>
            <w:tcBorders>
              <w:top w:val="nil"/>
              <w:bottom w:val="nil"/>
            </w:tcBorders>
            <w:noWrap/>
            <w:hideMark/>
          </w:tcPr>
          <w:p w14:paraId="1B288161"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171078</w:t>
            </w:r>
          </w:p>
        </w:tc>
        <w:tc>
          <w:tcPr>
            <w:tcW w:w="2977" w:type="dxa"/>
            <w:tcBorders>
              <w:top w:val="nil"/>
              <w:bottom w:val="nil"/>
            </w:tcBorders>
            <w:noWrap/>
            <w:hideMark/>
          </w:tcPr>
          <w:p w14:paraId="7BF81597"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16779</w:t>
            </w:r>
          </w:p>
        </w:tc>
        <w:tc>
          <w:tcPr>
            <w:tcW w:w="1842" w:type="dxa"/>
            <w:tcBorders>
              <w:top w:val="nil"/>
              <w:bottom w:val="nil"/>
            </w:tcBorders>
            <w:noWrap/>
            <w:hideMark/>
          </w:tcPr>
          <w:p w14:paraId="77613A43"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9.8%</w:t>
            </w:r>
          </w:p>
        </w:tc>
      </w:tr>
      <w:tr w:rsidR="00857F3F" w:rsidRPr="0091560A" w14:paraId="6E62B5EB" w14:textId="77777777" w:rsidTr="00E279D1">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noWrap/>
            <w:hideMark/>
          </w:tcPr>
          <w:p w14:paraId="268F58F8" w14:textId="77777777" w:rsidR="00857F3F" w:rsidRPr="0091560A" w:rsidRDefault="00857F3F" w:rsidP="001A0A17">
            <w:pPr>
              <w:keepNext/>
              <w:keepLines/>
              <w:jc w:val="right"/>
              <w:rPr>
                <w:rFonts w:eastAsia="Times New Roman" w:cs="Times New Roman"/>
                <w:color w:val="000000"/>
                <w:lang w:eastAsia="en-AU"/>
              </w:rPr>
            </w:pPr>
            <w:r w:rsidRPr="0091560A">
              <w:rPr>
                <w:rFonts w:eastAsia="Times New Roman" w:cs="Times New Roman"/>
                <w:color w:val="000000"/>
                <w:lang w:eastAsia="en-AU"/>
              </w:rPr>
              <w:t>2020</w:t>
            </w:r>
          </w:p>
        </w:tc>
        <w:tc>
          <w:tcPr>
            <w:tcW w:w="3293" w:type="dxa"/>
            <w:tcBorders>
              <w:top w:val="nil"/>
              <w:bottom w:val="nil"/>
            </w:tcBorders>
            <w:noWrap/>
            <w:hideMark/>
          </w:tcPr>
          <w:p w14:paraId="6454F291"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177236</w:t>
            </w:r>
          </w:p>
        </w:tc>
        <w:tc>
          <w:tcPr>
            <w:tcW w:w="2977" w:type="dxa"/>
            <w:tcBorders>
              <w:top w:val="nil"/>
              <w:bottom w:val="nil"/>
            </w:tcBorders>
            <w:noWrap/>
            <w:hideMark/>
          </w:tcPr>
          <w:p w14:paraId="29EA81AA"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16343</w:t>
            </w:r>
          </w:p>
        </w:tc>
        <w:tc>
          <w:tcPr>
            <w:tcW w:w="1842" w:type="dxa"/>
            <w:tcBorders>
              <w:top w:val="nil"/>
              <w:bottom w:val="nil"/>
            </w:tcBorders>
            <w:noWrap/>
            <w:hideMark/>
          </w:tcPr>
          <w:p w14:paraId="247D1A32" w14:textId="77777777" w:rsidR="00857F3F" w:rsidRPr="0091560A" w:rsidRDefault="00857F3F" w:rsidP="001A0A17">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9.2%</w:t>
            </w:r>
          </w:p>
        </w:tc>
      </w:tr>
      <w:tr w:rsidR="00857F3F" w:rsidRPr="0091560A" w14:paraId="64624968" w14:textId="77777777" w:rsidTr="00E279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hideMark/>
          </w:tcPr>
          <w:p w14:paraId="5BE9FCB1" w14:textId="77777777" w:rsidR="00857F3F" w:rsidRPr="0091560A" w:rsidRDefault="00857F3F" w:rsidP="001A0A17">
            <w:pPr>
              <w:keepNext/>
              <w:keepLines/>
              <w:jc w:val="right"/>
              <w:rPr>
                <w:rFonts w:eastAsia="Times New Roman" w:cs="Times New Roman"/>
                <w:color w:val="000000"/>
                <w:lang w:eastAsia="en-AU"/>
              </w:rPr>
            </w:pPr>
            <w:r w:rsidRPr="0091560A">
              <w:rPr>
                <w:rFonts w:eastAsia="Times New Roman" w:cs="Times New Roman"/>
                <w:color w:val="000000"/>
                <w:lang w:eastAsia="en-AU"/>
              </w:rPr>
              <w:t>2021</w:t>
            </w:r>
          </w:p>
        </w:tc>
        <w:tc>
          <w:tcPr>
            <w:tcW w:w="3293" w:type="dxa"/>
            <w:tcBorders>
              <w:top w:val="nil"/>
            </w:tcBorders>
            <w:noWrap/>
            <w:hideMark/>
          </w:tcPr>
          <w:p w14:paraId="3A900A1D"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180856</w:t>
            </w:r>
          </w:p>
        </w:tc>
        <w:tc>
          <w:tcPr>
            <w:tcW w:w="2977" w:type="dxa"/>
            <w:tcBorders>
              <w:top w:val="nil"/>
            </w:tcBorders>
            <w:noWrap/>
            <w:hideMark/>
          </w:tcPr>
          <w:p w14:paraId="42E0BF05"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18296</w:t>
            </w:r>
          </w:p>
        </w:tc>
        <w:tc>
          <w:tcPr>
            <w:tcW w:w="1842" w:type="dxa"/>
            <w:tcBorders>
              <w:top w:val="nil"/>
            </w:tcBorders>
            <w:noWrap/>
            <w:hideMark/>
          </w:tcPr>
          <w:p w14:paraId="430CFD68" w14:textId="77777777" w:rsidR="00857F3F" w:rsidRPr="0091560A" w:rsidRDefault="00857F3F" w:rsidP="001A0A17">
            <w:pPr>
              <w:keepNext/>
              <w:keepLines/>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10.1%</w:t>
            </w:r>
          </w:p>
        </w:tc>
      </w:tr>
    </w:tbl>
    <w:p w14:paraId="380F3CC6" w14:textId="00509763" w:rsidR="00BA5691" w:rsidRPr="0091560A" w:rsidRDefault="00D41BC5" w:rsidP="0067366B">
      <w:pPr>
        <w:pStyle w:val="Tablenote"/>
      </w:pPr>
      <w:r w:rsidRPr="0091560A">
        <w:t>Note – Recalls generally excluded but recalls to a different PIC may be counted more than once</w:t>
      </w:r>
    </w:p>
    <w:p w14:paraId="0E9CD300" w14:textId="7F9BA076" w:rsidR="00A538DE" w:rsidRDefault="00A538DE">
      <w:pPr>
        <w:rPr>
          <w:rFonts w:cs="Times New Roman"/>
          <w:i/>
          <w:iCs/>
          <w:color w:val="44546A" w:themeColor="text2"/>
          <w:sz w:val="18"/>
          <w:szCs w:val="18"/>
        </w:rPr>
      </w:pPr>
    </w:p>
    <w:p w14:paraId="56C164F2" w14:textId="017CD278" w:rsidR="007C0CD0" w:rsidRDefault="007C0CD0" w:rsidP="001A0A17">
      <w:pPr>
        <w:spacing w:after="0"/>
      </w:pPr>
      <w:r>
        <w:rPr>
          <w:noProof/>
        </w:rPr>
        <w:drawing>
          <wp:inline distT="0" distB="0" distL="0" distR="0" wp14:anchorId="49C41352" wp14:editId="07CE90A5">
            <wp:extent cx="5162550" cy="3193836"/>
            <wp:effectExtent l="0" t="0" r="0" b="6985"/>
            <wp:docPr id="8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5180414" cy="3204887"/>
                    </a:xfrm>
                    <a:prstGeom prst="rect">
                      <a:avLst/>
                    </a:prstGeom>
                    <a:noFill/>
                    <a:ln>
                      <a:noFill/>
                    </a:ln>
                    <a:extLst>
                      <a:ext uri="{53640926-AAD7-44D8-BBD7-CCE9431645EC}">
                        <a14:shadowObscured xmlns:a14="http://schemas.microsoft.com/office/drawing/2010/main"/>
                      </a:ext>
                    </a:extLst>
                  </pic:spPr>
                </pic:pic>
              </a:graphicData>
            </a:graphic>
          </wp:inline>
        </w:drawing>
      </w:r>
    </w:p>
    <w:p w14:paraId="08CB5EB9" w14:textId="10878714" w:rsidR="00D11C14" w:rsidRPr="0091560A" w:rsidRDefault="00D11C14" w:rsidP="001256FB">
      <w:pPr>
        <w:pStyle w:val="FigureCaption"/>
      </w:pPr>
      <w:bookmarkStart w:id="79" w:name="_Toc114559988"/>
      <w:r w:rsidRPr="0091560A">
        <w:t xml:space="preserve">Figure </w:t>
      </w:r>
      <w:r>
        <w:fldChar w:fldCharType="begin"/>
      </w:r>
      <w:r>
        <w:instrText>SEQ Figure \* ARABIC</w:instrText>
      </w:r>
      <w:r>
        <w:fldChar w:fldCharType="separate"/>
      </w:r>
      <w:r w:rsidR="0091734E">
        <w:rPr>
          <w:noProof/>
        </w:rPr>
        <w:t>27</w:t>
      </w:r>
      <w:r>
        <w:fldChar w:fldCharType="end"/>
      </w:r>
      <w:r w:rsidRPr="0091560A">
        <w:t xml:space="preserve">. National PIC calls about paracetamol exposures </w:t>
      </w:r>
      <w:r w:rsidR="00787E88">
        <w:t>–</w:t>
      </w:r>
      <w:r w:rsidRPr="0091560A">
        <w:t xml:space="preserve"> Trends by age 2017-21</w:t>
      </w:r>
      <w:bookmarkEnd w:id="79"/>
    </w:p>
    <w:p w14:paraId="10D1D8D0" w14:textId="785A7D6E" w:rsidR="00D11C14" w:rsidRPr="0091560A" w:rsidRDefault="00D11C14" w:rsidP="00D11C14">
      <w:pPr>
        <w:rPr>
          <w:rFonts w:cs="Times New Roman"/>
        </w:rPr>
      </w:pPr>
    </w:p>
    <w:p w14:paraId="56BEA3ED" w14:textId="100C8128" w:rsidR="00C14EC1" w:rsidRPr="0091560A" w:rsidRDefault="00AA0F5B" w:rsidP="00C14EC1">
      <w:r w:rsidRPr="0091560A">
        <w:t xml:space="preserve">It can be seen that </w:t>
      </w:r>
      <w:r w:rsidR="00BE2FFD" w:rsidRPr="0091560A">
        <w:t xml:space="preserve">deliberate self-poisoning is the category of exposure increasing most in recent years (Figure </w:t>
      </w:r>
      <w:r w:rsidR="00AE56CB">
        <w:t>28</w:t>
      </w:r>
      <w:r w:rsidR="00BE2FFD" w:rsidRPr="0091560A">
        <w:t>)</w:t>
      </w:r>
      <w:r w:rsidR="00B02DF9" w:rsidRPr="0091560A">
        <w:t xml:space="preserve"> and further that this in particular is being driven by increasing calls about children and adolescents</w:t>
      </w:r>
      <w:r w:rsidR="00FA75DC" w:rsidRPr="0091560A">
        <w:t xml:space="preserve"> (Figure </w:t>
      </w:r>
      <w:r w:rsidR="00AE56CB">
        <w:t>29</w:t>
      </w:r>
      <w:r w:rsidR="00FA75DC" w:rsidRPr="0091560A">
        <w:t>)</w:t>
      </w:r>
      <w:r w:rsidR="00BD056E">
        <w:t>.</w:t>
      </w:r>
    </w:p>
    <w:p w14:paraId="52641791" w14:textId="77777777" w:rsidR="00681183" w:rsidRDefault="007C0CD0" w:rsidP="001A0A17">
      <w:pPr>
        <w:spacing w:after="0"/>
      </w:pPr>
      <w:r>
        <w:rPr>
          <w:noProof/>
        </w:rPr>
        <w:drawing>
          <wp:inline distT="0" distB="0" distL="0" distR="0" wp14:anchorId="58DD7DB8" wp14:editId="71EFC0B5">
            <wp:extent cx="5872480" cy="3228975"/>
            <wp:effectExtent l="0" t="0" r="0" b="9525"/>
            <wp:docPr id="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887830" cy="3237415"/>
                    </a:xfrm>
                    <a:prstGeom prst="rect">
                      <a:avLst/>
                    </a:prstGeom>
                    <a:noFill/>
                    <a:ln>
                      <a:noFill/>
                    </a:ln>
                    <a:extLst>
                      <a:ext uri="{53640926-AAD7-44D8-BBD7-CCE9431645EC}">
                        <a14:shadowObscured xmlns:a14="http://schemas.microsoft.com/office/drawing/2010/main"/>
                      </a:ext>
                    </a:extLst>
                  </pic:spPr>
                </pic:pic>
              </a:graphicData>
            </a:graphic>
          </wp:inline>
        </w:drawing>
      </w:r>
    </w:p>
    <w:p w14:paraId="596BC686" w14:textId="7F473DA9" w:rsidR="000A03A4" w:rsidRPr="0091560A" w:rsidRDefault="00307011" w:rsidP="00681183">
      <w:pPr>
        <w:pStyle w:val="FigureCaption"/>
      </w:pPr>
      <w:bookmarkStart w:id="80" w:name="_Toc114559989"/>
      <w:r w:rsidRPr="0091560A">
        <w:t xml:space="preserve">Figure </w:t>
      </w:r>
      <w:r w:rsidR="005F69BD">
        <w:fldChar w:fldCharType="begin"/>
      </w:r>
      <w:r w:rsidR="005F69BD" w:rsidRPr="0091560A">
        <w:instrText xml:space="preserve"> SEQ Figure \* ARABIC </w:instrText>
      </w:r>
      <w:r w:rsidR="005F69BD">
        <w:fldChar w:fldCharType="separate"/>
      </w:r>
      <w:r w:rsidR="0091734E">
        <w:rPr>
          <w:noProof/>
        </w:rPr>
        <w:t>28</w:t>
      </w:r>
      <w:r w:rsidR="005F69BD">
        <w:fldChar w:fldCharType="end"/>
      </w:r>
      <w:r w:rsidRPr="0091560A">
        <w:t xml:space="preserve">. </w:t>
      </w:r>
      <w:bookmarkStart w:id="81" w:name="OLE_LINK10"/>
      <w:r w:rsidR="007F54E3" w:rsidRPr="0091560A">
        <w:t xml:space="preserve">National PIC calls about paracetamol exposures </w:t>
      </w:r>
      <w:r w:rsidR="00787E88">
        <w:t>–</w:t>
      </w:r>
      <w:r w:rsidR="007F54E3" w:rsidRPr="0091560A">
        <w:t xml:space="preserve"> </w:t>
      </w:r>
      <w:r w:rsidR="00F13C22" w:rsidRPr="0091560A">
        <w:t xml:space="preserve">Trends by </w:t>
      </w:r>
      <w:r w:rsidR="00CF0BB8" w:rsidRPr="0091560A">
        <w:t>Intent</w:t>
      </w:r>
      <w:r w:rsidR="00D11C14" w:rsidRPr="0091560A">
        <w:t xml:space="preserve"> </w:t>
      </w:r>
      <w:r w:rsidR="007F54E3" w:rsidRPr="0091560A">
        <w:t>2017-21</w:t>
      </w:r>
      <w:bookmarkEnd w:id="81"/>
      <w:bookmarkEnd w:id="80"/>
    </w:p>
    <w:p w14:paraId="4D7DB0CB" w14:textId="719DDCFD" w:rsidR="00C14EC1" w:rsidRPr="0091560A" w:rsidRDefault="00CF0BB8" w:rsidP="000A03A4">
      <w:pPr>
        <w:rPr>
          <w:rFonts w:cs="Times New Roman"/>
        </w:rPr>
      </w:pPr>
      <w:r w:rsidRPr="0091560A">
        <w:rPr>
          <w:rFonts w:cs="Times New Roman"/>
        </w:rPr>
        <w:t xml:space="preserve"> </w:t>
      </w:r>
    </w:p>
    <w:p w14:paraId="5981EEF5" w14:textId="0790BB29" w:rsidR="007C0CD0" w:rsidRPr="0091560A" w:rsidRDefault="007C0CD0" w:rsidP="001A0A17">
      <w:pPr>
        <w:spacing w:after="0"/>
        <w:rPr>
          <w:rFonts w:cs="Times New Roman"/>
          <w:i/>
          <w:iCs/>
          <w:color w:val="44546A" w:themeColor="text2"/>
          <w:sz w:val="18"/>
          <w:szCs w:val="18"/>
        </w:rPr>
      </w:pPr>
      <w:bookmarkStart w:id="82" w:name="OLE_LINK7"/>
      <w:r>
        <w:rPr>
          <w:rFonts w:cs="Times New Roman"/>
          <w:noProof/>
          <w:sz w:val="18"/>
          <w:szCs w:val="18"/>
        </w:rPr>
        <w:drawing>
          <wp:inline distT="0" distB="0" distL="0" distR="0" wp14:anchorId="345953A1" wp14:editId="61647097">
            <wp:extent cx="5190400" cy="3257550"/>
            <wp:effectExtent l="0" t="0" r="0" b="0"/>
            <wp:docPr id="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644"/>
                    <a:stretch/>
                  </pic:blipFill>
                  <pic:spPr bwMode="auto">
                    <a:xfrm>
                      <a:off x="0" y="0"/>
                      <a:ext cx="5229445" cy="3282055"/>
                    </a:xfrm>
                    <a:prstGeom prst="rect">
                      <a:avLst/>
                    </a:prstGeom>
                    <a:noFill/>
                    <a:ln>
                      <a:noFill/>
                    </a:ln>
                    <a:extLst>
                      <a:ext uri="{53640926-AAD7-44D8-BBD7-CCE9431645EC}">
                        <a14:shadowObscured xmlns:a14="http://schemas.microsoft.com/office/drawing/2010/main"/>
                      </a:ext>
                    </a:extLst>
                  </pic:spPr>
                </pic:pic>
              </a:graphicData>
            </a:graphic>
          </wp:inline>
        </w:drawing>
      </w:r>
    </w:p>
    <w:p w14:paraId="18412C7D" w14:textId="2FE73E12" w:rsidR="00AE5F8D" w:rsidRPr="0091560A" w:rsidRDefault="00AE5F8D" w:rsidP="001256FB">
      <w:pPr>
        <w:pStyle w:val="FigureCaption"/>
      </w:pPr>
      <w:bookmarkStart w:id="83" w:name="_Toc114559990"/>
      <w:r w:rsidRPr="0091560A">
        <w:t xml:space="preserve">Figure </w:t>
      </w:r>
      <w:r>
        <w:fldChar w:fldCharType="begin"/>
      </w:r>
      <w:r>
        <w:instrText>SEQ Figure \* ARABIC</w:instrText>
      </w:r>
      <w:r>
        <w:fldChar w:fldCharType="separate"/>
      </w:r>
      <w:r w:rsidR="0091734E">
        <w:rPr>
          <w:noProof/>
        </w:rPr>
        <w:t>29</w:t>
      </w:r>
      <w:r>
        <w:fldChar w:fldCharType="end"/>
      </w:r>
      <w:r w:rsidRPr="0091560A">
        <w:t xml:space="preserve">. </w:t>
      </w:r>
      <w:bookmarkStart w:id="84" w:name="OLE_LINK6"/>
      <w:r w:rsidRPr="0091560A">
        <w:t xml:space="preserve">National PIC calls about deliberate </w:t>
      </w:r>
      <w:bookmarkEnd w:id="82"/>
      <w:r w:rsidR="00BD056E" w:rsidRPr="0091560A">
        <w:t>self-poisoning</w:t>
      </w:r>
      <w:r w:rsidR="006D52E7" w:rsidRPr="0091560A">
        <w:t xml:space="preserve"> with</w:t>
      </w:r>
      <w:r w:rsidRPr="0091560A">
        <w:t xml:space="preserve"> paracetamol </w:t>
      </w:r>
      <w:r w:rsidR="00787E88">
        <w:t>–</w:t>
      </w:r>
      <w:r w:rsidRPr="0091560A">
        <w:t xml:space="preserve"> Trends by </w:t>
      </w:r>
      <w:r w:rsidR="006D52E7" w:rsidRPr="0091560A">
        <w:t>Age</w:t>
      </w:r>
      <w:r w:rsidRPr="0091560A">
        <w:t xml:space="preserve"> 2017-21</w:t>
      </w:r>
      <w:bookmarkEnd w:id="84"/>
      <w:bookmarkEnd w:id="83"/>
    </w:p>
    <w:p w14:paraId="3D2F6F29" w14:textId="7ABD354B" w:rsidR="00307011" w:rsidRPr="0091560A" w:rsidRDefault="00307011" w:rsidP="00C14EC1">
      <w:pPr>
        <w:rPr>
          <w:rFonts w:cs="Times New Roman"/>
        </w:rPr>
      </w:pPr>
    </w:p>
    <w:p w14:paraId="21425E80" w14:textId="1B5A4A34" w:rsidR="00307011" w:rsidRPr="0091560A" w:rsidRDefault="001C6755" w:rsidP="00C14EC1">
      <w:pPr>
        <w:rPr>
          <w:rFonts w:cs="Times New Roman"/>
        </w:rPr>
      </w:pPr>
      <w:r w:rsidRPr="0091560A">
        <w:rPr>
          <w:rFonts w:cs="Times New Roman"/>
        </w:rPr>
        <w:t xml:space="preserve">The products being ingested are </w:t>
      </w:r>
      <w:r w:rsidR="00BB3127" w:rsidRPr="0091560A">
        <w:rPr>
          <w:rFonts w:cs="Times New Roman"/>
        </w:rPr>
        <w:t>most commonly single ingredient paracetamol products</w:t>
      </w:r>
      <w:r w:rsidR="00573120" w:rsidRPr="0091560A">
        <w:rPr>
          <w:rFonts w:cs="Times New Roman"/>
        </w:rPr>
        <w:t xml:space="preserve"> although there </w:t>
      </w:r>
      <w:r w:rsidR="00246780" w:rsidRPr="0091560A">
        <w:rPr>
          <w:rFonts w:cs="Times New Roman"/>
        </w:rPr>
        <w:t>are a very substantial proportion that are due to combination products</w:t>
      </w:r>
      <w:r w:rsidR="00A6594F" w:rsidRPr="0091560A">
        <w:rPr>
          <w:rFonts w:cs="Times New Roman"/>
        </w:rPr>
        <w:t xml:space="preserve">, which make up </w:t>
      </w:r>
      <w:r w:rsidR="00535C23" w:rsidRPr="0091560A">
        <w:rPr>
          <w:rFonts w:cs="Times New Roman"/>
        </w:rPr>
        <w:t>over</w:t>
      </w:r>
      <w:r w:rsidR="00A6594F" w:rsidRPr="0091560A">
        <w:rPr>
          <w:rFonts w:cs="Times New Roman"/>
        </w:rPr>
        <w:t xml:space="preserve"> a third of calls where no other agents are ingested (Table </w:t>
      </w:r>
      <w:r w:rsidR="00DF66AC">
        <w:rPr>
          <w:rFonts w:cs="Times New Roman"/>
        </w:rPr>
        <w:t>15</w:t>
      </w:r>
      <w:r w:rsidR="00A6594F" w:rsidRPr="0091560A">
        <w:rPr>
          <w:rFonts w:cs="Times New Roman"/>
        </w:rPr>
        <w:t xml:space="preserve">).  </w:t>
      </w:r>
    </w:p>
    <w:p w14:paraId="083E43A2" w14:textId="3C0D3936" w:rsidR="001318DF" w:rsidRPr="0091560A" w:rsidRDefault="00D6373C" w:rsidP="001256FB">
      <w:pPr>
        <w:pStyle w:val="Caption"/>
        <w:keepNext/>
      </w:pPr>
      <w:bookmarkStart w:id="85" w:name="_Toc114560130"/>
      <w:r>
        <w:t xml:space="preserve">Table </w:t>
      </w:r>
      <w:r>
        <w:fldChar w:fldCharType="begin"/>
      </w:r>
      <w:r>
        <w:instrText>SEQ Table \* ARABIC</w:instrText>
      </w:r>
      <w:r>
        <w:fldChar w:fldCharType="separate"/>
      </w:r>
      <w:r w:rsidR="0091734E">
        <w:rPr>
          <w:noProof/>
        </w:rPr>
        <w:t>15</w:t>
      </w:r>
      <w:r>
        <w:fldChar w:fldCharType="end"/>
      </w:r>
      <w:r w:rsidR="001C6755" w:rsidRPr="0091560A">
        <w:t xml:space="preserve">. </w:t>
      </w:r>
      <w:r w:rsidR="001318DF" w:rsidRPr="0091560A">
        <w:t xml:space="preserve">Trends </w:t>
      </w:r>
      <w:r w:rsidR="00335207" w:rsidRPr="0091560A">
        <w:t>for</w:t>
      </w:r>
      <w:r w:rsidR="001318DF" w:rsidRPr="0091560A">
        <w:t xml:space="preserve"> </w:t>
      </w:r>
      <w:r w:rsidR="00335207" w:rsidRPr="0091560A">
        <w:t>single vs multiple agents</w:t>
      </w:r>
      <w:bookmarkEnd w:id="85"/>
    </w:p>
    <w:tbl>
      <w:tblPr>
        <w:tblStyle w:val="ListTable6Colorful"/>
        <w:tblW w:w="9072" w:type="dxa"/>
        <w:tblLook w:val="04A0" w:firstRow="1" w:lastRow="0" w:firstColumn="1" w:lastColumn="0" w:noHBand="0" w:noVBand="1"/>
      </w:tblPr>
      <w:tblGrid>
        <w:gridCol w:w="888"/>
        <w:gridCol w:w="773"/>
        <w:gridCol w:w="2410"/>
        <w:gridCol w:w="2592"/>
        <w:gridCol w:w="2409"/>
      </w:tblGrid>
      <w:tr w:rsidR="00987833" w:rsidRPr="0091560A" w14:paraId="15A3D405" w14:textId="77777777" w:rsidTr="00264C31">
        <w:trPr>
          <w:cnfStyle w:val="100000000000" w:firstRow="1" w:lastRow="0" w:firstColumn="0" w:lastColumn="0" w:oddVBand="0" w:evenVBand="0" w:oddHBand="0" w:evenHBand="0" w:firstRowFirstColumn="0" w:firstRowLastColumn="0" w:lastRowFirstColumn="0" w:lastRowLastColumn="0"/>
          <w:trHeight w:val="960"/>
        </w:trPr>
        <w:tc>
          <w:tcPr>
            <w:cnfStyle w:val="001000000000" w:firstRow="0" w:lastRow="0" w:firstColumn="1" w:lastColumn="0" w:oddVBand="0" w:evenVBand="0" w:oddHBand="0" w:evenHBand="0" w:firstRowFirstColumn="0" w:firstRowLastColumn="0" w:lastRowFirstColumn="0" w:lastRowLastColumn="0"/>
            <w:tcW w:w="0" w:type="dxa"/>
            <w:shd w:val="clear" w:color="auto" w:fill="595959" w:themeFill="text1" w:themeFillTint="A6"/>
            <w:hideMark/>
          </w:tcPr>
          <w:p w14:paraId="77A8566B" w14:textId="77777777" w:rsidR="00987833" w:rsidRPr="001256FB" w:rsidRDefault="00987833" w:rsidP="00987833">
            <w:pPr>
              <w:rPr>
                <w:rFonts w:eastAsia="Times New Roman" w:cs="Times New Roman"/>
                <w:color w:val="FFFFFF" w:themeColor="background1"/>
                <w:lang w:eastAsia="en-AU"/>
              </w:rPr>
            </w:pPr>
            <w:r w:rsidRPr="001256FB">
              <w:rPr>
                <w:rFonts w:eastAsia="Times New Roman" w:cs="Times New Roman"/>
                <w:color w:val="FFFFFF" w:themeColor="background1"/>
                <w:lang w:eastAsia="en-AU"/>
              </w:rPr>
              <w:t>Age group</w:t>
            </w:r>
          </w:p>
        </w:tc>
        <w:tc>
          <w:tcPr>
            <w:tcW w:w="723" w:type="dxa"/>
            <w:shd w:val="clear" w:color="auto" w:fill="595959" w:themeFill="text1" w:themeFillTint="A6"/>
            <w:hideMark/>
          </w:tcPr>
          <w:p w14:paraId="10083C70" w14:textId="77777777" w:rsidR="00987833" w:rsidRPr="001256FB" w:rsidRDefault="00987833" w:rsidP="001256FB">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Year</w:t>
            </w:r>
          </w:p>
        </w:tc>
        <w:tc>
          <w:tcPr>
            <w:tcW w:w="2254" w:type="dxa"/>
            <w:shd w:val="clear" w:color="auto" w:fill="595959" w:themeFill="text1" w:themeFillTint="A6"/>
            <w:hideMark/>
          </w:tcPr>
          <w:p w14:paraId="27034804" w14:textId="00526CF9" w:rsidR="00987833" w:rsidRPr="001256FB" w:rsidRDefault="00987833" w:rsidP="001256FB">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Single ingredient</w:t>
            </w:r>
            <w:r w:rsidRPr="001256FB">
              <w:rPr>
                <w:rFonts w:eastAsia="Times New Roman" w:cs="Times New Roman"/>
                <w:color w:val="FFFFFF" w:themeColor="background1"/>
                <w:lang w:eastAsia="en-AU"/>
              </w:rPr>
              <w:br/>
              <w:t>products</w:t>
            </w:r>
            <w:r w:rsidR="0024353C" w:rsidRPr="001256FB">
              <w:rPr>
                <w:rFonts w:eastAsia="Times New Roman" w:cs="Times New Roman"/>
                <w:color w:val="FFFFFF" w:themeColor="background1"/>
                <w:lang w:eastAsia="en-AU"/>
              </w:rPr>
              <w:t xml:space="preserve"> </w:t>
            </w:r>
            <w:r w:rsidRPr="001256FB">
              <w:rPr>
                <w:rFonts w:eastAsia="Times New Roman" w:cs="Times New Roman"/>
                <w:color w:val="FFFFFF" w:themeColor="background1"/>
                <w:lang w:eastAsia="en-AU"/>
              </w:rPr>
              <w:t>only</w:t>
            </w:r>
          </w:p>
        </w:tc>
        <w:tc>
          <w:tcPr>
            <w:tcW w:w="2424" w:type="dxa"/>
            <w:shd w:val="clear" w:color="auto" w:fill="595959" w:themeFill="text1" w:themeFillTint="A6"/>
            <w:hideMark/>
          </w:tcPr>
          <w:p w14:paraId="43EE8530" w14:textId="601356B1" w:rsidR="00987833" w:rsidRPr="001256FB" w:rsidRDefault="0024353C" w:rsidP="001256FB">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P</w:t>
            </w:r>
            <w:r w:rsidR="00987833" w:rsidRPr="001256FB">
              <w:rPr>
                <w:rFonts w:eastAsia="Times New Roman" w:cs="Times New Roman"/>
                <w:color w:val="FFFFFF" w:themeColor="background1"/>
                <w:lang w:eastAsia="en-AU"/>
              </w:rPr>
              <w:t>aracetamol combination tablets (e.g</w:t>
            </w:r>
            <w:r w:rsidR="000D58C7">
              <w:rPr>
                <w:rFonts w:eastAsia="Times New Roman" w:cs="Times New Roman"/>
                <w:color w:val="FFFFFF" w:themeColor="background1"/>
                <w:lang w:eastAsia="en-AU"/>
              </w:rPr>
              <w:t>.,</w:t>
            </w:r>
            <w:r w:rsidR="00987833" w:rsidRPr="001256FB">
              <w:rPr>
                <w:rFonts w:eastAsia="Times New Roman" w:cs="Times New Roman"/>
                <w:color w:val="FFFFFF" w:themeColor="background1"/>
                <w:lang w:eastAsia="en-AU"/>
              </w:rPr>
              <w:t xml:space="preserve"> </w:t>
            </w:r>
            <w:r w:rsidR="00D6211E" w:rsidRPr="001256FB">
              <w:rPr>
                <w:rFonts w:eastAsia="Times New Roman" w:cs="Times New Roman"/>
                <w:color w:val="FFFFFF" w:themeColor="background1"/>
                <w:lang w:eastAsia="en-AU"/>
              </w:rPr>
              <w:t>p</w:t>
            </w:r>
            <w:r w:rsidR="00987833" w:rsidRPr="001256FB">
              <w:rPr>
                <w:rFonts w:eastAsia="Times New Roman" w:cs="Times New Roman"/>
                <w:color w:val="FFFFFF" w:themeColor="background1"/>
                <w:lang w:eastAsia="en-AU"/>
              </w:rPr>
              <w:t xml:space="preserve">anadeine) + or </w:t>
            </w:r>
            <w:r w:rsidR="00787E88" w:rsidRPr="001256FB">
              <w:rPr>
                <w:rFonts w:eastAsia="Times New Roman" w:cs="Times New Roman"/>
                <w:color w:val="FFFFFF" w:themeColor="background1"/>
                <w:lang w:eastAsia="en-AU"/>
              </w:rPr>
              <w:t>–</w:t>
            </w:r>
            <w:r w:rsidR="00987833" w:rsidRPr="001256FB">
              <w:rPr>
                <w:rFonts w:eastAsia="Times New Roman" w:cs="Times New Roman"/>
                <w:color w:val="FFFFFF" w:themeColor="background1"/>
                <w:lang w:eastAsia="en-AU"/>
              </w:rPr>
              <w:t xml:space="preserve"> paracetamol</w:t>
            </w:r>
          </w:p>
        </w:tc>
        <w:tc>
          <w:tcPr>
            <w:tcW w:w="2253" w:type="dxa"/>
            <w:shd w:val="clear" w:color="auto" w:fill="595959" w:themeFill="text1" w:themeFillTint="A6"/>
            <w:hideMark/>
          </w:tcPr>
          <w:p w14:paraId="30786412" w14:textId="44C7C7C5" w:rsidR="00987833" w:rsidRPr="001256FB" w:rsidRDefault="00987833" w:rsidP="001256FB">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001256FB">
              <w:rPr>
                <w:rFonts w:eastAsia="Times New Roman" w:cs="Times New Roman"/>
                <w:color w:val="FFFFFF" w:themeColor="background1"/>
                <w:lang w:eastAsia="en-AU"/>
              </w:rPr>
              <w:t>Paracetamol + other co</w:t>
            </w:r>
            <w:r w:rsidR="00BE2B5A" w:rsidRPr="001256FB" w:rsidDel="00D6211E">
              <w:rPr>
                <w:rFonts w:eastAsia="Times New Roman" w:cs="Times New Roman"/>
                <w:color w:val="FFFFFF" w:themeColor="background1"/>
                <w:lang w:eastAsia="en-AU"/>
              </w:rPr>
              <w:t>-</w:t>
            </w:r>
            <w:r w:rsidRPr="001256FB">
              <w:rPr>
                <w:rFonts w:eastAsia="Times New Roman" w:cs="Times New Roman"/>
                <w:color w:val="FFFFFF" w:themeColor="background1"/>
                <w:lang w:eastAsia="en-AU"/>
              </w:rPr>
              <w:t>ingestants</w:t>
            </w:r>
          </w:p>
        </w:tc>
      </w:tr>
      <w:tr w:rsidR="0024353C" w:rsidRPr="0091560A" w14:paraId="7927E83B"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097040" w14:textId="77777777" w:rsidR="00987833" w:rsidRPr="0091560A" w:rsidRDefault="00987833" w:rsidP="00987833">
            <w:pPr>
              <w:rPr>
                <w:rFonts w:eastAsia="Times New Roman" w:cs="Times New Roman"/>
                <w:color w:val="000000"/>
                <w:lang w:eastAsia="en-AU"/>
              </w:rPr>
            </w:pPr>
            <w:r w:rsidRPr="0091560A">
              <w:rPr>
                <w:rFonts w:eastAsia="Times New Roman" w:cs="Times New Roman"/>
                <w:color w:val="000000"/>
                <w:lang w:eastAsia="en-AU"/>
              </w:rPr>
              <w:t>0-4 years</w:t>
            </w:r>
          </w:p>
        </w:tc>
        <w:tc>
          <w:tcPr>
            <w:tcW w:w="723" w:type="dxa"/>
            <w:noWrap/>
            <w:hideMark/>
          </w:tcPr>
          <w:p w14:paraId="0A241614"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noWrap/>
            <w:hideMark/>
          </w:tcPr>
          <w:p w14:paraId="256FB40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4383</w:t>
            </w:r>
          </w:p>
        </w:tc>
        <w:tc>
          <w:tcPr>
            <w:tcW w:w="2424" w:type="dxa"/>
            <w:noWrap/>
            <w:hideMark/>
          </w:tcPr>
          <w:p w14:paraId="495AB501"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1956</w:t>
            </w:r>
          </w:p>
        </w:tc>
        <w:tc>
          <w:tcPr>
            <w:tcW w:w="2253" w:type="dxa"/>
            <w:noWrap/>
            <w:hideMark/>
          </w:tcPr>
          <w:p w14:paraId="37DECB3E"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1149</w:t>
            </w:r>
          </w:p>
        </w:tc>
      </w:tr>
      <w:tr w:rsidR="00987833" w:rsidRPr="0091560A" w14:paraId="6BAD4D9B"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B05100E"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5C459CDC"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noWrap/>
            <w:hideMark/>
          </w:tcPr>
          <w:p w14:paraId="759F9177"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4288</w:t>
            </w:r>
          </w:p>
        </w:tc>
        <w:tc>
          <w:tcPr>
            <w:tcW w:w="2424" w:type="dxa"/>
            <w:noWrap/>
            <w:hideMark/>
          </w:tcPr>
          <w:p w14:paraId="059C7181"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1966</w:t>
            </w:r>
          </w:p>
        </w:tc>
        <w:tc>
          <w:tcPr>
            <w:tcW w:w="2253" w:type="dxa"/>
            <w:noWrap/>
            <w:hideMark/>
          </w:tcPr>
          <w:p w14:paraId="5DBB0B4C"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1069</w:t>
            </w:r>
          </w:p>
        </w:tc>
      </w:tr>
      <w:tr w:rsidR="0024353C" w:rsidRPr="0091560A" w14:paraId="201D2A29"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72871BD5"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4443A334"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hideMark/>
          </w:tcPr>
          <w:p w14:paraId="71D8E03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4574</w:t>
            </w:r>
          </w:p>
        </w:tc>
        <w:tc>
          <w:tcPr>
            <w:tcW w:w="2424" w:type="dxa"/>
            <w:noWrap/>
            <w:hideMark/>
          </w:tcPr>
          <w:p w14:paraId="281EDED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2182</w:t>
            </w:r>
          </w:p>
        </w:tc>
        <w:tc>
          <w:tcPr>
            <w:tcW w:w="2253" w:type="dxa"/>
            <w:noWrap/>
            <w:hideMark/>
          </w:tcPr>
          <w:p w14:paraId="4357F34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1239</w:t>
            </w:r>
          </w:p>
        </w:tc>
      </w:tr>
      <w:tr w:rsidR="00987833" w:rsidRPr="0091560A" w14:paraId="6564ED5A"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9E73D4A"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572703EB"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hideMark/>
          </w:tcPr>
          <w:p w14:paraId="0ECE2584"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3870</w:t>
            </w:r>
          </w:p>
        </w:tc>
        <w:tc>
          <w:tcPr>
            <w:tcW w:w="2424" w:type="dxa"/>
            <w:noWrap/>
            <w:hideMark/>
          </w:tcPr>
          <w:p w14:paraId="1581F5F3"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1751</w:t>
            </w:r>
          </w:p>
        </w:tc>
        <w:tc>
          <w:tcPr>
            <w:tcW w:w="2253" w:type="dxa"/>
            <w:noWrap/>
            <w:hideMark/>
          </w:tcPr>
          <w:p w14:paraId="35C51936"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991</w:t>
            </w:r>
          </w:p>
        </w:tc>
      </w:tr>
      <w:tr w:rsidR="0024353C" w:rsidRPr="0091560A" w14:paraId="3529E656"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BF2937F"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54116E5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hideMark/>
          </w:tcPr>
          <w:p w14:paraId="3BC3D01C"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4359</w:t>
            </w:r>
          </w:p>
        </w:tc>
        <w:tc>
          <w:tcPr>
            <w:tcW w:w="2424" w:type="dxa"/>
            <w:noWrap/>
            <w:hideMark/>
          </w:tcPr>
          <w:p w14:paraId="62139258"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1932</w:t>
            </w:r>
          </w:p>
        </w:tc>
        <w:tc>
          <w:tcPr>
            <w:tcW w:w="2253" w:type="dxa"/>
            <w:noWrap/>
            <w:hideMark/>
          </w:tcPr>
          <w:p w14:paraId="23E22172"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1116</w:t>
            </w:r>
          </w:p>
        </w:tc>
      </w:tr>
      <w:tr w:rsidR="005A2810" w:rsidRPr="0091560A" w14:paraId="12DAE59A"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noWrap/>
          </w:tcPr>
          <w:p w14:paraId="52A2CC41" w14:textId="77777777" w:rsidR="005A2810" w:rsidRPr="0091560A" w:rsidRDefault="005A2810" w:rsidP="00987833">
            <w:pPr>
              <w:rPr>
                <w:rFonts w:eastAsia="Times New Roman" w:cs="Times New Roman"/>
                <w:color w:val="000000"/>
                <w:lang w:eastAsia="en-AU"/>
              </w:rPr>
            </w:pPr>
          </w:p>
        </w:tc>
        <w:tc>
          <w:tcPr>
            <w:tcW w:w="723" w:type="dxa"/>
            <w:tcBorders>
              <w:bottom w:val="single" w:sz="4" w:space="0" w:color="666666" w:themeColor="text1" w:themeTint="99"/>
            </w:tcBorders>
            <w:noWrap/>
          </w:tcPr>
          <w:p w14:paraId="4A82AAC3"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4" w:type="dxa"/>
            <w:tcBorders>
              <w:bottom w:val="single" w:sz="4" w:space="0" w:color="666666" w:themeColor="text1" w:themeTint="99"/>
            </w:tcBorders>
            <w:noWrap/>
          </w:tcPr>
          <w:p w14:paraId="11DDC9D1"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424" w:type="dxa"/>
            <w:tcBorders>
              <w:bottom w:val="single" w:sz="4" w:space="0" w:color="666666" w:themeColor="text1" w:themeTint="99"/>
            </w:tcBorders>
            <w:noWrap/>
          </w:tcPr>
          <w:p w14:paraId="04941BA4"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3" w:type="dxa"/>
            <w:tcBorders>
              <w:bottom w:val="single" w:sz="4" w:space="0" w:color="666666" w:themeColor="text1" w:themeTint="99"/>
            </w:tcBorders>
            <w:noWrap/>
          </w:tcPr>
          <w:p w14:paraId="40F50558"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r>
      <w:tr w:rsidR="005A2810" w:rsidRPr="0091560A" w14:paraId="7B3D9E63" w14:textId="77777777" w:rsidTr="00C03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666666" w:themeColor="text1" w:themeTint="99"/>
              <w:bottom w:val="nil"/>
            </w:tcBorders>
            <w:noWrap/>
            <w:hideMark/>
          </w:tcPr>
          <w:p w14:paraId="23763581" w14:textId="77777777" w:rsidR="00987833" w:rsidRPr="0091560A" w:rsidRDefault="00987833" w:rsidP="00987833">
            <w:pPr>
              <w:rPr>
                <w:rFonts w:eastAsia="Times New Roman" w:cs="Times New Roman"/>
                <w:color w:val="000000"/>
                <w:lang w:eastAsia="en-AU"/>
              </w:rPr>
            </w:pPr>
            <w:r w:rsidRPr="0091560A">
              <w:rPr>
                <w:rFonts w:eastAsia="Times New Roman" w:cs="Times New Roman"/>
                <w:color w:val="000000"/>
                <w:lang w:eastAsia="en-AU"/>
              </w:rPr>
              <w:t>5-14 years</w:t>
            </w:r>
          </w:p>
        </w:tc>
        <w:tc>
          <w:tcPr>
            <w:tcW w:w="723" w:type="dxa"/>
            <w:tcBorders>
              <w:top w:val="single" w:sz="4" w:space="0" w:color="666666" w:themeColor="text1" w:themeTint="99"/>
              <w:bottom w:val="nil"/>
            </w:tcBorders>
            <w:noWrap/>
            <w:hideMark/>
          </w:tcPr>
          <w:p w14:paraId="08EF5B8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tcBorders>
              <w:top w:val="single" w:sz="4" w:space="0" w:color="666666" w:themeColor="text1" w:themeTint="99"/>
              <w:bottom w:val="nil"/>
            </w:tcBorders>
            <w:noWrap/>
            <w:hideMark/>
          </w:tcPr>
          <w:p w14:paraId="6197E0D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1101</w:t>
            </w:r>
          </w:p>
        </w:tc>
        <w:tc>
          <w:tcPr>
            <w:tcW w:w="2424" w:type="dxa"/>
            <w:tcBorders>
              <w:top w:val="single" w:sz="4" w:space="0" w:color="666666" w:themeColor="text1" w:themeTint="99"/>
              <w:bottom w:val="nil"/>
            </w:tcBorders>
            <w:noWrap/>
            <w:hideMark/>
          </w:tcPr>
          <w:p w14:paraId="1A99E09E"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619</w:t>
            </w:r>
          </w:p>
        </w:tc>
        <w:tc>
          <w:tcPr>
            <w:tcW w:w="2253" w:type="dxa"/>
            <w:tcBorders>
              <w:top w:val="single" w:sz="4" w:space="0" w:color="666666" w:themeColor="text1" w:themeTint="99"/>
              <w:bottom w:val="nil"/>
            </w:tcBorders>
            <w:noWrap/>
            <w:hideMark/>
          </w:tcPr>
          <w:p w14:paraId="1C4AC393"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543</w:t>
            </w:r>
          </w:p>
        </w:tc>
      </w:tr>
      <w:tr w:rsidR="0024353C" w:rsidRPr="0091560A" w14:paraId="226C4862"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hideMark/>
          </w:tcPr>
          <w:p w14:paraId="05F240D1" w14:textId="77777777" w:rsidR="00987833" w:rsidRPr="0091560A" w:rsidRDefault="00987833" w:rsidP="00987833">
            <w:pPr>
              <w:jc w:val="right"/>
              <w:rPr>
                <w:rFonts w:eastAsia="Times New Roman" w:cs="Times New Roman"/>
                <w:color w:val="000000"/>
                <w:lang w:eastAsia="en-AU"/>
              </w:rPr>
            </w:pPr>
          </w:p>
        </w:tc>
        <w:tc>
          <w:tcPr>
            <w:tcW w:w="723" w:type="dxa"/>
            <w:tcBorders>
              <w:top w:val="nil"/>
            </w:tcBorders>
            <w:noWrap/>
            <w:hideMark/>
          </w:tcPr>
          <w:p w14:paraId="39AD475A"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tcBorders>
              <w:top w:val="nil"/>
            </w:tcBorders>
            <w:noWrap/>
            <w:hideMark/>
          </w:tcPr>
          <w:p w14:paraId="47970EBA"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979</w:t>
            </w:r>
          </w:p>
        </w:tc>
        <w:tc>
          <w:tcPr>
            <w:tcW w:w="2424" w:type="dxa"/>
            <w:tcBorders>
              <w:top w:val="nil"/>
            </w:tcBorders>
            <w:noWrap/>
            <w:hideMark/>
          </w:tcPr>
          <w:p w14:paraId="091CD6E8"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433</w:t>
            </w:r>
          </w:p>
        </w:tc>
        <w:tc>
          <w:tcPr>
            <w:tcW w:w="2253" w:type="dxa"/>
            <w:tcBorders>
              <w:top w:val="nil"/>
            </w:tcBorders>
            <w:noWrap/>
            <w:hideMark/>
          </w:tcPr>
          <w:p w14:paraId="326D33E3"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415</w:t>
            </w:r>
          </w:p>
        </w:tc>
      </w:tr>
      <w:tr w:rsidR="005A2810" w:rsidRPr="0091560A" w14:paraId="4EF4913E"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F21A4EE"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38C10352"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hideMark/>
          </w:tcPr>
          <w:p w14:paraId="5FA937DB"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1126</w:t>
            </w:r>
          </w:p>
        </w:tc>
        <w:tc>
          <w:tcPr>
            <w:tcW w:w="2424" w:type="dxa"/>
            <w:noWrap/>
            <w:hideMark/>
          </w:tcPr>
          <w:p w14:paraId="79D0A8F1"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547</w:t>
            </w:r>
          </w:p>
        </w:tc>
        <w:tc>
          <w:tcPr>
            <w:tcW w:w="2253" w:type="dxa"/>
            <w:noWrap/>
            <w:hideMark/>
          </w:tcPr>
          <w:p w14:paraId="54EE2454"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458</w:t>
            </w:r>
          </w:p>
        </w:tc>
      </w:tr>
      <w:tr w:rsidR="0024353C" w:rsidRPr="0091560A" w14:paraId="0678DF93"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774D27D"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77BBCC84"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hideMark/>
          </w:tcPr>
          <w:p w14:paraId="7AA1CC40"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1082</w:t>
            </w:r>
          </w:p>
        </w:tc>
        <w:tc>
          <w:tcPr>
            <w:tcW w:w="2424" w:type="dxa"/>
            <w:noWrap/>
            <w:hideMark/>
          </w:tcPr>
          <w:p w14:paraId="2C25AD76"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582</w:t>
            </w:r>
          </w:p>
        </w:tc>
        <w:tc>
          <w:tcPr>
            <w:tcW w:w="2253" w:type="dxa"/>
            <w:noWrap/>
            <w:hideMark/>
          </w:tcPr>
          <w:p w14:paraId="3C7C453C"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558</w:t>
            </w:r>
          </w:p>
        </w:tc>
      </w:tr>
      <w:tr w:rsidR="005A2810" w:rsidRPr="0091560A" w14:paraId="1E865D7A"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625B688"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4FD87F15"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hideMark/>
          </w:tcPr>
          <w:p w14:paraId="3F903640"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1435</w:t>
            </w:r>
          </w:p>
        </w:tc>
        <w:tc>
          <w:tcPr>
            <w:tcW w:w="2424" w:type="dxa"/>
            <w:noWrap/>
            <w:hideMark/>
          </w:tcPr>
          <w:p w14:paraId="1A7E0520"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669</w:t>
            </w:r>
          </w:p>
        </w:tc>
        <w:tc>
          <w:tcPr>
            <w:tcW w:w="2253" w:type="dxa"/>
            <w:noWrap/>
            <w:hideMark/>
          </w:tcPr>
          <w:p w14:paraId="6F97683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759</w:t>
            </w:r>
          </w:p>
        </w:tc>
      </w:tr>
      <w:tr w:rsidR="005A2810" w:rsidRPr="0091560A" w14:paraId="0BA0AC67"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noWrap/>
          </w:tcPr>
          <w:p w14:paraId="357DFCFB" w14:textId="77777777" w:rsidR="005A2810" w:rsidRPr="0091560A" w:rsidRDefault="005A2810" w:rsidP="00987833">
            <w:pPr>
              <w:rPr>
                <w:rFonts w:eastAsia="Times New Roman" w:cs="Times New Roman"/>
                <w:color w:val="000000"/>
                <w:lang w:eastAsia="en-AU"/>
              </w:rPr>
            </w:pPr>
          </w:p>
        </w:tc>
        <w:tc>
          <w:tcPr>
            <w:tcW w:w="723" w:type="dxa"/>
            <w:tcBorders>
              <w:bottom w:val="single" w:sz="4" w:space="0" w:color="666666" w:themeColor="text1" w:themeTint="99"/>
            </w:tcBorders>
            <w:noWrap/>
          </w:tcPr>
          <w:p w14:paraId="3D5EFDA1"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4" w:type="dxa"/>
            <w:tcBorders>
              <w:bottom w:val="single" w:sz="4" w:space="0" w:color="666666" w:themeColor="text1" w:themeTint="99"/>
            </w:tcBorders>
            <w:noWrap/>
          </w:tcPr>
          <w:p w14:paraId="0034D82B"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424" w:type="dxa"/>
            <w:tcBorders>
              <w:bottom w:val="single" w:sz="4" w:space="0" w:color="666666" w:themeColor="text1" w:themeTint="99"/>
            </w:tcBorders>
            <w:noWrap/>
          </w:tcPr>
          <w:p w14:paraId="06559276"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3" w:type="dxa"/>
            <w:tcBorders>
              <w:bottom w:val="single" w:sz="4" w:space="0" w:color="666666" w:themeColor="text1" w:themeTint="99"/>
            </w:tcBorders>
            <w:noWrap/>
          </w:tcPr>
          <w:p w14:paraId="1BE06C1F"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r>
      <w:tr w:rsidR="0024353C" w:rsidRPr="0091560A" w14:paraId="53C946C7" w14:textId="77777777" w:rsidTr="00C03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666666" w:themeColor="text1" w:themeTint="99"/>
              <w:bottom w:val="nil"/>
            </w:tcBorders>
            <w:noWrap/>
            <w:hideMark/>
          </w:tcPr>
          <w:p w14:paraId="23BCD415" w14:textId="77777777" w:rsidR="00987833" w:rsidRPr="0091560A" w:rsidRDefault="00987833" w:rsidP="00987833">
            <w:pPr>
              <w:rPr>
                <w:rFonts w:eastAsia="Times New Roman" w:cs="Times New Roman"/>
                <w:color w:val="000000"/>
                <w:lang w:eastAsia="en-AU"/>
              </w:rPr>
            </w:pPr>
            <w:r w:rsidRPr="0091560A">
              <w:rPr>
                <w:rFonts w:eastAsia="Times New Roman" w:cs="Times New Roman"/>
                <w:color w:val="000000"/>
                <w:lang w:eastAsia="en-AU"/>
              </w:rPr>
              <w:t>15-19 years</w:t>
            </w:r>
          </w:p>
        </w:tc>
        <w:tc>
          <w:tcPr>
            <w:tcW w:w="723" w:type="dxa"/>
            <w:tcBorders>
              <w:top w:val="single" w:sz="4" w:space="0" w:color="666666" w:themeColor="text1" w:themeTint="99"/>
              <w:bottom w:val="nil"/>
            </w:tcBorders>
            <w:noWrap/>
            <w:hideMark/>
          </w:tcPr>
          <w:p w14:paraId="1E20FD67"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tcBorders>
              <w:top w:val="single" w:sz="4" w:space="0" w:color="666666" w:themeColor="text1" w:themeTint="99"/>
              <w:bottom w:val="nil"/>
            </w:tcBorders>
            <w:noWrap/>
            <w:hideMark/>
          </w:tcPr>
          <w:p w14:paraId="72A60EB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951</w:t>
            </w:r>
          </w:p>
        </w:tc>
        <w:tc>
          <w:tcPr>
            <w:tcW w:w="2424" w:type="dxa"/>
            <w:tcBorders>
              <w:top w:val="single" w:sz="4" w:space="0" w:color="666666" w:themeColor="text1" w:themeTint="99"/>
              <w:bottom w:val="nil"/>
            </w:tcBorders>
            <w:noWrap/>
            <w:hideMark/>
          </w:tcPr>
          <w:p w14:paraId="67905CF2"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553</w:t>
            </w:r>
          </w:p>
        </w:tc>
        <w:tc>
          <w:tcPr>
            <w:tcW w:w="2253" w:type="dxa"/>
            <w:tcBorders>
              <w:top w:val="single" w:sz="4" w:space="0" w:color="666666" w:themeColor="text1" w:themeTint="99"/>
              <w:bottom w:val="nil"/>
            </w:tcBorders>
            <w:noWrap/>
            <w:hideMark/>
          </w:tcPr>
          <w:p w14:paraId="284AAC86"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922</w:t>
            </w:r>
          </w:p>
        </w:tc>
      </w:tr>
      <w:tr w:rsidR="005A2810" w:rsidRPr="0091560A" w14:paraId="6CBFDF72"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hideMark/>
          </w:tcPr>
          <w:p w14:paraId="6BAD1FAD" w14:textId="77777777" w:rsidR="00987833" w:rsidRPr="0091560A" w:rsidRDefault="00987833" w:rsidP="00987833">
            <w:pPr>
              <w:jc w:val="right"/>
              <w:rPr>
                <w:rFonts w:eastAsia="Times New Roman" w:cs="Times New Roman"/>
                <w:color w:val="000000"/>
                <w:lang w:eastAsia="en-AU"/>
              </w:rPr>
            </w:pPr>
          </w:p>
        </w:tc>
        <w:tc>
          <w:tcPr>
            <w:tcW w:w="723" w:type="dxa"/>
            <w:tcBorders>
              <w:top w:val="nil"/>
            </w:tcBorders>
            <w:noWrap/>
            <w:hideMark/>
          </w:tcPr>
          <w:p w14:paraId="6BA51273"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tcBorders>
              <w:top w:val="nil"/>
            </w:tcBorders>
            <w:noWrap/>
            <w:hideMark/>
          </w:tcPr>
          <w:p w14:paraId="36C1C77B"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803</w:t>
            </w:r>
          </w:p>
        </w:tc>
        <w:tc>
          <w:tcPr>
            <w:tcW w:w="2424" w:type="dxa"/>
            <w:tcBorders>
              <w:top w:val="nil"/>
            </w:tcBorders>
            <w:noWrap/>
            <w:hideMark/>
          </w:tcPr>
          <w:p w14:paraId="430E7D58"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478</w:t>
            </w:r>
          </w:p>
        </w:tc>
        <w:tc>
          <w:tcPr>
            <w:tcW w:w="2253" w:type="dxa"/>
            <w:tcBorders>
              <w:top w:val="nil"/>
            </w:tcBorders>
            <w:noWrap/>
            <w:hideMark/>
          </w:tcPr>
          <w:p w14:paraId="1DEB73A2"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823</w:t>
            </w:r>
          </w:p>
        </w:tc>
      </w:tr>
      <w:tr w:rsidR="0024353C" w:rsidRPr="0091560A" w14:paraId="3EDAE78A"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7EC1134"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565CA3DF"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hideMark/>
          </w:tcPr>
          <w:p w14:paraId="3B0793C1"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895</w:t>
            </w:r>
          </w:p>
        </w:tc>
        <w:tc>
          <w:tcPr>
            <w:tcW w:w="2424" w:type="dxa"/>
            <w:noWrap/>
            <w:hideMark/>
          </w:tcPr>
          <w:p w14:paraId="2CBC229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581</w:t>
            </w:r>
          </w:p>
        </w:tc>
        <w:tc>
          <w:tcPr>
            <w:tcW w:w="2253" w:type="dxa"/>
            <w:noWrap/>
            <w:hideMark/>
          </w:tcPr>
          <w:p w14:paraId="4888B02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981</w:t>
            </w:r>
          </w:p>
        </w:tc>
      </w:tr>
      <w:tr w:rsidR="005A2810" w:rsidRPr="0091560A" w14:paraId="645D59FA"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EF18062"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41D714FB"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hideMark/>
          </w:tcPr>
          <w:p w14:paraId="734CB1E1"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1152</w:t>
            </w:r>
          </w:p>
        </w:tc>
        <w:tc>
          <w:tcPr>
            <w:tcW w:w="2424" w:type="dxa"/>
            <w:noWrap/>
            <w:hideMark/>
          </w:tcPr>
          <w:p w14:paraId="6050F6A1"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599</w:t>
            </w:r>
          </w:p>
        </w:tc>
        <w:tc>
          <w:tcPr>
            <w:tcW w:w="2253" w:type="dxa"/>
            <w:noWrap/>
            <w:hideMark/>
          </w:tcPr>
          <w:p w14:paraId="1D125BED"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1026</w:t>
            </w:r>
          </w:p>
        </w:tc>
      </w:tr>
      <w:tr w:rsidR="0024353C" w:rsidRPr="0091560A" w14:paraId="16A3C49C"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C51C594"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18159EF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hideMark/>
          </w:tcPr>
          <w:p w14:paraId="108098FE"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1466</w:t>
            </w:r>
          </w:p>
        </w:tc>
        <w:tc>
          <w:tcPr>
            <w:tcW w:w="2424" w:type="dxa"/>
            <w:noWrap/>
            <w:hideMark/>
          </w:tcPr>
          <w:p w14:paraId="3079F648"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724</w:t>
            </w:r>
          </w:p>
        </w:tc>
        <w:tc>
          <w:tcPr>
            <w:tcW w:w="2253" w:type="dxa"/>
            <w:noWrap/>
            <w:hideMark/>
          </w:tcPr>
          <w:p w14:paraId="51E9EFD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1350</w:t>
            </w:r>
          </w:p>
        </w:tc>
      </w:tr>
      <w:tr w:rsidR="005A2810" w:rsidRPr="0091560A" w14:paraId="2672FBFA"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noWrap/>
          </w:tcPr>
          <w:p w14:paraId="41D1CE1A" w14:textId="77777777" w:rsidR="005A2810" w:rsidRPr="0091560A" w:rsidRDefault="005A2810" w:rsidP="00987833">
            <w:pPr>
              <w:jc w:val="right"/>
              <w:rPr>
                <w:rFonts w:eastAsia="Times New Roman" w:cs="Times New Roman"/>
                <w:color w:val="000000"/>
                <w:lang w:eastAsia="en-AU"/>
              </w:rPr>
            </w:pPr>
          </w:p>
        </w:tc>
        <w:tc>
          <w:tcPr>
            <w:tcW w:w="723" w:type="dxa"/>
            <w:tcBorders>
              <w:bottom w:val="single" w:sz="4" w:space="0" w:color="666666" w:themeColor="text1" w:themeTint="99"/>
            </w:tcBorders>
            <w:noWrap/>
          </w:tcPr>
          <w:p w14:paraId="28DC949D"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4" w:type="dxa"/>
            <w:tcBorders>
              <w:bottom w:val="single" w:sz="4" w:space="0" w:color="666666" w:themeColor="text1" w:themeTint="99"/>
            </w:tcBorders>
            <w:noWrap/>
          </w:tcPr>
          <w:p w14:paraId="313E045B"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424" w:type="dxa"/>
            <w:tcBorders>
              <w:bottom w:val="single" w:sz="4" w:space="0" w:color="666666" w:themeColor="text1" w:themeTint="99"/>
            </w:tcBorders>
            <w:noWrap/>
          </w:tcPr>
          <w:p w14:paraId="3339EF2D"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3" w:type="dxa"/>
            <w:tcBorders>
              <w:bottom w:val="single" w:sz="4" w:space="0" w:color="666666" w:themeColor="text1" w:themeTint="99"/>
            </w:tcBorders>
            <w:noWrap/>
          </w:tcPr>
          <w:p w14:paraId="50995C33"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r>
      <w:tr w:rsidR="005A2810" w:rsidRPr="0091560A" w14:paraId="2A6E90EF" w14:textId="77777777" w:rsidTr="00C03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666666" w:themeColor="text1" w:themeTint="99"/>
              <w:bottom w:val="nil"/>
            </w:tcBorders>
            <w:noWrap/>
            <w:hideMark/>
          </w:tcPr>
          <w:p w14:paraId="23BA478D" w14:textId="77777777" w:rsidR="00987833" w:rsidRPr="0091560A" w:rsidRDefault="00987833" w:rsidP="00987833">
            <w:pPr>
              <w:rPr>
                <w:rFonts w:eastAsia="Times New Roman" w:cs="Times New Roman"/>
                <w:color w:val="000000"/>
                <w:lang w:eastAsia="en-AU"/>
              </w:rPr>
            </w:pPr>
            <w:r w:rsidRPr="0091560A">
              <w:rPr>
                <w:rFonts w:eastAsia="Times New Roman" w:cs="Times New Roman"/>
                <w:color w:val="000000"/>
                <w:lang w:eastAsia="en-AU"/>
              </w:rPr>
              <w:t>20-74 years</w:t>
            </w:r>
          </w:p>
        </w:tc>
        <w:tc>
          <w:tcPr>
            <w:tcW w:w="723" w:type="dxa"/>
            <w:tcBorders>
              <w:top w:val="single" w:sz="4" w:space="0" w:color="666666" w:themeColor="text1" w:themeTint="99"/>
              <w:bottom w:val="nil"/>
            </w:tcBorders>
            <w:noWrap/>
            <w:hideMark/>
          </w:tcPr>
          <w:p w14:paraId="3C57AC83"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tcBorders>
              <w:top w:val="single" w:sz="4" w:space="0" w:color="666666" w:themeColor="text1" w:themeTint="99"/>
              <w:bottom w:val="nil"/>
            </w:tcBorders>
            <w:noWrap/>
            <w:hideMark/>
          </w:tcPr>
          <w:p w14:paraId="0A81F197"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2935</w:t>
            </w:r>
          </w:p>
        </w:tc>
        <w:tc>
          <w:tcPr>
            <w:tcW w:w="2424" w:type="dxa"/>
            <w:tcBorders>
              <w:top w:val="single" w:sz="4" w:space="0" w:color="666666" w:themeColor="text1" w:themeTint="99"/>
              <w:bottom w:val="nil"/>
            </w:tcBorders>
            <w:noWrap/>
            <w:hideMark/>
          </w:tcPr>
          <w:p w14:paraId="361DD2B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2290</w:t>
            </w:r>
          </w:p>
        </w:tc>
        <w:tc>
          <w:tcPr>
            <w:tcW w:w="2253" w:type="dxa"/>
            <w:tcBorders>
              <w:top w:val="single" w:sz="4" w:space="0" w:color="666666" w:themeColor="text1" w:themeTint="99"/>
              <w:bottom w:val="nil"/>
            </w:tcBorders>
            <w:noWrap/>
            <w:hideMark/>
          </w:tcPr>
          <w:p w14:paraId="3129C4C5"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3531</w:t>
            </w:r>
          </w:p>
        </w:tc>
      </w:tr>
      <w:tr w:rsidR="0024353C" w:rsidRPr="0091560A" w14:paraId="3FC4E80C"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hideMark/>
          </w:tcPr>
          <w:p w14:paraId="6EBAF2B8" w14:textId="77777777" w:rsidR="00987833" w:rsidRPr="0091560A" w:rsidRDefault="00987833" w:rsidP="00987833">
            <w:pPr>
              <w:jc w:val="right"/>
              <w:rPr>
                <w:rFonts w:eastAsia="Times New Roman" w:cs="Times New Roman"/>
                <w:color w:val="000000"/>
                <w:lang w:eastAsia="en-AU"/>
              </w:rPr>
            </w:pPr>
          </w:p>
        </w:tc>
        <w:tc>
          <w:tcPr>
            <w:tcW w:w="723" w:type="dxa"/>
            <w:tcBorders>
              <w:top w:val="nil"/>
            </w:tcBorders>
            <w:noWrap/>
            <w:hideMark/>
          </w:tcPr>
          <w:p w14:paraId="14FE6B24"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tcBorders>
              <w:top w:val="nil"/>
            </w:tcBorders>
            <w:noWrap/>
            <w:hideMark/>
          </w:tcPr>
          <w:p w14:paraId="7F6105F0"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2586</w:t>
            </w:r>
          </w:p>
        </w:tc>
        <w:tc>
          <w:tcPr>
            <w:tcW w:w="2424" w:type="dxa"/>
            <w:tcBorders>
              <w:top w:val="nil"/>
            </w:tcBorders>
            <w:noWrap/>
            <w:hideMark/>
          </w:tcPr>
          <w:p w14:paraId="482DBB6D"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2247</w:t>
            </w:r>
          </w:p>
        </w:tc>
        <w:tc>
          <w:tcPr>
            <w:tcW w:w="2253" w:type="dxa"/>
            <w:tcBorders>
              <w:top w:val="nil"/>
            </w:tcBorders>
            <w:noWrap/>
            <w:hideMark/>
          </w:tcPr>
          <w:p w14:paraId="1D7C2C87"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3291</w:t>
            </w:r>
          </w:p>
        </w:tc>
      </w:tr>
      <w:tr w:rsidR="005A2810" w:rsidRPr="0091560A" w14:paraId="4015823D"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0006E643"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23BC39E9"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hideMark/>
          </w:tcPr>
          <w:p w14:paraId="07066183"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2815</w:t>
            </w:r>
          </w:p>
        </w:tc>
        <w:tc>
          <w:tcPr>
            <w:tcW w:w="2424" w:type="dxa"/>
            <w:noWrap/>
            <w:hideMark/>
          </w:tcPr>
          <w:p w14:paraId="1AD792BE"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2344</w:t>
            </w:r>
          </w:p>
        </w:tc>
        <w:tc>
          <w:tcPr>
            <w:tcW w:w="2253" w:type="dxa"/>
            <w:noWrap/>
            <w:hideMark/>
          </w:tcPr>
          <w:p w14:paraId="5B2546AF"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3585</w:t>
            </w:r>
          </w:p>
        </w:tc>
      </w:tr>
      <w:tr w:rsidR="0024353C" w:rsidRPr="0091560A" w14:paraId="65090D4B"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4322FC3"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645EF7E5"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hideMark/>
          </w:tcPr>
          <w:p w14:paraId="2A5904E7"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2943</w:t>
            </w:r>
          </w:p>
        </w:tc>
        <w:tc>
          <w:tcPr>
            <w:tcW w:w="2424" w:type="dxa"/>
            <w:noWrap/>
            <w:hideMark/>
          </w:tcPr>
          <w:p w14:paraId="341DDD4C"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2087</w:t>
            </w:r>
          </w:p>
        </w:tc>
        <w:tc>
          <w:tcPr>
            <w:tcW w:w="2253" w:type="dxa"/>
            <w:noWrap/>
            <w:hideMark/>
          </w:tcPr>
          <w:p w14:paraId="78BF7C1B"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3619</w:t>
            </w:r>
          </w:p>
        </w:tc>
      </w:tr>
      <w:tr w:rsidR="005A2810" w:rsidRPr="0091560A" w14:paraId="0A3085EB"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274FEF42"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409A77D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hideMark/>
          </w:tcPr>
          <w:p w14:paraId="00F53EAB"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3084</w:t>
            </w:r>
          </w:p>
        </w:tc>
        <w:tc>
          <w:tcPr>
            <w:tcW w:w="2424" w:type="dxa"/>
            <w:noWrap/>
            <w:hideMark/>
          </w:tcPr>
          <w:p w14:paraId="5B71D061"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2077</w:t>
            </w:r>
          </w:p>
        </w:tc>
        <w:tc>
          <w:tcPr>
            <w:tcW w:w="2253" w:type="dxa"/>
            <w:noWrap/>
            <w:hideMark/>
          </w:tcPr>
          <w:p w14:paraId="3854042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3749</w:t>
            </w:r>
          </w:p>
        </w:tc>
      </w:tr>
      <w:tr w:rsidR="005A2810" w:rsidRPr="0091560A" w14:paraId="04AA1AD3"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666666" w:themeColor="text1" w:themeTint="99"/>
            </w:tcBorders>
            <w:noWrap/>
          </w:tcPr>
          <w:p w14:paraId="02B23C40" w14:textId="77777777" w:rsidR="005A2810" w:rsidRPr="0091560A" w:rsidRDefault="005A2810" w:rsidP="00987833">
            <w:pPr>
              <w:rPr>
                <w:rFonts w:eastAsia="Times New Roman" w:cs="Times New Roman"/>
                <w:color w:val="000000"/>
                <w:lang w:eastAsia="en-AU"/>
              </w:rPr>
            </w:pPr>
          </w:p>
        </w:tc>
        <w:tc>
          <w:tcPr>
            <w:tcW w:w="723" w:type="dxa"/>
            <w:tcBorders>
              <w:bottom w:val="single" w:sz="4" w:space="0" w:color="666666" w:themeColor="text1" w:themeTint="99"/>
            </w:tcBorders>
            <w:noWrap/>
          </w:tcPr>
          <w:p w14:paraId="0ABE1348"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4" w:type="dxa"/>
            <w:tcBorders>
              <w:bottom w:val="single" w:sz="4" w:space="0" w:color="666666" w:themeColor="text1" w:themeTint="99"/>
            </w:tcBorders>
            <w:noWrap/>
          </w:tcPr>
          <w:p w14:paraId="38F67532"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424" w:type="dxa"/>
            <w:tcBorders>
              <w:bottom w:val="single" w:sz="4" w:space="0" w:color="666666" w:themeColor="text1" w:themeTint="99"/>
            </w:tcBorders>
            <w:noWrap/>
          </w:tcPr>
          <w:p w14:paraId="61FAC6EF"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3" w:type="dxa"/>
            <w:tcBorders>
              <w:bottom w:val="single" w:sz="4" w:space="0" w:color="666666" w:themeColor="text1" w:themeTint="99"/>
            </w:tcBorders>
            <w:noWrap/>
          </w:tcPr>
          <w:p w14:paraId="6CAEB030" w14:textId="77777777" w:rsidR="005A2810" w:rsidRPr="0091560A" w:rsidRDefault="005A281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r>
      <w:tr w:rsidR="0024353C" w:rsidRPr="0091560A" w14:paraId="46A42094" w14:textId="77777777" w:rsidTr="00C03B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666666" w:themeColor="text1" w:themeTint="99"/>
              <w:bottom w:val="nil"/>
            </w:tcBorders>
            <w:noWrap/>
            <w:hideMark/>
          </w:tcPr>
          <w:p w14:paraId="028E46DE" w14:textId="77777777" w:rsidR="00987833" w:rsidRPr="0091560A" w:rsidRDefault="00987833" w:rsidP="00987833">
            <w:pPr>
              <w:rPr>
                <w:rFonts w:eastAsia="Times New Roman" w:cs="Times New Roman"/>
                <w:color w:val="000000"/>
                <w:lang w:eastAsia="en-AU"/>
              </w:rPr>
            </w:pPr>
            <w:r w:rsidRPr="0091560A">
              <w:rPr>
                <w:rFonts w:eastAsia="Times New Roman" w:cs="Times New Roman"/>
                <w:color w:val="000000"/>
                <w:lang w:eastAsia="en-AU"/>
              </w:rPr>
              <w:t>75+ years</w:t>
            </w:r>
          </w:p>
        </w:tc>
        <w:tc>
          <w:tcPr>
            <w:tcW w:w="723" w:type="dxa"/>
            <w:tcBorders>
              <w:top w:val="single" w:sz="4" w:space="0" w:color="666666" w:themeColor="text1" w:themeTint="99"/>
              <w:bottom w:val="nil"/>
            </w:tcBorders>
            <w:noWrap/>
            <w:hideMark/>
          </w:tcPr>
          <w:p w14:paraId="2741527F"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tcBorders>
              <w:top w:val="single" w:sz="4" w:space="0" w:color="666666" w:themeColor="text1" w:themeTint="99"/>
              <w:bottom w:val="nil"/>
            </w:tcBorders>
            <w:noWrap/>
            <w:hideMark/>
          </w:tcPr>
          <w:p w14:paraId="10068D30"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253</w:t>
            </w:r>
          </w:p>
        </w:tc>
        <w:tc>
          <w:tcPr>
            <w:tcW w:w="2424" w:type="dxa"/>
            <w:tcBorders>
              <w:top w:val="single" w:sz="4" w:space="0" w:color="666666" w:themeColor="text1" w:themeTint="99"/>
              <w:bottom w:val="nil"/>
            </w:tcBorders>
            <w:noWrap/>
            <w:hideMark/>
          </w:tcPr>
          <w:p w14:paraId="666313A5"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146</w:t>
            </w:r>
          </w:p>
        </w:tc>
        <w:tc>
          <w:tcPr>
            <w:tcW w:w="2253" w:type="dxa"/>
            <w:tcBorders>
              <w:top w:val="single" w:sz="4" w:space="0" w:color="666666" w:themeColor="text1" w:themeTint="99"/>
              <w:bottom w:val="nil"/>
            </w:tcBorders>
            <w:noWrap/>
            <w:hideMark/>
          </w:tcPr>
          <w:p w14:paraId="01F59D67"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243</w:t>
            </w:r>
          </w:p>
        </w:tc>
      </w:tr>
      <w:tr w:rsidR="005A2810" w:rsidRPr="0091560A" w14:paraId="19263071" w14:textId="77777777" w:rsidTr="00C03B3C">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hideMark/>
          </w:tcPr>
          <w:p w14:paraId="2182B565" w14:textId="77777777" w:rsidR="00987833" w:rsidRPr="0091560A" w:rsidRDefault="00987833" w:rsidP="00987833">
            <w:pPr>
              <w:jc w:val="right"/>
              <w:rPr>
                <w:rFonts w:eastAsia="Times New Roman" w:cs="Times New Roman"/>
                <w:color w:val="000000"/>
                <w:lang w:eastAsia="en-AU"/>
              </w:rPr>
            </w:pPr>
          </w:p>
        </w:tc>
        <w:tc>
          <w:tcPr>
            <w:tcW w:w="723" w:type="dxa"/>
            <w:tcBorders>
              <w:top w:val="nil"/>
            </w:tcBorders>
            <w:noWrap/>
            <w:hideMark/>
          </w:tcPr>
          <w:p w14:paraId="2E75B630"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tcBorders>
              <w:top w:val="nil"/>
            </w:tcBorders>
            <w:noWrap/>
            <w:hideMark/>
          </w:tcPr>
          <w:p w14:paraId="74DB28C0"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250</w:t>
            </w:r>
          </w:p>
        </w:tc>
        <w:tc>
          <w:tcPr>
            <w:tcW w:w="2424" w:type="dxa"/>
            <w:tcBorders>
              <w:top w:val="nil"/>
            </w:tcBorders>
            <w:noWrap/>
            <w:hideMark/>
          </w:tcPr>
          <w:p w14:paraId="16B73B5F"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146</w:t>
            </w:r>
          </w:p>
        </w:tc>
        <w:tc>
          <w:tcPr>
            <w:tcW w:w="2253" w:type="dxa"/>
            <w:tcBorders>
              <w:top w:val="nil"/>
            </w:tcBorders>
            <w:noWrap/>
            <w:hideMark/>
          </w:tcPr>
          <w:p w14:paraId="0E6D7B77"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265</w:t>
            </w:r>
          </w:p>
        </w:tc>
      </w:tr>
      <w:tr w:rsidR="0024353C" w:rsidRPr="0091560A" w14:paraId="37FDB9F1"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691D18F8"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1C53CB98"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hideMark/>
          </w:tcPr>
          <w:p w14:paraId="55B65677"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264</w:t>
            </w:r>
          </w:p>
        </w:tc>
        <w:tc>
          <w:tcPr>
            <w:tcW w:w="2424" w:type="dxa"/>
            <w:noWrap/>
            <w:hideMark/>
          </w:tcPr>
          <w:p w14:paraId="4F2001AD"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143</w:t>
            </w:r>
          </w:p>
        </w:tc>
        <w:tc>
          <w:tcPr>
            <w:tcW w:w="2253" w:type="dxa"/>
            <w:noWrap/>
            <w:hideMark/>
          </w:tcPr>
          <w:p w14:paraId="19ED19A6"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284</w:t>
            </w:r>
          </w:p>
        </w:tc>
      </w:tr>
      <w:tr w:rsidR="005A2810" w:rsidRPr="0091560A" w14:paraId="6632E725"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1BD314B7"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0BCE72DF"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hideMark/>
          </w:tcPr>
          <w:p w14:paraId="0A1985F2"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325</w:t>
            </w:r>
          </w:p>
        </w:tc>
        <w:tc>
          <w:tcPr>
            <w:tcW w:w="2424" w:type="dxa"/>
            <w:noWrap/>
            <w:hideMark/>
          </w:tcPr>
          <w:p w14:paraId="1034397B"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w:t>
            </w:r>
          </w:p>
        </w:tc>
        <w:tc>
          <w:tcPr>
            <w:tcW w:w="2253" w:type="dxa"/>
            <w:noWrap/>
            <w:hideMark/>
          </w:tcPr>
          <w:p w14:paraId="3E8DEFBC" w14:textId="77777777" w:rsidR="00987833" w:rsidRPr="0091560A" w:rsidRDefault="00987833"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325</w:t>
            </w:r>
          </w:p>
        </w:tc>
      </w:tr>
      <w:tr w:rsidR="0024353C" w:rsidRPr="0091560A" w14:paraId="128E098D"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hideMark/>
          </w:tcPr>
          <w:p w14:paraId="49DA6D34" w14:textId="77777777" w:rsidR="00987833" w:rsidRPr="0091560A" w:rsidRDefault="00987833" w:rsidP="00987833">
            <w:pPr>
              <w:jc w:val="right"/>
              <w:rPr>
                <w:rFonts w:eastAsia="Times New Roman" w:cs="Times New Roman"/>
                <w:color w:val="000000"/>
                <w:lang w:eastAsia="en-AU"/>
              </w:rPr>
            </w:pPr>
          </w:p>
        </w:tc>
        <w:tc>
          <w:tcPr>
            <w:tcW w:w="723" w:type="dxa"/>
            <w:noWrap/>
            <w:hideMark/>
          </w:tcPr>
          <w:p w14:paraId="5B9C39E8"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hideMark/>
          </w:tcPr>
          <w:p w14:paraId="13666734"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373</w:t>
            </w:r>
          </w:p>
        </w:tc>
        <w:tc>
          <w:tcPr>
            <w:tcW w:w="2424" w:type="dxa"/>
            <w:noWrap/>
            <w:hideMark/>
          </w:tcPr>
          <w:p w14:paraId="5A91FB46"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198</w:t>
            </w:r>
          </w:p>
        </w:tc>
        <w:tc>
          <w:tcPr>
            <w:tcW w:w="2253" w:type="dxa"/>
            <w:noWrap/>
            <w:hideMark/>
          </w:tcPr>
          <w:p w14:paraId="2D618DEA" w14:textId="77777777" w:rsidR="00987833" w:rsidRPr="0091560A" w:rsidRDefault="00987833" w:rsidP="0098783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334</w:t>
            </w:r>
          </w:p>
        </w:tc>
      </w:tr>
      <w:tr w:rsidR="00B111D0" w:rsidRPr="0091560A" w14:paraId="7943A7E7"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noWrap/>
          </w:tcPr>
          <w:p w14:paraId="4496E8D0" w14:textId="77777777" w:rsidR="00B111D0" w:rsidRPr="0091560A" w:rsidRDefault="00B111D0" w:rsidP="00987833">
            <w:pPr>
              <w:jc w:val="right"/>
              <w:rPr>
                <w:rFonts w:eastAsia="Times New Roman" w:cs="Times New Roman"/>
                <w:color w:val="000000"/>
                <w:lang w:eastAsia="en-AU"/>
              </w:rPr>
            </w:pPr>
          </w:p>
        </w:tc>
        <w:tc>
          <w:tcPr>
            <w:tcW w:w="723" w:type="dxa"/>
            <w:tcBorders>
              <w:bottom w:val="single" w:sz="4" w:space="0" w:color="auto"/>
            </w:tcBorders>
            <w:noWrap/>
          </w:tcPr>
          <w:p w14:paraId="6C6E4934" w14:textId="77777777" w:rsidR="00B111D0" w:rsidRPr="0091560A" w:rsidRDefault="00B111D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4" w:type="dxa"/>
            <w:tcBorders>
              <w:bottom w:val="single" w:sz="4" w:space="0" w:color="auto"/>
            </w:tcBorders>
            <w:noWrap/>
          </w:tcPr>
          <w:p w14:paraId="5DFB4155" w14:textId="77777777" w:rsidR="00B111D0" w:rsidRPr="0091560A" w:rsidRDefault="00B111D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424" w:type="dxa"/>
            <w:tcBorders>
              <w:bottom w:val="single" w:sz="4" w:space="0" w:color="auto"/>
            </w:tcBorders>
            <w:noWrap/>
          </w:tcPr>
          <w:p w14:paraId="0B063405" w14:textId="77777777" w:rsidR="00B111D0" w:rsidRPr="0091560A" w:rsidRDefault="00B111D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c>
          <w:tcPr>
            <w:tcW w:w="2253" w:type="dxa"/>
            <w:tcBorders>
              <w:bottom w:val="single" w:sz="4" w:space="0" w:color="auto"/>
            </w:tcBorders>
            <w:noWrap/>
          </w:tcPr>
          <w:p w14:paraId="08066B01" w14:textId="77777777" w:rsidR="00B111D0" w:rsidRPr="0091560A" w:rsidRDefault="00B111D0" w:rsidP="0098783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p>
        </w:tc>
      </w:tr>
      <w:tr w:rsidR="00836CD7" w:rsidRPr="0091560A" w14:paraId="0552C5BA"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nil"/>
            </w:tcBorders>
            <w:noWrap/>
          </w:tcPr>
          <w:p w14:paraId="3D002256" w14:textId="7C963965" w:rsidR="00836CD7" w:rsidRPr="0091560A" w:rsidRDefault="00836CD7" w:rsidP="00836CD7">
            <w:pPr>
              <w:jc w:val="right"/>
              <w:rPr>
                <w:rFonts w:eastAsia="Times New Roman" w:cs="Times New Roman"/>
                <w:color w:val="000000"/>
                <w:lang w:eastAsia="en-AU"/>
              </w:rPr>
            </w:pPr>
            <w:r w:rsidRPr="0091560A">
              <w:rPr>
                <w:rFonts w:eastAsia="Times New Roman" w:cs="Times New Roman"/>
                <w:color w:val="000000"/>
                <w:lang w:eastAsia="en-AU"/>
              </w:rPr>
              <w:t>Total</w:t>
            </w:r>
          </w:p>
        </w:tc>
        <w:tc>
          <w:tcPr>
            <w:tcW w:w="723" w:type="dxa"/>
            <w:tcBorders>
              <w:top w:val="single" w:sz="4" w:space="0" w:color="auto"/>
              <w:bottom w:val="nil"/>
            </w:tcBorders>
            <w:noWrap/>
          </w:tcPr>
          <w:p w14:paraId="4932076C" w14:textId="6991DD31"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2017</w:t>
            </w:r>
          </w:p>
        </w:tc>
        <w:tc>
          <w:tcPr>
            <w:tcW w:w="2254" w:type="dxa"/>
            <w:tcBorders>
              <w:top w:val="single" w:sz="4" w:space="0" w:color="auto"/>
              <w:bottom w:val="nil"/>
            </w:tcBorders>
            <w:noWrap/>
          </w:tcPr>
          <w:p w14:paraId="1F538D55" w14:textId="7A8E9126"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9623</w:t>
            </w:r>
          </w:p>
        </w:tc>
        <w:tc>
          <w:tcPr>
            <w:tcW w:w="2424" w:type="dxa"/>
            <w:tcBorders>
              <w:top w:val="single" w:sz="4" w:space="0" w:color="auto"/>
              <w:bottom w:val="nil"/>
            </w:tcBorders>
            <w:noWrap/>
          </w:tcPr>
          <w:p w14:paraId="6361BA36" w14:textId="542CB359"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5564</w:t>
            </w:r>
          </w:p>
        </w:tc>
        <w:tc>
          <w:tcPr>
            <w:tcW w:w="2253" w:type="dxa"/>
            <w:tcBorders>
              <w:top w:val="single" w:sz="4" w:space="0" w:color="auto"/>
              <w:bottom w:val="nil"/>
            </w:tcBorders>
            <w:noWrap/>
          </w:tcPr>
          <w:p w14:paraId="37319CA2" w14:textId="7F1B14EE"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6388</w:t>
            </w:r>
          </w:p>
        </w:tc>
      </w:tr>
      <w:tr w:rsidR="00836CD7" w:rsidRPr="0091560A" w14:paraId="4F9631BC"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tcBorders>
            <w:noWrap/>
          </w:tcPr>
          <w:p w14:paraId="24A9C6E9" w14:textId="77777777" w:rsidR="00836CD7" w:rsidRPr="0091560A" w:rsidRDefault="00836CD7" w:rsidP="00836CD7">
            <w:pPr>
              <w:jc w:val="right"/>
              <w:rPr>
                <w:rFonts w:eastAsia="Times New Roman" w:cs="Times New Roman"/>
                <w:color w:val="000000"/>
                <w:lang w:eastAsia="en-AU"/>
              </w:rPr>
            </w:pPr>
          </w:p>
        </w:tc>
        <w:tc>
          <w:tcPr>
            <w:tcW w:w="723" w:type="dxa"/>
            <w:tcBorders>
              <w:top w:val="nil"/>
            </w:tcBorders>
            <w:noWrap/>
          </w:tcPr>
          <w:p w14:paraId="204098DC" w14:textId="75A16B16"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2018</w:t>
            </w:r>
          </w:p>
        </w:tc>
        <w:tc>
          <w:tcPr>
            <w:tcW w:w="2254" w:type="dxa"/>
            <w:tcBorders>
              <w:top w:val="nil"/>
            </w:tcBorders>
            <w:noWrap/>
          </w:tcPr>
          <w:p w14:paraId="6934FCF2" w14:textId="5EFEDB8B"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8906</w:t>
            </w:r>
          </w:p>
        </w:tc>
        <w:tc>
          <w:tcPr>
            <w:tcW w:w="2424" w:type="dxa"/>
            <w:tcBorders>
              <w:top w:val="nil"/>
            </w:tcBorders>
            <w:noWrap/>
          </w:tcPr>
          <w:p w14:paraId="30D8C5A1" w14:textId="6D194A6E"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5270</w:t>
            </w:r>
          </w:p>
        </w:tc>
        <w:tc>
          <w:tcPr>
            <w:tcW w:w="2253" w:type="dxa"/>
            <w:tcBorders>
              <w:top w:val="nil"/>
            </w:tcBorders>
            <w:noWrap/>
          </w:tcPr>
          <w:p w14:paraId="072272AE" w14:textId="5AA39D25"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5863</w:t>
            </w:r>
          </w:p>
        </w:tc>
      </w:tr>
      <w:tr w:rsidR="00836CD7" w:rsidRPr="0091560A" w14:paraId="675F3913"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1C2C1F61" w14:textId="77777777" w:rsidR="00836CD7" w:rsidRPr="0091560A" w:rsidRDefault="00836CD7" w:rsidP="00836CD7">
            <w:pPr>
              <w:jc w:val="right"/>
              <w:rPr>
                <w:rFonts w:eastAsia="Times New Roman" w:cs="Times New Roman"/>
                <w:color w:val="000000"/>
                <w:lang w:eastAsia="en-AU"/>
              </w:rPr>
            </w:pPr>
          </w:p>
        </w:tc>
        <w:tc>
          <w:tcPr>
            <w:tcW w:w="723" w:type="dxa"/>
            <w:noWrap/>
          </w:tcPr>
          <w:p w14:paraId="63BC912C" w14:textId="63B4BDDD"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2019</w:t>
            </w:r>
          </w:p>
        </w:tc>
        <w:tc>
          <w:tcPr>
            <w:tcW w:w="2254" w:type="dxa"/>
            <w:noWrap/>
          </w:tcPr>
          <w:p w14:paraId="541A2305" w14:textId="189F81AB"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9674</w:t>
            </w:r>
          </w:p>
        </w:tc>
        <w:tc>
          <w:tcPr>
            <w:tcW w:w="2424" w:type="dxa"/>
            <w:noWrap/>
          </w:tcPr>
          <w:p w14:paraId="09BE4F16" w14:textId="4781EB08"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5797</w:t>
            </w:r>
          </w:p>
        </w:tc>
        <w:tc>
          <w:tcPr>
            <w:tcW w:w="2253" w:type="dxa"/>
            <w:noWrap/>
          </w:tcPr>
          <w:p w14:paraId="64ECB16B" w14:textId="682D9FD6"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6547</w:t>
            </w:r>
          </w:p>
        </w:tc>
      </w:tr>
      <w:tr w:rsidR="00836CD7" w:rsidRPr="0091560A" w14:paraId="658EE996" w14:textId="77777777" w:rsidTr="001256FB">
        <w:trPr>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05926468" w14:textId="77777777" w:rsidR="00836CD7" w:rsidRPr="0091560A" w:rsidRDefault="00836CD7" w:rsidP="00836CD7">
            <w:pPr>
              <w:jc w:val="right"/>
              <w:rPr>
                <w:rFonts w:eastAsia="Times New Roman" w:cs="Times New Roman"/>
                <w:color w:val="000000"/>
                <w:lang w:eastAsia="en-AU"/>
              </w:rPr>
            </w:pPr>
          </w:p>
        </w:tc>
        <w:tc>
          <w:tcPr>
            <w:tcW w:w="723" w:type="dxa"/>
            <w:noWrap/>
          </w:tcPr>
          <w:p w14:paraId="5C2290AB" w14:textId="168BA149"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2020</w:t>
            </w:r>
          </w:p>
        </w:tc>
        <w:tc>
          <w:tcPr>
            <w:tcW w:w="2254" w:type="dxa"/>
            <w:noWrap/>
          </w:tcPr>
          <w:p w14:paraId="3514D460" w14:textId="7F766844"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9372</w:t>
            </w:r>
          </w:p>
        </w:tc>
        <w:tc>
          <w:tcPr>
            <w:tcW w:w="2424" w:type="dxa"/>
            <w:noWrap/>
          </w:tcPr>
          <w:p w14:paraId="7B24420F" w14:textId="41155598"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5221</w:t>
            </w:r>
          </w:p>
        </w:tc>
        <w:tc>
          <w:tcPr>
            <w:tcW w:w="2253" w:type="dxa"/>
            <w:noWrap/>
          </w:tcPr>
          <w:p w14:paraId="39073BD3" w14:textId="0470163F" w:rsidR="00836CD7" w:rsidRPr="0091560A" w:rsidRDefault="00836CD7" w:rsidP="00836CD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6519</w:t>
            </w:r>
          </w:p>
        </w:tc>
      </w:tr>
      <w:tr w:rsidR="00836CD7" w:rsidRPr="0091560A" w14:paraId="19F71157" w14:textId="77777777" w:rsidTr="001256F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noWrap/>
          </w:tcPr>
          <w:p w14:paraId="559907E0" w14:textId="77777777" w:rsidR="00836CD7" w:rsidRPr="0091560A" w:rsidRDefault="00836CD7" w:rsidP="00836CD7">
            <w:pPr>
              <w:jc w:val="right"/>
              <w:rPr>
                <w:rFonts w:eastAsia="Times New Roman" w:cs="Times New Roman"/>
                <w:color w:val="000000"/>
                <w:lang w:eastAsia="en-AU"/>
              </w:rPr>
            </w:pPr>
          </w:p>
        </w:tc>
        <w:tc>
          <w:tcPr>
            <w:tcW w:w="723" w:type="dxa"/>
            <w:noWrap/>
          </w:tcPr>
          <w:p w14:paraId="6ACFF696" w14:textId="5AED5BCE"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eastAsia="Times New Roman" w:cs="Times New Roman"/>
                <w:color w:val="000000"/>
                <w:lang w:eastAsia="en-AU"/>
              </w:rPr>
              <w:t>2021</w:t>
            </w:r>
          </w:p>
        </w:tc>
        <w:tc>
          <w:tcPr>
            <w:tcW w:w="2254" w:type="dxa"/>
            <w:noWrap/>
          </w:tcPr>
          <w:p w14:paraId="4733CD01" w14:textId="7B8FA19C"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10717</w:t>
            </w:r>
          </w:p>
        </w:tc>
        <w:tc>
          <w:tcPr>
            <w:tcW w:w="2424" w:type="dxa"/>
            <w:noWrap/>
          </w:tcPr>
          <w:p w14:paraId="294C8A96" w14:textId="630A8C74"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5600</w:t>
            </w:r>
          </w:p>
        </w:tc>
        <w:tc>
          <w:tcPr>
            <w:tcW w:w="2253" w:type="dxa"/>
            <w:noWrap/>
          </w:tcPr>
          <w:p w14:paraId="786D738E" w14:textId="759BE6EF" w:rsidR="00836CD7" w:rsidRPr="0091560A" w:rsidRDefault="00836CD7" w:rsidP="00836CD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0091560A">
              <w:rPr>
                <w:rFonts w:cs="Times New Roman"/>
                <w:color w:val="000000"/>
                <w:sz w:val="22"/>
              </w:rPr>
              <w:t>7308</w:t>
            </w:r>
          </w:p>
        </w:tc>
      </w:tr>
    </w:tbl>
    <w:p w14:paraId="316754B7" w14:textId="77777777" w:rsidR="00DB3C2F" w:rsidRDefault="00DB3C2F" w:rsidP="00E443E7"/>
    <w:p w14:paraId="02936C0C" w14:textId="76C652E7" w:rsidR="00CF0BB8" w:rsidRPr="00B2525D" w:rsidRDefault="00CF0BB8" w:rsidP="0067366B">
      <w:pPr>
        <w:pStyle w:val="Heading4"/>
      </w:pPr>
      <w:r w:rsidRPr="00B2525D">
        <w:t xml:space="preserve">Comparison of data from the four PICs </w:t>
      </w:r>
    </w:p>
    <w:p w14:paraId="60AE1994" w14:textId="027BAF90" w:rsidR="00CF0BB8" w:rsidRPr="0091560A" w:rsidRDefault="005727C0" w:rsidP="002719B3">
      <w:pPr>
        <w:rPr>
          <w:rFonts w:cs="Times New Roman"/>
        </w:rPr>
      </w:pPr>
      <w:r w:rsidRPr="0091560A">
        <w:rPr>
          <w:rFonts w:cs="Times New Roman"/>
        </w:rPr>
        <w:t xml:space="preserve">Four key measures are shown in the figure </w:t>
      </w:r>
      <w:r w:rsidR="003972C6" w:rsidRPr="0091560A">
        <w:rPr>
          <w:rFonts w:cs="Times New Roman"/>
        </w:rPr>
        <w:t xml:space="preserve">below </w:t>
      </w:r>
      <w:r w:rsidRPr="0091560A">
        <w:rPr>
          <w:rFonts w:cs="Times New Roman"/>
        </w:rPr>
        <w:t xml:space="preserve">indicating the </w:t>
      </w:r>
      <w:r w:rsidR="00CF0BB8" w:rsidRPr="0091560A">
        <w:rPr>
          <w:rFonts w:cs="Times New Roman"/>
        </w:rPr>
        <w:t xml:space="preserve">NSW PIC data </w:t>
      </w:r>
      <w:r w:rsidR="00703ECC" w:rsidRPr="0091560A">
        <w:rPr>
          <w:rFonts w:cs="Times New Roman"/>
        </w:rPr>
        <w:t xml:space="preserve">accounts for nearly half of all </w:t>
      </w:r>
      <w:r w:rsidR="00847A27" w:rsidRPr="0091560A">
        <w:rPr>
          <w:rFonts w:cs="Times New Roman"/>
        </w:rPr>
        <w:t xml:space="preserve">Australian PIC </w:t>
      </w:r>
      <w:r w:rsidR="00703ECC" w:rsidRPr="0091560A">
        <w:rPr>
          <w:rFonts w:cs="Times New Roman"/>
        </w:rPr>
        <w:t>calls</w:t>
      </w:r>
      <w:r w:rsidR="00847A27" w:rsidRPr="0091560A">
        <w:rPr>
          <w:rFonts w:cs="Times New Roman"/>
        </w:rPr>
        <w:t xml:space="preserve">, and this carries through into subgroups such as paracetamol exposures, paracetamol </w:t>
      </w:r>
      <w:r w:rsidR="003972C6" w:rsidRPr="0091560A">
        <w:rPr>
          <w:rFonts w:cs="Times New Roman"/>
        </w:rPr>
        <w:t>d</w:t>
      </w:r>
      <w:r w:rsidR="00847A27" w:rsidRPr="0091560A">
        <w:rPr>
          <w:rFonts w:cs="Times New Roman"/>
        </w:rPr>
        <w:t>eliberate self</w:t>
      </w:r>
      <w:r w:rsidR="003972C6" w:rsidRPr="0091560A">
        <w:rPr>
          <w:rFonts w:cs="Times New Roman"/>
        </w:rPr>
        <w:t>-</w:t>
      </w:r>
      <w:r w:rsidR="00847A27" w:rsidRPr="0091560A">
        <w:rPr>
          <w:rFonts w:cs="Times New Roman"/>
        </w:rPr>
        <w:t xml:space="preserve">poisonings and </w:t>
      </w:r>
      <w:r w:rsidR="003972C6" w:rsidRPr="0091560A">
        <w:rPr>
          <w:rFonts w:cs="Times New Roman"/>
        </w:rPr>
        <w:t>child/adolescent paracetamol poisonings</w:t>
      </w:r>
      <w:r w:rsidR="00157C91">
        <w:rPr>
          <w:rFonts w:cs="Times New Roman"/>
        </w:rPr>
        <w:t xml:space="preserve"> </w:t>
      </w:r>
      <w:r w:rsidR="000F207B">
        <w:rPr>
          <w:rFonts w:cs="Times New Roman"/>
        </w:rPr>
        <w:t>(Figure 30)</w:t>
      </w:r>
      <w:r w:rsidR="00047F0E">
        <w:rPr>
          <w:rFonts w:cs="Times New Roman"/>
        </w:rPr>
        <w:t>.</w:t>
      </w:r>
    </w:p>
    <w:p w14:paraId="347C4DE5" w14:textId="77777777" w:rsidR="00681183" w:rsidRDefault="001256FB" w:rsidP="001A0A17">
      <w:pPr>
        <w:spacing w:after="0"/>
      </w:pPr>
      <w:r w:rsidRPr="0091560A">
        <w:rPr>
          <w:noProof/>
        </w:rPr>
        <w:drawing>
          <wp:inline distT="0" distB="0" distL="0" distR="0" wp14:anchorId="47E87F9A" wp14:editId="06D680D2">
            <wp:extent cx="5731510" cy="3834831"/>
            <wp:effectExtent l="0" t="0" r="0" b="0"/>
            <wp:docPr id="4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72" r="3473"/>
                    <a:stretch/>
                  </pic:blipFill>
                  <pic:spPr bwMode="auto">
                    <a:xfrm>
                      <a:off x="0" y="0"/>
                      <a:ext cx="5731510" cy="3834831"/>
                    </a:xfrm>
                    <a:prstGeom prst="rect">
                      <a:avLst/>
                    </a:prstGeom>
                    <a:noFill/>
                    <a:ln>
                      <a:noFill/>
                    </a:ln>
                    <a:extLst>
                      <a:ext uri="{53640926-AAD7-44D8-BBD7-CCE9431645EC}">
                        <a14:shadowObscured xmlns:a14="http://schemas.microsoft.com/office/drawing/2010/main"/>
                      </a:ext>
                    </a:extLst>
                  </pic:spPr>
                </pic:pic>
              </a:graphicData>
            </a:graphic>
          </wp:inline>
        </w:drawing>
      </w:r>
    </w:p>
    <w:p w14:paraId="73F216A0" w14:textId="19DA968F" w:rsidR="009E0DC2" w:rsidRPr="0091560A" w:rsidRDefault="009E0DC2" w:rsidP="00681183">
      <w:pPr>
        <w:pStyle w:val="FigureCaption"/>
      </w:pPr>
      <w:bookmarkStart w:id="86" w:name="_Toc114559991"/>
      <w:r w:rsidRPr="0091560A">
        <w:t xml:space="preserve">Figure </w:t>
      </w:r>
      <w:r>
        <w:fldChar w:fldCharType="begin"/>
      </w:r>
      <w:r>
        <w:instrText>SEQ Figure \* ARABIC</w:instrText>
      </w:r>
      <w:r>
        <w:fldChar w:fldCharType="separate"/>
      </w:r>
      <w:r w:rsidR="0091734E">
        <w:rPr>
          <w:noProof/>
        </w:rPr>
        <w:t>30</w:t>
      </w:r>
      <w:r>
        <w:fldChar w:fldCharType="end"/>
      </w:r>
      <w:r w:rsidRPr="0091560A">
        <w:t xml:space="preserve">. </w:t>
      </w:r>
      <w:bookmarkStart w:id="87" w:name="OLE_LINK11"/>
      <w:r w:rsidRPr="0091560A">
        <w:t xml:space="preserve">Comparison of </w:t>
      </w:r>
      <w:r w:rsidR="00172AE5" w:rsidRPr="0091560A">
        <w:t xml:space="preserve">numbers of patients </w:t>
      </w:r>
      <w:r w:rsidR="002A578F" w:rsidRPr="0091560A">
        <w:t xml:space="preserve">providing </w:t>
      </w:r>
      <w:r w:rsidR="00172AE5" w:rsidRPr="0091560A">
        <w:t>relevant data from the four PICs</w:t>
      </w:r>
      <w:r w:rsidR="002A578F" w:rsidRPr="0091560A">
        <w:t>, 2017-21</w:t>
      </w:r>
      <w:bookmarkEnd w:id="87"/>
      <w:bookmarkEnd w:id="86"/>
    </w:p>
    <w:p w14:paraId="0F98888E" w14:textId="30C3469C" w:rsidR="00503CE0" w:rsidRPr="0091560A" w:rsidRDefault="00C14A07" w:rsidP="00705011">
      <w:pPr>
        <w:rPr>
          <w:rFonts w:cs="Times New Roman"/>
          <w:noProof/>
        </w:rPr>
      </w:pPr>
      <w:r w:rsidRPr="0091560A">
        <w:rPr>
          <w:rFonts w:cs="Times New Roman"/>
        </w:rPr>
        <w:t xml:space="preserve"> </w:t>
      </w:r>
    </w:p>
    <w:p w14:paraId="25E86EF4" w14:textId="391E8790" w:rsidR="00C5584F" w:rsidRPr="00B2525D" w:rsidRDefault="004C01AA" w:rsidP="0067366B">
      <w:pPr>
        <w:pStyle w:val="Heading4"/>
      </w:pPr>
      <w:r w:rsidRPr="00B2525D">
        <w:t xml:space="preserve">PIC calls by </w:t>
      </w:r>
      <w:r w:rsidR="00C5584F" w:rsidRPr="00B2525D">
        <w:t>State of origin</w:t>
      </w:r>
      <w:r w:rsidR="00E71BD7" w:rsidRPr="00B2525D">
        <w:t xml:space="preserve"> 2018-21</w:t>
      </w:r>
      <w:r w:rsidR="00C5584F" w:rsidRPr="00B2525D">
        <w:t xml:space="preserve"> </w:t>
      </w:r>
    </w:p>
    <w:p w14:paraId="3C0ACAA8" w14:textId="3B3D2CC5" w:rsidR="000F207B" w:rsidRDefault="004C01AA">
      <w:pPr>
        <w:rPr>
          <w:rFonts w:cs="Times New Roman"/>
          <w:i/>
          <w:iCs/>
          <w:color w:val="44546A" w:themeColor="text2"/>
          <w:sz w:val="18"/>
          <w:szCs w:val="18"/>
        </w:rPr>
      </w:pPr>
      <w:r w:rsidRPr="0091560A">
        <w:rPr>
          <w:rFonts w:cs="Times New Roman"/>
        </w:rPr>
        <w:t>All four PICS provided further data on the state of origin of the calls</w:t>
      </w:r>
      <w:r w:rsidR="00553BCD">
        <w:rPr>
          <w:rFonts w:cs="Times New Roman"/>
        </w:rPr>
        <w:t xml:space="preserve"> (Figure 31). </w:t>
      </w:r>
      <w:r w:rsidR="0033347A" w:rsidRPr="0091560A">
        <w:rPr>
          <w:rFonts w:cs="Times New Roman"/>
        </w:rPr>
        <w:t>There were a small number of calls from international locations</w:t>
      </w:r>
      <w:r w:rsidR="00F150A9">
        <w:rPr>
          <w:rFonts w:cs="Times New Roman"/>
        </w:rPr>
        <w:t>,</w:t>
      </w:r>
      <w:r w:rsidR="0033347A" w:rsidRPr="0091560A">
        <w:rPr>
          <w:rFonts w:cs="Times New Roman"/>
        </w:rPr>
        <w:t xml:space="preserve"> and these have been </w:t>
      </w:r>
      <w:r w:rsidR="00E71BD7" w:rsidRPr="0091560A">
        <w:rPr>
          <w:rFonts w:cs="Times New Roman"/>
        </w:rPr>
        <w:t>excluded from the calculations of rates</w:t>
      </w:r>
      <w:r w:rsidR="0033347A" w:rsidRPr="0091560A">
        <w:rPr>
          <w:rFonts w:cs="Times New Roman"/>
        </w:rPr>
        <w:t>.</w:t>
      </w:r>
      <w:r w:rsidR="00655309" w:rsidRPr="0091560A">
        <w:rPr>
          <w:rFonts w:cs="Times New Roman"/>
        </w:rPr>
        <w:t xml:space="preserve"> These indicate higher exposure</w:t>
      </w:r>
      <w:r w:rsidR="00650BBB" w:rsidRPr="0091560A">
        <w:rPr>
          <w:rFonts w:cs="Times New Roman"/>
        </w:rPr>
        <w:t xml:space="preserve">s in recent years from the ACT and Tasmania, which may </w:t>
      </w:r>
      <w:r w:rsidR="002729DC" w:rsidRPr="0091560A">
        <w:rPr>
          <w:rFonts w:cs="Times New Roman"/>
        </w:rPr>
        <w:t xml:space="preserve">partly </w:t>
      </w:r>
      <w:r w:rsidR="00650BBB" w:rsidRPr="0091560A">
        <w:rPr>
          <w:rFonts w:cs="Times New Roman"/>
        </w:rPr>
        <w:t xml:space="preserve">reflect </w:t>
      </w:r>
      <w:r w:rsidR="002729DC" w:rsidRPr="0091560A">
        <w:rPr>
          <w:rFonts w:cs="Times New Roman"/>
        </w:rPr>
        <w:t xml:space="preserve">higher utilisation of PIC services rather than higher poisoning rates (as neither </w:t>
      </w:r>
      <w:r w:rsidR="0077772A" w:rsidRPr="0091560A">
        <w:rPr>
          <w:rFonts w:cs="Times New Roman"/>
        </w:rPr>
        <w:t>jurisdiction has any local toxicology services)</w:t>
      </w:r>
      <w:r w:rsidR="00047F0E">
        <w:rPr>
          <w:rFonts w:cs="Times New Roman"/>
        </w:rPr>
        <w:t xml:space="preserve"> </w:t>
      </w:r>
      <w:r w:rsidR="00860709">
        <w:rPr>
          <w:rFonts w:cs="Times New Roman"/>
        </w:rPr>
        <w:t>(Figure 31)</w:t>
      </w:r>
      <w:r w:rsidR="00047F0E">
        <w:rPr>
          <w:rFonts w:cs="Times New Roman"/>
        </w:rPr>
        <w:t>.</w:t>
      </w:r>
    </w:p>
    <w:p w14:paraId="5B914AE8" w14:textId="77777777" w:rsidR="00BF4EC6" w:rsidRDefault="00BF4EC6" w:rsidP="001A0A17">
      <w:pPr>
        <w:spacing w:after="0"/>
      </w:pPr>
      <w:r>
        <w:rPr>
          <w:noProof/>
        </w:rPr>
        <w:drawing>
          <wp:inline distT="0" distB="0" distL="0" distR="0" wp14:anchorId="4606FBBC" wp14:editId="6683A7E4">
            <wp:extent cx="5838825" cy="5602564"/>
            <wp:effectExtent l="0" t="0" r="0" b="0"/>
            <wp:docPr id="8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850673" cy="5613932"/>
                    </a:xfrm>
                    <a:prstGeom prst="rect">
                      <a:avLst/>
                    </a:prstGeom>
                    <a:noFill/>
                    <a:ln>
                      <a:noFill/>
                    </a:ln>
                    <a:extLst>
                      <a:ext uri="{53640926-AAD7-44D8-BBD7-CCE9431645EC}">
                        <a14:shadowObscured xmlns:a14="http://schemas.microsoft.com/office/drawing/2010/main"/>
                      </a:ext>
                    </a:extLst>
                  </pic:spPr>
                </pic:pic>
              </a:graphicData>
            </a:graphic>
          </wp:inline>
        </w:drawing>
      </w:r>
    </w:p>
    <w:p w14:paraId="29A5578A" w14:textId="1EBA9756" w:rsidR="003277EE" w:rsidRDefault="00083C46" w:rsidP="001256FB">
      <w:pPr>
        <w:pStyle w:val="FigureCaption"/>
      </w:pPr>
      <w:bookmarkStart w:id="88" w:name="_Toc114559992"/>
      <w:r w:rsidRPr="0091560A">
        <w:t xml:space="preserve">Figure </w:t>
      </w:r>
      <w:r>
        <w:fldChar w:fldCharType="begin"/>
      </w:r>
      <w:r>
        <w:instrText>SEQ Figure \* ARABIC</w:instrText>
      </w:r>
      <w:r>
        <w:fldChar w:fldCharType="separate"/>
      </w:r>
      <w:r w:rsidR="0091734E">
        <w:rPr>
          <w:noProof/>
        </w:rPr>
        <w:t>31</w:t>
      </w:r>
      <w:r>
        <w:fldChar w:fldCharType="end"/>
      </w:r>
      <w:r w:rsidRPr="0091560A">
        <w:t>. Comparison of rates of exposures, paracetamol related calls, events and hospitalisations (All PIC data 2018-</w:t>
      </w:r>
      <w:r w:rsidR="00947D62" w:rsidRPr="0091560A">
        <w:t>21)</w:t>
      </w:r>
      <w:r w:rsidRPr="0091560A">
        <w:t>.</w:t>
      </w:r>
      <w:bookmarkEnd w:id="88"/>
      <w:r w:rsidR="00947D62" w:rsidRPr="0091560A">
        <w:t xml:space="preserve"> </w:t>
      </w:r>
    </w:p>
    <w:p w14:paraId="27592F87" w14:textId="581A603C" w:rsidR="00083C46" w:rsidRPr="0091560A" w:rsidRDefault="00083C46" w:rsidP="00083C46">
      <w:pPr>
        <w:pStyle w:val="Caption"/>
      </w:pPr>
    </w:p>
    <w:p w14:paraId="650F629A" w14:textId="0699C662" w:rsidR="00B24BF1" w:rsidRPr="00E74756" w:rsidRDefault="004429FC" w:rsidP="00AB635C">
      <w:pPr>
        <w:pStyle w:val="Heading3"/>
      </w:pPr>
      <w:bookmarkStart w:id="89" w:name="_Toc112843919"/>
      <w:r>
        <w:t>2.</w:t>
      </w:r>
      <w:r w:rsidR="00F119E9">
        <w:t xml:space="preserve">4.5 </w:t>
      </w:r>
      <w:r>
        <w:t xml:space="preserve"> </w:t>
      </w:r>
      <w:r w:rsidR="006D621D" w:rsidRPr="0091560A">
        <w:t xml:space="preserve">Prospective </w:t>
      </w:r>
      <w:r w:rsidR="00F119E9">
        <w:t xml:space="preserve">NSW PIC </w:t>
      </w:r>
      <w:r w:rsidR="006D621D" w:rsidRPr="0091560A">
        <w:t>study</w:t>
      </w:r>
      <w:r w:rsidR="00D5622B" w:rsidRPr="0091560A">
        <w:t xml:space="preserve"> (</w:t>
      </w:r>
      <w:r w:rsidR="00584D4D" w:rsidRPr="0091560A">
        <w:t xml:space="preserve">enhanced dose &amp; </w:t>
      </w:r>
      <w:r w:rsidR="00D5622B" w:rsidRPr="0091560A">
        <w:t>product detail)</w:t>
      </w:r>
      <w:bookmarkEnd w:id="89"/>
      <w:r w:rsidR="006D621D" w:rsidRPr="0091560A">
        <w:t xml:space="preserve"> </w:t>
      </w:r>
    </w:p>
    <w:tbl>
      <w:tblPr>
        <w:tblStyle w:val="TableGrid"/>
        <w:tblW w:w="0" w:type="auto"/>
        <w:shd w:val="clear" w:color="auto" w:fill="EDEDED" w:themeFill="accent3" w:themeFillTint="33"/>
        <w:tblLook w:val="04A0" w:firstRow="1" w:lastRow="0" w:firstColumn="1" w:lastColumn="0" w:noHBand="0" w:noVBand="1"/>
      </w:tblPr>
      <w:tblGrid>
        <w:gridCol w:w="9016"/>
      </w:tblGrid>
      <w:tr w:rsidR="00B0528D" w14:paraId="297AEE04" w14:textId="77777777" w:rsidTr="00B0528D">
        <w:tc>
          <w:tcPr>
            <w:tcW w:w="9016" w:type="dxa"/>
            <w:shd w:val="clear" w:color="auto" w:fill="EDEDED" w:themeFill="accent3" w:themeFillTint="33"/>
          </w:tcPr>
          <w:p w14:paraId="6918E148" w14:textId="53A5D7E5" w:rsidR="00AC2DA9" w:rsidRDefault="00F2224B" w:rsidP="00AB635C">
            <w:pPr>
              <w:pStyle w:val="ListParagraph"/>
              <w:keepNext/>
              <w:numPr>
                <w:ilvl w:val="0"/>
                <w:numId w:val="76"/>
              </w:numPr>
              <w:spacing w:after="120" w:line="259" w:lineRule="auto"/>
              <w:ind w:left="357" w:hanging="357"/>
              <w:contextualSpacing w:val="0"/>
            </w:pPr>
            <w:r>
              <w:t>M</w:t>
            </w:r>
            <w:r w:rsidR="00B0528D">
              <w:t xml:space="preserve">ost </w:t>
            </w:r>
            <w:r w:rsidR="006666C6">
              <w:t xml:space="preserve">paracetamol </w:t>
            </w:r>
            <w:r w:rsidR="00B0528D">
              <w:t xml:space="preserve">self-poisonings were impulsive but with suicidal intent. </w:t>
            </w:r>
          </w:p>
          <w:p w14:paraId="5FC20996" w14:textId="1C584BA7" w:rsidR="00B0528D" w:rsidRDefault="00B0528D" w:rsidP="00AB635C">
            <w:pPr>
              <w:pStyle w:val="ListParagraph"/>
              <w:keepNext/>
              <w:numPr>
                <w:ilvl w:val="0"/>
                <w:numId w:val="76"/>
              </w:numPr>
              <w:spacing w:after="120" w:line="259" w:lineRule="auto"/>
              <w:ind w:left="357" w:hanging="357"/>
              <w:contextualSpacing w:val="0"/>
            </w:pPr>
            <w:r>
              <w:t>Specific purchas</w:t>
            </w:r>
            <w:r w:rsidR="00AC2DA9">
              <w:t>ing</w:t>
            </w:r>
            <w:r>
              <w:t xml:space="preserve"> for the purpose of self-poisoning was uncommon and most commonly the paracetamol ingested was </w:t>
            </w:r>
            <w:r w:rsidR="00AC2DA9">
              <w:t xml:space="preserve">already </w:t>
            </w:r>
            <w:r>
              <w:t>present in the home (for all age groups).</w:t>
            </w:r>
          </w:p>
          <w:p w14:paraId="46D3CD05" w14:textId="6A9058F7" w:rsidR="00B0528D" w:rsidRDefault="00CC065E" w:rsidP="00AB635C">
            <w:pPr>
              <w:pStyle w:val="ListParagraph"/>
              <w:keepNext/>
              <w:numPr>
                <w:ilvl w:val="0"/>
                <w:numId w:val="76"/>
              </w:numPr>
              <w:spacing w:after="120" w:line="259" w:lineRule="auto"/>
              <w:ind w:left="357" w:hanging="357"/>
              <w:contextualSpacing w:val="0"/>
            </w:pPr>
            <w:r>
              <w:t xml:space="preserve">Where information was obtained, most paracetamol self-poisonings </w:t>
            </w:r>
            <w:r w:rsidR="00B0528D">
              <w:t xml:space="preserve">involved </w:t>
            </w:r>
            <w:r>
              <w:t xml:space="preserve">the ingestion of </w:t>
            </w:r>
            <w:r w:rsidR="00B0528D">
              <w:t>multiple packs.</w:t>
            </w:r>
          </w:p>
          <w:p w14:paraId="79681858" w14:textId="495ABCB1" w:rsidR="00B0528D" w:rsidRDefault="00B0528D" w:rsidP="00AB635C">
            <w:pPr>
              <w:pStyle w:val="ListParagraph"/>
              <w:keepNext/>
              <w:numPr>
                <w:ilvl w:val="0"/>
                <w:numId w:val="76"/>
              </w:numPr>
              <w:spacing w:after="120" w:line="259" w:lineRule="auto"/>
              <w:ind w:left="357" w:hanging="357"/>
              <w:contextualSpacing w:val="0"/>
            </w:pPr>
            <w:r>
              <w:t>The pack size ingested reflected the most common pack sizes purchased (20-packs and 100-packs)</w:t>
            </w:r>
            <w:r w:rsidR="00B136AB">
              <w:t xml:space="preserve">, with scheduled and unscheduled paracetamol products </w:t>
            </w:r>
            <w:r w:rsidR="00D560C1">
              <w:t>used in self-poisonings in approximately equal proportions</w:t>
            </w:r>
            <w:r>
              <w:t>.</w:t>
            </w:r>
          </w:p>
        </w:tc>
      </w:tr>
    </w:tbl>
    <w:p w14:paraId="75A79EC6" w14:textId="77777777" w:rsidR="00B0528D" w:rsidRDefault="00B0528D" w:rsidP="00B0528D"/>
    <w:p w14:paraId="6F5C6D28" w14:textId="4F22AEAA" w:rsidR="006D621D" w:rsidRPr="00B2525D" w:rsidRDefault="004B3074" w:rsidP="0067366B">
      <w:pPr>
        <w:pStyle w:val="Heading4"/>
      </w:pPr>
      <w:r w:rsidRPr="00B2525D">
        <w:t>M</w:t>
      </w:r>
      <w:r w:rsidR="006D621D" w:rsidRPr="00B2525D">
        <w:t xml:space="preserve">ethods </w:t>
      </w:r>
    </w:p>
    <w:p w14:paraId="4CA2C1E5" w14:textId="1B4E920C" w:rsidR="005F2559" w:rsidRPr="0091560A" w:rsidRDefault="005F2559" w:rsidP="005F2559">
      <w:pPr>
        <w:rPr>
          <w:rFonts w:cs="Times New Roman"/>
        </w:rPr>
      </w:pPr>
      <w:r w:rsidRPr="0091560A">
        <w:rPr>
          <w:rFonts w:cs="Times New Roman"/>
        </w:rPr>
        <w:t>Between 1 February 2022 and 31 May 2022 NSW</w:t>
      </w:r>
      <w:r w:rsidR="00D844E4">
        <w:rPr>
          <w:rFonts w:cs="Times New Roman"/>
        </w:rPr>
        <w:t xml:space="preserve"> </w:t>
      </w:r>
      <w:r w:rsidRPr="0091560A">
        <w:rPr>
          <w:rFonts w:cs="Times New Roman"/>
        </w:rPr>
        <w:t>PIC collected additional data for paracetamol deliberate self-poisonings. In addition to routine history taking, the NSW</w:t>
      </w:r>
      <w:r w:rsidR="00D844E4">
        <w:rPr>
          <w:rFonts w:cs="Times New Roman"/>
        </w:rPr>
        <w:t xml:space="preserve"> </w:t>
      </w:r>
      <w:r w:rsidRPr="0091560A">
        <w:rPr>
          <w:rFonts w:cs="Times New Roman"/>
        </w:rPr>
        <w:t>PIC Specialist in Poisons Information attempted to collect the following additional data:</w:t>
      </w:r>
    </w:p>
    <w:p w14:paraId="1AF5438A" w14:textId="77777777" w:rsidR="005F2559" w:rsidRPr="00A70969" w:rsidRDefault="005F2559" w:rsidP="0067366B">
      <w:pPr>
        <w:pStyle w:val="ListParagraph"/>
        <w:numPr>
          <w:ilvl w:val="0"/>
          <w:numId w:val="50"/>
        </w:numPr>
        <w:spacing w:after="0" w:line="240" w:lineRule="auto"/>
        <w:rPr>
          <w:rFonts w:cs="Times New Roman"/>
        </w:rPr>
      </w:pPr>
      <w:r w:rsidRPr="00A70969">
        <w:rPr>
          <w:rFonts w:cs="Times New Roman"/>
        </w:rPr>
        <w:t>The exact product, including brand and pack size</w:t>
      </w:r>
    </w:p>
    <w:p w14:paraId="4E2CB456" w14:textId="77777777" w:rsidR="005F2559" w:rsidRPr="00497288" w:rsidRDefault="005F2559" w:rsidP="0067366B">
      <w:pPr>
        <w:pStyle w:val="ListParagraph"/>
        <w:numPr>
          <w:ilvl w:val="0"/>
          <w:numId w:val="50"/>
        </w:numPr>
        <w:spacing w:after="0" w:line="240" w:lineRule="auto"/>
        <w:rPr>
          <w:rFonts w:cs="Times New Roman"/>
        </w:rPr>
      </w:pPr>
      <w:r w:rsidRPr="00275777">
        <w:rPr>
          <w:rFonts w:cs="Times New Roman"/>
        </w:rPr>
        <w:t>Who purcha</w:t>
      </w:r>
      <w:r w:rsidRPr="00497288">
        <w:rPr>
          <w:rFonts w:cs="Times New Roman"/>
        </w:rPr>
        <w:t>sed the paracetamol</w:t>
      </w:r>
    </w:p>
    <w:p w14:paraId="240F31B8" w14:textId="77777777" w:rsidR="005F2559" w:rsidRPr="00A85B9E" w:rsidRDefault="005F2559" w:rsidP="0067366B">
      <w:pPr>
        <w:pStyle w:val="ListParagraph"/>
        <w:numPr>
          <w:ilvl w:val="0"/>
          <w:numId w:val="50"/>
        </w:numPr>
        <w:spacing w:after="0" w:line="240" w:lineRule="auto"/>
        <w:rPr>
          <w:rFonts w:cs="Times New Roman"/>
        </w:rPr>
      </w:pPr>
      <w:r w:rsidRPr="00C03854">
        <w:rPr>
          <w:rFonts w:cs="Times New Roman"/>
        </w:rPr>
        <w:t>Where was the paracetamol purchased (supermarket, pharmacy, convenience store, etc.)</w:t>
      </w:r>
    </w:p>
    <w:p w14:paraId="75F31796" w14:textId="77777777" w:rsidR="005F2559" w:rsidRPr="00E62BF0" w:rsidRDefault="005F2559" w:rsidP="0067366B">
      <w:pPr>
        <w:pStyle w:val="ListParagraph"/>
        <w:numPr>
          <w:ilvl w:val="0"/>
          <w:numId w:val="50"/>
        </w:numPr>
        <w:spacing w:after="0" w:line="240" w:lineRule="auto"/>
        <w:rPr>
          <w:rFonts w:cs="Times New Roman"/>
        </w:rPr>
      </w:pPr>
      <w:r w:rsidRPr="00AF5ECD">
        <w:rPr>
          <w:rFonts w:cs="Times New Roman"/>
        </w:rPr>
        <w:t>When was the paracetamol purchased (was there planned stockpiling, was it purchased impulsively, or was it present in the home)</w:t>
      </w:r>
    </w:p>
    <w:p w14:paraId="09DCDB18" w14:textId="77777777" w:rsidR="005F2559" w:rsidRPr="00A57D80" w:rsidRDefault="005F2559" w:rsidP="0067366B">
      <w:pPr>
        <w:pStyle w:val="ListParagraph"/>
        <w:numPr>
          <w:ilvl w:val="0"/>
          <w:numId w:val="50"/>
        </w:numPr>
        <w:spacing w:after="0" w:line="240" w:lineRule="auto"/>
        <w:rPr>
          <w:rFonts w:cs="Times New Roman"/>
        </w:rPr>
      </w:pPr>
      <w:r w:rsidRPr="006B127E">
        <w:rPr>
          <w:rFonts w:cs="Times New Roman"/>
        </w:rPr>
        <w:t>The number of packs pur</w:t>
      </w:r>
      <w:r w:rsidRPr="00A57D80">
        <w:rPr>
          <w:rFonts w:cs="Times New Roman"/>
        </w:rPr>
        <w:t>chased (if purchased for purposes of self-poisoning)</w:t>
      </w:r>
    </w:p>
    <w:p w14:paraId="217BF937" w14:textId="77777777" w:rsidR="005719D2" w:rsidRPr="0091560A" w:rsidRDefault="005719D2" w:rsidP="005F2559">
      <w:pPr>
        <w:rPr>
          <w:rFonts w:cs="Times New Roman"/>
        </w:rPr>
      </w:pPr>
      <w:r w:rsidRPr="0091560A">
        <w:rPr>
          <w:rFonts w:cs="Times New Roman"/>
        </w:rPr>
        <w:t xml:space="preserve"> </w:t>
      </w:r>
    </w:p>
    <w:p w14:paraId="78CDD619" w14:textId="04585A45" w:rsidR="005F2559" w:rsidRPr="0091560A" w:rsidRDefault="00C04AB4" w:rsidP="005F2559">
      <w:pPr>
        <w:rPr>
          <w:rFonts w:cs="Times New Roman"/>
        </w:rPr>
      </w:pPr>
      <w:r w:rsidRPr="0091560A">
        <w:rPr>
          <w:rFonts w:cs="Times New Roman"/>
        </w:rPr>
        <w:t xml:space="preserve">The initial call data and </w:t>
      </w:r>
      <w:r w:rsidR="005719D2" w:rsidRPr="0091560A">
        <w:rPr>
          <w:rFonts w:cs="Times New Roman"/>
        </w:rPr>
        <w:t xml:space="preserve">these data </w:t>
      </w:r>
      <w:r w:rsidRPr="0091560A">
        <w:rPr>
          <w:rFonts w:cs="Times New Roman"/>
        </w:rPr>
        <w:t>were further analysed to estimate</w:t>
      </w:r>
      <w:r w:rsidR="00360E03">
        <w:rPr>
          <w:rFonts w:cs="Times New Roman"/>
        </w:rPr>
        <w:t>:</w:t>
      </w:r>
    </w:p>
    <w:p w14:paraId="4B1C3A5B" w14:textId="3905A70C" w:rsidR="005719D2" w:rsidRPr="00275777" w:rsidRDefault="005719D2" w:rsidP="0067366B">
      <w:pPr>
        <w:pStyle w:val="ListParagraph"/>
        <w:numPr>
          <w:ilvl w:val="0"/>
          <w:numId w:val="52"/>
        </w:numPr>
        <w:spacing w:after="0" w:line="240" w:lineRule="auto"/>
        <w:rPr>
          <w:rFonts w:cs="Times New Roman"/>
          <w:noProof/>
        </w:rPr>
      </w:pPr>
      <w:r w:rsidRPr="00A70969">
        <w:rPr>
          <w:rFonts w:cs="Times New Roman"/>
          <w:noProof/>
        </w:rPr>
        <w:t xml:space="preserve">Doses and numbers of packs of paracetamol consumed and expected morbidity based on severity scores  </w:t>
      </w:r>
    </w:p>
    <w:p w14:paraId="7B035EC3" w14:textId="28E63B8C" w:rsidR="005719D2" w:rsidRPr="00A85B9E" w:rsidRDefault="00C04AB4" w:rsidP="0067366B">
      <w:pPr>
        <w:pStyle w:val="ListParagraph"/>
        <w:numPr>
          <w:ilvl w:val="0"/>
          <w:numId w:val="52"/>
        </w:numPr>
        <w:spacing w:after="0" w:line="240" w:lineRule="auto"/>
        <w:rPr>
          <w:rFonts w:cs="Times New Roman"/>
          <w:noProof/>
        </w:rPr>
      </w:pPr>
      <w:r w:rsidRPr="00497288">
        <w:rPr>
          <w:rFonts w:cs="Times New Roman"/>
          <w:noProof/>
        </w:rPr>
        <w:t>Likely c</w:t>
      </w:r>
      <w:r w:rsidR="005719D2" w:rsidRPr="00497288">
        <w:rPr>
          <w:rFonts w:cs="Times New Roman"/>
          <w:noProof/>
        </w:rPr>
        <w:t xml:space="preserve">lass of </w:t>
      </w:r>
      <w:r w:rsidR="005719D2" w:rsidRPr="00C03854">
        <w:rPr>
          <w:rFonts w:cs="Times New Roman"/>
          <w:noProof/>
        </w:rPr>
        <w:t>paracetamol-containing product (unscheduled,  Schedule 2 or Schedule 3, if reported or able to be determined, of the Poisons Standard February 2022)</w:t>
      </w:r>
    </w:p>
    <w:p w14:paraId="3644495A" w14:textId="77777777" w:rsidR="00360E03" w:rsidRPr="0091560A" w:rsidRDefault="00360E03" w:rsidP="005F2559">
      <w:pPr>
        <w:rPr>
          <w:rFonts w:cs="Times New Roman"/>
        </w:rPr>
      </w:pPr>
    </w:p>
    <w:p w14:paraId="0B9B67A2" w14:textId="155D4849" w:rsidR="005F2559" w:rsidRPr="0091560A" w:rsidRDefault="005F2559" w:rsidP="005F2559">
      <w:pPr>
        <w:rPr>
          <w:rFonts w:cs="Times New Roman"/>
        </w:rPr>
      </w:pPr>
      <w:r w:rsidRPr="0091560A">
        <w:rPr>
          <w:rFonts w:cs="Times New Roman"/>
        </w:rPr>
        <w:t>Some assumptions were made based on brand and/or product type:</w:t>
      </w:r>
    </w:p>
    <w:p w14:paraId="63E370B7" w14:textId="76A4B44D" w:rsidR="005F2559" w:rsidRPr="00497288" w:rsidRDefault="005F2559" w:rsidP="00233F58">
      <w:pPr>
        <w:pStyle w:val="ListParagraph"/>
        <w:numPr>
          <w:ilvl w:val="0"/>
          <w:numId w:val="53"/>
        </w:numPr>
        <w:spacing w:after="0"/>
        <w:ind w:left="714" w:hanging="357"/>
        <w:rPr>
          <w:rFonts w:cs="Times New Roman"/>
        </w:rPr>
      </w:pPr>
      <w:r w:rsidRPr="00A70969">
        <w:rPr>
          <w:rFonts w:cs="Times New Roman"/>
        </w:rPr>
        <w:t>Modified release paracetamol, and combinations with codeine, pseudoephedrine, dextromethorphan</w:t>
      </w:r>
      <w:r w:rsidR="003C7BE9">
        <w:rPr>
          <w:rFonts w:cs="Times New Roman"/>
        </w:rPr>
        <w:t>,</w:t>
      </w:r>
      <w:r w:rsidRPr="00A70969">
        <w:rPr>
          <w:rFonts w:cs="Times New Roman"/>
        </w:rPr>
        <w:t xml:space="preserve"> or sedating antihistamines were coded as</w:t>
      </w:r>
      <w:r w:rsidRPr="00275777">
        <w:rPr>
          <w:rFonts w:cs="Times New Roman"/>
        </w:rPr>
        <w:t xml:space="preserve"> purchased from pharmacy (even if the caller</w:t>
      </w:r>
      <w:r w:rsidRPr="00497288">
        <w:rPr>
          <w:rFonts w:cs="Times New Roman"/>
        </w:rPr>
        <w:t xml:space="preserve"> stated they didn’t know), as these are scheduled products.</w:t>
      </w:r>
    </w:p>
    <w:p w14:paraId="27680588" w14:textId="43B3FEBB" w:rsidR="005F2559" w:rsidRPr="006B19B4" w:rsidRDefault="005F2559" w:rsidP="00233F58">
      <w:pPr>
        <w:pStyle w:val="ListParagraph"/>
        <w:numPr>
          <w:ilvl w:val="0"/>
          <w:numId w:val="53"/>
        </w:numPr>
        <w:spacing w:after="0"/>
        <w:ind w:left="714" w:hanging="357"/>
        <w:rPr>
          <w:rFonts w:cs="Times New Roman"/>
        </w:rPr>
      </w:pPr>
      <w:r w:rsidRPr="00C03854">
        <w:rPr>
          <w:rFonts w:cs="Times New Roman"/>
        </w:rPr>
        <w:t>Where a brand was given that only comes in one pack size, t</w:t>
      </w:r>
      <w:r w:rsidRPr="0038312B">
        <w:rPr>
          <w:rFonts w:cs="Times New Roman"/>
        </w:rPr>
        <w:t>his pack size was assumed, even if the caller didn’t know. Examples of this are Panamax (100 tabs) and Panadol Osteo (</w:t>
      </w:r>
      <w:r w:rsidR="00C40AD9" w:rsidRPr="00A85B9E">
        <w:rPr>
          <w:rFonts w:cs="Times New Roman"/>
        </w:rPr>
        <w:t>9</w:t>
      </w:r>
      <w:r w:rsidRPr="00A85B9E">
        <w:rPr>
          <w:rFonts w:cs="Times New Roman"/>
        </w:rPr>
        <w:t xml:space="preserve">6 </w:t>
      </w:r>
      <w:r w:rsidR="00D844E4" w:rsidRPr="006B19B4">
        <w:rPr>
          <w:rFonts w:cs="Times New Roman"/>
        </w:rPr>
        <w:t xml:space="preserve">MR </w:t>
      </w:r>
      <w:r w:rsidRPr="006B19B4">
        <w:rPr>
          <w:rFonts w:cs="Times New Roman"/>
        </w:rPr>
        <w:t>tabs).</w:t>
      </w:r>
    </w:p>
    <w:p w14:paraId="5CA8FF35" w14:textId="77777777" w:rsidR="005F2559" w:rsidRPr="0091560A" w:rsidRDefault="005F2559" w:rsidP="005F2559">
      <w:pPr>
        <w:rPr>
          <w:rFonts w:cs="Times New Roman"/>
        </w:rPr>
      </w:pPr>
    </w:p>
    <w:p w14:paraId="5A53750F" w14:textId="6BF2938F" w:rsidR="005F2559" w:rsidRPr="00B2525D" w:rsidRDefault="005F2559" w:rsidP="0067366B">
      <w:pPr>
        <w:pStyle w:val="Heading4"/>
      </w:pPr>
      <w:r w:rsidRPr="00B2525D">
        <w:t>R</w:t>
      </w:r>
      <w:r w:rsidR="00A10AB7" w:rsidRPr="00B2525D">
        <w:t>esults</w:t>
      </w:r>
    </w:p>
    <w:p w14:paraId="56A8E315" w14:textId="6B402146" w:rsidR="00F25BB0" w:rsidRPr="00F25BB0" w:rsidRDefault="00F25BB0" w:rsidP="00F25BB0">
      <w:r w:rsidRPr="00F25BB0">
        <w:t>During this period, NSW</w:t>
      </w:r>
      <w:r w:rsidR="00D844E4">
        <w:t xml:space="preserve"> </w:t>
      </w:r>
      <w:r w:rsidRPr="00F25BB0">
        <w:t>PIC received 1683 calls about deliberate self-poisonings with paracetamol. Of these, there were 1208 unique exposure</w:t>
      </w:r>
      <w:r w:rsidR="00087A3B">
        <w:t xml:space="preserve"> events</w:t>
      </w:r>
      <w:r w:rsidRPr="00F25BB0">
        <w:t xml:space="preserve"> (the remainder of calls are recalls regarding the same exposure). </w:t>
      </w:r>
    </w:p>
    <w:p w14:paraId="281C8D2C" w14:textId="6691E3B2" w:rsidR="00F25BB0" w:rsidRPr="00F25BB0" w:rsidRDefault="00F25BB0" w:rsidP="00F25BB0">
      <w:r w:rsidRPr="00F25BB0">
        <w:t>Questions were asked approximately one third of the time (35.5%, 429/1208 eligible cases). Questions were unable to be asked for various reasons, including time-critical calls, caller too busy to answer questions, many calls waiting in PIC queue, distressed callers (community-based calls), or the specialist forgot to ask. Even when questions were asked, often the answer was not known by the caller. It is also notable that the questions appeared to be asked more often for child and adolescent poisonings [265/622</w:t>
      </w:r>
      <w:r w:rsidR="008320E7">
        <w:t xml:space="preserve"> </w:t>
      </w:r>
      <w:r w:rsidRPr="00F25BB0">
        <w:t>(43%) vs 164/586 (28%)].</w:t>
      </w:r>
    </w:p>
    <w:p w14:paraId="6A60A414" w14:textId="21E611A7" w:rsidR="00F25BB0" w:rsidRPr="00F25BB0" w:rsidRDefault="00F25BB0" w:rsidP="00F25BB0">
      <w:pPr>
        <w:rPr>
          <w:rFonts w:cs="Times New Roman"/>
          <w:color w:val="000000" w:themeColor="text1"/>
        </w:rPr>
      </w:pPr>
      <w:r w:rsidRPr="00F25BB0">
        <w:rPr>
          <w:rFonts w:cs="Times New Roman"/>
          <w:color w:val="000000" w:themeColor="text1"/>
        </w:rPr>
        <w:t xml:space="preserve">Results are </w:t>
      </w:r>
      <w:r w:rsidR="00746744" w:rsidRPr="0091560A">
        <w:rPr>
          <w:rFonts w:cs="Times New Roman"/>
          <w:color w:val="000000" w:themeColor="text1"/>
        </w:rPr>
        <w:t xml:space="preserve">largely </w:t>
      </w:r>
      <w:r w:rsidRPr="00F25BB0">
        <w:rPr>
          <w:rFonts w:cs="Times New Roman"/>
          <w:color w:val="000000" w:themeColor="text1"/>
        </w:rPr>
        <w:t>reported</w:t>
      </w:r>
      <w:r w:rsidR="00746744" w:rsidRPr="0091560A">
        <w:rPr>
          <w:rFonts w:cs="Times New Roman"/>
          <w:color w:val="000000" w:themeColor="text1"/>
        </w:rPr>
        <w:t xml:space="preserve"> just on</w:t>
      </w:r>
      <w:r w:rsidRPr="00F25BB0">
        <w:rPr>
          <w:rFonts w:cs="Times New Roman"/>
          <w:color w:val="000000" w:themeColor="text1"/>
        </w:rPr>
        <w:t xml:space="preserve"> the subset of calls for which questions were asked</w:t>
      </w:r>
      <w:r w:rsidR="00746744" w:rsidRPr="0091560A">
        <w:rPr>
          <w:rFonts w:cs="Times New Roman"/>
          <w:color w:val="000000" w:themeColor="text1"/>
        </w:rPr>
        <w:t>.</w:t>
      </w:r>
    </w:p>
    <w:p w14:paraId="07843963" w14:textId="0C22F611" w:rsidR="00F25BB0" w:rsidRPr="00F25BB0" w:rsidRDefault="00F25BB0" w:rsidP="00F25BB0">
      <w:pPr>
        <w:rPr>
          <w:rFonts w:cs="Times New Roman"/>
          <w:color w:val="000000" w:themeColor="text1"/>
        </w:rPr>
      </w:pPr>
      <w:r w:rsidRPr="00F25BB0">
        <w:rPr>
          <w:rFonts w:cs="Times New Roman"/>
          <w:color w:val="000000" w:themeColor="text1"/>
        </w:rPr>
        <w:t xml:space="preserve">The median age </w:t>
      </w:r>
      <w:r w:rsidR="00746744" w:rsidRPr="0091560A">
        <w:rPr>
          <w:rFonts w:cs="Times New Roman"/>
          <w:color w:val="000000" w:themeColor="text1"/>
        </w:rPr>
        <w:t xml:space="preserve">of these cases </w:t>
      </w:r>
      <w:r w:rsidRPr="00F25BB0">
        <w:rPr>
          <w:rFonts w:cs="Times New Roman"/>
          <w:color w:val="000000" w:themeColor="text1"/>
        </w:rPr>
        <w:t>was 16 years (IQR: 15-23 years, 28 missing), median dose in tablets was 20 (IQR: 10</w:t>
      </w:r>
      <w:r w:rsidR="00F84500">
        <w:rPr>
          <w:rFonts w:cs="Times New Roman"/>
          <w:color w:val="000000" w:themeColor="text1"/>
        </w:rPr>
        <w:t xml:space="preserve"> to</w:t>
      </w:r>
      <w:r w:rsidRPr="00F25BB0">
        <w:rPr>
          <w:rFonts w:cs="Times New Roman"/>
          <w:color w:val="000000" w:themeColor="text1"/>
        </w:rPr>
        <w:t xml:space="preserve"> 33.5 tablets, 14 missing) and the median dose in grams was 10 (IQR: 5.6</w:t>
      </w:r>
      <w:r w:rsidR="00F84500">
        <w:rPr>
          <w:rFonts w:cs="Times New Roman"/>
          <w:color w:val="000000" w:themeColor="text1"/>
        </w:rPr>
        <w:t xml:space="preserve"> to </w:t>
      </w:r>
      <w:r w:rsidRPr="00F25BB0">
        <w:rPr>
          <w:rFonts w:cs="Times New Roman"/>
          <w:color w:val="000000" w:themeColor="text1"/>
        </w:rPr>
        <w:t>17.4, 14 missing).</w:t>
      </w:r>
    </w:p>
    <w:p w14:paraId="769A3778" w14:textId="40DFA9B2" w:rsidR="00F25BB0" w:rsidRPr="0091560A" w:rsidRDefault="007F3DC0" w:rsidP="007F3DC0">
      <w:pPr>
        <w:pStyle w:val="Caption"/>
      </w:pPr>
      <w:bookmarkStart w:id="90" w:name="_Toc108537190"/>
      <w:bookmarkStart w:id="91" w:name="_Toc114560131"/>
      <w:r>
        <w:t xml:space="preserve">Table </w:t>
      </w:r>
      <w:r>
        <w:fldChar w:fldCharType="begin"/>
      </w:r>
      <w:r>
        <w:instrText>SEQ Table \* ARABIC</w:instrText>
      </w:r>
      <w:r>
        <w:fldChar w:fldCharType="separate"/>
      </w:r>
      <w:r w:rsidR="0091734E">
        <w:rPr>
          <w:noProof/>
        </w:rPr>
        <w:t>16</w:t>
      </w:r>
      <w:r>
        <w:fldChar w:fldCharType="end"/>
      </w:r>
      <w:r w:rsidRPr="0091560A">
        <w:t xml:space="preserve">. </w:t>
      </w:r>
      <w:r w:rsidR="00F25BB0" w:rsidRPr="0091560A">
        <w:t>Demographics of poisoning where further questions on intent and source were answered.</w:t>
      </w:r>
      <w:bookmarkEnd w:id="90"/>
      <w:bookmarkEnd w:id="91"/>
      <w:r w:rsidR="00F25BB0" w:rsidRPr="0091560A">
        <w:t xml:space="preserve"> </w:t>
      </w:r>
    </w:p>
    <w:tbl>
      <w:tblPr>
        <w:tblStyle w:val="ListTable6Colorful1"/>
        <w:tblW w:w="9072" w:type="dxa"/>
        <w:tblLook w:val="04A0" w:firstRow="1" w:lastRow="0" w:firstColumn="1" w:lastColumn="0" w:noHBand="0" w:noVBand="1"/>
      </w:tblPr>
      <w:tblGrid>
        <w:gridCol w:w="1444"/>
        <w:gridCol w:w="2883"/>
        <w:gridCol w:w="2194"/>
        <w:gridCol w:w="2551"/>
      </w:tblGrid>
      <w:tr w:rsidR="00A10AB7" w:rsidRPr="0091560A" w14:paraId="47F6C186" w14:textId="77777777" w:rsidTr="00AA0731">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44" w:type="dxa"/>
            <w:shd w:val="clear" w:color="auto" w:fill="595959" w:themeFill="text1" w:themeFillTint="A6"/>
            <w:noWrap/>
            <w:hideMark/>
          </w:tcPr>
          <w:p w14:paraId="154EF2C1" w14:textId="77777777" w:rsidR="00F25BB0" w:rsidRPr="001256FB" w:rsidRDefault="00F25BB0" w:rsidP="00F25BB0">
            <w:pPr>
              <w:spacing w:after="160" w:line="259" w:lineRule="auto"/>
              <w:rPr>
                <w:rFonts w:cs="Times New Roman"/>
                <w:color w:val="FFFFFF" w:themeColor="background1"/>
              </w:rPr>
            </w:pPr>
            <w:r w:rsidRPr="001256FB">
              <w:rPr>
                <w:rFonts w:cs="Times New Roman"/>
                <w:color w:val="FFFFFF" w:themeColor="background1"/>
              </w:rPr>
              <w:t>Sex</w:t>
            </w:r>
          </w:p>
        </w:tc>
        <w:tc>
          <w:tcPr>
            <w:tcW w:w="2883" w:type="dxa"/>
            <w:shd w:val="clear" w:color="auto" w:fill="595959" w:themeFill="text1" w:themeFillTint="A6"/>
            <w:noWrap/>
            <w:hideMark/>
          </w:tcPr>
          <w:p w14:paraId="10C388D8" w14:textId="72CC77AB" w:rsidR="00F25BB0" w:rsidRPr="001256FB" w:rsidRDefault="000313A0" w:rsidP="00F25BB0">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1256FB">
              <w:rPr>
                <w:rFonts w:cs="Times New Roman"/>
                <w:color w:val="FFFFFF" w:themeColor="background1"/>
              </w:rPr>
              <w:t>C</w:t>
            </w:r>
            <w:r w:rsidR="00F25BB0" w:rsidRPr="001256FB">
              <w:rPr>
                <w:rFonts w:cs="Times New Roman"/>
                <w:color w:val="FFFFFF" w:themeColor="background1"/>
              </w:rPr>
              <w:t>hild/adolescent</w:t>
            </w:r>
          </w:p>
        </w:tc>
        <w:tc>
          <w:tcPr>
            <w:tcW w:w="2194" w:type="dxa"/>
            <w:shd w:val="clear" w:color="auto" w:fill="595959" w:themeFill="text1" w:themeFillTint="A6"/>
            <w:noWrap/>
            <w:hideMark/>
          </w:tcPr>
          <w:p w14:paraId="386578D2" w14:textId="77777777" w:rsidR="00F25BB0" w:rsidRPr="001256FB" w:rsidRDefault="00F25BB0" w:rsidP="00F25BB0">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1256FB">
              <w:rPr>
                <w:rFonts w:cs="Times New Roman"/>
                <w:color w:val="FFFFFF" w:themeColor="background1"/>
              </w:rPr>
              <w:t>Adults</w:t>
            </w:r>
          </w:p>
        </w:tc>
        <w:tc>
          <w:tcPr>
            <w:tcW w:w="2551" w:type="dxa"/>
            <w:shd w:val="clear" w:color="auto" w:fill="595959" w:themeFill="text1" w:themeFillTint="A6"/>
            <w:noWrap/>
            <w:hideMark/>
          </w:tcPr>
          <w:p w14:paraId="27D8EC87" w14:textId="77777777" w:rsidR="00F25BB0" w:rsidRPr="001256FB" w:rsidRDefault="00F25BB0" w:rsidP="00F25BB0">
            <w:pPr>
              <w:spacing w:after="160" w:line="259" w:lineRule="auto"/>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1256FB">
              <w:rPr>
                <w:rFonts w:cs="Times New Roman"/>
                <w:color w:val="FFFFFF" w:themeColor="background1"/>
              </w:rPr>
              <w:t>Grand Total</w:t>
            </w:r>
          </w:p>
        </w:tc>
      </w:tr>
      <w:tr w:rsidR="00A10AB7" w:rsidRPr="0091560A" w14:paraId="1FF9D16B" w14:textId="77777777" w:rsidTr="00AA0731">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1444" w:type="dxa"/>
            <w:noWrap/>
            <w:hideMark/>
          </w:tcPr>
          <w:p w14:paraId="606AFA49" w14:textId="77777777" w:rsidR="00F25BB0" w:rsidRPr="00F25BB0" w:rsidRDefault="00F25BB0" w:rsidP="00F25BB0">
            <w:pPr>
              <w:spacing w:after="160" w:line="259" w:lineRule="auto"/>
              <w:rPr>
                <w:rFonts w:cs="Times New Roman"/>
                <w:b w:val="0"/>
                <w:bCs w:val="0"/>
              </w:rPr>
            </w:pPr>
            <w:r w:rsidRPr="00B30D3D">
              <w:rPr>
                <w:rFonts w:cs="Times New Roman"/>
              </w:rPr>
              <w:t>Female</w:t>
            </w:r>
          </w:p>
        </w:tc>
        <w:tc>
          <w:tcPr>
            <w:tcW w:w="2883" w:type="dxa"/>
            <w:noWrap/>
            <w:hideMark/>
          </w:tcPr>
          <w:p w14:paraId="03109CBD"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25BB0">
              <w:rPr>
                <w:rFonts w:cs="Times New Roman"/>
              </w:rPr>
              <w:t>234</w:t>
            </w:r>
          </w:p>
        </w:tc>
        <w:tc>
          <w:tcPr>
            <w:tcW w:w="2194" w:type="dxa"/>
            <w:noWrap/>
            <w:hideMark/>
          </w:tcPr>
          <w:p w14:paraId="2F59A673"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25BB0">
              <w:rPr>
                <w:rFonts w:cs="Times New Roman"/>
              </w:rPr>
              <w:t>124</w:t>
            </w:r>
          </w:p>
        </w:tc>
        <w:tc>
          <w:tcPr>
            <w:tcW w:w="2551" w:type="dxa"/>
            <w:noWrap/>
            <w:hideMark/>
          </w:tcPr>
          <w:p w14:paraId="1D534E91"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rPr>
            </w:pPr>
            <w:r w:rsidRPr="00F25BB0">
              <w:rPr>
                <w:rFonts w:cs="Times New Roman"/>
              </w:rPr>
              <w:t>358</w:t>
            </w:r>
          </w:p>
        </w:tc>
      </w:tr>
      <w:tr w:rsidR="00A10AB7" w:rsidRPr="0091560A" w14:paraId="2BD9738D" w14:textId="77777777" w:rsidTr="00AA0731">
        <w:trPr>
          <w:trHeight w:val="125"/>
        </w:trPr>
        <w:tc>
          <w:tcPr>
            <w:cnfStyle w:val="001000000000" w:firstRow="0" w:lastRow="0" w:firstColumn="1" w:lastColumn="0" w:oddVBand="0" w:evenVBand="0" w:oddHBand="0" w:evenHBand="0" w:firstRowFirstColumn="0" w:firstRowLastColumn="0" w:lastRowFirstColumn="0" w:lastRowLastColumn="0"/>
            <w:tcW w:w="1444" w:type="dxa"/>
            <w:noWrap/>
            <w:hideMark/>
          </w:tcPr>
          <w:p w14:paraId="4DE3A6F3" w14:textId="77777777" w:rsidR="00F25BB0" w:rsidRPr="00F25BB0" w:rsidRDefault="00F25BB0" w:rsidP="00F25BB0">
            <w:pPr>
              <w:spacing w:after="160" w:line="259" w:lineRule="auto"/>
              <w:rPr>
                <w:rFonts w:cs="Times New Roman"/>
                <w:b w:val="0"/>
                <w:bCs w:val="0"/>
              </w:rPr>
            </w:pPr>
            <w:r w:rsidRPr="00B30D3D">
              <w:rPr>
                <w:rFonts w:cs="Times New Roman"/>
              </w:rPr>
              <w:t>Male</w:t>
            </w:r>
          </w:p>
        </w:tc>
        <w:tc>
          <w:tcPr>
            <w:tcW w:w="2883" w:type="dxa"/>
            <w:noWrap/>
            <w:hideMark/>
          </w:tcPr>
          <w:p w14:paraId="31889125" w14:textId="77777777" w:rsidR="00F25BB0" w:rsidRPr="00F25BB0" w:rsidRDefault="00F25BB0" w:rsidP="00F25BB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25BB0">
              <w:rPr>
                <w:rFonts w:cs="Times New Roman"/>
              </w:rPr>
              <w:t>31</w:t>
            </w:r>
          </w:p>
        </w:tc>
        <w:tc>
          <w:tcPr>
            <w:tcW w:w="2194" w:type="dxa"/>
            <w:noWrap/>
            <w:hideMark/>
          </w:tcPr>
          <w:p w14:paraId="5F34FC40" w14:textId="77777777" w:rsidR="00F25BB0" w:rsidRPr="00F25BB0" w:rsidRDefault="00F25BB0" w:rsidP="00F25BB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25BB0">
              <w:rPr>
                <w:rFonts w:cs="Times New Roman"/>
              </w:rPr>
              <w:t>40</w:t>
            </w:r>
          </w:p>
        </w:tc>
        <w:tc>
          <w:tcPr>
            <w:tcW w:w="2551" w:type="dxa"/>
            <w:noWrap/>
            <w:hideMark/>
          </w:tcPr>
          <w:p w14:paraId="0EBE0BDA" w14:textId="77777777" w:rsidR="00F25BB0" w:rsidRPr="00F25BB0" w:rsidRDefault="00F25BB0" w:rsidP="00F25BB0">
            <w:pPr>
              <w:spacing w:after="160" w:line="259" w:lineRule="auto"/>
              <w:jc w:val="right"/>
              <w:cnfStyle w:val="000000000000" w:firstRow="0" w:lastRow="0" w:firstColumn="0" w:lastColumn="0" w:oddVBand="0" w:evenVBand="0" w:oddHBand="0" w:evenHBand="0" w:firstRowFirstColumn="0" w:firstRowLastColumn="0" w:lastRowFirstColumn="0" w:lastRowLastColumn="0"/>
              <w:rPr>
                <w:rFonts w:cs="Times New Roman"/>
              </w:rPr>
            </w:pPr>
            <w:r w:rsidRPr="00F25BB0">
              <w:rPr>
                <w:rFonts w:cs="Times New Roman"/>
              </w:rPr>
              <w:t>71</w:t>
            </w:r>
          </w:p>
        </w:tc>
      </w:tr>
      <w:tr w:rsidR="00A10AB7" w:rsidRPr="0091560A" w14:paraId="01EE4DEC" w14:textId="77777777" w:rsidTr="00AA0731">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444" w:type="dxa"/>
            <w:noWrap/>
            <w:hideMark/>
          </w:tcPr>
          <w:p w14:paraId="5032BB64" w14:textId="77777777" w:rsidR="00F25BB0" w:rsidRPr="00F25BB0" w:rsidRDefault="00F25BB0" w:rsidP="00F25BB0">
            <w:pPr>
              <w:spacing w:after="160" w:line="259" w:lineRule="auto"/>
              <w:rPr>
                <w:rFonts w:cs="Times New Roman"/>
              </w:rPr>
            </w:pPr>
            <w:r w:rsidRPr="00B30D3D">
              <w:rPr>
                <w:rFonts w:cs="Times New Roman"/>
              </w:rPr>
              <w:t>Grand Total</w:t>
            </w:r>
          </w:p>
        </w:tc>
        <w:tc>
          <w:tcPr>
            <w:tcW w:w="2883" w:type="dxa"/>
            <w:noWrap/>
            <w:hideMark/>
          </w:tcPr>
          <w:p w14:paraId="454BDCFF"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b/>
                <w:bCs/>
              </w:rPr>
            </w:pPr>
            <w:r w:rsidRPr="00F25BB0">
              <w:rPr>
                <w:rFonts w:cs="Times New Roman"/>
                <w:b/>
                <w:bCs/>
              </w:rPr>
              <w:t>265</w:t>
            </w:r>
          </w:p>
        </w:tc>
        <w:tc>
          <w:tcPr>
            <w:tcW w:w="2194" w:type="dxa"/>
            <w:noWrap/>
            <w:hideMark/>
          </w:tcPr>
          <w:p w14:paraId="0A69EB2C"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b/>
                <w:bCs/>
              </w:rPr>
            </w:pPr>
            <w:r w:rsidRPr="00F25BB0">
              <w:rPr>
                <w:rFonts w:cs="Times New Roman"/>
                <w:b/>
                <w:bCs/>
              </w:rPr>
              <w:t>164</w:t>
            </w:r>
          </w:p>
        </w:tc>
        <w:tc>
          <w:tcPr>
            <w:tcW w:w="2551" w:type="dxa"/>
            <w:noWrap/>
            <w:hideMark/>
          </w:tcPr>
          <w:p w14:paraId="1C6FA3DE" w14:textId="77777777" w:rsidR="00F25BB0" w:rsidRPr="00F25BB0" w:rsidRDefault="00F25BB0" w:rsidP="00F25BB0">
            <w:pPr>
              <w:spacing w:after="160" w:line="259" w:lineRule="auto"/>
              <w:jc w:val="right"/>
              <w:cnfStyle w:val="000000100000" w:firstRow="0" w:lastRow="0" w:firstColumn="0" w:lastColumn="0" w:oddVBand="0" w:evenVBand="0" w:oddHBand="1" w:evenHBand="0" w:firstRowFirstColumn="0" w:firstRowLastColumn="0" w:lastRowFirstColumn="0" w:lastRowLastColumn="0"/>
              <w:rPr>
                <w:rFonts w:cs="Times New Roman"/>
                <w:b/>
                <w:bCs/>
              </w:rPr>
            </w:pPr>
            <w:r w:rsidRPr="00F25BB0">
              <w:rPr>
                <w:rFonts w:cs="Times New Roman"/>
                <w:b/>
                <w:bCs/>
              </w:rPr>
              <w:t>429</w:t>
            </w:r>
          </w:p>
        </w:tc>
      </w:tr>
    </w:tbl>
    <w:p w14:paraId="3C0818A2" w14:textId="77777777" w:rsidR="0030599C" w:rsidRDefault="0030599C" w:rsidP="00354363">
      <w:pPr>
        <w:rPr>
          <w:rFonts w:cs="Times New Roman"/>
          <w:color w:val="000000" w:themeColor="text1"/>
        </w:rPr>
      </w:pPr>
    </w:p>
    <w:p w14:paraId="6AB1449B" w14:textId="2F08B88B" w:rsidR="00132BEE" w:rsidRDefault="00B522B5">
      <w:pPr>
        <w:rPr>
          <w:rFonts w:eastAsiaTheme="majorEastAsia" w:cs="Times New Roman"/>
          <w:i/>
          <w:iCs/>
          <w:color w:val="2F5496" w:themeColor="accent1" w:themeShade="BF"/>
        </w:rPr>
      </w:pPr>
      <w:r>
        <w:rPr>
          <w:rFonts w:cs="Times New Roman"/>
        </w:rPr>
        <w:t>Most self-poisonings were impulsive but with suicidal intent</w:t>
      </w:r>
      <w:r w:rsidR="00F75969">
        <w:rPr>
          <w:rFonts w:cs="Times New Roman"/>
        </w:rPr>
        <w:t xml:space="preserve">. Specific purchase for the purpose of self-poisoning </w:t>
      </w:r>
      <w:r w:rsidR="009C4212">
        <w:rPr>
          <w:rFonts w:cs="Times New Roman"/>
        </w:rPr>
        <w:t xml:space="preserve">was uncommon, most commonly the paracetamol ingested was present in the home </w:t>
      </w:r>
      <w:r w:rsidR="00D650C3">
        <w:rPr>
          <w:rFonts w:cs="Times New Roman"/>
        </w:rPr>
        <w:t xml:space="preserve">for </w:t>
      </w:r>
      <w:r w:rsidR="009C4212">
        <w:rPr>
          <w:rFonts w:cs="Times New Roman"/>
        </w:rPr>
        <w:t>all age groups (Table 17)</w:t>
      </w:r>
      <w:r w:rsidR="00D650C3">
        <w:rPr>
          <w:rFonts w:cs="Times New Roman"/>
        </w:rPr>
        <w:t>.</w:t>
      </w:r>
    </w:p>
    <w:p w14:paraId="330097BE" w14:textId="14D26DD9" w:rsidR="00DB5942" w:rsidRPr="0091560A" w:rsidRDefault="007F3DC0" w:rsidP="007F3DC0">
      <w:pPr>
        <w:pStyle w:val="Caption"/>
      </w:pPr>
      <w:bookmarkStart w:id="92" w:name="_Toc114560132"/>
      <w:r>
        <w:t xml:space="preserve">Table </w:t>
      </w:r>
      <w:r>
        <w:fldChar w:fldCharType="begin"/>
      </w:r>
      <w:r>
        <w:instrText>SEQ Table \* ARABIC</w:instrText>
      </w:r>
      <w:r>
        <w:fldChar w:fldCharType="separate"/>
      </w:r>
      <w:r w:rsidR="0091734E">
        <w:rPr>
          <w:noProof/>
        </w:rPr>
        <w:t>17</w:t>
      </w:r>
      <w:r>
        <w:fldChar w:fldCharType="end"/>
      </w:r>
      <w:r w:rsidRPr="0091560A">
        <w:t xml:space="preserve">. </w:t>
      </w:r>
      <w:r w:rsidR="006E08B1" w:rsidRPr="0091560A">
        <w:t>Response to</w:t>
      </w:r>
      <w:r w:rsidR="000C7789" w:rsidRPr="0091560A">
        <w:t xml:space="preserve"> further questions on intent and source</w:t>
      </w:r>
      <w:r w:rsidR="006E08B1" w:rsidRPr="0091560A">
        <w:t>, by age group.</w:t>
      </w:r>
      <w:bookmarkEnd w:id="92"/>
    </w:p>
    <w:tbl>
      <w:tblPr>
        <w:tblStyle w:val="ListTable2"/>
        <w:tblW w:w="9072" w:type="dxa"/>
        <w:tblLook w:val="04A0" w:firstRow="1" w:lastRow="0" w:firstColumn="1" w:lastColumn="0" w:noHBand="0" w:noVBand="1"/>
      </w:tblPr>
      <w:tblGrid>
        <w:gridCol w:w="1180"/>
        <w:gridCol w:w="4446"/>
        <w:gridCol w:w="1996"/>
        <w:gridCol w:w="1450"/>
      </w:tblGrid>
      <w:tr w:rsidR="00015AF6" w:rsidRPr="0091560A" w14:paraId="00F737B2" w14:textId="77777777" w:rsidTr="00264C31">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shd w:val="clear" w:color="auto" w:fill="595959" w:themeFill="text1" w:themeFillTint="A6"/>
            <w:noWrap/>
            <w:hideMark/>
          </w:tcPr>
          <w:p w14:paraId="3F2CF99A" w14:textId="77777777" w:rsidR="00015AF6" w:rsidRPr="001256FB" w:rsidRDefault="00015AF6" w:rsidP="00015AF6">
            <w:pPr>
              <w:rPr>
                <w:rFonts w:eastAsia="Times New Roman" w:cs="Times New Roman"/>
                <w:color w:val="FFFFFF" w:themeColor="background1"/>
                <w:szCs w:val="24"/>
                <w:lang w:eastAsia="en-AU"/>
              </w:rPr>
            </w:pPr>
          </w:p>
        </w:tc>
        <w:tc>
          <w:tcPr>
            <w:tcW w:w="0" w:type="dxa"/>
            <w:shd w:val="clear" w:color="auto" w:fill="595959" w:themeFill="text1" w:themeFillTint="A6"/>
            <w:noWrap/>
            <w:hideMark/>
          </w:tcPr>
          <w:p w14:paraId="3B706662" w14:textId="77777777" w:rsidR="00015AF6" w:rsidRPr="001256FB" w:rsidRDefault="00015AF6" w:rsidP="00015AF6">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p>
        </w:tc>
        <w:tc>
          <w:tcPr>
            <w:tcW w:w="0" w:type="dxa"/>
            <w:shd w:val="clear" w:color="auto" w:fill="595959" w:themeFill="text1" w:themeFillTint="A6"/>
            <w:noWrap/>
            <w:hideMark/>
          </w:tcPr>
          <w:p w14:paraId="62149B7C" w14:textId="77777777" w:rsidR="00015AF6" w:rsidRPr="001256FB" w:rsidRDefault="00015AF6" w:rsidP="001256F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1256FB">
              <w:rPr>
                <w:rFonts w:eastAsia="Times New Roman" w:cs="Times New Roman"/>
                <w:color w:val="FFFFFF" w:themeColor="background1"/>
                <w:szCs w:val="24"/>
                <w:lang w:eastAsia="en-AU"/>
              </w:rPr>
              <w:t>Child/adolescent</w:t>
            </w:r>
          </w:p>
        </w:tc>
        <w:tc>
          <w:tcPr>
            <w:tcW w:w="1397" w:type="dxa"/>
            <w:shd w:val="clear" w:color="auto" w:fill="595959" w:themeFill="text1" w:themeFillTint="A6"/>
            <w:noWrap/>
            <w:hideMark/>
          </w:tcPr>
          <w:p w14:paraId="4B9DD4BD" w14:textId="77777777" w:rsidR="00015AF6" w:rsidRPr="001256FB" w:rsidRDefault="00015AF6" w:rsidP="001256F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1256FB">
              <w:rPr>
                <w:rFonts w:eastAsia="Times New Roman" w:cs="Times New Roman"/>
                <w:color w:val="FFFFFF" w:themeColor="background1"/>
                <w:szCs w:val="24"/>
                <w:lang w:eastAsia="en-AU"/>
              </w:rPr>
              <w:t>Adults</w:t>
            </w:r>
          </w:p>
        </w:tc>
      </w:tr>
      <w:tr w:rsidR="00015AF6" w:rsidRPr="0091560A" w14:paraId="2CB066C5" w14:textId="77777777" w:rsidTr="00AA0731">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343" w:type="dxa"/>
            <w:gridSpan w:val="2"/>
            <w:tcBorders>
              <w:bottom w:val="single" w:sz="4" w:space="0" w:color="666666" w:themeColor="text1" w:themeTint="99"/>
            </w:tcBorders>
            <w:noWrap/>
            <w:hideMark/>
          </w:tcPr>
          <w:p w14:paraId="272063C2" w14:textId="77777777" w:rsidR="00015AF6" w:rsidRPr="001256FB" w:rsidRDefault="00015AF6" w:rsidP="00015AF6">
            <w:pPr>
              <w:rPr>
                <w:rFonts w:eastAsia="Times New Roman" w:cs="Times New Roman"/>
                <w:color w:val="000000"/>
                <w:szCs w:val="24"/>
                <w:lang w:eastAsia="en-AU"/>
              </w:rPr>
            </w:pPr>
            <w:r w:rsidRPr="001256FB">
              <w:rPr>
                <w:rFonts w:eastAsia="Times New Roman" w:cs="Times New Roman"/>
                <w:color w:val="000000"/>
                <w:szCs w:val="24"/>
                <w:lang w:eastAsia="en-AU"/>
              </w:rPr>
              <w:t>Place of purchase</w:t>
            </w:r>
          </w:p>
        </w:tc>
        <w:tc>
          <w:tcPr>
            <w:tcW w:w="0" w:type="dxa"/>
            <w:tcBorders>
              <w:bottom w:val="single" w:sz="4" w:space="0" w:color="666666" w:themeColor="text1" w:themeTint="99"/>
            </w:tcBorders>
            <w:noWrap/>
            <w:hideMark/>
          </w:tcPr>
          <w:p w14:paraId="209FD6E2"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n=265</w:t>
            </w:r>
          </w:p>
        </w:tc>
        <w:tc>
          <w:tcPr>
            <w:tcW w:w="1397" w:type="dxa"/>
            <w:tcBorders>
              <w:bottom w:val="single" w:sz="4" w:space="0" w:color="666666" w:themeColor="text1" w:themeTint="99"/>
            </w:tcBorders>
            <w:noWrap/>
            <w:hideMark/>
          </w:tcPr>
          <w:p w14:paraId="2F034D12"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n=164</w:t>
            </w:r>
          </w:p>
        </w:tc>
      </w:tr>
      <w:tr w:rsidR="00015AF6" w:rsidRPr="0091560A" w14:paraId="207AE887"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bottom w:val="nil"/>
            </w:tcBorders>
            <w:noWrap/>
            <w:hideMark/>
          </w:tcPr>
          <w:p w14:paraId="066370BE" w14:textId="77777777" w:rsidR="00015AF6" w:rsidRPr="001256FB" w:rsidRDefault="00015AF6" w:rsidP="00015AF6">
            <w:pPr>
              <w:jc w:val="center"/>
              <w:rPr>
                <w:rFonts w:eastAsia="Times New Roman" w:cs="Times New Roman"/>
                <w:color w:val="000000"/>
                <w:szCs w:val="24"/>
                <w:lang w:eastAsia="en-AU"/>
              </w:rPr>
            </w:pPr>
          </w:p>
        </w:tc>
        <w:tc>
          <w:tcPr>
            <w:tcW w:w="0" w:type="dxa"/>
            <w:tcBorders>
              <w:bottom w:val="nil"/>
            </w:tcBorders>
            <w:noWrap/>
            <w:hideMark/>
          </w:tcPr>
          <w:p w14:paraId="2FE8EAB3"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Pharmacy</w:t>
            </w:r>
          </w:p>
        </w:tc>
        <w:tc>
          <w:tcPr>
            <w:tcW w:w="0" w:type="dxa"/>
            <w:tcBorders>
              <w:bottom w:val="nil"/>
            </w:tcBorders>
            <w:noWrap/>
            <w:hideMark/>
          </w:tcPr>
          <w:p w14:paraId="1580A3AB"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83 (31%)</w:t>
            </w:r>
          </w:p>
        </w:tc>
        <w:tc>
          <w:tcPr>
            <w:tcW w:w="1397" w:type="dxa"/>
            <w:tcBorders>
              <w:bottom w:val="nil"/>
            </w:tcBorders>
            <w:noWrap/>
            <w:hideMark/>
          </w:tcPr>
          <w:p w14:paraId="03138FA9"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61 (37%)</w:t>
            </w:r>
          </w:p>
        </w:tc>
      </w:tr>
      <w:tr w:rsidR="00015AF6" w:rsidRPr="0091560A" w14:paraId="2F51B9E7"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26373FA0"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3090B548"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Supermarket</w:t>
            </w:r>
          </w:p>
        </w:tc>
        <w:tc>
          <w:tcPr>
            <w:tcW w:w="0" w:type="dxa"/>
            <w:tcBorders>
              <w:top w:val="nil"/>
              <w:bottom w:val="nil"/>
            </w:tcBorders>
            <w:noWrap/>
            <w:hideMark/>
          </w:tcPr>
          <w:p w14:paraId="3A874650"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37 (14%)</w:t>
            </w:r>
          </w:p>
        </w:tc>
        <w:tc>
          <w:tcPr>
            <w:tcW w:w="1397" w:type="dxa"/>
            <w:tcBorders>
              <w:top w:val="nil"/>
              <w:bottom w:val="nil"/>
            </w:tcBorders>
            <w:noWrap/>
            <w:hideMark/>
          </w:tcPr>
          <w:p w14:paraId="72A14144"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18 (11%)</w:t>
            </w:r>
          </w:p>
        </w:tc>
      </w:tr>
      <w:tr w:rsidR="00015AF6" w:rsidRPr="0091560A" w14:paraId="74E3008B"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6D55917B"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06BB0F3A"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Convenience store</w:t>
            </w:r>
          </w:p>
        </w:tc>
        <w:tc>
          <w:tcPr>
            <w:tcW w:w="0" w:type="dxa"/>
            <w:tcBorders>
              <w:top w:val="nil"/>
              <w:bottom w:val="nil"/>
            </w:tcBorders>
            <w:noWrap/>
            <w:hideMark/>
          </w:tcPr>
          <w:p w14:paraId="5143DB24"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3 (1%)</w:t>
            </w:r>
          </w:p>
        </w:tc>
        <w:tc>
          <w:tcPr>
            <w:tcW w:w="1397" w:type="dxa"/>
            <w:tcBorders>
              <w:top w:val="nil"/>
              <w:bottom w:val="nil"/>
            </w:tcBorders>
            <w:noWrap/>
            <w:hideMark/>
          </w:tcPr>
          <w:p w14:paraId="333AE153"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(1%)</w:t>
            </w:r>
          </w:p>
        </w:tc>
      </w:tr>
      <w:tr w:rsidR="00015AF6" w:rsidRPr="0091560A" w14:paraId="38F57C33"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4398DB11"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5A18FDB5"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Other</w:t>
            </w:r>
          </w:p>
        </w:tc>
        <w:tc>
          <w:tcPr>
            <w:tcW w:w="0" w:type="dxa"/>
            <w:tcBorders>
              <w:top w:val="nil"/>
              <w:bottom w:val="nil"/>
            </w:tcBorders>
            <w:noWrap/>
            <w:hideMark/>
          </w:tcPr>
          <w:p w14:paraId="0BC9DD20"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2 (1%)</w:t>
            </w:r>
          </w:p>
        </w:tc>
        <w:tc>
          <w:tcPr>
            <w:tcW w:w="1397" w:type="dxa"/>
            <w:tcBorders>
              <w:top w:val="nil"/>
              <w:bottom w:val="nil"/>
            </w:tcBorders>
            <w:noWrap/>
            <w:hideMark/>
          </w:tcPr>
          <w:p w14:paraId="5A34DC55"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(1%)</w:t>
            </w:r>
          </w:p>
        </w:tc>
      </w:tr>
      <w:tr w:rsidR="00015AF6" w:rsidRPr="0091560A" w14:paraId="5AF73C6F"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3CAA89C4"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75740ADA"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Supplied by hospital</w:t>
            </w:r>
          </w:p>
        </w:tc>
        <w:tc>
          <w:tcPr>
            <w:tcW w:w="0" w:type="dxa"/>
            <w:tcBorders>
              <w:top w:val="nil"/>
              <w:bottom w:val="nil"/>
            </w:tcBorders>
            <w:noWrap/>
            <w:hideMark/>
          </w:tcPr>
          <w:p w14:paraId="7FD1478D"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(&lt;1%)</w:t>
            </w:r>
          </w:p>
        </w:tc>
        <w:tc>
          <w:tcPr>
            <w:tcW w:w="1397" w:type="dxa"/>
            <w:tcBorders>
              <w:top w:val="nil"/>
              <w:bottom w:val="nil"/>
            </w:tcBorders>
            <w:noWrap/>
            <w:hideMark/>
          </w:tcPr>
          <w:p w14:paraId="1AB2DDE4"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4 (2%)</w:t>
            </w:r>
          </w:p>
        </w:tc>
      </w:tr>
      <w:tr w:rsidR="00015AF6" w:rsidRPr="0091560A" w14:paraId="5AB253D5"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59D64889"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0CA9A449"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Multiple Sources</w:t>
            </w:r>
          </w:p>
        </w:tc>
        <w:tc>
          <w:tcPr>
            <w:tcW w:w="0" w:type="dxa"/>
            <w:tcBorders>
              <w:top w:val="nil"/>
              <w:bottom w:val="nil"/>
            </w:tcBorders>
            <w:noWrap/>
            <w:hideMark/>
          </w:tcPr>
          <w:p w14:paraId="6310494D"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(&lt;1%)</w:t>
            </w:r>
          </w:p>
        </w:tc>
        <w:tc>
          <w:tcPr>
            <w:tcW w:w="1397" w:type="dxa"/>
            <w:tcBorders>
              <w:top w:val="nil"/>
              <w:bottom w:val="nil"/>
            </w:tcBorders>
            <w:noWrap/>
            <w:hideMark/>
          </w:tcPr>
          <w:p w14:paraId="02D90570"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w:t>
            </w:r>
          </w:p>
        </w:tc>
      </w:tr>
      <w:tr w:rsidR="00015AF6" w:rsidRPr="0091560A" w14:paraId="01B5ADD0" w14:textId="77777777" w:rsidTr="00C03B3C">
        <w:trPr>
          <w:trHeight w:val="32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single" w:sz="4" w:space="0" w:color="666666" w:themeColor="text1" w:themeTint="99"/>
            </w:tcBorders>
            <w:noWrap/>
            <w:hideMark/>
          </w:tcPr>
          <w:p w14:paraId="0646EA6D"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single" w:sz="4" w:space="0" w:color="666666" w:themeColor="text1" w:themeTint="99"/>
            </w:tcBorders>
            <w:noWrap/>
            <w:hideMark/>
          </w:tcPr>
          <w:p w14:paraId="699C0C1F"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Unknown</w:t>
            </w:r>
          </w:p>
        </w:tc>
        <w:tc>
          <w:tcPr>
            <w:tcW w:w="0" w:type="dxa"/>
            <w:tcBorders>
              <w:top w:val="nil"/>
              <w:bottom w:val="single" w:sz="4" w:space="0" w:color="666666" w:themeColor="text1" w:themeTint="99"/>
            </w:tcBorders>
            <w:noWrap/>
            <w:hideMark/>
          </w:tcPr>
          <w:p w14:paraId="2289E7C4"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138 (52%)</w:t>
            </w:r>
          </w:p>
        </w:tc>
        <w:tc>
          <w:tcPr>
            <w:tcW w:w="1397" w:type="dxa"/>
            <w:tcBorders>
              <w:top w:val="nil"/>
              <w:bottom w:val="single" w:sz="4" w:space="0" w:color="666666" w:themeColor="text1" w:themeTint="99"/>
            </w:tcBorders>
            <w:noWrap/>
            <w:hideMark/>
          </w:tcPr>
          <w:p w14:paraId="1F8D1043"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79 (48%)</w:t>
            </w:r>
          </w:p>
        </w:tc>
      </w:tr>
      <w:tr w:rsidR="00015AF6" w:rsidRPr="0091560A" w14:paraId="5DF5E02F" w14:textId="77777777" w:rsidTr="00C03B3C">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343" w:type="dxa"/>
            <w:gridSpan w:val="2"/>
            <w:tcBorders>
              <w:top w:val="single" w:sz="4" w:space="0" w:color="666666" w:themeColor="text1" w:themeTint="99"/>
              <w:bottom w:val="nil"/>
            </w:tcBorders>
            <w:noWrap/>
            <w:hideMark/>
          </w:tcPr>
          <w:p w14:paraId="31D9C560" w14:textId="77777777" w:rsidR="00015AF6" w:rsidRPr="001256FB" w:rsidRDefault="00015AF6" w:rsidP="00015AF6">
            <w:pPr>
              <w:rPr>
                <w:rFonts w:eastAsia="Times New Roman" w:cs="Times New Roman"/>
                <w:color w:val="000000"/>
                <w:szCs w:val="24"/>
                <w:lang w:eastAsia="en-AU"/>
              </w:rPr>
            </w:pPr>
            <w:r w:rsidRPr="001256FB">
              <w:rPr>
                <w:rFonts w:eastAsia="Times New Roman" w:cs="Times New Roman"/>
                <w:color w:val="000000"/>
                <w:szCs w:val="24"/>
                <w:lang w:eastAsia="en-AU"/>
              </w:rPr>
              <w:t>Purchaser</w:t>
            </w:r>
          </w:p>
        </w:tc>
        <w:tc>
          <w:tcPr>
            <w:tcW w:w="0" w:type="dxa"/>
            <w:tcBorders>
              <w:top w:val="single" w:sz="4" w:space="0" w:color="666666" w:themeColor="text1" w:themeTint="99"/>
              <w:bottom w:val="nil"/>
            </w:tcBorders>
            <w:noWrap/>
            <w:hideMark/>
          </w:tcPr>
          <w:p w14:paraId="0A75D24A"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397" w:type="dxa"/>
            <w:tcBorders>
              <w:top w:val="single" w:sz="4" w:space="0" w:color="666666" w:themeColor="text1" w:themeTint="99"/>
              <w:bottom w:val="nil"/>
            </w:tcBorders>
            <w:noWrap/>
            <w:hideMark/>
          </w:tcPr>
          <w:p w14:paraId="65112644"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015AF6" w:rsidRPr="0091560A" w14:paraId="37342A25"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3CA650FA" w14:textId="77777777" w:rsidR="00015AF6" w:rsidRPr="001256FB" w:rsidRDefault="00015AF6" w:rsidP="00015AF6">
            <w:pPr>
              <w:rPr>
                <w:rFonts w:eastAsia="Times New Roman" w:cs="Times New Roman"/>
                <w:szCs w:val="24"/>
                <w:lang w:eastAsia="en-AU"/>
              </w:rPr>
            </w:pPr>
          </w:p>
        </w:tc>
        <w:tc>
          <w:tcPr>
            <w:tcW w:w="0" w:type="dxa"/>
            <w:tcBorders>
              <w:top w:val="nil"/>
              <w:bottom w:val="nil"/>
            </w:tcBorders>
            <w:noWrap/>
            <w:hideMark/>
          </w:tcPr>
          <w:p w14:paraId="537D61DB"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Themselves</w:t>
            </w:r>
          </w:p>
        </w:tc>
        <w:tc>
          <w:tcPr>
            <w:tcW w:w="0" w:type="dxa"/>
            <w:tcBorders>
              <w:top w:val="nil"/>
              <w:bottom w:val="nil"/>
            </w:tcBorders>
            <w:noWrap/>
            <w:hideMark/>
          </w:tcPr>
          <w:p w14:paraId="0C200300"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56 (21%)</w:t>
            </w:r>
          </w:p>
        </w:tc>
        <w:tc>
          <w:tcPr>
            <w:tcW w:w="1397" w:type="dxa"/>
            <w:tcBorders>
              <w:top w:val="nil"/>
              <w:bottom w:val="nil"/>
            </w:tcBorders>
            <w:noWrap/>
            <w:hideMark/>
          </w:tcPr>
          <w:p w14:paraId="431FD4D1"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75 (46%)</w:t>
            </w:r>
          </w:p>
        </w:tc>
      </w:tr>
      <w:tr w:rsidR="00015AF6" w:rsidRPr="0091560A" w14:paraId="51028379"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6741AD93"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5DACBBF7"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Family member</w:t>
            </w:r>
          </w:p>
        </w:tc>
        <w:tc>
          <w:tcPr>
            <w:tcW w:w="0" w:type="dxa"/>
            <w:tcBorders>
              <w:top w:val="nil"/>
              <w:bottom w:val="nil"/>
            </w:tcBorders>
            <w:noWrap/>
            <w:hideMark/>
          </w:tcPr>
          <w:p w14:paraId="46B3CB38"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70 (26%)</w:t>
            </w:r>
          </w:p>
        </w:tc>
        <w:tc>
          <w:tcPr>
            <w:tcW w:w="1397" w:type="dxa"/>
            <w:tcBorders>
              <w:top w:val="nil"/>
              <w:bottom w:val="nil"/>
            </w:tcBorders>
            <w:noWrap/>
            <w:hideMark/>
          </w:tcPr>
          <w:p w14:paraId="7A881109"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10 (6%)</w:t>
            </w:r>
          </w:p>
        </w:tc>
      </w:tr>
      <w:tr w:rsidR="00015AF6" w:rsidRPr="0091560A" w14:paraId="0D57B224" w14:textId="77777777" w:rsidTr="00AA0731">
        <w:trPr>
          <w:trHeight w:val="32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687AA6E0"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4460CB1F"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Friend</w:t>
            </w:r>
          </w:p>
        </w:tc>
        <w:tc>
          <w:tcPr>
            <w:tcW w:w="0" w:type="dxa"/>
            <w:tcBorders>
              <w:top w:val="nil"/>
              <w:bottom w:val="nil"/>
            </w:tcBorders>
            <w:noWrap/>
            <w:hideMark/>
          </w:tcPr>
          <w:p w14:paraId="505D45BE"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4 (2%)</w:t>
            </w:r>
          </w:p>
        </w:tc>
        <w:tc>
          <w:tcPr>
            <w:tcW w:w="1397" w:type="dxa"/>
            <w:tcBorders>
              <w:top w:val="nil"/>
              <w:bottom w:val="nil"/>
            </w:tcBorders>
            <w:noWrap/>
            <w:hideMark/>
          </w:tcPr>
          <w:p w14:paraId="25496FEE"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w:t>
            </w:r>
          </w:p>
        </w:tc>
      </w:tr>
      <w:tr w:rsidR="00015AF6" w:rsidRPr="0091560A" w14:paraId="45459B96"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7859B6C9"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24C64790"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Other</w:t>
            </w:r>
          </w:p>
        </w:tc>
        <w:tc>
          <w:tcPr>
            <w:tcW w:w="0" w:type="dxa"/>
            <w:tcBorders>
              <w:top w:val="nil"/>
              <w:bottom w:val="nil"/>
            </w:tcBorders>
            <w:noWrap/>
            <w:hideMark/>
          </w:tcPr>
          <w:p w14:paraId="65B4339B"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54 (20%)</w:t>
            </w:r>
          </w:p>
        </w:tc>
        <w:tc>
          <w:tcPr>
            <w:tcW w:w="1397" w:type="dxa"/>
            <w:tcBorders>
              <w:top w:val="nil"/>
              <w:bottom w:val="nil"/>
            </w:tcBorders>
            <w:noWrap/>
            <w:hideMark/>
          </w:tcPr>
          <w:p w14:paraId="4D2CA869"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 (5%)</w:t>
            </w:r>
          </w:p>
        </w:tc>
      </w:tr>
      <w:tr w:rsidR="00015AF6" w:rsidRPr="0091560A" w14:paraId="6F53EA4B" w14:textId="77777777" w:rsidTr="00C03B3C">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single" w:sz="4" w:space="0" w:color="666666" w:themeColor="text1" w:themeTint="99"/>
            </w:tcBorders>
            <w:noWrap/>
            <w:hideMark/>
          </w:tcPr>
          <w:p w14:paraId="1A6EA25C"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single" w:sz="4" w:space="0" w:color="666666" w:themeColor="text1" w:themeTint="99"/>
            </w:tcBorders>
            <w:noWrap/>
            <w:hideMark/>
          </w:tcPr>
          <w:p w14:paraId="2157673C"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Unknown</w:t>
            </w:r>
          </w:p>
        </w:tc>
        <w:tc>
          <w:tcPr>
            <w:tcW w:w="0" w:type="dxa"/>
            <w:tcBorders>
              <w:top w:val="nil"/>
              <w:bottom w:val="single" w:sz="4" w:space="0" w:color="666666" w:themeColor="text1" w:themeTint="99"/>
            </w:tcBorders>
            <w:noWrap/>
            <w:hideMark/>
          </w:tcPr>
          <w:p w14:paraId="31202B09"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81 (31%)</w:t>
            </w:r>
          </w:p>
        </w:tc>
        <w:tc>
          <w:tcPr>
            <w:tcW w:w="1397" w:type="dxa"/>
            <w:tcBorders>
              <w:top w:val="nil"/>
              <w:bottom w:val="single" w:sz="4" w:space="0" w:color="666666" w:themeColor="text1" w:themeTint="99"/>
            </w:tcBorders>
            <w:noWrap/>
            <w:hideMark/>
          </w:tcPr>
          <w:p w14:paraId="3A1FC1A0"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71 (43%)</w:t>
            </w:r>
          </w:p>
        </w:tc>
      </w:tr>
      <w:tr w:rsidR="00015AF6" w:rsidRPr="0091560A" w14:paraId="2C8AFEF1" w14:textId="77777777" w:rsidTr="00C03B3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343" w:type="dxa"/>
            <w:gridSpan w:val="2"/>
            <w:tcBorders>
              <w:top w:val="single" w:sz="4" w:space="0" w:color="666666" w:themeColor="text1" w:themeTint="99"/>
              <w:bottom w:val="nil"/>
            </w:tcBorders>
            <w:noWrap/>
            <w:hideMark/>
          </w:tcPr>
          <w:p w14:paraId="015030EB" w14:textId="77777777" w:rsidR="00015AF6" w:rsidRPr="001256FB" w:rsidRDefault="00015AF6" w:rsidP="00015AF6">
            <w:pPr>
              <w:rPr>
                <w:rFonts w:eastAsia="Times New Roman" w:cs="Times New Roman"/>
                <w:color w:val="000000"/>
                <w:szCs w:val="24"/>
                <w:lang w:eastAsia="en-AU"/>
              </w:rPr>
            </w:pPr>
            <w:r w:rsidRPr="001256FB">
              <w:rPr>
                <w:rFonts w:eastAsia="Times New Roman" w:cs="Times New Roman"/>
                <w:color w:val="000000"/>
                <w:szCs w:val="24"/>
                <w:lang w:eastAsia="en-AU"/>
              </w:rPr>
              <w:t>Timing of purchase</w:t>
            </w:r>
          </w:p>
        </w:tc>
        <w:tc>
          <w:tcPr>
            <w:tcW w:w="0" w:type="dxa"/>
            <w:tcBorders>
              <w:top w:val="single" w:sz="4" w:space="0" w:color="666666" w:themeColor="text1" w:themeTint="99"/>
              <w:bottom w:val="nil"/>
            </w:tcBorders>
            <w:noWrap/>
            <w:hideMark/>
          </w:tcPr>
          <w:p w14:paraId="7C71499C"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1397" w:type="dxa"/>
            <w:tcBorders>
              <w:top w:val="single" w:sz="4" w:space="0" w:color="666666" w:themeColor="text1" w:themeTint="99"/>
              <w:bottom w:val="nil"/>
            </w:tcBorders>
            <w:noWrap/>
            <w:hideMark/>
          </w:tcPr>
          <w:p w14:paraId="2121E641"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015AF6" w:rsidRPr="0091560A" w14:paraId="437AE560"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6B632749" w14:textId="77777777" w:rsidR="00015AF6" w:rsidRPr="001256FB" w:rsidRDefault="00015AF6" w:rsidP="00015AF6">
            <w:pPr>
              <w:rPr>
                <w:rFonts w:eastAsia="Times New Roman" w:cs="Times New Roman"/>
                <w:szCs w:val="24"/>
                <w:lang w:eastAsia="en-AU"/>
              </w:rPr>
            </w:pPr>
          </w:p>
        </w:tc>
        <w:tc>
          <w:tcPr>
            <w:tcW w:w="0" w:type="dxa"/>
            <w:tcBorders>
              <w:top w:val="nil"/>
              <w:bottom w:val="nil"/>
            </w:tcBorders>
            <w:noWrap/>
            <w:hideMark/>
          </w:tcPr>
          <w:p w14:paraId="55E6FD26" w14:textId="1FB82EE0"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&lt;</w:t>
            </w:r>
            <w:r w:rsidR="00447BA1">
              <w:rPr>
                <w:rFonts w:eastAsia="Times New Roman" w:cs="Times New Roman"/>
                <w:color w:val="000000"/>
                <w:szCs w:val="24"/>
                <w:lang w:eastAsia="en-AU"/>
              </w:rPr>
              <w:t xml:space="preserve"> </w:t>
            </w:r>
            <w:r w:rsidRPr="001256FB">
              <w:rPr>
                <w:rFonts w:eastAsia="Times New Roman" w:cs="Times New Roman"/>
                <w:color w:val="000000"/>
                <w:szCs w:val="24"/>
                <w:lang w:eastAsia="en-AU"/>
              </w:rPr>
              <w:t>24 hours</w:t>
            </w:r>
          </w:p>
        </w:tc>
        <w:tc>
          <w:tcPr>
            <w:tcW w:w="0" w:type="dxa"/>
            <w:tcBorders>
              <w:top w:val="nil"/>
              <w:bottom w:val="nil"/>
            </w:tcBorders>
            <w:noWrap/>
            <w:hideMark/>
          </w:tcPr>
          <w:p w14:paraId="198A8EB9"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17 (6%)</w:t>
            </w:r>
          </w:p>
        </w:tc>
        <w:tc>
          <w:tcPr>
            <w:tcW w:w="1397" w:type="dxa"/>
            <w:tcBorders>
              <w:top w:val="nil"/>
              <w:bottom w:val="nil"/>
            </w:tcBorders>
            <w:noWrap/>
            <w:hideMark/>
          </w:tcPr>
          <w:p w14:paraId="7392029B"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17 (10%)</w:t>
            </w:r>
          </w:p>
        </w:tc>
      </w:tr>
      <w:tr w:rsidR="00015AF6" w:rsidRPr="0091560A" w14:paraId="7BBA928C" w14:textId="77777777" w:rsidTr="00AA073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5CBE7176"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111390B0"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Past week</w:t>
            </w:r>
          </w:p>
        </w:tc>
        <w:tc>
          <w:tcPr>
            <w:tcW w:w="0" w:type="dxa"/>
            <w:tcBorders>
              <w:top w:val="nil"/>
              <w:bottom w:val="nil"/>
            </w:tcBorders>
            <w:noWrap/>
            <w:hideMark/>
          </w:tcPr>
          <w:p w14:paraId="36A27B17"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2 (1%)</w:t>
            </w:r>
          </w:p>
        </w:tc>
        <w:tc>
          <w:tcPr>
            <w:tcW w:w="1397" w:type="dxa"/>
            <w:tcBorders>
              <w:top w:val="nil"/>
              <w:bottom w:val="nil"/>
            </w:tcBorders>
            <w:noWrap/>
            <w:hideMark/>
          </w:tcPr>
          <w:p w14:paraId="12590251"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(1%)</w:t>
            </w:r>
          </w:p>
        </w:tc>
      </w:tr>
      <w:tr w:rsidR="00015AF6" w:rsidRPr="0091560A" w14:paraId="48497ECD" w14:textId="77777777" w:rsidTr="00AA0731">
        <w:trPr>
          <w:trHeight w:val="32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3F94FCBF"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51B0F6D7"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Over a week ago</w:t>
            </w:r>
          </w:p>
        </w:tc>
        <w:tc>
          <w:tcPr>
            <w:tcW w:w="0" w:type="dxa"/>
            <w:tcBorders>
              <w:top w:val="nil"/>
              <w:bottom w:val="nil"/>
            </w:tcBorders>
            <w:noWrap/>
            <w:hideMark/>
          </w:tcPr>
          <w:p w14:paraId="0CFA6C93"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3 (1%)</w:t>
            </w:r>
          </w:p>
        </w:tc>
        <w:tc>
          <w:tcPr>
            <w:tcW w:w="1397" w:type="dxa"/>
            <w:tcBorders>
              <w:top w:val="nil"/>
              <w:bottom w:val="nil"/>
            </w:tcBorders>
            <w:noWrap/>
            <w:hideMark/>
          </w:tcPr>
          <w:p w14:paraId="7E240E67"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 (1%)</w:t>
            </w:r>
          </w:p>
        </w:tc>
      </w:tr>
      <w:tr w:rsidR="00015AF6" w:rsidRPr="0091560A" w14:paraId="3C488497"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46926234"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78CE35A9"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N/A, present in the home</w:t>
            </w:r>
          </w:p>
        </w:tc>
        <w:tc>
          <w:tcPr>
            <w:tcW w:w="0" w:type="dxa"/>
            <w:tcBorders>
              <w:top w:val="nil"/>
              <w:bottom w:val="nil"/>
            </w:tcBorders>
            <w:noWrap/>
            <w:hideMark/>
          </w:tcPr>
          <w:p w14:paraId="19ED8D42"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162 (61%)</w:t>
            </w:r>
          </w:p>
        </w:tc>
        <w:tc>
          <w:tcPr>
            <w:tcW w:w="1397" w:type="dxa"/>
            <w:tcBorders>
              <w:top w:val="nil"/>
              <w:bottom w:val="nil"/>
            </w:tcBorders>
            <w:noWrap/>
            <w:hideMark/>
          </w:tcPr>
          <w:p w14:paraId="4950D001"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81 (49%)</w:t>
            </w:r>
          </w:p>
        </w:tc>
      </w:tr>
      <w:tr w:rsidR="00015AF6" w:rsidRPr="0091560A" w14:paraId="57DD22A5" w14:textId="77777777" w:rsidTr="00C03B3C">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single" w:sz="4" w:space="0" w:color="666666" w:themeColor="text1" w:themeTint="99"/>
            </w:tcBorders>
            <w:noWrap/>
            <w:hideMark/>
          </w:tcPr>
          <w:p w14:paraId="4513609C"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single" w:sz="4" w:space="0" w:color="666666" w:themeColor="text1" w:themeTint="99"/>
            </w:tcBorders>
            <w:noWrap/>
            <w:hideMark/>
          </w:tcPr>
          <w:p w14:paraId="136E0CA7"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Unknown</w:t>
            </w:r>
          </w:p>
        </w:tc>
        <w:tc>
          <w:tcPr>
            <w:tcW w:w="0" w:type="dxa"/>
            <w:tcBorders>
              <w:top w:val="nil"/>
              <w:bottom w:val="single" w:sz="4" w:space="0" w:color="666666" w:themeColor="text1" w:themeTint="99"/>
            </w:tcBorders>
            <w:noWrap/>
            <w:hideMark/>
          </w:tcPr>
          <w:p w14:paraId="7FE81D2F"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81 (31%)</w:t>
            </w:r>
          </w:p>
        </w:tc>
        <w:tc>
          <w:tcPr>
            <w:tcW w:w="1397" w:type="dxa"/>
            <w:tcBorders>
              <w:top w:val="nil"/>
              <w:bottom w:val="single" w:sz="4" w:space="0" w:color="666666" w:themeColor="text1" w:themeTint="99"/>
            </w:tcBorders>
            <w:noWrap/>
            <w:hideMark/>
          </w:tcPr>
          <w:p w14:paraId="06B48EF6"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64 (39%)</w:t>
            </w:r>
          </w:p>
        </w:tc>
      </w:tr>
      <w:tr w:rsidR="00015AF6" w:rsidRPr="0091560A" w14:paraId="0610E837" w14:textId="77777777" w:rsidTr="00C03B3C">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single" w:sz="4" w:space="0" w:color="666666" w:themeColor="text1" w:themeTint="99"/>
              <w:bottom w:val="nil"/>
            </w:tcBorders>
            <w:noWrap/>
            <w:hideMark/>
          </w:tcPr>
          <w:p w14:paraId="59870562" w14:textId="77777777" w:rsidR="00015AF6" w:rsidRPr="001256FB" w:rsidRDefault="00015AF6" w:rsidP="00015AF6">
            <w:pPr>
              <w:rPr>
                <w:rFonts w:eastAsia="Times New Roman" w:cs="Times New Roman"/>
                <w:color w:val="000000"/>
                <w:szCs w:val="24"/>
                <w:lang w:eastAsia="en-AU"/>
              </w:rPr>
            </w:pPr>
            <w:r w:rsidRPr="001256FB">
              <w:rPr>
                <w:rFonts w:eastAsia="Times New Roman" w:cs="Times New Roman"/>
                <w:color w:val="000000"/>
                <w:szCs w:val="24"/>
                <w:lang w:eastAsia="en-AU"/>
              </w:rPr>
              <w:t>Planning</w:t>
            </w:r>
          </w:p>
        </w:tc>
        <w:tc>
          <w:tcPr>
            <w:tcW w:w="0" w:type="dxa"/>
            <w:tcBorders>
              <w:top w:val="single" w:sz="4" w:space="0" w:color="666666" w:themeColor="text1" w:themeTint="99"/>
              <w:bottom w:val="nil"/>
            </w:tcBorders>
            <w:noWrap/>
            <w:hideMark/>
          </w:tcPr>
          <w:p w14:paraId="2BE65A98"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p>
        </w:tc>
        <w:tc>
          <w:tcPr>
            <w:tcW w:w="0" w:type="dxa"/>
            <w:tcBorders>
              <w:top w:val="single" w:sz="4" w:space="0" w:color="666666" w:themeColor="text1" w:themeTint="99"/>
              <w:bottom w:val="nil"/>
            </w:tcBorders>
            <w:noWrap/>
            <w:hideMark/>
          </w:tcPr>
          <w:p w14:paraId="3F2E3277"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c>
          <w:tcPr>
            <w:tcW w:w="1397" w:type="dxa"/>
            <w:tcBorders>
              <w:top w:val="single" w:sz="4" w:space="0" w:color="666666" w:themeColor="text1" w:themeTint="99"/>
              <w:bottom w:val="nil"/>
            </w:tcBorders>
            <w:noWrap/>
            <w:hideMark/>
          </w:tcPr>
          <w:p w14:paraId="6A52D060"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p>
        </w:tc>
      </w:tr>
      <w:tr w:rsidR="00015AF6" w:rsidRPr="0091560A" w14:paraId="373BC916" w14:textId="77777777" w:rsidTr="00AA0731">
        <w:trPr>
          <w:trHeight w:val="32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51A94AB0" w14:textId="77777777" w:rsidR="00015AF6" w:rsidRPr="001256FB" w:rsidRDefault="00015AF6" w:rsidP="00015AF6">
            <w:pPr>
              <w:rPr>
                <w:rFonts w:eastAsia="Times New Roman" w:cs="Times New Roman"/>
                <w:szCs w:val="24"/>
                <w:lang w:eastAsia="en-AU"/>
              </w:rPr>
            </w:pPr>
          </w:p>
        </w:tc>
        <w:tc>
          <w:tcPr>
            <w:tcW w:w="0" w:type="dxa"/>
            <w:tcBorders>
              <w:top w:val="nil"/>
              <w:bottom w:val="nil"/>
            </w:tcBorders>
            <w:noWrap/>
            <w:hideMark/>
          </w:tcPr>
          <w:p w14:paraId="66A3316E"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Impulsive</w:t>
            </w:r>
          </w:p>
        </w:tc>
        <w:tc>
          <w:tcPr>
            <w:tcW w:w="0" w:type="dxa"/>
            <w:tcBorders>
              <w:top w:val="nil"/>
              <w:bottom w:val="nil"/>
            </w:tcBorders>
            <w:noWrap/>
            <w:hideMark/>
          </w:tcPr>
          <w:p w14:paraId="1DAC2D98"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121 (46%)</w:t>
            </w:r>
          </w:p>
        </w:tc>
        <w:tc>
          <w:tcPr>
            <w:tcW w:w="1397" w:type="dxa"/>
            <w:tcBorders>
              <w:top w:val="nil"/>
              <w:bottom w:val="nil"/>
            </w:tcBorders>
            <w:noWrap/>
            <w:hideMark/>
          </w:tcPr>
          <w:p w14:paraId="715DD185"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72 (44%)</w:t>
            </w:r>
          </w:p>
        </w:tc>
      </w:tr>
      <w:tr w:rsidR="00015AF6" w:rsidRPr="0091560A" w14:paraId="62BE6784"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0B9E2EE2"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4E793811"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Same day plan</w:t>
            </w:r>
          </w:p>
        </w:tc>
        <w:tc>
          <w:tcPr>
            <w:tcW w:w="0" w:type="dxa"/>
            <w:tcBorders>
              <w:top w:val="nil"/>
              <w:bottom w:val="nil"/>
            </w:tcBorders>
            <w:noWrap/>
            <w:hideMark/>
          </w:tcPr>
          <w:p w14:paraId="1B68C536"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4 (2%)</w:t>
            </w:r>
          </w:p>
        </w:tc>
        <w:tc>
          <w:tcPr>
            <w:tcW w:w="1397" w:type="dxa"/>
            <w:tcBorders>
              <w:top w:val="nil"/>
              <w:bottom w:val="nil"/>
            </w:tcBorders>
            <w:noWrap/>
            <w:hideMark/>
          </w:tcPr>
          <w:p w14:paraId="1D6264B6"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2 (1%)</w:t>
            </w:r>
          </w:p>
        </w:tc>
      </w:tr>
      <w:tr w:rsidR="00015AF6" w:rsidRPr="0091560A" w14:paraId="380BD86D" w14:textId="77777777" w:rsidTr="00AA0731">
        <w:trPr>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bottom w:val="nil"/>
            </w:tcBorders>
            <w:noWrap/>
            <w:hideMark/>
          </w:tcPr>
          <w:p w14:paraId="3D962525"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bottom w:val="nil"/>
            </w:tcBorders>
            <w:noWrap/>
            <w:hideMark/>
          </w:tcPr>
          <w:p w14:paraId="441BCF63" w14:textId="77777777" w:rsidR="00015AF6" w:rsidRPr="001256FB" w:rsidRDefault="00015AF6" w:rsidP="00015AF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Planned (longer duration or duration not specified)</w:t>
            </w:r>
          </w:p>
        </w:tc>
        <w:tc>
          <w:tcPr>
            <w:tcW w:w="0" w:type="dxa"/>
            <w:tcBorders>
              <w:top w:val="nil"/>
              <w:bottom w:val="nil"/>
            </w:tcBorders>
            <w:noWrap/>
            <w:hideMark/>
          </w:tcPr>
          <w:p w14:paraId="79EFE5B9"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54 (20%)</w:t>
            </w:r>
          </w:p>
        </w:tc>
        <w:tc>
          <w:tcPr>
            <w:tcW w:w="1397" w:type="dxa"/>
            <w:tcBorders>
              <w:top w:val="nil"/>
              <w:bottom w:val="nil"/>
            </w:tcBorders>
            <w:noWrap/>
            <w:hideMark/>
          </w:tcPr>
          <w:p w14:paraId="034CE578" w14:textId="77777777" w:rsidR="00015AF6" w:rsidRPr="001256FB" w:rsidRDefault="00015AF6" w:rsidP="00015AF6">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24 (15%)</w:t>
            </w:r>
          </w:p>
        </w:tc>
      </w:tr>
      <w:tr w:rsidR="00015AF6" w:rsidRPr="0091560A" w14:paraId="72E92375" w14:textId="77777777" w:rsidTr="00AA0731">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060" w:type="dxa"/>
            <w:tcBorders>
              <w:top w:val="nil"/>
            </w:tcBorders>
            <w:noWrap/>
            <w:hideMark/>
          </w:tcPr>
          <w:p w14:paraId="397AB168" w14:textId="77777777" w:rsidR="00015AF6" w:rsidRPr="001256FB" w:rsidRDefault="00015AF6" w:rsidP="00015AF6">
            <w:pPr>
              <w:jc w:val="center"/>
              <w:rPr>
                <w:rFonts w:eastAsia="Times New Roman" w:cs="Times New Roman"/>
                <w:color w:val="000000"/>
                <w:szCs w:val="24"/>
                <w:lang w:eastAsia="en-AU"/>
              </w:rPr>
            </w:pPr>
          </w:p>
        </w:tc>
        <w:tc>
          <w:tcPr>
            <w:tcW w:w="0" w:type="dxa"/>
            <w:tcBorders>
              <w:top w:val="nil"/>
            </w:tcBorders>
            <w:noWrap/>
            <w:hideMark/>
          </w:tcPr>
          <w:p w14:paraId="32F4AB2A" w14:textId="77777777" w:rsidR="00015AF6" w:rsidRPr="001256FB" w:rsidRDefault="00015AF6" w:rsidP="00015AF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Unknown</w:t>
            </w:r>
          </w:p>
        </w:tc>
        <w:tc>
          <w:tcPr>
            <w:tcW w:w="0" w:type="dxa"/>
            <w:tcBorders>
              <w:top w:val="nil"/>
            </w:tcBorders>
            <w:noWrap/>
            <w:hideMark/>
          </w:tcPr>
          <w:p w14:paraId="6F572F90"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86 (32%)</w:t>
            </w:r>
          </w:p>
        </w:tc>
        <w:tc>
          <w:tcPr>
            <w:tcW w:w="1397" w:type="dxa"/>
            <w:tcBorders>
              <w:top w:val="nil"/>
            </w:tcBorders>
            <w:noWrap/>
            <w:hideMark/>
          </w:tcPr>
          <w:p w14:paraId="7EC8A830" w14:textId="77777777" w:rsidR="00015AF6" w:rsidRPr="001256FB" w:rsidRDefault="00015AF6" w:rsidP="00015AF6">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1256FB">
              <w:rPr>
                <w:rFonts w:eastAsia="Times New Roman" w:cs="Times New Roman"/>
                <w:color w:val="000000"/>
                <w:szCs w:val="24"/>
                <w:lang w:eastAsia="en-AU"/>
              </w:rPr>
              <w:t>66 (40%)</w:t>
            </w:r>
          </w:p>
        </w:tc>
      </w:tr>
    </w:tbl>
    <w:p w14:paraId="237E6AC7" w14:textId="038DCD2E" w:rsidR="00132BEE" w:rsidRDefault="00132BEE" w:rsidP="0067366B"/>
    <w:p w14:paraId="72052304" w14:textId="01F98A3D" w:rsidR="00657B33" w:rsidRPr="00657B33" w:rsidRDefault="00657B33" w:rsidP="00657B33">
      <w:r w:rsidRPr="0091560A">
        <w:rPr>
          <w:rFonts w:cs="Times New Roman"/>
          <w:color w:val="000000" w:themeColor="text1"/>
        </w:rPr>
        <w:t>The number of packs purchased was not known in the majority of cases</w:t>
      </w:r>
      <w:r w:rsidR="007D5590">
        <w:rPr>
          <w:rFonts w:cs="Times New Roman"/>
          <w:color w:val="000000" w:themeColor="text1"/>
        </w:rPr>
        <w:t>, but where known it was often multiple</w:t>
      </w:r>
      <w:r w:rsidR="00157C91">
        <w:rPr>
          <w:rFonts w:cs="Times New Roman"/>
          <w:color w:val="000000" w:themeColor="text1"/>
        </w:rPr>
        <w:t xml:space="preserve"> </w:t>
      </w:r>
      <w:r>
        <w:rPr>
          <w:rFonts w:cs="Times New Roman"/>
          <w:color w:val="000000" w:themeColor="text1"/>
        </w:rPr>
        <w:t>(Table 18</w:t>
      </w:r>
      <w:r w:rsidR="007D5590">
        <w:rPr>
          <w:rFonts w:cs="Times New Roman"/>
          <w:color w:val="000000" w:themeColor="text1"/>
        </w:rPr>
        <w:t xml:space="preserve">). </w:t>
      </w:r>
      <w:r w:rsidRPr="0091560A">
        <w:rPr>
          <w:rFonts w:cs="Times New Roman"/>
          <w:color w:val="000000" w:themeColor="text1"/>
        </w:rPr>
        <w:t>Note, these data might imply multiple packs are the norm, however we believe it is far more likely to be reported to the caller if it was multiple packs purchased for the purpose of the overdose.</w:t>
      </w:r>
    </w:p>
    <w:p w14:paraId="22CBC559" w14:textId="505F21B2" w:rsidR="00190127" w:rsidRPr="0091560A" w:rsidRDefault="007F3DC0" w:rsidP="007F3DC0">
      <w:pPr>
        <w:pStyle w:val="Caption"/>
      </w:pPr>
      <w:bookmarkStart w:id="93" w:name="_Toc114560133"/>
      <w:r>
        <w:t xml:space="preserve">Table </w:t>
      </w:r>
      <w:r>
        <w:fldChar w:fldCharType="begin"/>
      </w:r>
      <w:r>
        <w:instrText>SEQ Table \* ARABIC</w:instrText>
      </w:r>
      <w:r>
        <w:fldChar w:fldCharType="separate"/>
      </w:r>
      <w:r w:rsidR="0091734E">
        <w:rPr>
          <w:noProof/>
        </w:rPr>
        <w:t>18</w:t>
      </w:r>
      <w:r>
        <w:fldChar w:fldCharType="end"/>
      </w:r>
      <w:r w:rsidRPr="0091560A">
        <w:t xml:space="preserve">. </w:t>
      </w:r>
      <w:r w:rsidR="00190127" w:rsidRPr="0091560A">
        <w:t>Number of packs purchased</w:t>
      </w:r>
      <w:r w:rsidR="001B33BB" w:rsidRPr="0091560A">
        <w:t>, where specifically purchased for the overdose</w:t>
      </w:r>
      <w:bookmarkEnd w:id="93"/>
    </w:p>
    <w:tbl>
      <w:tblPr>
        <w:tblStyle w:val="ListTable6Colorful"/>
        <w:tblW w:w="9072" w:type="dxa"/>
        <w:tblLook w:val="04A0" w:firstRow="1" w:lastRow="0" w:firstColumn="1" w:lastColumn="0" w:noHBand="0" w:noVBand="1"/>
      </w:tblPr>
      <w:tblGrid>
        <w:gridCol w:w="1698"/>
        <w:gridCol w:w="2130"/>
        <w:gridCol w:w="2409"/>
        <w:gridCol w:w="2835"/>
      </w:tblGrid>
      <w:tr w:rsidR="00190127" w:rsidRPr="0091560A" w14:paraId="5C6A7650" w14:textId="77777777" w:rsidTr="0067366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8" w:type="dxa"/>
            <w:shd w:val="clear" w:color="auto" w:fill="595959" w:themeFill="text1" w:themeFillTint="A6"/>
            <w:noWrap/>
            <w:hideMark/>
          </w:tcPr>
          <w:p w14:paraId="7E5EBB9F" w14:textId="3619D377" w:rsidR="00190127" w:rsidRPr="001256FB" w:rsidRDefault="000942E0">
            <w:pPr>
              <w:rPr>
                <w:rFonts w:cs="Times New Roman"/>
                <w:color w:val="FFFFFF" w:themeColor="background1"/>
                <w:lang w:eastAsia="en-AU"/>
              </w:rPr>
            </w:pPr>
            <w:r w:rsidRPr="001256FB">
              <w:rPr>
                <w:rFonts w:cs="Times New Roman"/>
                <w:color w:val="FFFFFF" w:themeColor="background1"/>
                <w:lang w:eastAsia="en-AU"/>
              </w:rPr>
              <w:t>Number of packs</w:t>
            </w:r>
          </w:p>
        </w:tc>
        <w:tc>
          <w:tcPr>
            <w:tcW w:w="2130" w:type="dxa"/>
            <w:shd w:val="clear" w:color="auto" w:fill="595959" w:themeFill="text1" w:themeFillTint="A6"/>
            <w:noWrap/>
            <w:hideMark/>
          </w:tcPr>
          <w:p w14:paraId="1350D03B" w14:textId="60CBF631" w:rsidR="00190127" w:rsidRPr="001256FB" w:rsidRDefault="00190127" w:rsidP="000942E0">
            <w:pPr>
              <w:jc w:val="right"/>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lang w:eastAsia="en-AU"/>
              </w:rPr>
            </w:pPr>
            <w:r w:rsidRPr="001256FB">
              <w:rPr>
                <w:rFonts w:cs="Times New Roman"/>
                <w:color w:val="FFFFFF" w:themeColor="background1"/>
                <w:lang w:eastAsia="en-AU"/>
              </w:rPr>
              <w:t>5-19</w:t>
            </w:r>
            <w:r w:rsidR="00B30D3D" w:rsidRPr="001256FB">
              <w:rPr>
                <w:rFonts w:cs="Times New Roman"/>
                <w:color w:val="FFFFFF" w:themeColor="background1"/>
                <w:lang w:eastAsia="en-AU"/>
              </w:rPr>
              <w:t xml:space="preserve"> </w:t>
            </w:r>
            <w:r w:rsidRPr="001256FB">
              <w:rPr>
                <w:rFonts w:cs="Times New Roman"/>
                <w:color w:val="FFFFFF" w:themeColor="background1"/>
                <w:lang w:eastAsia="en-AU"/>
              </w:rPr>
              <w:t>y</w:t>
            </w:r>
            <w:r w:rsidR="00122186">
              <w:rPr>
                <w:rFonts w:cs="Times New Roman"/>
                <w:color w:val="FFFFFF" w:themeColor="background1"/>
                <w:lang w:eastAsia="en-AU"/>
              </w:rPr>
              <w:t>ea</w:t>
            </w:r>
            <w:r w:rsidRPr="001256FB">
              <w:rPr>
                <w:rFonts w:cs="Times New Roman"/>
                <w:color w:val="FFFFFF" w:themeColor="background1"/>
                <w:lang w:eastAsia="en-AU"/>
              </w:rPr>
              <w:t>rs</w:t>
            </w:r>
          </w:p>
        </w:tc>
        <w:tc>
          <w:tcPr>
            <w:tcW w:w="2409" w:type="dxa"/>
            <w:shd w:val="clear" w:color="auto" w:fill="595959" w:themeFill="text1" w:themeFillTint="A6"/>
            <w:noWrap/>
            <w:hideMark/>
          </w:tcPr>
          <w:p w14:paraId="1E511884" w14:textId="77777777" w:rsidR="00190127" w:rsidRPr="001256FB" w:rsidRDefault="00190127" w:rsidP="000942E0">
            <w:pPr>
              <w:jc w:val="right"/>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lang w:eastAsia="en-AU"/>
              </w:rPr>
            </w:pPr>
            <w:r w:rsidRPr="001256FB">
              <w:rPr>
                <w:rFonts w:cs="Times New Roman"/>
                <w:color w:val="FFFFFF" w:themeColor="background1"/>
                <w:lang w:eastAsia="en-AU"/>
              </w:rPr>
              <w:t>others</w:t>
            </w:r>
          </w:p>
        </w:tc>
        <w:tc>
          <w:tcPr>
            <w:tcW w:w="2835" w:type="dxa"/>
            <w:shd w:val="clear" w:color="auto" w:fill="595959" w:themeFill="text1" w:themeFillTint="A6"/>
            <w:noWrap/>
            <w:hideMark/>
          </w:tcPr>
          <w:p w14:paraId="28263275" w14:textId="77777777" w:rsidR="00190127" w:rsidRPr="001256FB" w:rsidRDefault="00190127" w:rsidP="000942E0">
            <w:pPr>
              <w:jc w:val="right"/>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lang w:eastAsia="en-AU"/>
              </w:rPr>
            </w:pPr>
            <w:r w:rsidRPr="001256FB">
              <w:rPr>
                <w:rFonts w:cs="Times New Roman"/>
                <w:color w:val="FFFFFF" w:themeColor="background1"/>
                <w:lang w:eastAsia="en-AU"/>
              </w:rPr>
              <w:t>Grand Total</w:t>
            </w:r>
          </w:p>
        </w:tc>
      </w:tr>
      <w:tr w:rsidR="00190127" w:rsidRPr="0091560A" w14:paraId="2FB615DF" w14:textId="77777777" w:rsidTr="006736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B49C3A9" w14:textId="77777777" w:rsidR="00190127" w:rsidRPr="0091560A" w:rsidRDefault="00190127">
            <w:pPr>
              <w:rPr>
                <w:rFonts w:cs="Times New Roman"/>
                <w:color w:val="000000"/>
                <w:lang w:eastAsia="en-AU"/>
              </w:rPr>
            </w:pPr>
            <w:r w:rsidRPr="0091560A">
              <w:rPr>
                <w:rFonts w:cs="Times New Roman"/>
                <w:color w:val="000000"/>
                <w:lang w:eastAsia="en-AU"/>
              </w:rPr>
              <w:t>1</w:t>
            </w:r>
          </w:p>
        </w:tc>
        <w:tc>
          <w:tcPr>
            <w:tcW w:w="2130" w:type="dxa"/>
            <w:noWrap/>
            <w:hideMark/>
          </w:tcPr>
          <w:p w14:paraId="57E41A1D"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12</w:t>
            </w:r>
          </w:p>
        </w:tc>
        <w:tc>
          <w:tcPr>
            <w:tcW w:w="2409" w:type="dxa"/>
            <w:noWrap/>
            <w:hideMark/>
          </w:tcPr>
          <w:p w14:paraId="64CA9DC7"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5</w:t>
            </w:r>
          </w:p>
        </w:tc>
        <w:tc>
          <w:tcPr>
            <w:tcW w:w="2835" w:type="dxa"/>
            <w:noWrap/>
            <w:hideMark/>
          </w:tcPr>
          <w:p w14:paraId="4C13D3ED"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17</w:t>
            </w:r>
          </w:p>
        </w:tc>
      </w:tr>
      <w:tr w:rsidR="00190127" w:rsidRPr="0091560A" w14:paraId="582C41F0" w14:textId="77777777" w:rsidTr="0067366B">
        <w:trPr>
          <w:trHeight w:val="315"/>
        </w:trPr>
        <w:tc>
          <w:tcPr>
            <w:cnfStyle w:val="001000000000" w:firstRow="0" w:lastRow="0" w:firstColumn="1" w:lastColumn="0" w:oddVBand="0" w:evenVBand="0" w:oddHBand="0" w:evenHBand="0" w:firstRowFirstColumn="0" w:firstRowLastColumn="0" w:lastRowFirstColumn="0" w:lastRowLastColumn="0"/>
            <w:tcW w:w="1698" w:type="dxa"/>
            <w:noWrap/>
            <w:hideMark/>
          </w:tcPr>
          <w:p w14:paraId="7771DFA1" w14:textId="77777777" w:rsidR="00190127" w:rsidRPr="0091560A" w:rsidRDefault="00190127">
            <w:pPr>
              <w:rPr>
                <w:rFonts w:cs="Times New Roman"/>
                <w:color w:val="000000"/>
                <w:lang w:eastAsia="en-AU"/>
              </w:rPr>
            </w:pPr>
            <w:r w:rsidRPr="0091560A">
              <w:rPr>
                <w:rFonts w:cs="Times New Roman"/>
                <w:color w:val="000000"/>
                <w:lang w:eastAsia="en-AU"/>
              </w:rPr>
              <w:t>2</w:t>
            </w:r>
          </w:p>
        </w:tc>
        <w:tc>
          <w:tcPr>
            <w:tcW w:w="2130" w:type="dxa"/>
            <w:noWrap/>
            <w:hideMark/>
          </w:tcPr>
          <w:p w14:paraId="669D1899"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13</w:t>
            </w:r>
          </w:p>
        </w:tc>
        <w:tc>
          <w:tcPr>
            <w:tcW w:w="2409" w:type="dxa"/>
            <w:noWrap/>
            <w:hideMark/>
          </w:tcPr>
          <w:p w14:paraId="33C5A230"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10</w:t>
            </w:r>
          </w:p>
        </w:tc>
        <w:tc>
          <w:tcPr>
            <w:tcW w:w="2835" w:type="dxa"/>
            <w:noWrap/>
            <w:hideMark/>
          </w:tcPr>
          <w:p w14:paraId="3FEBE7E6"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23</w:t>
            </w:r>
          </w:p>
        </w:tc>
      </w:tr>
      <w:tr w:rsidR="00190127" w:rsidRPr="0091560A" w14:paraId="19DF6196" w14:textId="77777777" w:rsidTr="006736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8" w:type="dxa"/>
            <w:noWrap/>
            <w:hideMark/>
          </w:tcPr>
          <w:p w14:paraId="34EA76CB" w14:textId="77777777" w:rsidR="00190127" w:rsidRPr="0091560A" w:rsidRDefault="00190127">
            <w:pPr>
              <w:rPr>
                <w:rFonts w:cs="Times New Roman"/>
                <w:color w:val="000000"/>
                <w:lang w:eastAsia="en-AU"/>
              </w:rPr>
            </w:pPr>
            <w:r w:rsidRPr="0091560A">
              <w:rPr>
                <w:rFonts w:cs="Times New Roman"/>
                <w:color w:val="000000"/>
                <w:lang w:eastAsia="en-AU"/>
              </w:rPr>
              <w:t>3</w:t>
            </w:r>
          </w:p>
        </w:tc>
        <w:tc>
          <w:tcPr>
            <w:tcW w:w="2130" w:type="dxa"/>
            <w:noWrap/>
            <w:hideMark/>
          </w:tcPr>
          <w:p w14:paraId="21DC2516"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3</w:t>
            </w:r>
          </w:p>
        </w:tc>
        <w:tc>
          <w:tcPr>
            <w:tcW w:w="2409" w:type="dxa"/>
            <w:noWrap/>
            <w:hideMark/>
          </w:tcPr>
          <w:p w14:paraId="15878095"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1</w:t>
            </w:r>
          </w:p>
        </w:tc>
        <w:tc>
          <w:tcPr>
            <w:tcW w:w="2835" w:type="dxa"/>
            <w:noWrap/>
            <w:hideMark/>
          </w:tcPr>
          <w:p w14:paraId="0A5C8177"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4</w:t>
            </w:r>
          </w:p>
        </w:tc>
      </w:tr>
      <w:tr w:rsidR="00190127" w:rsidRPr="0091560A" w14:paraId="67EBA9B7" w14:textId="77777777" w:rsidTr="0067366B">
        <w:trPr>
          <w:trHeight w:val="315"/>
        </w:trPr>
        <w:tc>
          <w:tcPr>
            <w:cnfStyle w:val="001000000000" w:firstRow="0" w:lastRow="0" w:firstColumn="1" w:lastColumn="0" w:oddVBand="0" w:evenVBand="0" w:oddHBand="0" w:evenHBand="0" w:firstRowFirstColumn="0" w:firstRowLastColumn="0" w:lastRowFirstColumn="0" w:lastRowLastColumn="0"/>
            <w:tcW w:w="1698" w:type="dxa"/>
            <w:noWrap/>
            <w:hideMark/>
          </w:tcPr>
          <w:p w14:paraId="29AF898A" w14:textId="77777777" w:rsidR="00190127" w:rsidRPr="0091560A" w:rsidRDefault="00190127">
            <w:pPr>
              <w:rPr>
                <w:rFonts w:cs="Times New Roman"/>
                <w:color w:val="000000"/>
                <w:lang w:eastAsia="en-AU"/>
              </w:rPr>
            </w:pPr>
            <w:r w:rsidRPr="0091560A">
              <w:rPr>
                <w:rFonts w:cs="Times New Roman"/>
                <w:color w:val="000000"/>
                <w:lang w:eastAsia="en-AU"/>
              </w:rPr>
              <w:t>4</w:t>
            </w:r>
          </w:p>
        </w:tc>
        <w:tc>
          <w:tcPr>
            <w:tcW w:w="2130" w:type="dxa"/>
            <w:noWrap/>
            <w:hideMark/>
          </w:tcPr>
          <w:p w14:paraId="4E3C4900"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2</w:t>
            </w:r>
          </w:p>
        </w:tc>
        <w:tc>
          <w:tcPr>
            <w:tcW w:w="2409" w:type="dxa"/>
            <w:noWrap/>
            <w:hideMark/>
          </w:tcPr>
          <w:p w14:paraId="79C964FB"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1</w:t>
            </w:r>
          </w:p>
        </w:tc>
        <w:tc>
          <w:tcPr>
            <w:tcW w:w="2835" w:type="dxa"/>
            <w:noWrap/>
            <w:hideMark/>
          </w:tcPr>
          <w:p w14:paraId="3E33E52C" w14:textId="77777777" w:rsidR="00190127" w:rsidRPr="0091560A" w:rsidRDefault="00190127" w:rsidP="001256FB">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rPr>
              <w:t>3</w:t>
            </w:r>
          </w:p>
        </w:tc>
      </w:tr>
      <w:tr w:rsidR="00190127" w:rsidRPr="0091560A" w14:paraId="613EB1BC" w14:textId="77777777" w:rsidTr="0067366B">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98" w:type="dxa"/>
            <w:noWrap/>
            <w:hideMark/>
          </w:tcPr>
          <w:p w14:paraId="56DABE6D" w14:textId="77777777" w:rsidR="00190127" w:rsidRPr="0091560A" w:rsidRDefault="00190127">
            <w:pPr>
              <w:rPr>
                <w:rFonts w:cs="Times New Roman"/>
                <w:color w:val="000000"/>
                <w:lang w:eastAsia="en-AU"/>
              </w:rPr>
            </w:pPr>
            <w:r w:rsidRPr="0091560A">
              <w:rPr>
                <w:rFonts w:cs="Times New Roman"/>
                <w:color w:val="000000"/>
                <w:lang w:eastAsia="en-AU"/>
              </w:rPr>
              <w:t>5</w:t>
            </w:r>
          </w:p>
        </w:tc>
        <w:tc>
          <w:tcPr>
            <w:tcW w:w="2130" w:type="dxa"/>
            <w:noWrap/>
            <w:hideMark/>
          </w:tcPr>
          <w:p w14:paraId="20C8397C"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1</w:t>
            </w:r>
          </w:p>
        </w:tc>
        <w:tc>
          <w:tcPr>
            <w:tcW w:w="2409" w:type="dxa"/>
            <w:noWrap/>
            <w:hideMark/>
          </w:tcPr>
          <w:p w14:paraId="3C521460"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2835" w:type="dxa"/>
            <w:noWrap/>
            <w:hideMark/>
          </w:tcPr>
          <w:p w14:paraId="33E487E8" w14:textId="77777777" w:rsidR="00190127" w:rsidRPr="0091560A" w:rsidRDefault="00190127" w:rsidP="001256FB">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rPr>
              <w:t>1</w:t>
            </w:r>
          </w:p>
        </w:tc>
      </w:tr>
    </w:tbl>
    <w:p w14:paraId="59ADA985" w14:textId="3F9C6B2C" w:rsidR="005C18EC" w:rsidRPr="0091560A" w:rsidRDefault="00D650C3" w:rsidP="005D3695">
      <w:pPr>
        <w:pStyle w:val="Tablenote"/>
      </w:pPr>
      <w:r>
        <w:t xml:space="preserve">NB </w:t>
      </w:r>
      <w:r w:rsidRPr="0091560A">
        <w:t>If the cases where questions were not answered is included, it is: 1 pack (18), 2 packs (26), 3 packs (4) 4 packs (4) 5 packs (3).</w:t>
      </w:r>
    </w:p>
    <w:p w14:paraId="3AD1B230" w14:textId="5E4B5253" w:rsidR="0030599C" w:rsidRDefault="006F33E0" w:rsidP="006D4386">
      <w:r>
        <w:t xml:space="preserve">Pack sizes </w:t>
      </w:r>
      <w:r w:rsidR="006D4386">
        <w:t>ingested reflected the most common pack sizes purchased (</w:t>
      </w:r>
      <w:r w:rsidR="006C27B8">
        <w:t xml:space="preserve">Table 19 &amp; </w:t>
      </w:r>
      <w:r w:rsidR="006D4386">
        <w:t>se</w:t>
      </w:r>
      <w:r w:rsidR="00771AC5">
        <w:t xml:space="preserve">ction </w:t>
      </w:r>
      <w:r w:rsidR="007F67A9">
        <w:t>12)</w:t>
      </w:r>
      <w:r w:rsidR="00CB1F59">
        <w:t xml:space="preserve">, and the scheduling </w:t>
      </w:r>
      <w:r w:rsidR="00771AC5">
        <w:t xml:space="preserve">also </w:t>
      </w:r>
      <w:r w:rsidR="00CB1F59">
        <w:t>reflects the</w:t>
      </w:r>
      <w:r w:rsidR="00771AC5">
        <w:t xml:space="preserve"> source and schedule of the </w:t>
      </w:r>
      <w:r w:rsidR="00CB1F59">
        <w:t xml:space="preserve">most common </w:t>
      </w:r>
      <w:r w:rsidR="00771AC5">
        <w:t xml:space="preserve">agents (Table 20 &amp; </w:t>
      </w:r>
      <w:r w:rsidR="007F67A9">
        <w:t>section 12)</w:t>
      </w:r>
      <w:r w:rsidR="006C27B8">
        <w:t>.</w:t>
      </w:r>
      <w:r w:rsidR="00CB1F59">
        <w:t xml:space="preserve"> </w:t>
      </w:r>
    </w:p>
    <w:p w14:paraId="764D2A88" w14:textId="0A1951C3" w:rsidR="005C18EC" w:rsidRPr="0091560A" w:rsidRDefault="007F3DC0" w:rsidP="007F3DC0">
      <w:pPr>
        <w:pStyle w:val="Caption"/>
      </w:pPr>
      <w:bookmarkStart w:id="94" w:name="_Toc114560134"/>
      <w:r>
        <w:t xml:space="preserve">Table </w:t>
      </w:r>
      <w:r>
        <w:fldChar w:fldCharType="begin"/>
      </w:r>
      <w:r>
        <w:instrText>SEQ Table \* ARABIC</w:instrText>
      </w:r>
      <w:r>
        <w:fldChar w:fldCharType="separate"/>
      </w:r>
      <w:r w:rsidR="0091734E">
        <w:rPr>
          <w:noProof/>
        </w:rPr>
        <w:t>19</w:t>
      </w:r>
      <w:r>
        <w:fldChar w:fldCharType="end"/>
      </w:r>
      <w:r w:rsidRPr="0091560A">
        <w:t xml:space="preserve">. </w:t>
      </w:r>
      <w:r w:rsidR="001B33BB" w:rsidRPr="0091560A">
        <w:t xml:space="preserve">Pack size of </w:t>
      </w:r>
      <w:r w:rsidR="004F5329" w:rsidRPr="0091560A">
        <w:t xml:space="preserve">paracetamol taken in </w:t>
      </w:r>
      <w:r w:rsidR="001B33BB" w:rsidRPr="0091560A">
        <w:t>all ingestions</w:t>
      </w:r>
      <w:bookmarkEnd w:id="94"/>
      <w:r w:rsidR="001B33BB" w:rsidRPr="0091560A">
        <w:t xml:space="preserve"> </w:t>
      </w:r>
    </w:p>
    <w:tbl>
      <w:tblPr>
        <w:tblStyle w:val="ListTable6Colorful"/>
        <w:tblW w:w="9072" w:type="dxa"/>
        <w:tblLook w:val="04A0" w:firstRow="1" w:lastRow="0" w:firstColumn="1" w:lastColumn="0" w:noHBand="0" w:noVBand="1"/>
      </w:tblPr>
      <w:tblGrid>
        <w:gridCol w:w="2694"/>
        <w:gridCol w:w="2126"/>
        <w:gridCol w:w="1134"/>
        <w:gridCol w:w="2126"/>
        <w:gridCol w:w="992"/>
      </w:tblGrid>
      <w:tr w:rsidR="005C18EC" w:rsidRPr="0091560A" w14:paraId="769F831D" w14:textId="77777777" w:rsidTr="00264C31">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shd w:val="clear" w:color="auto" w:fill="595959" w:themeFill="text1" w:themeFillTint="A6"/>
            <w:noWrap/>
            <w:hideMark/>
          </w:tcPr>
          <w:p w14:paraId="09658DBC" w14:textId="5E4FAAC7" w:rsidR="005C18EC" w:rsidRPr="00C27CD5" w:rsidRDefault="0012144D">
            <w:pPr>
              <w:rPr>
                <w:rFonts w:cs="Times New Roman"/>
                <w:color w:val="FFFFFF" w:themeColor="background1"/>
                <w:lang w:eastAsia="en-AU"/>
              </w:rPr>
            </w:pPr>
            <w:r w:rsidRPr="00C27CD5">
              <w:rPr>
                <w:rFonts w:cs="Times New Roman"/>
                <w:color w:val="FFFFFF" w:themeColor="background1"/>
                <w:lang w:eastAsia="en-AU"/>
              </w:rPr>
              <w:t>Pack size</w:t>
            </w:r>
          </w:p>
        </w:tc>
        <w:tc>
          <w:tcPr>
            <w:tcW w:w="2126" w:type="dxa"/>
            <w:shd w:val="clear" w:color="auto" w:fill="595959" w:themeFill="text1" w:themeFillTint="A6"/>
            <w:noWrap/>
            <w:hideMark/>
          </w:tcPr>
          <w:p w14:paraId="17FB0F2F" w14:textId="77777777" w:rsidR="005C18EC" w:rsidRPr="00C27CD5" w:rsidRDefault="005C18E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eastAsia="en-AU"/>
              </w:rPr>
            </w:pPr>
            <w:r w:rsidRPr="00C27CD5">
              <w:rPr>
                <w:rFonts w:cs="Times New Roman"/>
                <w:color w:val="FFFFFF" w:themeColor="background1"/>
              </w:rPr>
              <w:t>5-19 years (n=265)</w:t>
            </w:r>
          </w:p>
        </w:tc>
        <w:tc>
          <w:tcPr>
            <w:tcW w:w="1134" w:type="dxa"/>
            <w:shd w:val="clear" w:color="auto" w:fill="595959" w:themeFill="text1" w:themeFillTint="A6"/>
            <w:noWrap/>
            <w:hideMark/>
          </w:tcPr>
          <w:p w14:paraId="15824628" w14:textId="51125A27" w:rsidR="005C18EC" w:rsidRPr="00C27CD5" w:rsidRDefault="005C18E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eastAsia="en-AU"/>
              </w:rPr>
            </w:pPr>
            <w:r w:rsidRPr="00C27CD5">
              <w:rPr>
                <w:rFonts w:cs="Times New Roman"/>
                <w:color w:val="FFFFFF" w:themeColor="background1"/>
              </w:rPr>
              <w:t>%</w:t>
            </w:r>
          </w:p>
        </w:tc>
        <w:tc>
          <w:tcPr>
            <w:tcW w:w="2126" w:type="dxa"/>
            <w:shd w:val="clear" w:color="auto" w:fill="595959" w:themeFill="text1" w:themeFillTint="A6"/>
            <w:noWrap/>
            <w:hideMark/>
          </w:tcPr>
          <w:p w14:paraId="41CA3C55" w14:textId="77777777" w:rsidR="005C18EC" w:rsidRPr="00C27CD5" w:rsidRDefault="005C18E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eastAsia="en-AU"/>
              </w:rPr>
            </w:pPr>
            <w:r w:rsidRPr="00C27CD5">
              <w:rPr>
                <w:rFonts w:cs="Times New Roman"/>
                <w:color w:val="FFFFFF" w:themeColor="background1"/>
              </w:rPr>
              <w:t>Others (n=164)</w:t>
            </w:r>
          </w:p>
        </w:tc>
        <w:tc>
          <w:tcPr>
            <w:tcW w:w="992" w:type="dxa"/>
            <w:shd w:val="clear" w:color="auto" w:fill="595959" w:themeFill="text1" w:themeFillTint="A6"/>
            <w:noWrap/>
            <w:hideMark/>
          </w:tcPr>
          <w:p w14:paraId="06794D84" w14:textId="77777777" w:rsidR="005C18EC" w:rsidRPr="00C27CD5" w:rsidRDefault="005C18E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lang w:eastAsia="en-AU"/>
              </w:rPr>
            </w:pPr>
            <w:r w:rsidRPr="00C27CD5">
              <w:rPr>
                <w:rFonts w:cs="Times New Roman"/>
                <w:color w:val="FFFFFF" w:themeColor="background1"/>
              </w:rPr>
              <w:t>%</w:t>
            </w:r>
          </w:p>
        </w:tc>
      </w:tr>
      <w:tr w:rsidR="005C18EC" w:rsidRPr="0091560A" w14:paraId="3E499400"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075D849" w14:textId="77777777" w:rsidR="005C18EC" w:rsidRPr="0091560A" w:rsidRDefault="005C18EC">
            <w:pPr>
              <w:rPr>
                <w:rFonts w:cs="Times New Roman"/>
                <w:color w:val="000000"/>
                <w:lang w:eastAsia="en-AU"/>
              </w:rPr>
            </w:pPr>
            <w:r w:rsidRPr="0091560A">
              <w:rPr>
                <w:rFonts w:cs="Times New Roman"/>
                <w:color w:val="000000"/>
                <w:lang w:eastAsia="en-AU"/>
              </w:rPr>
              <w:t>9</w:t>
            </w:r>
          </w:p>
        </w:tc>
        <w:tc>
          <w:tcPr>
            <w:tcW w:w="2126" w:type="dxa"/>
            <w:noWrap/>
            <w:hideMark/>
          </w:tcPr>
          <w:p w14:paraId="23F73FF6"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1134" w:type="dxa"/>
            <w:noWrap/>
            <w:hideMark/>
          </w:tcPr>
          <w:p w14:paraId="5F5D993B" w14:textId="5505470D"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2126" w:type="dxa"/>
            <w:noWrap/>
            <w:hideMark/>
          </w:tcPr>
          <w:p w14:paraId="24CC569C"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992" w:type="dxa"/>
            <w:noWrap/>
            <w:hideMark/>
          </w:tcPr>
          <w:p w14:paraId="4E2360E8"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r>
      <w:tr w:rsidR="005C18EC" w:rsidRPr="0091560A" w14:paraId="153FB661"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7BF972C" w14:textId="77777777" w:rsidR="005C18EC" w:rsidRPr="0091560A" w:rsidRDefault="005C18EC">
            <w:pPr>
              <w:rPr>
                <w:rFonts w:cs="Times New Roman"/>
                <w:color w:val="000000"/>
                <w:lang w:eastAsia="en-AU"/>
              </w:rPr>
            </w:pPr>
            <w:r w:rsidRPr="0091560A">
              <w:rPr>
                <w:rFonts w:cs="Times New Roman"/>
                <w:color w:val="000000"/>
                <w:lang w:eastAsia="en-AU"/>
              </w:rPr>
              <w:t>10</w:t>
            </w:r>
          </w:p>
        </w:tc>
        <w:tc>
          <w:tcPr>
            <w:tcW w:w="2126" w:type="dxa"/>
            <w:noWrap/>
            <w:hideMark/>
          </w:tcPr>
          <w:p w14:paraId="7C173E49"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4</w:t>
            </w:r>
          </w:p>
        </w:tc>
        <w:tc>
          <w:tcPr>
            <w:tcW w:w="1134" w:type="dxa"/>
            <w:noWrap/>
            <w:hideMark/>
          </w:tcPr>
          <w:p w14:paraId="22BD656A"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c>
          <w:tcPr>
            <w:tcW w:w="2126" w:type="dxa"/>
            <w:noWrap/>
            <w:hideMark/>
          </w:tcPr>
          <w:p w14:paraId="56E866C1"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6</w:t>
            </w:r>
          </w:p>
        </w:tc>
        <w:tc>
          <w:tcPr>
            <w:tcW w:w="992" w:type="dxa"/>
            <w:noWrap/>
            <w:hideMark/>
          </w:tcPr>
          <w:p w14:paraId="2CBACC63"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4%</w:t>
            </w:r>
          </w:p>
        </w:tc>
      </w:tr>
      <w:tr w:rsidR="005C18EC" w:rsidRPr="0091560A" w14:paraId="1F35DF60"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844547F" w14:textId="77777777" w:rsidR="005C18EC" w:rsidRPr="0091560A" w:rsidRDefault="005C18EC">
            <w:pPr>
              <w:rPr>
                <w:rFonts w:cs="Times New Roman"/>
                <w:color w:val="000000"/>
                <w:lang w:eastAsia="en-AU"/>
              </w:rPr>
            </w:pPr>
            <w:r w:rsidRPr="0091560A">
              <w:rPr>
                <w:rFonts w:cs="Times New Roman"/>
                <w:color w:val="000000"/>
                <w:lang w:eastAsia="en-AU"/>
              </w:rPr>
              <w:t>12</w:t>
            </w:r>
          </w:p>
        </w:tc>
        <w:tc>
          <w:tcPr>
            <w:tcW w:w="2126" w:type="dxa"/>
            <w:noWrap/>
            <w:hideMark/>
          </w:tcPr>
          <w:p w14:paraId="006A5AE4"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4</w:t>
            </w:r>
          </w:p>
        </w:tc>
        <w:tc>
          <w:tcPr>
            <w:tcW w:w="1134" w:type="dxa"/>
            <w:noWrap/>
            <w:hideMark/>
          </w:tcPr>
          <w:p w14:paraId="0B2D8CA3"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c>
          <w:tcPr>
            <w:tcW w:w="2126" w:type="dxa"/>
            <w:noWrap/>
            <w:hideMark/>
          </w:tcPr>
          <w:p w14:paraId="6D78F858"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3</w:t>
            </w:r>
          </w:p>
        </w:tc>
        <w:tc>
          <w:tcPr>
            <w:tcW w:w="992" w:type="dxa"/>
            <w:noWrap/>
            <w:hideMark/>
          </w:tcPr>
          <w:p w14:paraId="54DC36F9"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r>
      <w:tr w:rsidR="005C18EC" w:rsidRPr="0091560A" w14:paraId="2290D772"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0C73572" w14:textId="77777777" w:rsidR="005C18EC" w:rsidRPr="0091560A" w:rsidRDefault="005C18EC">
            <w:pPr>
              <w:rPr>
                <w:rFonts w:cs="Times New Roman"/>
                <w:color w:val="000000"/>
                <w:lang w:eastAsia="en-AU"/>
              </w:rPr>
            </w:pPr>
            <w:r w:rsidRPr="0091560A">
              <w:rPr>
                <w:rFonts w:cs="Times New Roman"/>
                <w:color w:val="000000"/>
                <w:lang w:eastAsia="en-AU"/>
              </w:rPr>
              <w:t>20</w:t>
            </w:r>
          </w:p>
        </w:tc>
        <w:tc>
          <w:tcPr>
            <w:tcW w:w="2126" w:type="dxa"/>
            <w:noWrap/>
            <w:hideMark/>
          </w:tcPr>
          <w:p w14:paraId="255A52DF"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62</w:t>
            </w:r>
          </w:p>
        </w:tc>
        <w:tc>
          <w:tcPr>
            <w:tcW w:w="1134" w:type="dxa"/>
            <w:noWrap/>
            <w:hideMark/>
          </w:tcPr>
          <w:p w14:paraId="152A039D"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23%</w:t>
            </w:r>
          </w:p>
        </w:tc>
        <w:tc>
          <w:tcPr>
            <w:tcW w:w="2126" w:type="dxa"/>
            <w:noWrap/>
            <w:hideMark/>
          </w:tcPr>
          <w:p w14:paraId="07D96645"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32</w:t>
            </w:r>
          </w:p>
        </w:tc>
        <w:tc>
          <w:tcPr>
            <w:tcW w:w="992" w:type="dxa"/>
            <w:noWrap/>
            <w:hideMark/>
          </w:tcPr>
          <w:p w14:paraId="3A351C70"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20%</w:t>
            </w:r>
          </w:p>
        </w:tc>
      </w:tr>
      <w:tr w:rsidR="005C18EC" w:rsidRPr="0091560A" w14:paraId="4A8D35E2"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9A5F354" w14:textId="77777777" w:rsidR="005C18EC" w:rsidRPr="0091560A" w:rsidRDefault="005C18EC">
            <w:pPr>
              <w:rPr>
                <w:rFonts w:cs="Times New Roman"/>
                <w:color w:val="000000"/>
                <w:lang w:eastAsia="en-AU"/>
              </w:rPr>
            </w:pPr>
            <w:r w:rsidRPr="0091560A">
              <w:rPr>
                <w:rFonts w:cs="Times New Roman"/>
                <w:color w:val="000000"/>
                <w:lang w:eastAsia="en-AU"/>
              </w:rPr>
              <w:t>24</w:t>
            </w:r>
          </w:p>
        </w:tc>
        <w:tc>
          <w:tcPr>
            <w:tcW w:w="2126" w:type="dxa"/>
            <w:noWrap/>
            <w:hideMark/>
          </w:tcPr>
          <w:p w14:paraId="5E7498DB"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10</w:t>
            </w:r>
          </w:p>
        </w:tc>
        <w:tc>
          <w:tcPr>
            <w:tcW w:w="1134" w:type="dxa"/>
            <w:noWrap/>
            <w:hideMark/>
          </w:tcPr>
          <w:p w14:paraId="3A19045E"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4%</w:t>
            </w:r>
          </w:p>
        </w:tc>
        <w:tc>
          <w:tcPr>
            <w:tcW w:w="2126" w:type="dxa"/>
            <w:noWrap/>
            <w:hideMark/>
          </w:tcPr>
          <w:p w14:paraId="6CC958D2"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3</w:t>
            </w:r>
          </w:p>
        </w:tc>
        <w:tc>
          <w:tcPr>
            <w:tcW w:w="992" w:type="dxa"/>
            <w:noWrap/>
            <w:hideMark/>
          </w:tcPr>
          <w:p w14:paraId="036165DB"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r>
      <w:tr w:rsidR="005C18EC" w:rsidRPr="0091560A" w14:paraId="78081ED0"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6590934" w14:textId="77777777" w:rsidR="005C18EC" w:rsidRPr="0091560A" w:rsidRDefault="005C18EC">
            <w:pPr>
              <w:rPr>
                <w:rFonts w:cs="Times New Roman"/>
                <w:color w:val="000000"/>
                <w:lang w:eastAsia="en-AU"/>
              </w:rPr>
            </w:pPr>
            <w:r w:rsidRPr="0091560A">
              <w:rPr>
                <w:rFonts w:cs="Times New Roman"/>
                <w:color w:val="000000"/>
                <w:lang w:eastAsia="en-AU"/>
              </w:rPr>
              <w:t>30</w:t>
            </w:r>
          </w:p>
        </w:tc>
        <w:tc>
          <w:tcPr>
            <w:tcW w:w="2126" w:type="dxa"/>
            <w:noWrap/>
            <w:hideMark/>
          </w:tcPr>
          <w:p w14:paraId="40C2CB29"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0BF8B160"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5EB95C4E"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c>
          <w:tcPr>
            <w:tcW w:w="992" w:type="dxa"/>
            <w:noWrap/>
            <w:hideMark/>
          </w:tcPr>
          <w:p w14:paraId="08171187" w14:textId="468395FD"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r>
      <w:tr w:rsidR="005C18EC" w:rsidRPr="0091560A" w14:paraId="77E85DA3"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A93094C" w14:textId="77777777" w:rsidR="005C18EC" w:rsidRPr="0091560A" w:rsidRDefault="005C18EC">
            <w:pPr>
              <w:rPr>
                <w:rFonts w:cs="Times New Roman"/>
                <w:color w:val="000000"/>
                <w:lang w:eastAsia="en-AU"/>
              </w:rPr>
            </w:pPr>
            <w:r w:rsidRPr="0091560A">
              <w:rPr>
                <w:rFonts w:cs="Times New Roman"/>
                <w:color w:val="000000"/>
                <w:lang w:eastAsia="en-AU"/>
              </w:rPr>
              <w:t>40</w:t>
            </w:r>
          </w:p>
        </w:tc>
        <w:tc>
          <w:tcPr>
            <w:tcW w:w="2126" w:type="dxa"/>
            <w:noWrap/>
            <w:hideMark/>
          </w:tcPr>
          <w:p w14:paraId="25D88CA4"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c>
          <w:tcPr>
            <w:tcW w:w="1134" w:type="dxa"/>
            <w:noWrap/>
            <w:hideMark/>
          </w:tcPr>
          <w:p w14:paraId="7F9835DB"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2126" w:type="dxa"/>
            <w:noWrap/>
            <w:hideMark/>
          </w:tcPr>
          <w:p w14:paraId="0D57214D"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992" w:type="dxa"/>
            <w:noWrap/>
            <w:hideMark/>
          </w:tcPr>
          <w:p w14:paraId="62A53B7F" w14:textId="411DE3B3"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r>
      <w:tr w:rsidR="005C18EC" w:rsidRPr="0091560A" w14:paraId="3483C222"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85D22A3" w14:textId="77777777" w:rsidR="005C18EC" w:rsidRPr="0091560A" w:rsidRDefault="005C18EC">
            <w:pPr>
              <w:rPr>
                <w:rFonts w:cs="Times New Roman"/>
                <w:color w:val="000000"/>
                <w:lang w:eastAsia="en-AU"/>
              </w:rPr>
            </w:pPr>
            <w:r w:rsidRPr="0091560A">
              <w:rPr>
                <w:rFonts w:cs="Times New Roman"/>
                <w:color w:val="000000"/>
                <w:lang w:eastAsia="en-AU"/>
              </w:rPr>
              <w:t>48</w:t>
            </w:r>
          </w:p>
        </w:tc>
        <w:tc>
          <w:tcPr>
            <w:tcW w:w="2126" w:type="dxa"/>
            <w:noWrap/>
            <w:hideMark/>
          </w:tcPr>
          <w:p w14:paraId="18069AC3"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4</w:t>
            </w:r>
          </w:p>
        </w:tc>
        <w:tc>
          <w:tcPr>
            <w:tcW w:w="1134" w:type="dxa"/>
            <w:noWrap/>
            <w:hideMark/>
          </w:tcPr>
          <w:p w14:paraId="506BF29F"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c>
          <w:tcPr>
            <w:tcW w:w="2126" w:type="dxa"/>
            <w:noWrap/>
            <w:hideMark/>
          </w:tcPr>
          <w:p w14:paraId="5847980D"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c>
          <w:tcPr>
            <w:tcW w:w="992" w:type="dxa"/>
            <w:noWrap/>
            <w:hideMark/>
          </w:tcPr>
          <w:p w14:paraId="4DA0FFD7" w14:textId="32B52D3C"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r>
      <w:tr w:rsidR="005C18EC" w:rsidRPr="0091560A" w14:paraId="47B28611"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DBB62D3" w14:textId="77777777" w:rsidR="005C18EC" w:rsidRPr="0091560A" w:rsidRDefault="005C18EC">
            <w:pPr>
              <w:rPr>
                <w:rFonts w:cs="Times New Roman"/>
                <w:color w:val="000000"/>
                <w:lang w:eastAsia="en-AU"/>
              </w:rPr>
            </w:pPr>
            <w:r w:rsidRPr="0091560A">
              <w:rPr>
                <w:rFonts w:cs="Times New Roman"/>
                <w:color w:val="000000"/>
                <w:lang w:eastAsia="en-AU"/>
              </w:rPr>
              <w:t>50</w:t>
            </w:r>
          </w:p>
        </w:tc>
        <w:tc>
          <w:tcPr>
            <w:tcW w:w="2126" w:type="dxa"/>
            <w:noWrap/>
            <w:hideMark/>
          </w:tcPr>
          <w:p w14:paraId="58CB15A3"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0209F805"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537C7736"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992" w:type="dxa"/>
            <w:noWrap/>
            <w:hideMark/>
          </w:tcPr>
          <w:p w14:paraId="68F63094" w14:textId="6B951D2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r>
      <w:tr w:rsidR="005C18EC" w:rsidRPr="0091560A" w14:paraId="1F9A8432"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6CE0E06" w14:textId="77777777" w:rsidR="005C18EC" w:rsidRPr="0091560A" w:rsidRDefault="005C18EC">
            <w:pPr>
              <w:rPr>
                <w:rFonts w:cs="Times New Roman"/>
                <w:color w:val="000000"/>
                <w:lang w:eastAsia="en-AU"/>
              </w:rPr>
            </w:pPr>
            <w:r w:rsidRPr="0091560A">
              <w:rPr>
                <w:rFonts w:cs="Times New Roman"/>
                <w:color w:val="000000"/>
                <w:lang w:eastAsia="en-AU"/>
              </w:rPr>
              <w:t>60</w:t>
            </w:r>
          </w:p>
        </w:tc>
        <w:tc>
          <w:tcPr>
            <w:tcW w:w="2126" w:type="dxa"/>
            <w:noWrap/>
            <w:hideMark/>
          </w:tcPr>
          <w:p w14:paraId="49FCB979"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7F6420C2"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3F49AF75"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992" w:type="dxa"/>
            <w:noWrap/>
            <w:hideMark/>
          </w:tcPr>
          <w:p w14:paraId="08DCF473"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r>
      <w:tr w:rsidR="005C18EC" w:rsidRPr="0091560A" w14:paraId="030A5A8D"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5CE3049" w14:textId="77777777" w:rsidR="005C18EC" w:rsidRPr="0091560A" w:rsidRDefault="005C18EC">
            <w:pPr>
              <w:rPr>
                <w:rFonts w:cs="Times New Roman"/>
                <w:color w:val="000000"/>
                <w:lang w:eastAsia="en-AU"/>
              </w:rPr>
            </w:pPr>
            <w:r w:rsidRPr="0091560A">
              <w:rPr>
                <w:rFonts w:cs="Times New Roman"/>
                <w:color w:val="000000"/>
                <w:lang w:eastAsia="en-AU"/>
              </w:rPr>
              <w:t>96</w:t>
            </w:r>
          </w:p>
        </w:tc>
        <w:tc>
          <w:tcPr>
            <w:tcW w:w="2126" w:type="dxa"/>
            <w:noWrap/>
            <w:hideMark/>
          </w:tcPr>
          <w:p w14:paraId="521F03E3"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14</w:t>
            </w:r>
          </w:p>
        </w:tc>
        <w:tc>
          <w:tcPr>
            <w:tcW w:w="1134" w:type="dxa"/>
            <w:noWrap/>
            <w:hideMark/>
          </w:tcPr>
          <w:p w14:paraId="0AE4EB1E"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5%</w:t>
            </w:r>
          </w:p>
        </w:tc>
        <w:tc>
          <w:tcPr>
            <w:tcW w:w="2126" w:type="dxa"/>
            <w:noWrap/>
            <w:hideMark/>
          </w:tcPr>
          <w:p w14:paraId="0B1C949A"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9</w:t>
            </w:r>
          </w:p>
        </w:tc>
        <w:tc>
          <w:tcPr>
            <w:tcW w:w="992" w:type="dxa"/>
            <w:noWrap/>
            <w:hideMark/>
          </w:tcPr>
          <w:p w14:paraId="627D7BFC"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5%</w:t>
            </w:r>
          </w:p>
        </w:tc>
      </w:tr>
      <w:tr w:rsidR="005C18EC" w:rsidRPr="0091560A" w14:paraId="3C2CD93A"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F408B32" w14:textId="77777777" w:rsidR="005C18EC" w:rsidRPr="0091560A" w:rsidRDefault="005C18EC">
            <w:pPr>
              <w:rPr>
                <w:rFonts w:cs="Times New Roman"/>
                <w:color w:val="000000"/>
                <w:lang w:eastAsia="en-AU"/>
              </w:rPr>
            </w:pPr>
            <w:r w:rsidRPr="0091560A">
              <w:rPr>
                <w:rFonts w:cs="Times New Roman"/>
                <w:color w:val="000000"/>
                <w:lang w:eastAsia="en-AU"/>
              </w:rPr>
              <w:t>100</w:t>
            </w:r>
          </w:p>
        </w:tc>
        <w:tc>
          <w:tcPr>
            <w:tcW w:w="2126" w:type="dxa"/>
            <w:noWrap/>
            <w:hideMark/>
          </w:tcPr>
          <w:p w14:paraId="2A28CAF2"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41</w:t>
            </w:r>
          </w:p>
        </w:tc>
        <w:tc>
          <w:tcPr>
            <w:tcW w:w="1134" w:type="dxa"/>
            <w:noWrap/>
            <w:hideMark/>
          </w:tcPr>
          <w:p w14:paraId="79FE5EDB"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15%</w:t>
            </w:r>
          </w:p>
        </w:tc>
        <w:tc>
          <w:tcPr>
            <w:tcW w:w="2126" w:type="dxa"/>
            <w:noWrap/>
            <w:hideMark/>
          </w:tcPr>
          <w:p w14:paraId="2E89F990"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30</w:t>
            </w:r>
          </w:p>
        </w:tc>
        <w:tc>
          <w:tcPr>
            <w:tcW w:w="992" w:type="dxa"/>
            <w:noWrap/>
            <w:hideMark/>
          </w:tcPr>
          <w:p w14:paraId="7E37C27B"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18%</w:t>
            </w:r>
          </w:p>
        </w:tc>
      </w:tr>
      <w:tr w:rsidR="005C18EC" w:rsidRPr="0091560A" w14:paraId="0038DBF3"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F965951" w14:textId="77777777" w:rsidR="005C18EC" w:rsidRPr="0091560A" w:rsidRDefault="005C18EC">
            <w:pPr>
              <w:rPr>
                <w:rFonts w:cs="Times New Roman"/>
                <w:color w:val="000000"/>
                <w:lang w:eastAsia="en-AU"/>
              </w:rPr>
            </w:pPr>
            <w:r w:rsidRPr="0091560A">
              <w:rPr>
                <w:rFonts w:cs="Times New Roman"/>
                <w:color w:val="000000"/>
                <w:lang w:eastAsia="en-AU"/>
              </w:rPr>
              <w:t>200</w:t>
            </w:r>
          </w:p>
        </w:tc>
        <w:tc>
          <w:tcPr>
            <w:tcW w:w="2126" w:type="dxa"/>
            <w:noWrap/>
            <w:hideMark/>
          </w:tcPr>
          <w:p w14:paraId="65ED4AB2"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1134" w:type="dxa"/>
            <w:noWrap/>
            <w:hideMark/>
          </w:tcPr>
          <w:p w14:paraId="5B57796F" w14:textId="528C5083"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2126" w:type="dxa"/>
            <w:noWrap/>
            <w:hideMark/>
          </w:tcPr>
          <w:p w14:paraId="45DA914F"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992" w:type="dxa"/>
            <w:noWrap/>
            <w:hideMark/>
          </w:tcPr>
          <w:p w14:paraId="6D055272"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r>
      <w:tr w:rsidR="005C18EC" w:rsidRPr="0091560A" w14:paraId="773723D9"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05AA88F" w14:textId="77777777" w:rsidR="005C18EC" w:rsidRPr="0091560A" w:rsidRDefault="005C18EC">
            <w:pPr>
              <w:rPr>
                <w:rFonts w:cs="Times New Roman"/>
                <w:color w:val="000000"/>
                <w:lang w:eastAsia="en-AU"/>
              </w:rPr>
            </w:pPr>
            <w:r w:rsidRPr="0091560A">
              <w:rPr>
                <w:rFonts w:cs="Times New Roman"/>
                <w:color w:val="000000"/>
                <w:lang w:eastAsia="en-AU"/>
              </w:rPr>
              <w:t>100, 10</w:t>
            </w:r>
          </w:p>
        </w:tc>
        <w:tc>
          <w:tcPr>
            <w:tcW w:w="2126" w:type="dxa"/>
            <w:noWrap/>
            <w:hideMark/>
          </w:tcPr>
          <w:p w14:paraId="51014107"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382891EB"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0772BF30"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c>
          <w:tcPr>
            <w:tcW w:w="992" w:type="dxa"/>
            <w:noWrap/>
            <w:hideMark/>
          </w:tcPr>
          <w:p w14:paraId="581D4D9B" w14:textId="6BF9886E"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r>
      <w:tr w:rsidR="005C18EC" w:rsidRPr="0091560A" w14:paraId="5BD07720"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967354B" w14:textId="77777777" w:rsidR="005C18EC" w:rsidRPr="0091560A" w:rsidRDefault="005C18EC">
            <w:pPr>
              <w:rPr>
                <w:rFonts w:cs="Times New Roman"/>
                <w:color w:val="000000"/>
                <w:lang w:eastAsia="en-AU"/>
              </w:rPr>
            </w:pPr>
            <w:r w:rsidRPr="0091560A">
              <w:rPr>
                <w:rFonts w:cs="Times New Roman"/>
                <w:color w:val="000000"/>
                <w:lang w:eastAsia="en-AU"/>
              </w:rPr>
              <w:t>20, 24</w:t>
            </w:r>
          </w:p>
        </w:tc>
        <w:tc>
          <w:tcPr>
            <w:tcW w:w="2126" w:type="dxa"/>
            <w:noWrap/>
            <w:hideMark/>
          </w:tcPr>
          <w:p w14:paraId="277442A8"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322DFAA7"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28F5A76B"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992" w:type="dxa"/>
            <w:noWrap/>
            <w:hideMark/>
          </w:tcPr>
          <w:p w14:paraId="73248A09" w14:textId="5EF3D1CE"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r>
      <w:tr w:rsidR="005C18EC" w:rsidRPr="0091560A" w14:paraId="7F112115"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776EA34" w14:textId="77777777" w:rsidR="005C18EC" w:rsidRPr="0091560A" w:rsidRDefault="005C18EC">
            <w:pPr>
              <w:rPr>
                <w:rFonts w:cs="Times New Roman"/>
                <w:color w:val="000000"/>
                <w:lang w:eastAsia="en-AU"/>
              </w:rPr>
            </w:pPr>
            <w:r w:rsidRPr="0091560A">
              <w:rPr>
                <w:rFonts w:cs="Times New Roman"/>
                <w:color w:val="000000"/>
                <w:lang w:eastAsia="en-AU"/>
              </w:rPr>
              <w:t>16, 100</w:t>
            </w:r>
          </w:p>
        </w:tc>
        <w:tc>
          <w:tcPr>
            <w:tcW w:w="2126" w:type="dxa"/>
            <w:noWrap/>
            <w:hideMark/>
          </w:tcPr>
          <w:p w14:paraId="5803B617"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1134" w:type="dxa"/>
            <w:noWrap/>
            <w:hideMark/>
          </w:tcPr>
          <w:p w14:paraId="216D6B19"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&lt;1%</w:t>
            </w:r>
          </w:p>
        </w:tc>
        <w:tc>
          <w:tcPr>
            <w:tcW w:w="2126" w:type="dxa"/>
            <w:noWrap/>
            <w:hideMark/>
          </w:tcPr>
          <w:p w14:paraId="7DB25048"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c>
          <w:tcPr>
            <w:tcW w:w="992" w:type="dxa"/>
            <w:noWrap/>
            <w:hideMark/>
          </w:tcPr>
          <w:p w14:paraId="3CBECED2" w14:textId="4AC4B0C4"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r>
      <w:tr w:rsidR="005C18EC" w:rsidRPr="0091560A" w14:paraId="78A134F3" w14:textId="77777777" w:rsidTr="00B30D3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F2F17D1" w14:textId="77777777" w:rsidR="005C18EC" w:rsidRPr="0091560A" w:rsidRDefault="005C18EC">
            <w:pPr>
              <w:rPr>
                <w:rFonts w:cs="Times New Roman"/>
                <w:color w:val="000000"/>
                <w:lang w:eastAsia="en-AU"/>
              </w:rPr>
            </w:pPr>
            <w:r w:rsidRPr="0091560A">
              <w:rPr>
                <w:rFonts w:cs="Times New Roman"/>
                <w:color w:val="000000"/>
                <w:lang w:eastAsia="en-AU"/>
              </w:rPr>
              <w:t>96, 10</w:t>
            </w:r>
          </w:p>
        </w:tc>
        <w:tc>
          <w:tcPr>
            <w:tcW w:w="2126" w:type="dxa"/>
            <w:noWrap/>
            <w:hideMark/>
          </w:tcPr>
          <w:p w14:paraId="5CB18A0F"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1134" w:type="dxa"/>
            <w:noWrap/>
            <w:hideMark/>
          </w:tcPr>
          <w:p w14:paraId="220A5930" w14:textId="76BE1C60"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p>
        </w:tc>
        <w:tc>
          <w:tcPr>
            <w:tcW w:w="2126" w:type="dxa"/>
            <w:noWrap/>
            <w:hideMark/>
          </w:tcPr>
          <w:p w14:paraId="020C43F5"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992" w:type="dxa"/>
            <w:noWrap/>
            <w:hideMark/>
          </w:tcPr>
          <w:p w14:paraId="2B97C65A"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r>
      <w:tr w:rsidR="005C18EC" w:rsidRPr="0091560A" w14:paraId="1AD5FD25" w14:textId="77777777" w:rsidTr="00C27CD5">
        <w:trPr>
          <w:trHeight w:val="289"/>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B793F58" w14:textId="77777777" w:rsidR="005C18EC" w:rsidRPr="0091560A" w:rsidRDefault="005C18EC">
            <w:pPr>
              <w:rPr>
                <w:rFonts w:cs="Times New Roman"/>
                <w:color w:val="000000"/>
                <w:lang w:eastAsia="en-AU"/>
              </w:rPr>
            </w:pPr>
            <w:r w:rsidRPr="0091560A">
              <w:rPr>
                <w:rFonts w:cs="Times New Roman"/>
                <w:color w:val="000000"/>
                <w:lang w:eastAsia="en-AU"/>
              </w:rPr>
              <w:t>96, 20</w:t>
            </w:r>
          </w:p>
        </w:tc>
        <w:tc>
          <w:tcPr>
            <w:tcW w:w="2126" w:type="dxa"/>
            <w:noWrap/>
            <w:hideMark/>
          </w:tcPr>
          <w:p w14:paraId="557FF08E"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2</w:t>
            </w:r>
          </w:p>
        </w:tc>
        <w:tc>
          <w:tcPr>
            <w:tcW w:w="1134" w:type="dxa"/>
            <w:noWrap/>
            <w:hideMark/>
          </w:tcPr>
          <w:p w14:paraId="283C4C68"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r w:rsidRPr="0091560A">
              <w:rPr>
                <w:rFonts w:cs="Times New Roman"/>
                <w:color w:val="000000"/>
                <w:lang w:eastAsia="en-AU"/>
              </w:rPr>
              <w:t>1%</w:t>
            </w:r>
          </w:p>
        </w:tc>
        <w:tc>
          <w:tcPr>
            <w:tcW w:w="2126" w:type="dxa"/>
            <w:noWrap/>
            <w:hideMark/>
          </w:tcPr>
          <w:p w14:paraId="2C4BFCF0" w14:textId="77777777"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c>
          <w:tcPr>
            <w:tcW w:w="992" w:type="dxa"/>
            <w:noWrap/>
            <w:hideMark/>
          </w:tcPr>
          <w:p w14:paraId="7A333DC7" w14:textId="76539285" w:rsidR="005C18EC" w:rsidRPr="0091560A" w:rsidRDefault="005C18E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lang w:eastAsia="en-AU"/>
              </w:rPr>
            </w:pPr>
          </w:p>
        </w:tc>
      </w:tr>
      <w:tr w:rsidR="005C18EC" w:rsidRPr="0091560A" w14:paraId="4E82D7B7" w14:textId="77777777" w:rsidTr="00C27C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0" w:type="dxa"/>
            <w:noWrap/>
            <w:hideMark/>
          </w:tcPr>
          <w:p w14:paraId="1E5D460A" w14:textId="77777777" w:rsidR="005C18EC" w:rsidRPr="0091560A" w:rsidRDefault="005C18EC">
            <w:pPr>
              <w:rPr>
                <w:rFonts w:cs="Times New Roman"/>
                <w:color w:val="000000"/>
                <w:lang w:eastAsia="en-AU"/>
              </w:rPr>
            </w:pPr>
            <w:r w:rsidRPr="0091560A">
              <w:rPr>
                <w:rFonts w:cs="Times New Roman"/>
                <w:color w:val="000000"/>
                <w:lang w:eastAsia="en-AU"/>
              </w:rPr>
              <w:t>Unknown</w:t>
            </w:r>
          </w:p>
        </w:tc>
        <w:tc>
          <w:tcPr>
            <w:tcW w:w="0" w:type="dxa"/>
            <w:noWrap/>
            <w:hideMark/>
          </w:tcPr>
          <w:p w14:paraId="7B54C00D"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116</w:t>
            </w:r>
          </w:p>
        </w:tc>
        <w:tc>
          <w:tcPr>
            <w:tcW w:w="0" w:type="dxa"/>
            <w:noWrap/>
            <w:hideMark/>
          </w:tcPr>
          <w:p w14:paraId="7D58AB6E"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44%</w:t>
            </w:r>
          </w:p>
        </w:tc>
        <w:tc>
          <w:tcPr>
            <w:tcW w:w="2126" w:type="dxa"/>
            <w:noWrap/>
            <w:hideMark/>
          </w:tcPr>
          <w:p w14:paraId="4DB58CC7"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77</w:t>
            </w:r>
          </w:p>
        </w:tc>
        <w:tc>
          <w:tcPr>
            <w:tcW w:w="992" w:type="dxa"/>
            <w:noWrap/>
            <w:hideMark/>
          </w:tcPr>
          <w:p w14:paraId="48E684D6" w14:textId="77777777" w:rsidR="005C18EC" w:rsidRPr="0091560A" w:rsidRDefault="005C18E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lang w:eastAsia="en-AU"/>
              </w:rPr>
            </w:pPr>
            <w:r w:rsidRPr="0091560A">
              <w:rPr>
                <w:rFonts w:cs="Times New Roman"/>
                <w:color w:val="000000"/>
                <w:lang w:eastAsia="en-AU"/>
              </w:rPr>
              <w:t>47%</w:t>
            </w:r>
          </w:p>
        </w:tc>
      </w:tr>
    </w:tbl>
    <w:p w14:paraId="0C9A5662" w14:textId="6106C60F" w:rsidR="005C18EC" w:rsidRPr="0091560A" w:rsidRDefault="00E21BA9">
      <w:pPr>
        <w:pStyle w:val="Tablenote"/>
      </w:pPr>
      <w:r>
        <w:t xml:space="preserve">Note: </w:t>
      </w:r>
      <w:r w:rsidR="005C18EC" w:rsidRPr="0091560A">
        <w:t>Where multiple pack sizes are listed, the exposure involved multiple paracetamol products of differing pack sizes.</w:t>
      </w:r>
    </w:p>
    <w:p w14:paraId="5025B707" w14:textId="261E907B" w:rsidR="00D569AC" w:rsidRPr="0091560A" w:rsidRDefault="007F3DC0" w:rsidP="007F3DC0">
      <w:pPr>
        <w:pStyle w:val="Caption"/>
        <w:rPr>
          <w:rFonts w:cs="Times New Roman"/>
        </w:rPr>
      </w:pPr>
      <w:bookmarkStart w:id="95" w:name="_Toc114560135"/>
      <w:r>
        <w:t xml:space="preserve">Table </w:t>
      </w:r>
      <w:r>
        <w:fldChar w:fldCharType="begin"/>
      </w:r>
      <w:r>
        <w:instrText>SEQ Table \* ARABIC</w:instrText>
      </w:r>
      <w:r>
        <w:fldChar w:fldCharType="separate"/>
      </w:r>
      <w:r w:rsidR="0091734E">
        <w:rPr>
          <w:noProof/>
        </w:rPr>
        <w:t>20</w:t>
      </w:r>
      <w:r>
        <w:fldChar w:fldCharType="end"/>
      </w:r>
      <w:r w:rsidRPr="0091560A">
        <w:t xml:space="preserve">. </w:t>
      </w:r>
      <w:r w:rsidR="00D569AC" w:rsidRPr="0091560A">
        <w:rPr>
          <w:rFonts w:cs="Times New Roman"/>
        </w:rPr>
        <w:t xml:space="preserve">Schedule </w:t>
      </w:r>
      <w:r w:rsidR="00BA738D" w:rsidRPr="0091560A">
        <w:rPr>
          <w:rFonts w:cs="Times New Roman"/>
        </w:rPr>
        <w:t xml:space="preserve">of ingested </w:t>
      </w:r>
      <w:r w:rsidR="00D569AC" w:rsidRPr="0091560A">
        <w:rPr>
          <w:rFonts w:cs="Times New Roman"/>
        </w:rPr>
        <w:t>product</w:t>
      </w:r>
      <w:r w:rsidR="00BA738D" w:rsidRPr="0091560A">
        <w:rPr>
          <w:rFonts w:cs="Times New Roman"/>
        </w:rPr>
        <w:t>s</w:t>
      </w:r>
      <w:bookmarkEnd w:id="95"/>
    </w:p>
    <w:tbl>
      <w:tblPr>
        <w:tblStyle w:val="ListTable6Colorful"/>
        <w:tblW w:w="9072" w:type="dxa"/>
        <w:tblLook w:val="04A0" w:firstRow="1" w:lastRow="0" w:firstColumn="1" w:lastColumn="0" w:noHBand="0" w:noVBand="1"/>
      </w:tblPr>
      <w:tblGrid>
        <w:gridCol w:w="2093"/>
        <w:gridCol w:w="2727"/>
        <w:gridCol w:w="1134"/>
        <w:gridCol w:w="2008"/>
        <w:gridCol w:w="1110"/>
      </w:tblGrid>
      <w:tr w:rsidR="00D569AC" w:rsidRPr="0091560A" w14:paraId="73D74E28" w14:textId="77777777" w:rsidTr="00AA0731">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shd w:val="clear" w:color="auto" w:fill="595959" w:themeFill="text1" w:themeFillTint="A6"/>
            <w:noWrap/>
            <w:hideMark/>
          </w:tcPr>
          <w:p w14:paraId="51EB76A9" w14:textId="205F7C8C" w:rsidR="00D569AC" w:rsidRPr="00C27CD5" w:rsidRDefault="00F06492">
            <w:pPr>
              <w:rPr>
                <w:rFonts w:cs="Times New Roman"/>
                <w:color w:val="FFFFFF" w:themeColor="background1"/>
              </w:rPr>
            </w:pPr>
            <w:r w:rsidRPr="00C27CD5">
              <w:rPr>
                <w:rFonts w:cs="Times New Roman"/>
                <w:color w:val="FFFFFF" w:themeColor="background1"/>
              </w:rPr>
              <w:t>Schedule</w:t>
            </w:r>
          </w:p>
        </w:tc>
        <w:tc>
          <w:tcPr>
            <w:tcW w:w="2727" w:type="dxa"/>
            <w:shd w:val="clear" w:color="auto" w:fill="595959" w:themeFill="text1" w:themeFillTint="A6"/>
            <w:noWrap/>
            <w:hideMark/>
          </w:tcPr>
          <w:p w14:paraId="5134198B" w14:textId="77777777" w:rsidR="00D569AC" w:rsidRPr="00C27CD5" w:rsidRDefault="00D569A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5-19 years (n=265)</w:t>
            </w:r>
          </w:p>
        </w:tc>
        <w:tc>
          <w:tcPr>
            <w:tcW w:w="1134" w:type="dxa"/>
            <w:shd w:val="clear" w:color="auto" w:fill="595959" w:themeFill="text1" w:themeFillTint="A6"/>
            <w:noWrap/>
            <w:hideMark/>
          </w:tcPr>
          <w:p w14:paraId="56C4D5C4" w14:textId="6A5D65EF" w:rsidR="00D569AC" w:rsidRPr="00C27CD5" w:rsidRDefault="00D569A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w:t>
            </w:r>
          </w:p>
        </w:tc>
        <w:tc>
          <w:tcPr>
            <w:tcW w:w="2008" w:type="dxa"/>
            <w:shd w:val="clear" w:color="auto" w:fill="595959" w:themeFill="text1" w:themeFillTint="A6"/>
          </w:tcPr>
          <w:p w14:paraId="5849AC19" w14:textId="77777777" w:rsidR="00D569AC" w:rsidRPr="00C27CD5" w:rsidRDefault="00D569A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Others (n=164)</w:t>
            </w:r>
          </w:p>
        </w:tc>
        <w:tc>
          <w:tcPr>
            <w:tcW w:w="1110" w:type="dxa"/>
            <w:shd w:val="clear" w:color="auto" w:fill="595959" w:themeFill="text1" w:themeFillTint="A6"/>
          </w:tcPr>
          <w:p w14:paraId="1D5C2A81" w14:textId="77777777" w:rsidR="00D569AC" w:rsidRPr="00C27CD5" w:rsidRDefault="00D569AC" w:rsidP="00C27CD5">
            <w:pPr>
              <w:jc w:val="right"/>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w:t>
            </w:r>
          </w:p>
        </w:tc>
      </w:tr>
      <w:tr w:rsidR="00D569AC" w:rsidRPr="0091560A" w14:paraId="673619FC" w14:textId="77777777" w:rsidTr="00AA07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5DE56AF" w14:textId="2DCA86C5" w:rsidR="00D569AC" w:rsidRPr="0091560A" w:rsidRDefault="009C375E">
            <w:pPr>
              <w:rPr>
                <w:rFonts w:cs="Times New Roman"/>
                <w:color w:val="000000"/>
              </w:rPr>
            </w:pPr>
            <w:r>
              <w:rPr>
                <w:rFonts w:cs="Times New Roman"/>
                <w:color w:val="000000"/>
              </w:rPr>
              <w:t>Not scheduled</w:t>
            </w:r>
          </w:p>
        </w:tc>
        <w:tc>
          <w:tcPr>
            <w:tcW w:w="2727" w:type="dxa"/>
            <w:noWrap/>
            <w:hideMark/>
          </w:tcPr>
          <w:p w14:paraId="5DB03EAE"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80</w:t>
            </w:r>
          </w:p>
        </w:tc>
        <w:tc>
          <w:tcPr>
            <w:tcW w:w="1134" w:type="dxa"/>
            <w:noWrap/>
            <w:hideMark/>
          </w:tcPr>
          <w:p w14:paraId="4D618183"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30%</w:t>
            </w:r>
          </w:p>
        </w:tc>
        <w:tc>
          <w:tcPr>
            <w:tcW w:w="2008" w:type="dxa"/>
          </w:tcPr>
          <w:p w14:paraId="30B25270"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39</w:t>
            </w:r>
          </w:p>
        </w:tc>
        <w:tc>
          <w:tcPr>
            <w:tcW w:w="1110" w:type="dxa"/>
          </w:tcPr>
          <w:p w14:paraId="44114FFB"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24%</w:t>
            </w:r>
          </w:p>
        </w:tc>
      </w:tr>
      <w:tr w:rsidR="00D569AC" w:rsidRPr="0091560A" w14:paraId="7C0761C6" w14:textId="77777777" w:rsidTr="00AA0731">
        <w:trPr>
          <w:trHeight w:val="33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218FD588" w14:textId="7E435335" w:rsidR="00D569AC" w:rsidRPr="0091560A" w:rsidRDefault="009C375E">
            <w:pPr>
              <w:rPr>
                <w:rFonts w:cs="Times New Roman"/>
                <w:color w:val="000000"/>
              </w:rPr>
            </w:pPr>
            <w:r>
              <w:rPr>
                <w:rFonts w:cs="Times New Roman"/>
                <w:color w:val="000000"/>
              </w:rPr>
              <w:t>Not scheduled</w:t>
            </w:r>
            <w:r w:rsidR="00D569AC" w:rsidRPr="0091560A">
              <w:rPr>
                <w:rFonts w:cs="Times New Roman"/>
                <w:color w:val="000000"/>
              </w:rPr>
              <w:t>/S2</w:t>
            </w:r>
          </w:p>
        </w:tc>
        <w:tc>
          <w:tcPr>
            <w:tcW w:w="2727" w:type="dxa"/>
            <w:noWrap/>
            <w:hideMark/>
          </w:tcPr>
          <w:p w14:paraId="25FF74FC"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28</w:t>
            </w:r>
          </w:p>
        </w:tc>
        <w:tc>
          <w:tcPr>
            <w:tcW w:w="1134" w:type="dxa"/>
            <w:noWrap/>
            <w:hideMark/>
          </w:tcPr>
          <w:p w14:paraId="5437B253"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11%</w:t>
            </w:r>
          </w:p>
        </w:tc>
        <w:tc>
          <w:tcPr>
            <w:tcW w:w="2008" w:type="dxa"/>
          </w:tcPr>
          <w:p w14:paraId="77C0FEA1"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26</w:t>
            </w:r>
          </w:p>
        </w:tc>
        <w:tc>
          <w:tcPr>
            <w:tcW w:w="1110" w:type="dxa"/>
          </w:tcPr>
          <w:p w14:paraId="41F55695"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16%</w:t>
            </w:r>
          </w:p>
        </w:tc>
      </w:tr>
      <w:tr w:rsidR="00D569AC" w:rsidRPr="0091560A" w14:paraId="35CC2592" w14:textId="77777777" w:rsidTr="00AA07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423EEC5B" w14:textId="6793B7FD" w:rsidR="00D569AC" w:rsidRPr="0091560A" w:rsidRDefault="009C375E">
            <w:pPr>
              <w:rPr>
                <w:rFonts w:cs="Times New Roman"/>
                <w:color w:val="000000"/>
              </w:rPr>
            </w:pPr>
            <w:r>
              <w:rPr>
                <w:rFonts w:cs="Times New Roman"/>
                <w:color w:val="000000"/>
              </w:rPr>
              <w:t>Not scheduled</w:t>
            </w:r>
            <w:r w:rsidR="00D569AC" w:rsidRPr="0091560A">
              <w:rPr>
                <w:rFonts w:cs="Times New Roman"/>
                <w:color w:val="000000"/>
              </w:rPr>
              <w:t>/S2/S3</w:t>
            </w:r>
          </w:p>
        </w:tc>
        <w:tc>
          <w:tcPr>
            <w:tcW w:w="2727" w:type="dxa"/>
            <w:noWrap/>
          </w:tcPr>
          <w:p w14:paraId="02FE299E"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w:t>
            </w:r>
          </w:p>
        </w:tc>
        <w:tc>
          <w:tcPr>
            <w:tcW w:w="1134" w:type="dxa"/>
            <w:noWrap/>
          </w:tcPr>
          <w:p w14:paraId="6B8F3B9B"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w:t>
            </w:r>
          </w:p>
        </w:tc>
        <w:tc>
          <w:tcPr>
            <w:tcW w:w="2008" w:type="dxa"/>
          </w:tcPr>
          <w:p w14:paraId="70EEA5C4"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tcW w:w="1110" w:type="dxa"/>
          </w:tcPr>
          <w:p w14:paraId="0E5A35BC"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p>
        </w:tc>
      </w:tr>
      <w:tr w:rsidR="00D569AC" w:rsidRPr="0091560A" w14:paraId="5EBD75AB" w14:textId="77777777" w:rsidTr="00AA0731">
        <w:trPr>
          <w:trHeight w:val="330"/>
        </w:trPr>
        <w:tc>
          <w:tcPr>
            <w:cnfStyle w:val="001000000000" w:firstRow="0" w:lastRow="0" w:firstColumn="1" w:lastColumn="0" w:oddVBand="0" w:evenVBand="0" w:oddHBand="0" w:evenHBand="0" w:firstRowFirstColumn="0" w:firstRowLastColumn="0" w:lastRowFirstColumn="0" w:lastRowLastColumn="0"/>
            <w:tcW w:w="2093" w:type="dxa"/>
            <w:noWrap/>
            <w:hideMark/>
          </w:tcPr>
          <w:p w14:paraId="73CA1552" w14:textId="77777777" w:rsidR="00D569AC" w:rsidRPr="0091560A" w:rsidRDefault="00D569AC">
            <w:pPr>
              <w:rPr>
                <w:rFonts w:cs="Times New Roman"/>
                <w:color w:val="000000"/>
              </w:rPr>
            </w:pPr>
            <w:r w:rsidRPr="0091560A">
              <w:rPr>
                <w:rFonts w:cs="Times New Roman"/>
                <w:color w:val="000000"/>
              </w:rPr>
              <w:t>S2</w:t>
            </w:r>
          </w:p>
        </w:tc>
        <w:tc>
          <w:tcPr>
            <w:tcW w:w="2727" w:type="dxa"/>
            <w:noWrap/>
            <w:hideMark/>
          </w:tcPr>
          <w:p w14:paraId="2AA0EF57"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56</w:t>
            </w:r>
          </w:p>
        </w:tc>
        <w:tc>
          <w:tcPr>
            <w:tcW w:w="1134" w:type="dxa"/>
            <w:noWrap/>
            <w:hideMark/>
          </w:tcPr>
          <w:p w14:paraId="7B0A9C84"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21%</w:t>
            </w:r>
          </w:p>
        </w:tc>
        <w:tc>
          <w:tcPr>
            <w:tcW w:w="2008" w:type="dxa"/>
          </w:tcPr>
          <w:p w14:paraId="612371D5"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33</w:t>
            </w:r>
          </w:p>
        </w:tc>
        <w:tc>
          <w:tcPr>
            <w:tcW w:w="1110" w:type="dxa"/>
          </w:tcPr>
          <w:p w14:paraId="27D2D837"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20%</w:t>
            </w:r>
          </w:p>
        </w:tc>
      </w:tr>
      <w:tr w:rsidR="00D569AC" w:rsidRPr="0091560A" w14:paraId="3600BDD9" w14:textId="77777777" w:rsidTr="00AA07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25580A19" w14:textId="77777777" w:rsidR="00D569AC" w:rsidRPr="0091560A" w:rsidRDefault="00D569AC">
            <w:pPr>
              <w:rPr>
                <w:rFonts w:cs="Times New Roman"/>
                <w:color w:val="000000"/>
              </w:rPr>
            </w:pPr>
            <w:r w:rsidRPr="0091560A">
              <w:rPr>
                <w:rFonts w:cs="Times New Roman"/>
                <w:color w:val="000000"/>
              </w:rPr>
              <w:t>S2/S3</w:t>
            </w:r>
          </w:p>
        </w:tc>
        <w:tc>
          <w:tcPr>
            <w:tcW w:w="2727" w:type="dxa"/>
            <w:noWrap/>
          </w:tcPr>
          <w:p w14:paraId="3D8826EA"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1</w:t>
            </w:r>
          </w:p>
        </w:tc>
        <w:tc>
          <w:tcPr>
            <w:tcW w:w="1134" w:type="dxa"/>
            <w:noWrap/>
          </w:tcPr>
          <w:p w14:paraId="2B49C3F0"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&lt;1%</w:t>
            </w:r>
          </w:p>
        </w:tc>
        <w:tc>
          <w:tcPr>
            <w:tcW w:w="2008" w:type="dxa"/>
          </w:tcPr>
          <w:p w14:paraId="47EE9B5D"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p>
        </w:tc>
        <w:tc>
          <w:tcPr>
            <w:tcW w:w="1110" w:type="dxa"/>
          </w:tcPr>
          <w:p w14:paraId="27CB1C13"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p>
        </w:tc>
      </w:tr>
      <w:tr w:rsidR="00D569AC" w:rsidRPr="0091560A" w14:paraId="3703A4FF" w14:textId="77777777" w:rsidTr="00AA0731">
        <w:trPr>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55800978" w14:textId="77777777" w:rsidR="00D569AC" w:rsidRPr="0091560A" w:rsidRDefault="00D569AC">
            <w:pPr>
              <w:rPr>
                <w:rFonts w:cs="Times New Roman"/>
                <w:color w:val="000000"/>
              </w:rPr>
            </w:pPr>
            <w:r w:rsidRPr="0091560A">
              <w:rPr>
                <w:rFonts w:cs="Times New Roman"/>
                <w:color w:val="000000"/>
              </w:rPr>
              <w:t>S3</w:t>
            </w:r>
          </w:p>
        </w:tc>
        <w:tc>
          <w:tcPr>
            <w:tcW w:w="2727" w:type="dxa"/>
            <w:noWrap/>
          </w:tcPr>
          <w:p w14:paraId="2BF8200E"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16</w:t>
            </w:r>
          </w:p>
        </w:tc>
        <w:tc>
          <w:tcPr>
            <w:tcW w:w="1134" w:type="dxa"/>
            <w:noWrap/>
          </w:tcPr>
          <w:p w14:paraId="68F27C4B"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6%</w:t>
            </w:r>
          </w:p>
        </w:tc>
        <w:tc>
          <w:tcPr>
            <w:tcW w:w="2008" w:type="dxa"/>
          </w:tcPr>
          <w:p w14:paraId="399746D4"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12</w:t>
            </w:r>
          </w:p>
        </w:tc>
        <w:tc>
          <w:tcPr>
            <w:tcW w:w="1110" w:type="dxa"/>
          </w:tcPr>
          <w:p w14:paraId="7B84F6F9"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7%</w:t>
            </w:r>
          </w:p>
        </w:tc>
      </w:tr>
      <w:tr w:rsidR="00D569AC" w:rsidRPr="0091560A" w14:paraId="7E3D18A2" w14:textId="77777777" w:rsidTr="00AA07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21DD8BE7" w14:textId="77777777" w:rsidR="00D569AC" w:rsidRPr="0091560A" w:rsidRDefault="00D569AC">
            <w:pPr>
              <w:rPr>
                <w:rFonts w:cs="Times New Roman"/>
                <w:color w:val="000000"/>
              </w:rPr>
            </w:pPr>
            <w:r w:rsidRPr="0091560A">
              <w:rPr>
                <w:rFonts w:cs="Times New Roman"/>
                <w:color w:val="000000"/>
              </w:rPr>
              <w:t>S4</w:t>
            </w:r>
          </w:p>
        </w:tc>
        <w:tc>
          <w:tcPr>
            <w:tcW w:w="2727" w:type="dxa"/>
            <w:noWrap/>
          </w:tcPr>
          <w:p w14:paraId="4B4CD869"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6</w:t>
            </w:r>
          </w:p>
        </w:tc>
        <w:tc>
          <w:tcPr>
            <w:tcW w:w="1134" w:type="dxa"/>
            <w:noWrap/>
          </w:tcPr>
          <w:p w14:paraId="5E171686"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w:t>
            </w:r>
          </w:p>
        </w:tc>
        <w:tc>
          <w:tcPr>
            <w:tcW w:w="2008" w:type="dxa"/>
          </w:tcPr>
          <w:p w14:paraId="36C7FF7A"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8</w:t>
            </w:r>
          </w:p>
        </w:tc>
        <w:tc>
          <w:tcPr>
            <w:tcW w:w="1110" w:type="dxa"/>
          </w:tcPr>
          <w:p w14:paraId="31A0BB45"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5%</w:t>
            </w:r>
          </w:p>
        </w:tc>
      </w:tr>
      <w:tr w:rsidR="00D569AC" w:rsidRPr="0091560A" w14:paraId="01068E2A" w14:textId="77777777" w:rsidTr="00AA0731">
        <w:trPr>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08E70580" w14:textId="77777777" w:rsidR="00D569AC" w:rsidRPr="0091560A" w:rsidRDefault="00D569AC">
            <w:pPr>
              <w:rPr>
                <w:rFonts w:cs="Times New Roman"/>
                <w:color w:val="000000"/>
              </w:rPr>
            </w:pPr>
            <w:r w:rsidRPr="0091560A">
              <w:rPr>
                <w:rFonts w:cs="Times New Roman"/>
                <w:color w:val="000000"/>
              </w:rPr>
              <w:t>Multiple*</w:t>
            </w:r>
          </w:p>
        </w:tc>
        <w:tc>
          <w:tcPr>
            <w:tcW w:w="2727" w:type="dxa"/>
            <w:noWrap/>
          </w:tcPr>
          <w:p w14:paraId="21CAC2B6"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11</w:t>
            </w:r>
          </w:p>
        </w:tc>
        <w:tc>
          <w:tcPr>
            <w:tcW w:w="1134" w:type="dxa"/>
            <w:noWrap/>
          </w:tcPr>
          <w:p w14:paraId="7A9C9755"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4%</w:t>
            </w:r>
          </w:p>
        </w:tc>
        <w:tc>
          <w:tcPr>
            <w:tcW w:w="2008" w:type="dxa"/>
          </w:tcPr>
          <w:p w14:paraId="64668233"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12</w:t>
            </w:r>
          </w:p>
        </w:tc>
        <w:tc>
          <w:tcPr>
            <w:tcW w:w="1110" w:type="dxa"/>
          </w:tcPr>
          <w:p w14:paraId="4B9DD523" w14:textId="77777777" w:rsidR="00D569AC" w:rsidRPr="0091560A" w:rsidRDefault="00D569AC" w:rsidP="00C27CD5">
            <w:pPr>
              <w:jc w:val="right"/>
              <w:cnfStyle w:val="000000000000" w:firstRow="0" w:lastRow="0" w:firstColumn="0" w:lastColumn="0" w:oddVBand="0" w:evenVBand="0" w:oddHBand="0" w:evenHBand="0" w:firstRowFirstColumn="0" w:firstRowLastColumn="0" w:lastRowFirstColumn="0" w:lastRowLastColumn="0"/>
              <w:rPr>
                <w:rFonts w:cs="Times New Roman"/>
                <w:color w:val="000000"/>
              </w:rPr>
            </w:pPr>
            <w:r w:rsidRPr="0091560A">
              <w:rPr>
                <w:rFonts w:cs="Times New Roman"/>
                <w:color w:val="000000"/>
              </w:rPr>
              <w:t>7%</w:t>
            </w:r>
          </w:p>
        </w:tc>
      </w:tr>
      <w:tr w:rsidR="00D569AC" w:rsidRPr="0091560A" w14:paraId="0A30F0E5" w14:textId="77777777" w:rsidTr="00AA07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093" w:type="dxa"/>
            <w:noWrap/>
          </w:tcPr>
          <w:p w14:paraId="73888AB1" w14:textId="77777777" w:rsidR="00D569AC" w:rsidRPr="0091560A" w:rsidRDefault="00D569AC">
            <w:pPr>
              <w:rPr>
                <w:rFonts w:cs="Times New Roman"/>
                <w:color w:val="000000"/>
              </w:rPr>
            </w:pPr>
            <w:r w:rsidRPr="0091560A">
              <w:rPr>
                <w:rFonts w:cs="Times New Roman"/>
                <w:color w:val="000000"/>
              </w:rPr>
              <w:t>Unknown</w:t>
            </w:r>
          </w:p>
        </w:tc>
        <w:tc>
          <w:tcPr>
            <w:tcW w:w="2727" w:type="dxa"/>
            <w:noWrap/>
          </w:tcPr>
          <w:p w14:paraId="583D934C"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65</w:t>
            </w:r>
          </w:p>
        </w:tc>
        <w:tc>
          <w:tcPr>
            <w:tcW w:w="1134" w:type="dxa"/>
            <w:noWrap/>
          </w:tcPr>
          <w:p w14:paraId="4D48BEAC"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25%</w:t>
            </w:r>
          </w:p>
        </w:tc>
        <w:tc>
          <w:tcPr>
            <w:tcW w:w="2008" w:type="dxa"/>
          </w:tcPr>
          <w:p w14:paraId="7AC7B42F"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235</w:t>
            </w:r>
          </w:p>
        </w:tc>
        <w:tc>
          <w:tcPr>
            <w:tcW w:w="1110" w:type="dxa"/>
          </w:tcPr>
          <w:p w14:paraId="5A5857E6" w14:textId="77777777" w:rsidR="00D569AC" w:rsidRPr="0091560A" w:rsidRDefault="00D569AC" w:rsidP="00C27CD5">
            <w:pPr>
              <w:jc w:val="right"/>
              <w:cnfStyle w:val="000000100000" w:firstRow="0" w:lastRow="0" w:firstColumn="0" w:lastColumn="0" w:oddVBand="0" w:evenVBand="0" w:oddHBand="1" w:evenHBand="0" w:firstRowFirstColumn="0" w:firstRowLastColumn="0" w:lastRowFirstColumn="0" w:lastRowLastColumn="0"/>
              <w:rPr>
                <w:rFonts w:cs="Times New Roman"/>
                <w:color w:val="000000"/>
              </w:rPr>
            </w:pPr>
            <w:r w:rsidRPr="0091560A">
              <w:rPr>
                <w:rFonts w:cs="Times New Roman"/>
                <w:color w:val="000000"/>
              </w:rPr>
              <w:t>21%</w:t>
            </w:r>
          </w:p>
        </w:tc>
      </w:tr>
    </w:tbl>
    <w:p w14:paraId="25A08A9E" w14:textId="49AFDEE5" w:rsidR="00D569AC" w:rsidRPr="0091560A" w:rsidRDefault="00D569AC">
      <w:pPr>
        <w:pStyle w:val="Tablenote"/>
      </w:pPr>
      <w:r w:rsidRPr="0091560A">
        <w:t>*patient</w:t>
      </w:r>
      <w:r w:rsidR="007A0597" w:rsidRPr="0091560A">
        <w:t>s</w:t>
      </w:r>
      <w:r w:rsidRPr="0091560A">
        <w:t xml:space="preserve"> ingested multiple paracetamol containing products belonging to different Schedules.</w:t>
      </w:r>
      <w:r w:rsidR="00C27CD5">
        <w:t xml:space="preserve"> </w:t>
      </w:r>
      <w:r w:rsidR="00C27CD5">
        <w:br/>
      </w:r>
      <w:r w:rsidRPr="0091560A">
        <w:t>Note: this information was inferred from information in the call record/survey response, cross referenced to the ARTG and SUSMP. Brand name, pack size, ingredients, and place of purchase was used to infer information when necessary.</w:t>
      </w:r>
    </w:p>
    <w:p w14:paraId="29673436" w14:textId="1F895EE5" w:rsidR="006D621D" w:rsidRPr="0091560A" w:rsidRDefault="00FD6918" w:rsidP="009C375E">
      <w:pPr>
        <w:pStyle w:val="Heading4"/>
      </w:pPr>
      <w:r w:rsidRPr="0091560A">
        <w:rPr>
          <w:noProof/>
        </w:rPr>
        <w:t xml:space="preserve">Comparison of </w:t>
      </w:r>
      <w:r w:rsidR="00953246" w:rsidRPr="0091560A">
        <w:rPr>
          <w:noProof/>
        </w:rPr>
        <w:t xml:space="preserve">annual </w:t>
      </w:r>
      <w:r w:rsidRPr="0091560A">
        <w:rPr>
          <w:noProof/>
        </w:rPr>
        <w:t xml:space="preserve">numbers </w:t>
      </w:r>
      <w:r w:rsidR="002E3FD5" w:rsidRPr="0091560A">
        <w:rPr>
          <w:noProof/>
        </w:rPr>
        <w:t xml:space="preserve">of poisonings </w:t>
      </w:r>
      <w:r w:rsidRPr="0091560A">
        <w:rPr>
          <w:noProof/>
        </w:rPr>
        <w:t>covered in datasets</w:t>
      </w:r>
    </w:p>
    <w:p w14:paraId="0822B93B" w14:textId="2906639E" w:rsidR="002E3FD5" w:rsidRPr="0091560A" w:rsidRDefault="00FE4D00" w:rsidP="002E3FD5">
      <w:pPr>
        <w:rPr>
          <w:rFonts w:cs="Times New Roman"/>
        </w:rPr>
      </w:pPr>
      <w:r>
        <w:rPr>
          <w:rFonts w:cs="Times New Roman"/>
        </w:rPr>
        <w:t xml:space="preserve">A comparison </w:t>
      </w:r>
      <w:r w:rsidR="00943D4D">
        <w:rPr>
          <w:rFonts w:cs="Times New Roman"/>
        </w:rPr>
        <w:t>of the numbers in the various datasets sheds some light on how likely th</w:t>
      </w:r>
      <w:r w:rsidR="004E7209">
        <w:rPr>
          <w:rFonts w:cs="Times New Roman"/>
        </w:rPr>
        <w:t xml:space="preserve">is detailed retrospective and prospective </w:t>
      </w:r>
      <w:r w:rsidR="00943D4D">
        <w:rPr>
          <w:rFonts w:cs="Times New Roman"/>
        </w:rPr>
        <w:t xml:space="preserve">PIC call data is </w:t>
      </w:r>
      <w:r w:rsidR="008A4238">
        <w:rPr>
          <w:rFonts w:cs="Times New Roman"/>
        </w:rPr>
        <w:t>to be representative of the typical admissions</w:t>
      </w:r>
      <w:r w:rsidR="00157C91">
        <w:rPr>
          <w:rFonts w:cs="Times New Roman"/>
        </w:rPr>
        <w:t xml:space="preserve"> </w:t>
      </w:r>
      <w:r w:rsidR="00AE1686">
        <w:rPr>
          <w:rFonts w:cs="Times New Roman"/>
        </w:rPr>
        <w:t>(Table 21)</w:t>
      </w:r>
      <w:r w:rsidR="00157C91">
        <w:rPr>
          <w:rFonts w:cs="Times New Roman"/>
        </w:rPr>
        <w:t>.</w:t>
      </w:r>
      <w:r w:rsidR="008A4238">
        <w:rPr>
          <w:rFonts w:cs="Times New Roman"/>
        </w:rPr>
        <w:t xml:space="preserve"> As can be seen </w:t>
      </w:r>
      <w:r w:rsidR="00925C36">
        <w:rPr>
          <w:rFonts w:cs="Times New Roman"/>
        </w:rPr>
        <w:t>the PIC</w:t>
      </w:r>
      <w:r w:rsidR="004E7209">
        <w:rPr>
          <w:rFonts w:cs="Times New Roman"/>
        </w:rPr>
        <w:t>s</w:t>
      </w:r>
      <w:r w:rsidR="00925C36">
        <w:rPr>
          <w:rFonts w:cs="Times New Roman"/>
        </w:rPr>
        <w:t xml:space="preserve"> </w:t>
      </w:r>
      <w:r w:rsidR="009B6CB9">
        <w:rPr>
          <w:rFonts w:cs="Times New Roman"/>
        </w:rPr>
        <w:t xml:space="preserve">record </w:t>
      </w:r>
      <w:r w:rsidR="00925C36">
        <w:rPr>
          <w:rFonts w:cs="Times New Roman"/>
        </w:rPr>
        <w:t xml:space="preserve">a similar number of paracetamol </w:t>
      </w:r>
      <w:r w:rsidR="004E7209">
        <w:rPr>
          <w:rFonts w:cs="Times New Roman"/>
        </w:rPr>
        <w:t xml:space="preserve">deliberate </w:t>
      </w:r>
      <w:r w:rsidR="00925C36">
        <w:rPr>
          <w:rFonts w:cs="Times New Roman"/>
        </w:rPr>
        <w:t xml:space="preserve">self-poisoning events </w:t>
      </w:r>
      <w:r w:rsidR="009B6CB9">
        <w:rPr>
          <w:rFonts w:cs="Times New Roman"/>
        </w:rPr>
        <w:t>as the AIHW admissions data (6629 vs 6918 in 2019</w:t>
      </w:r>
      <w:r w:rsidR="00C97DA1">
        <w:rPr>
          <w:rFonts w:cs="Times New Roman"/>
        </w:rPr>
        <w:t xml:space="preserve">). </w:t>
      </w:r>
      <w:r w:rsidR="002D70AE">
        <w:rPr>
          <w:rFonts w:cs="Times New Roman"/>
        </w:rPr>
        <w:t xml:space="preserve">The majority of deliberate self-poisonings are admitted to hospital </w:t>
      </w:r>
      <w:r w:rsidR="00060638">
        <w:rPr>
          <w:rFonts w:cs="Times New Roman"/>
        </w:rPr>
        <w:t>(even if not particularly unwell, they are admitted for observation and psychiatric assessment)</w:t>
      </w:r>
      <w:r w:rsidR="00EA253E">
        <w:rPr>
          <w:rFonts w:cs="Times New Roman"/>
        </w:rPr>
        <w:t>, and this suggest a high degree of overlap is likely.</w:t>
      </w:r>
      <w:r w:rsidR="002D70AE">
        <w:rPr>
          <w:rFonts w:cs="Times New Roman"/>
        </w:rPr>
        <w:t xml:space="preserve"> The AIH</w:t>
      </w:r>
      <w:r w:rsidR="00EA253E">
        <w:rPr>
          <w:rFonts w:cs="Times New Roman"/>
        </w:rPr>
        <w:t>W</w:t>
      </w:r>
      <w:r w:rsidR="002D70AE">
        <w:rPr>
          <w:rFonts w:cs="Times New Roman"/>
        </w:rPr>
        <w:t xml:space="preserve"> data may be missing some cases of toxic </w:t>
      </w:r>
      <w:r w:rsidR="00EA253E">
        <w:rPr>
          <w:rFonts w:cs="Times New Roman"/>
        </w:rPr>
        <w:t>liver injury, given the</w:t>
      </w:r>
      <w:r w:rsidR="004B60D2">
        <w:rPr>
          <w:rFonts w:cs="Times New Roman"/>
        </w:rPr>
        <w:t xml:space="preserve"> rate compared to that recorded by NSW PIC is </w:t>
      </w:r>
      <w:r w:rsidR="004529DB">
        <w:rPr>
          <w:rFonts w:cs="Times New Roman"/>
        </w:rPr>
        <w:t>roughly half (noting the PIC are also likely to miss some cases due to a lack of routine follow-up)</w:t>
      </w:r>
      <w:r w:rsidR="00157C91">
        <w:rPr>
          <w:rFonts w:cs="Times New Roman"/>
        </w:rPr>
        <w:t>.</w:t>
      </w:r>
    </w:p>
    <w:p w14:paraId="1865CCC4" w14:textId="0F56F8DF" w:rsidR="004E7899" w:rsidRPr="0091560A" w:rsidRDefault="007F3DC0" w:rsidP="00C27CD5">
      <w:pPr>
        <w:pStyle w:val="Caption"/>
        <w:keepNext/>
        <w:rPr>
          <w:noProof/>
        </w:rPr>
      </w:pPr>
      <w:bookmarkStart w:id="96" w:name="_Toc114560136"/>
      <w:r>
        <w:t xml:space="preserve">Table </w:t>
      </w:r>
      <w:r>
        <w:fldChar w:fldCharType="begin"/>
      </w:r>
      <w:r>
        <w:instrText>SEQ Table \* ARABIC</w:instrText>
      </w:r>
      <w:r>
        <w:fldChar w:fldCharType="separate"/>
      </w:r>
      <w:r w:rsidR="0091734E">
        <w:rPr>
          <w:noProof/>
        </w:rPr>
        <w:t>21</w:t>
      </w:r>
      <w:r>
        <w:fldChar w:fldCharType="end"/>
      </w:r>
      <w:r w:rsidRPr="0091560A">
        <w:t xml:space="preserve">. </w:t>
      </w:r>
      <w:r w:rsidR="001F7392" w:rsidRPr="0091560A">
        <w:rPr>
          <w:noProof/>
        </w:rPr>
        <w:t xml:space="preserve">Comparison </w:t>
      </w:r>
      <w:r w:rsidR="004E7899" w:rsidRPr="0091560A">
        <w:rPr>
          <w:noProof/>
        </w:rPr>
        <w:t xml:space="preserve">of coverage and </w:t>
      </w:r>
      <w:r w:rsidR="00FD6FB8" w:rsidRPr="0091560A">
        <w:rPr>
          <w:noProof/>
        </w:rPr>
        <w:t xml:space="preserve">annual </w:t>
      </w:r>
      <w:r w:rsidR="004E7899" w:rsidRPr="0091560A">
        <w:rPr>
          <w:noProof/>
        </w:rPr>
        <w:t xml:space="preserve">numbers from different sources </w:t>
      </w:r>
      <w:r w:rsidR="00C74B5F" w:rsidRPr="0091560A">
        <w:rPr>
          <w:noProof/>
        </w:rPr>
        <w:t>in 2019</w:t>
      </w:r>
      <w:r w:rsidR="003E6A8D" w:rsidRPr="0091560A">
        <w:rPr>
          <w:noProof/>
        </w:rPr>
        <w:t>/</w:t>
      </w:r>
      <w:r w:rsidR="00C74B5F" w:rsidRPr="0091560A">
        <w:rPr>
          <w:noProof/>
        </w:rPr>
        <w:t>20.</w:t>
      </w:r>
      <w:bookmarkEnd w:id="96"/>
    </w:p>
    <w:tbl>
      <w:tblPr>
        <w:tblStyle w:val="ListTable2"/>
        <w:tblW w:w="9146" w:type="dxa"/>
        <w:tblLook w:val="04A0" w:firstRow="1" w:lastRow="0" w:firstColumn="1" w:lastColumn="0" w:noHBand="0" w:noVBand="1"/>
      </w:tblPr>
      <w:tblGrid>
        <w:gridCol w:w="3593"/>
        <w:gridCol w:w="1420"/>
        <w:gridCol w:w="137"/>
        <w:gridCol w:w="1417"/>
        <w:gridCol w:w="1497"/>
        <w:gridCol w:w="1082"/>
      </w:tblGrid>
      <w:tr w:rsidR="00DD1CEB" w:rsidRPr="0091560A" w14:paraId="2BFCE09F" w14:textId="77777777" w:rsidTr="00AA0731">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666666" w:themeColor="text1" w:themeTint="99"/>
            </w:tcBorders>
            <w:shd w:val="clear" w:color="auto" w:fill="595959" w:themeFill="text1" w:themeFillTint="A6"/>
          </w:tcPr>
          <w:p w14:paraId="583BE8C6" w14:textId="291C9B9F" w:rsidR="00DD1CEB" w:rsidRPr="00C27CD5" w:rsidRDefault="00DD1CEB" w:rsidP="00C27CD5">
            <w:pPr>
              <w:keepNext/>
              <w:keepLines/>
              <w:rPr>
                <w:rFonts w:cs="Times New Roman"/>
                <w:color w:val="FFFFFF" w:themeColor="background1"/>
              </w:rPr>
            </w:pPr>
          </w:p>
        </w:tc>
        <w:tc>
          <w:tcPr>
            <w:tcW w:w="1425" w:type="dxa"/>
            <w:tcBorders>
              <w:bottom w:val="single" w:sz="4" w:space="0" w:color="666666" w:themeColor="text1" w:themeTint="99"/>
            </w:tcBorders>
            <w:shd w:val="clear" w:color="auto" w:fill="595959" w:themeFill="text1" w:themeFillTint="A6"/>
          </w:tcPr>
          <w:p w14:paraId="298DB451" w14:textId="77777777"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C27CD5">
              <w:rPr>
                <w:rFonts w:cs="Times New Roman"/>
                <w:color w:val="FFFFFF" w:themeColor="background1"/>
              </w:rPr>
              <w:t>NSW PIC</w:t>
            </w:r>
          </w:p>
          <w:p w14:paraId="0D5DC8E7" w14:textId="6AF50265"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(exposures)</w:t>
            </w:r>
          </w:p>
        </w:tc>
        <w:tc>
          <w:tcPr>
            <w:tcW w:w="1583" w:type="dxa"/>
            <w:gridSpan w:val="2"/>
            <w:tcBorders>
              <w:bottom w:val="single" w:sz="4" w:space="0" w:color="666666" w:themeColor="text1" w:themeTint="99"/>
            </w:tcBorders>
            <w:shd w:val="clear" w:color="auto" w:fill="595959" w:themeFill="text1" w:themeFillTint="A6"/>
          </w:tcPr>
          <w:p w14:paraId="15B31C5C" w14:textId="77777777"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C27CD5">
              <w:rPr>
                <w:rFonts w:cs="Times New Roman"/>
                <w:color w:val="FFFFFF" w:themeColor="background1"/>
              </w:rPr>
              <w:t>All PICs</w:t>
            </w:r>
          </w:p>
          <w:p w14:paraId="61F0F8A5" w14:textId="7A5AC562"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(exposures)</w:t>
            </w:r>
          </w:p>
        </w:tc>
        <w:tc>
          <w:tcPr>
            <w:tcW w:w="1089" w:type="dxa"/>
            <w:tcBorders>
              <w:bottom w:val="single" w:sz="4" w:space="0" w:color="666666" w:themeColor="text1" w:themeTint="99"/>
            </w:tcBorders>
            <w:shd w:val="clear" w:color="auto" w:fill="595959" w:themeFill="text1" w:themeFillTint="A6"/>
          </w:tcPr>
          <w:p w14:paraId="1BD03C0B" w14:textId="77777777"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C27CD5">
              <w:rPr>
                <w:rFonts w:cs="Times New Roman"/>
                <w:color w:val="FFFFFF" w:themeColor="background1"/>
              </w:rPr>
              <w:t>AIHW</w:t>
            </w:r>
          </w:p>
          <w:p w14:paraId="04DFFF89" w14:textId="6903F3A2"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(admissions)</w:t>
            </w:r>
          </w:p>
        </w:tc>
        <w:tc>
          <w:tcPr>
            <w:tcW w:w="1089" w:type="dxa"/>
            <w:tcBorders>
              <w:bottom w:val="single" w:sz="4" w:space="0" w:color="666666" w:themeColor="text1" w:themeTint="99"/>
            </w:tcBorders>
            <w:shd w:val="clear" w:color="auto" w:fill="595959" w:themeFill="text1" w:themeFillTint="A6"/>
          </w:tcPr>
          <w:p w14:paraId="29F83407" w14:textId="77777777"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b w:val="0"/>
                <w:color w:val="FFFFFF" w:themeColor="background1"/>
              </w:rPr>
            </w:pPr>
            <w:r w:rsidRPr="00C27CD5">
              <w:rPr>
                <w:rFonts w:cs="Times New Roman"/>
                <w:color w:val="FFFFFF" w:themeColor="background1"/>
              </w:rPr>
              <w:t>NCIS</w:t>
            </w:r>
          </w:p>
          <w:p w14:paraId="747FAAA7" w14:textId="5383FD9E" w:rsidR="00DD1CEB" w:rsidRPr="00C27CD5" w:rsidRDefault="00DD1CEB" w:rsidP="00C27CD5">
            <w:pPr>
              <w:keepNext/>
              <w:keepLines/>
              <w:jc w:val="center"/>
              <w:cnfStyle w:val="100000000000" w:firstRow="1" w:lastRow="0" w:firstColumn="0" w:lastColumn="0" w:oddVBand="0" w:evenVBand="0" w:oddHBand="0" w:evenHBand="0" w:firstRowFirstColumn="0" w:firstRowLastColumn="0" w:lastRowFirstColumn="0" w:lastRowLastColumn="0"/>
              <w:rPr>
                <w:rFonts w:cs="Times New Roman"/>
                <w:color w:val="FFFFFF" w:themeColor="background1"/>
              </w:rPr>
            </w:pPr>
            <w:r w:rsidRPr="00C27CD5">
              <w:rPr>
                <w:rFonts w:cs="Times New Roman"/>
                <w:color w:val="FFFFFF" w:themeColor="background1"/>
              </w:rPr>
              <w:t>(deaths)</w:t>
            </w:r>
          </w:p>
        </w:tc>
      </w:tr>
      <w:tr w:rsidR="00DD1CEB" w:rsidRPr="0091560A" w14:paraId="6971D664" w14:textId="77777777" w:rsidTr="00AA07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960" w:type="dxa"/>
            <w:tcBorders>
              <w:bottom w:val="nil"/>
            </w:tcBorders>
          </w:tcPr>
          <w:p w14:paraId="1F420356" w14:textId="5CE6FA60" w:rsidR="00DD1CEB" w:rsidRPr="0091560A" w:rsidRDefault="00DD1CEB" w:rsidP="00C27CD5">
            <w:pPr>
              <w:keepNext/>
              <w:keepLines/>
              <w:rPr>
                <w:rFonts w:cs="Times New Roman"/>
                <w:noProof/>
              </w:rPr>
            </w:pPr>
            <w:r w:rsidRPr="0091560A">
              <w:rPr>
                <w:rFonts w:cs="Times New Roman"/>
                <w:noProof/>
              </w:rPr>
              <w:t xml:space="preserve">Numbers of poisonings </w:t>
            </w:r>
          </w:p>
        </w:tc>
        <w:tc>
          <w:tcPr>
            <w:tcW w:w="1578" w:type="dxa"/>
            <w:gridSpan w:val="2"/>
            <w:tcBorders>
              <w:bottom w:val="nil"/>
            </w:tcBorders>
          </w:tcPr>
          <w:p w14:paraId="4286D056" w14:textId="06F11EDB"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83630</w:t>
            </w:r>
          </w:p>
        </w:tc>
        <w:tc>
          <w:tcPr>
            <w:tcW w:w="1430" w:type="dxa"/>
            <w:tcBorders>
              <w:bottom w:val="nil"/>
            </w:tcBorders>
          </w:tcPr>
          <w:p w14:paraId="48F341C4" w14:textId="09834C03"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177236</w:t>
            </w:r>
          </w:p>
        </w:tc>
        <w:tc>
          <w:tcPr>
            <w:tcW w:w="1089" w:type="dxa"/>
            <w:tcBorders>
              <w:bottom w:val="nil"/>
            </w:tcBorders>
          </w:tcPr>
          <w:p w14:paraId="2733EB46" w14:textId="6955A925" w:rsidR="00DD1CEB"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41920</w:t>
            </w:r>
          </w:p>
        </w:tc>
        <w:tc>
          <w:tcPr>
            <w:tcW w:w="1089" w:type="dxa"/>
            <w:tcBorders>
              <w:bottom w:val="nil"/>
            </w:tcBorders>
          </w:tcPr>
          <w:p w14:paraId="372EE3D4" w14:textId="4B44BDD8"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Pr>
                <w:rFonts w:cs="Times New Roman"/>
                <w:noProof/>
              </w:rPr>
              <w:t>NA</w:t>
            </w:r>
          </w:p>
        </w:tc>
      </w:tr>
      <w:tr w:rsidR="00DD1CEB" w:rsidRPr="0091560A" w14:paraId="68B0D424" w14:textId="77777777" w:rsidTr="00AA0731">
        <w:trPr>
          <w:trHeight w:val="274"/>
        </w:trPr>
        <w:tc>
          <w:tcPr>
            <w:cnfStyle w:val="001000000000" w:firstRow="0" w:lastRow="0" w:firstColumn="1" w:lastColumn="0" w:oddVBand="0" w:evenVBand="0" w:oddHBand="0" w:evenHBand="0" w:firstRowFirstColumn="0" w:firstRowLastColumn="0" w:lastRowFirstColumn="0" w:lastRowLastColumn="0"/>
            <w:tcW w:w="3960" w:type="dxa"/>
            <w:tcBorders>
              <w:top w:val="nil"/>
              <w:bottom w:val="nil"/>
            </w:tcBorders>
          </w:tcPr>
          <w:p w14:paraId="4F3AA720" w14:textId="669935F3" w:rsidR="00DD1CEB" w:rsidRPr="0091560A" w:rsidRDefault="00DD1CEB" w:rsidP="00C27CD5">
            <w:pPr>
              <w:keepNext/>
              <w:keepLines/>
              <w:rPr>
                <w:rFonts w:cs="Times New Roman"/>
                <w:noProof/>
              </w:rPr>
            </w:pPr>
            <w:r w:rsidRPr="0091560A">
              <w:rPr>
                <w:rFonts w:cs="Times New Roman"/>
                <w:noProof/>
              </w:rPr>
              <w:t>Paracetamol poisonings</w:t>
            </w:r>
          </w:p>
        </w:tc>
        <w:tc>
          <w:tcPr>
            <w:tcW w:w="1578" w:type="dxa"/>
            <w:gridSpan w:val="2"/>
            <w:tcBorders>
              <w:top w:val="nil"/>
              <w:bottom w:val="nil"/>
            </w:tcBorders>
          </w:tcPr>
          <w:p w14:paraId="182A4694" w14:textId="5D354487"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8240</w:t>
            </w:r>
          </w:p>
        </w:tc>
        <w:tc>
          <w:tcPr>
            <w:tcW w:w="1430" w:type="dxa"/>
            <w:tcBorders>
              <w:top w:val="nil"/>
              <w:bottom w:val="nil"/>
            </w:tcBorders>
          </w:tcPr>
          <w:p w14:paraId="28E247FA" w14:textId="5C794E70"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16341</w:t>
            </w:r>
          </w:p>
        </w:tc>
        <w:tc>
          <w:tcPr>
            <w:tcW w:w="1089" w:type="dxa"/>
            <w:tcBorders>
              <w:top w:val="nil"/>
              <w:bottom w:val="nil"/>
            </w:tcBorders>
          </w:tcPr>
          <w:p w14:paraId="2C45ED46" w14:textId="1646D141"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8723</w:t>
            </w:r>
          </w:p>
        </w:tc>
        <w:tc>
          <w:tcPr>
            <w:tcW w:w="1089" w:type="dxa"/>
            <w:tcBorders>
              <w:top w:val="nil"/>
              <w:bottom w:val="nil"/>
            </w:tcBorders>
          </w:tcPr>
          <w:p w14:paraId="0BEFFBBE" w14:textId="40F9051C"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29</w:t>
            </w:r>
          </w:p>
        </w:tc>
      </w:tr>
      <w:tr w:rsidR="00DD1CEB" w:rsidRPr="0091560A" w14:paraId="2B419EA3" w14:textId="77777777" w:rsidTr="00AA07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960" w:type="dxa"/>
            <w:tcBorders>
              <w:top w:val="nil"/>
              <w:bottom w:val="nil"/>
            </w:tcBorders>
          </w:tcPr>
          <w:p w14:paraId="740790B6" w14:textId="184C57EF" w:rsidR="00DD1CEB" w:rsidRPr="0091560A" w:rsidRDefault="00DD1CEB" w:rsidP="00C27CD5">
            <w:pPr>
              <w:keepNext/>
              <w:keepLines/>
              <w:rPr>
                <w:rFonts w:cs="Times New Roman"/>
                <w:noProof/>
              </w:rPr>
            </w:pPr>
            <w:r w:rsidRPr="0091560A">
              <w:rPr>
                <w:rFonts w:cs="Times New Roman"/>
                <w:noProof/>
              </w:rPr>
              <w:t>Deliberate self-poisonings</w:t>
            </w:r>
            <w:r>
              <w:rPr>
                <w:rFonts w:cs="Times New Roman"/>
                <w:noProof/>
              </w:rPr>
              <w:t xml:space="preserve"> (DSP)</w:t>
            </w:r>
          </w:p>
        </w:tc>
        <w:tc>
          <w:tcPr>
            <w:tcW w:w="1578" w:type="dxa"/>
            <w:gridSpan w:val="2"/>
            <w:tcBorders>
              <w:top w:val="nil"/>
              <w:bottom w:val="nil"/>
            </w:tcBorders>
          </w:tcPr>
          <w:p w14:paraId="61478F93" w14:textId="23598620"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17780</w:t>
            </w:r>
          </w:p>
        </w:tc>
        <w:tc>
          <w:tcPr>
            <w:tcW w:w="1430" w:type="dxa"/>
            <w:tcBorders>
              <w:top w:val="nil"/>
              <w:bottom w:val="nil"/>
            </w:tcBorders>
          </w:tcPr>
          <w:p w14:paraId="115BE52E" w14:textId="38FAE039"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Pr>
                <w:rFonts w:cs="Times New Roman"/>
                <w:noProof/>
              </w:rPr>
              <w:t>NA</w:t>
            </w:r>
          </w:p>
        </w:tc>
        <w:tc>
          <w:tcPr>
            <w:tcW w:w="1089" w:type="dxa"/>
            <w:tcBorders>
              <w:top w:val="nil"/>
              <w:bottom w:val="nil"/>
            </w:tcBorders>
          </w:tcPr>
          <w:p w14:paraId="69808238" w14:textId="35D668CE" w:rsidR="00DD1CEB"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25069</w:t>
            </w:r>
          </w:p>
        </w:tc>
        <w:tc>
          <w:tcPr>
            <w:tcW w:w="1089" w:type="dxa"/>
            <w:tcBorders>
              <w:top w:val="nil"/>
              <w:bottom w:val="nil"/>
            </w:tcBorders>
          </w:tcPr>
          <w:p w14:paraId="0D73C2F9" w14:textId="615DE0A8"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Pr>
                <w:rFonts w:cs="Times New Roman"/>
                <w:noProof/>
              </w:rPr>
              <w:t>NA</w:t>
            </w:r>
          </w:p>
        </w:tc>
      </w:tr>
      <w:tr w:rsidR="00DD1CEB" w:rsidRPr="0091560A" w14:paraId="11903BB5" w14:textId="77777777" w:rsidTr="00AA0731">
        <w:trPr>
          <w:trHeight w:val="389"/>
        </w:trPr>
        <w:tc>
          <w:tcPr>
            <w:cnfStyle w:val="001000000000" w:firstRow="0" w:lastRow="0" w:firstColumn="1" w:lastColumn="0" w:oddVBand="0" w:evenVBand="0" w:oddHBand="0" w:evenHBand="0" w:firstRowFirstColumn="0" w:firstRowLastColumn="0" w:lastRowFirstColumn="0" w:lastRowLastColumn="0"/>
            <w:tcW w:w="3960" w:type="dxa"/>
            <w:tcBorders>
              <w:top w:val="nil"/>
              <w:bottom w:val="nil"/>
            </w:tcBorders>
          </w:tcPr>
          <w:p w14:paraId="62C75785" w14:textId="43D62718" w:rsidR="00DD1CEB" w:rsidRPr="0091560A" w:rsidRDefault="00DD1CEB" w:rsidP="00C27CD5">
            <w:pPr>
              <w:keepNext/>
              <w:keepLines/>
              <w:rPr>
                <w:rFonts w:cs="Times New Roman"/>
                <w:noProof/>
              </w:rPr>
            </w:pPr>
            <w:r w:rsidRPr="0091560A">
              <w:rPr>
                <w:rFonts w:cs="Times New Roman"/>
                <w:noProof/>
              </w:rPr>
              <w:t>Paracetamol DSP</w:t>
            </w:r>
          </w:p>
        </w:tc>
        <w:tc>
          <w:tcPr>
            <w:tcW w:w="1578" w:type="dxa"/>
            <w:gridSpan w:val="2"/>
            <w:tcBorders>
              <w:top w:val="nil"/>
              <w:bottom w:val="nil"/>
            </w:tcBorders>
          </w:tcPr>
          <w:p w14:paraId="14757F7B" w14:textId="71D767CC"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3337</w:t>
            </w:r>
          </w:p>
        </w:tc>
        <w:tc>
          <w:tcPr>
            <w:tcW w:w="1430" w:type="dxa"/>
            <w:tcBorders>
              <w:top w:val="nil"/>
              <w:bottom w:val="nil"/>
            </w:tcBorders>
          </w:tcPr>
          <w:p w14:paraId="7AA85651" w14:textId="787B5F00"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6629</w:t>
            </w:r>
          </w:p>
        </w:tc>
        <w:tc>
          <w:tcPr>
            <w:tcW w:w="1089" w:type="dxa"/>
            <w:tcBorders>
              <w:top w:val="nil"/>
              <w:bottom w:val="nil"/>
            </w:tcBorders>
          </w:tcPr>
          <w:p w14:paraId="123F2C72" w14:textId="7D7F7788" w:rsidR="00DD1CEB"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sidRPr="0091560A">
              <w:rPr>
                <w:rFonts w:cs="Times New Roman"/>
                <w:noProof/>
              </w:rPr>
              <w:t>6918</w:t>
            </w:r>
          </w:p>
        </w:tc>
        <w:tc>
          <w:tcPr>
            <w:tcW w:w="1089" w:type="dxa"/>
            <w:tcBorders>
              <w:top w:val="nil"/>
              <w:bottom w:val="nil"/>
            </w:tcBorders>
          </w:tcPr>
          <w:p w14:paraId="270449F4" w14:textId="27A8CFF8" w:rsidR="00DD1CEB" w:rsidRPr="0091560A" w:rsidRDefault="00DD1CEB" w:rsidP="00C27CD5">
            <w:pPr>
              <w:keepNext/>
              <w:keepLines/>
              <w:jc w:val="center"/>
              <w:cnfStyle w:val="000000000000" w:firstRow="0" w:lastRow="0" w:firstColumn="0" w:lastColumn="0" w:oddVBand="0" w:evenVBand="0" w:oddHBand="0" w:evenHBand="0" w:firstRowFirstColumn="0" w:firstRowLastColumn="0" w:lastRowFirstColumn="0" w:lastRowLastColumn="0"/>
              <w:rPr>
                <w:rFonts w:cs="Times New Roman"/>
                <w:noProof/>
              </w:rPr>
            </w:pPr>
            <w:r>
              <w:rPr>
                <w:rFonts w:cs="Times New Roman"/>
                <w:noProof/>
              </w:rPr>
              <w:t>NA</w:t>
            </w:r>
          </w:p>
        </w:tc>
      </w:tr>
      <w:tr w:rsidR="00DD1CEB" w:rsidRPr="0091560A" w14:paraId="5289077D" w14:textId="77777777" w:rsidTr="00AA0731">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960" w:type="dxa"/>
            <w:tcBorders>
              <w:top w:val="nil"/>
            </w:tcBorders>
          </w:tcPr>
          <w:p w14:paraId="654F558F" w14:textId="3B0157BA" w:rsidR="00DD1CEB" w:rsidRPr="0091560A" w:rsidRDefault="00DD1CEB" w:rsidP="00C27CD5">
            <w:pPr>
              <w:keepNext/>
              <w:keepLines/>
              <w:rPr>
                <w:rFonts w:cs="Times New Roman"/>
                <w:noProof/>
              </w:rPr>
            </w:pPr>
            <w:r w:rsidRPr="0091560A">
              <w:rPr>
                <w:rFonts w:cs="Times New Roman"/>
                <w:noProof/>
              </w:rPr>
              <w:t>Liver injury</w:t>
            </w:r>
          </w:p>
        </w:tc>
        <w:tc>
          <w:tcPr>
            <w:tcW w:w="1578" w:type="dxa"/>
            <w:gridSpan w:val="2"/>
            <w:tcBorders>
              <w:top w:val="nil"/>
            </w:tcBorders>
          </w:tcPr>
          <w:p w14:paraId="2F9241BE" w14:textId="22FADED5"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highlight w:val="yellow"/>
              </w:rPr>
            </w:pPr>
            <w:r w:rsidRPr="004A1711">
              <w:rPr>
                <w:rFonts w:cs="Times New Roman"/>
                <w:noProof/>
              </w:rPr>
              <w:t>209</w:t>
            </w:r>
          </w:p>
        </w:tc>
        <w:tc>
          <w:tcPr>
            <w:tcW w:w="1430" w:type="dxa"/>
            <w:tcBorders>
              <w:top w:val="nil"/>
            </w:tcBorders>
          </w:tcPr>
          <w:p w14:paraId="18F0D3FE" w14:textId="0A9E54EA"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Pr>
                <w:rFonts w:cs="Times New Roman"/>
                <w:noProof/>
              </w:rPr>
              <w:t>NA</w:t>
            </w:r>
          </w:p>
        </w:tc>
        <w:tc>
          <w:tcPr>
            <w:tcW w:w="1089" w:type="dxa"/>
            <w:tcBorders>
              <w:top w:val="nil"/>
            </w:tcBorders>
          </w:tcPr>
          <w:p w14:paraId="1274892A" w14:textId="1E198E4D"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199</w:t>
            </w:r>
          </w:p>
        </w:tc>
        <w:tc>
          <w:tcPr>
            <w:tcW w:w="1089" w:type="dxa"/>
            <w:tcBorders>
              <w:top w:val="nil"/>
            </w:tcBorders>
          </w:tcPr>
          <w:p w14:paraId="6A017310" w14:textId="419529E2" w:rsidR="00DD1CEB" w:rsidRPr="0091560A" w:rsidRDefault="00DD1CEB" w:rsidP="00C27CD5">
            <w:pPr>
              <w:keepNext/>
              <w:keepLines/>
              <w:jc w:val="center"/>
              <w:cnfStyle w:val="000000100000" w:firstRow="0" w:lastRow="0" w:firstColumn="0" w:lastColumn="0" w:oddVBand="0" w:evenVBand="0" w:oddHBand="1" w:evenHBand="0" w:firstRowFirstColumn="0" w:firstRowLastColumn="0" w:lastRowFirstColumn="0" w:lastRowLastColumn="0"/>
              <w:rPr>
                <w:rFonts w:cs="Times New Roman"/>
                <w:noProof/>
              </w:rPr>
            </w:pPr>
            <w:r w:rsidRPr="0091560A">
              <w:rPr>
                <w:rFonts w:cs="Times New Roman"/>
                <w:noProof/>
              </w:rPr>
              <w:t>12</w:t>
            </w:r>
          </w:p>
        </w:tc>
      </w:tr>
    </w:tbl>
    <w:p w14:paraId="7163B749" w14:textId="718CE06E" w:rsidR="008815E9" w:rsidRPr="008815E9" w:rsidRDefault="00F33138">
      <w:pPr>
        <w:pStyle w:val="Tablenote"/>
      </w:pPr>
      <w:r>
        <w:rPr>
          <w:noProof/>
        </w:rPr>
        <w:t xml:space="preserve">NA=not </w:t>
      </w:r>
      <w:r w:rsidR="00910194">
        <w:rPr>
          <w:noProof/>
        </w:rPr>
        <w:t>available</w:t>
      </w:r>
    </w:p>
    <w:p w14:paraId="08195BD6" w14:textId="28A313D5" w:rsidR="00CF0BB8" w:rsidRDefault="002C50CC" w:rsidP="00AE33C0">
      <w:pPr>
        <w:pStyle w:val="Heading2"/>
      </w:pPr>
      <w:bookmarkStart w:id="97" w:name="_Toc112843920"/>
      <w:r>
        <w:t>2.</w:t>
      </w:r>
      <w:r w:rsidR="001F3E71">
        <w:t xml:space="preserve">5 </w:t>
      </w:r>
      <w:r>
        <w:t xml:space="preserve"> </w:t>
      </w:r>
      <w:r w:rsidR="0B51CDFE" w:rsidRPr="11F138D4">
        <w:t xml:space="preserve">Sales </w:t>
      </w:r>
      <w:r w:rsidR="0B51CDFE">
        <w:t>data</w:t>
      </w:r>
      <w:r w:rsidR="0B51CDFE" w:rsidRPr="11F138D4">
        <w:t xml:space="preserve"> on paracetamol</w:t>
      </w:r>
      <w:r w:rsidR="00FE195F">
        <w:t>-</w:t>
      </w:r>
      <w:r w:rsidR="0B51CDFE" w:rsidRPr="11F138D4">
        <w:t>containing products</w:t>
      </w:r>
      <w:bookmarkEnd w:id="97"/>
    </w:p>
    <w:tbl>
      <w:tblPr>
        <w:tblStyle w:val="TableGrid"/>
        <w:tblW w:w="0" w:type="auto"/>
        <w:shd w:val="clear" w:color="auto" w:fill="EDEDED" w:themeFill="accent3" w:themeFillTint="33"/>
        <w:tblLook w:val="04A0" w:firstRow="1" w:lastRow="0" w:firstColumn="1" w:lastColumn="0" w:noHBand="0" w:noVBand="1"/>
      </w:tblPr>
      <w:tblGrid>
        <w:gridCol w:w="9016"/>
      </w:tblGrid>
      <w:tr w:rsidR="00FF45E5" w14:paraId="772A6E67" w14:textId="77777777" w:rsidTr="00CA00B2">
        <w:tc>
          <w:tcPr>
            <w:tcW w:w="9016" w:type="dxa"/>
            <w:shd w:val="clear" w:color="auto" w:fill="EDEDED" w:themeFill="accent3" w:themeFillTint="33"/>
          </w:tcPr>
          <w:p w14:paraId="32A9DBCF" w14:textId="501BCA2F" w:rsidR="003A5491" w:rsidRDefault="00D560C1" w:rsidP="003A5491">
            <w:pPr>
              <w:pStyle w:val="ListParagraph"/>
              <w:numPr>
                <w:ilvl w:val="0"/>
                <w:numId w:val="76"/>
              </w:numPr>
              <w:spacing w:after="120" w:line="259" w:lineRule="auto"/>
              <w:ind w:left="357" w:hanging="357"/>
              <w:contextualSpacing w:val="0"/>
            </w:pPr>
            <w:r>
              <w:t>P</w:t>
            </w:r>
            <w:r w:rsidR="0095564D">
              <w:t>aracetamol containing products dominate</w:t>
            </w:r>
            <w:r w:rsidR="00402062">
              <w:t>d</w:t>
            </w:r>
            <w:r w:rsidR="0095564D">
              <w:t xml:space="preserve"> </w:t>
            </w:r>
            <w:r>
              <w:t>sales of</w:t>
            </w:r>
            <w:r w:rsidR="0095564D">
              <w:t xml:space="preserve"> non-prescription analgesic</w:t>
            </w:r>
            <w:r>
              <w:t xml:space="preserve">s in </w:t>
            </w:r>
            <w:r w:rsidR="006A5434">
              <w:t xml:space="preserve">both </w:t>
            </w:r>
            <w:r>
              <w:t>pharmacies</w:t>
            </w:r>
            <w:r w:rsidR="006A5434">
              <w:t>, and in grocery and convenience stores</w:t>
            </w:r>
            <w:r w:rsidR="00747E0A">
              <w:t>,</w:t>
            </w:r>
            <w:r w:rsidR="00FD07ED">
              <w:t xml:space="preserve"> </w:t>
            </w:r>
            <w:r>
              <w:t>amounting to</w:t>
            </w:r>
            <w:r w:rsidR="00FD07ED">
              <w:t xml:space="preserve"> around 40 million units </w:t>
            </w:r>
            <w:r w:rsidR="006A5434">
              <w:t xml:space="preserve">and 25 million units </w:t>
            </w:r>
            <w:r w:rsidR="00FD07ED">
              <w:t>a year</w:t>
            </w:r>
            <w:r w:rsidR="006A5434">
              <w:t>, respectively,</w:t>
            </w:r>
            <w:r w:rsidR="00FD07ED">
              <w:t xml:space="preserve"> in 2021.</w:t>
            </w:r>
            <w:r w:rsidR="00A01333">
              <w:t xml:space="preserve"> </w:t>
            </w:r>
            <w:r w:rsidR="003A5491">
              <w:t>Overall, two-thirds of all non-prescription analgesics are through pharmacies, although this varies to some extent by state.</w:t>
            </w:r>
          </w:p>
          <w:p w14:paraId="07E3DAC0" w14:textId="745279F6" w:rsidR="00D02DAB" w:rsidRDefault="00A01333" w:rsidP="00C20C4F">
            <w:pPr>
              <w:pStyle w:val="ListParagraph"/>
              <w:numPr>
                <w:ilvl w:val="0"/>
                <w:numId w:val="76"/>
              </w:numPr>
              <w:spacing w:after="120" w:line="259" w:lineRule="auto"/>
              <w:ind w:left="357" w:hanging="357"/>
              <w:contextualSpacing w:val="0"/>
            </w:pPr>
            <w:r>
              <w:t xml:space="preserve">Larger pack sizes of 96 or 100 accounted for more than half of all </w:t>
            </w:r>
            <w:r w:rsidR="003A5491">
              <w:t xml:space="preserve">paracetamol </w:t>
            </w:r>
            <w:r>
              <w:t>unit sales</w:t>
            </w:r>
            <w:r w:rsidR="00A87055">
              <w:t xml:space="preserve"> in pharmacies</w:t>
            </w:r>
            <w:r>
              <w:t>.</w:t>
            </w:r>
            <w:r w:rsidR="006A5434">
              <w:t xml:space="preserve"> Outside of pharmacies, 95% of total </w:t>
            </w:r>
            <w:r w:rsidR="003A5491">
              <w:t>paracetamol product units sold</w:t>
            </w:r>
            <w:r w:rsidR="006A5434">
              <w:t xml:space="preserve"> were </w:t>
            </w:r>
            <w:r w:rsidR="003A5491">
              <w:t>20 packs sold in</w:t>
            </w:r>
            <w:r w:rsidR="006A5434">
              <w:t xml:space="preserve"> grocery stores</w:t>
            </w:r>
            <w:r>
              <w:t>.</w:t>
            </w:r>
          </w:p>
          <w:p w14:paraId="71E140F5" w14:textId="3F5F3D2B" w:rsidR="006E6442" w:rsidRDefault="00D10DFE" w:rsidP="00C20C4F">
            <w:pPr>
              <w:pStyle w:val="ListParagraph"/>
              <w:numPr>
                <w:ilvl w:val="0"/>
                <w:numId w:val="76"/>
              </w:numPr>
              <w:spacing w:after="120" w:line="259" w:lineRule="auto"/>
              <w:ind w:left="357" w:hanging="357"/>
              <w:contextualSpacing w:val="0"/>
            </w:pPr>
            <w:r>
              <w:t xml:space="preserve">Approximately </w:t>
            </w:r>
            <w:r w:rsidR="00AF4F20">
              <w:t xml:space="preserve">85-90% of </w:t>
            </w:r>
            <w:r w:rsidR="009D0714">
              <w:t>pharmacy</w:t>
            </w:r>
            <w:r w:rsidR="003A5491">
              <w:t xml:space="preserve"> visits </w:t>
            </w:r>
            <w:r w:rsidR="009D0714">
              <w:t>where</w:t>
            </w:r>
            <w:r w:rsidR="003A5491">
              <w:t xml:space="preserve"> </w:t>
            </w:r>
            <w:r w:rsidR="009D0714">
              <w:t xml:space="preserve">a </w:t>
            </w:r>
            <w:r w:rsidR="00A87055">
              <w:t xml:space="preserve">paracetamol product </w:t>
            </w:r>
            <w:r w:rsidR="009D0714">
              <w:t xml:space="preserve">was purchased </w:t>
            </w:r>
            <w:r w:rsidR="000573A1">
              <w:t>involve</w:t>
            </w:r>
            <w:r w:rsidR="008F6A87">
              <w:t xml:space="preserve">d </w:t>
            </w:r>
            <w:r w:rsidR="009D0714">
              <w:t xml:space="preserve">the </w:t>
            </w:r>
            <w:r w:rsidR="00AF4F20">
              <w:t xml:space="preserve">purchase of only </w:t>
            </w:r>
            <w:r w:rsidR="009D0714">
              <w:t>a single</w:t>
            </w:r>
            <w:r w:rsidR="00AF4F20">
              <w:t xml:space="preserve"> </w:t>
            </w:r>
            <w:r w:rsidR="009D0714">
              <w:t>unit of a</w:t>
            </w:r>
            <w:r w:rsidR="00AF4F20">
              <w:t xml:space="preserve"> paracetamol-containing </w:t>
            </w:r>
            <w:r w:rsidR="00A87055">
              <w:t>product</w:t>
            </w:r>
            <w:r w:rsidR="00AF4F20">
              <w:t xml:space="preserve">, with </w:t>
            </w:r>
            <w:r w:rsidR="00612E2A">
              <w:t xml:space="preserve">multi-unit purchases </w:t>
            </w:r>
            <w:r w:rsidR="00A87055">
              <w:t>tending to involve</w:t>
            </w:r>
            <w:r w:rsidR="000573A1">
              <w:t xml:space="preserve"> </w:t>
            </w:r>
            <w:r w:rsidR="006914AD">
              <w:t>smaller pack sizes.</w:t>
            </w:r>
            <w:r w:rsidR="003A5491">
              <w:t xml:space="preserve"> In grocery and convenience stores, m</w:t>
            </w:r>
            <w:r w:rsidR="00E15E6D">
              <w:t xml:space="preserve">ost </w:t>
            </w:r>
            <w:r w:rsidR="009D0714">
              <w:t>paracetamol purchasing visits</w:t>
            </w:r>
            <w:r w:rsidR="00E15E6D">
              <w:t xml:space="preserve"> </w:t>
            </w:r>
            <w:r w:rsidR="00D65B66">
              <w:t>involved</w:t>
            </w:r>
            <w:r w:rsidR="009D0714">
              <w:t xml:space="preserve"> the purchase of </w:t>
            </w:r>
            <w:r w:rsidR="00E15E6D">
              <w:t xml:space="preserve">either 1 pack (~75%) or 2 packs (~20%) </w:t>
            </w:r>
            <w:r w:rsidR="00D65B66">
              <w:t xml:space="preserve">only, these 95% of visits </w:t>
            </w:r>
            <w:r w:rsidR="003F60C7">
              <w:t>account</w:t>
            </w:r>
            <w:r w:rsidR="00D65B66">
              <w:t>ing</w:t>
            </w:r>
            <w:r w:rsidR="003F60C7">
              <w:t xml:space="preserve"> for approximately 85% of </w:t>
            </w:r>
            <w:r w:rsidR="00D65B66">
              <w:t>units</w:t>
            </w:r>
            <w:r w:rsidR="003F60C7">
              <w:t xml:space="preserve"> </w:t>
            </w:r>
            <w:r w:rsidR="00D65B66">
              <w:t>sold</w:t>
            </w:r>
            <w:r w:rsidR="003F60C7">
              <w:t xml:space="preserve">. </w:t>
            </w:r>
          </w:p>
          <w:p w14:paraId="62C33DE5" w14:textId="2035AD73" w:rsidR="00653ECD" w:rsidRDefault="001837FB" w:rsidP="00C20C4F">
            <w:pPr>
              <w:pStyle w:val="ListParagraph"/>
              <w:numPr>
                <w:ilvl w:val="0"/>
                <w:numId w:val="76"/>
              </w:numPr>
              <w:spacing w:after="120"/>
              <w:ind w:left="357" w:hanging="357"/>
              <w:contextualSpacing w:val="0"/>
            </w:pPr>
            <w:r>
              <w:t xml:space="preserve">Around 25% of the time multiple units </w:t>
            </w:r>
            <w:r w:rsidR="004B240A">
              <w:t xml:space="preserve">are purchased in a single transaction and most frequently involve </w:t>
            </w:r>
            <w:r w:rsidR="008027F1">
              <w:t xml:space="preserve">multiple </w:t>
            </w:r>
            <w:r w:rsidR="00BA3883">
              <w:t>20</w:t>
            </w:r>
            <w:r w:rsidR="00382ECF">
              <w:t xml:space="preserve"> </w:t>
            </w:r>
            <w:r w:rsidR="00BA3883">
              <w:t>pack</w:t>
            </w:r>
            <w:r w:rsidR="00382ECF">
              <w:t>s</w:t>
            </w:r>
            <w:r w:rsidR="00BA3883">
              <w:t xml:space="preserve"> </w:t>
            </w:r>
            <w:r w:rsidR="00382ECF">
              <w:t>being purchased</w:t>
            </w:r>
            <w:r w:rsidR="00BA3883">
              <w:t>.</w:t>
            </w:r>
            <w:r w:rsidR="006E6442">
              <w:t xml:space="preserve"> </w:t>
            </w:r>
          </w:p>
        </w:tc>
      </w:tr>
    </w:tbl>
    <w:p w14:paraId="18654A13" w14:textId="77777777" w:rsidR="00FF45E5" w:rsidRPr="00330908" w:rsidRDefault="00FF45E5" w:rsidP="00330908"/>
    <w:p w14:paraId="715A4EF5" w14:textId="2771441D" w:rsidR="006A4BC4" w:rsidRPr="00330908" w:rsidRDefault="006A4BC4" w:rsidP="00330908">
      <w:pPr>
        <w:pStyle w:val="Heading3"/>
      </w:pPr>
      <w:bookmarkStart w:id="98" w:name="_Toc112843921"/>
      <w:r>
        <w:t>Pharmacy sales</w:t>
      </w:r>
      <w:bookmarkEnd w:id="98"/>
    </w:p>
    <w:p w14:paraId="7BE882D9" w14:textId="64DCF686" w:rsidR="00CF0BB8" w:rsidRPr="0091560A" w:rsidRDefault="0F8F9F52" w:rsidP="00CF0BB8">
      <w:pPr>
        <w:rPr>
          <w:rFonts w:cs="Times New Roman"/>
          <w:noProof/>
        </w:rPr>
      </w:pPr>
      <w:r w:rsidRPr="11F138D4">
        <w:rPr>
          <w:rFonts w:cs="Times New Roman"/>
          <w:noProof/>
        </w:rPr>
        <w:t>IQVIA</w:t>
      </w:r>
      <w:r w:rsidR="0B51CDFE" w:rsidRPr="11F138D4">
        <w:rPr>
          <w:rFonts w:cs="Times New Roman"/>
          <w:noProof/>
        </w:rPr>
        <w:t xml:space="preserve"> data </w:t>
      </w:r>
      <w:r w:rsidRPr="11F138D4">
        <w:rPr>
          <w:rFonts w:cs="Times New Roman"/>
          <w:noProof/>
        </w:rPr>
        <w:t xml:space="preserve">were obtained </w:t>
      </w:r>
      <w:r w:rsidR="0B51CDFE" w:rsidRPr="11F138D4">
        <w:rPr>
          <w:rFonts w:cs="Times New Roman"/>
          <w:noProof/>
        </w:rPr>
        <w:t xml:space="preserve">by the TGA, on absolute and relative sale volumes </w:t>
      </w:r>
      <w:r w:rsidR="4531C04F" w:rsidRPr="11F138D4">
        <w:rPr>
          <w:rFonts w:cs="Times New Roman"/>
          <w:noProof/>
        </w:rPr>
        <w:t xml:space="preserve">of </w:t>
      </w:r>
      <w:r w:rsidR="0B51CDFE" w:rsidRPr="11F138D4">
        <w:rPr>
          <w:rFonts w:cs="Times New Roman"/>
          <w:noProof/>
        </w:rPr>
        <w:t>paracetamol-containing medicines in Australia</w:t>
      </w:r>
      <w:r w:rsidR="00A63159">
        <w:rPr>
          <w:rFonts w:cs="Times New Roman"/>
          <w:noProof/>
        </w:rPr>
        <w:t>n pharmacies</w:t>
      </w:r>
      <w:r w:rsidR="0B51CDFE" w:rsidRPr="11F138D4">
        <w:rPr>
          <w:rFonts w:cs="Times New Roman"/>
          <w:noProof/>
        </w:rPr>
        <w:t xml:space="preserve">, segmented wherever possible by type, scheduling status, retail supply type, year and jurisdiction.  </w:t>
      </w:r>
    </w:p>
    <w:p w14:paraId="16B195F3" w14:textId="386F0601" w:rsidR="00585E36" w:rsidRPr="0091560A" w:rsidRDefault="00432FA5" w:rsidP="00CF0BB8">
      <w:pPr>
        <w:rPr>
          <w:rFonts w:cs="Times New Roman"/>
          <w:noProof/>
        </w:rPr>
      </w:pPr>
      <w:r>
        <w:rPr>
          <w:rFonts w:cs="Times New Roman"/>
          <w:noProof/>
        </w:rPr>
        <w:t xml:space="preserve">Data provided by IQVIA about the volume of sales of units of individual products represented 100% of sales across </w:t>
      </w:r>
      <w:r w:rsidR="00ED3A00">
        <w:rPr>
          <w:rFonts w:cs="Times New Roman"/>
          <w:noProof/>
        </w:rPr>
        <w:t>all Australian pharmacies. This was based o</w:t>
      </w:r>
      <w:r w:rsidR="0029004D">
        <w:rPr>
          <w:rFonts w:cs="Times New Roman"/>
          <w:noProof/>
        </w:rPr>
        <w:t>n</w:t>
      </w:r>
      <w:r w:rsidR="00ED3A00">
        <w:rPr>
          <w:rFonts w:cs="Times New Roman"/>
          <w:noProof/>
        </w:rPr>
        <w:t xml:space="preserve"> point of sale data </w:t>
      </w:r>
      <w:r w:rsidR="000B6C0B">
        <w:rPr>
          <w:rFonts w:cs="Times New Roman"/>
          <w:noProof/>
        </w:rPr>
        <w:t>across 60.7% of pharmacy stores, which account for 90% of paracetamol sales. The remaining 10% of paracetamol sales were projected to 1</w:t>
      </w:r>
      <w:r w:rsidR="003959BA">
        <w:rPr>
          <w:rFonts w:cs="Times New Roman"/>
          <w:noProof/>
        </w:rPr>
        <w:t xml:space="preserve">00% using various methods. The transaction level data </w:t>
      </w:r>
      <w:r w:rsidR="00163B27">
        <w:rPr>
          <w:rFonts w:cs="Times New Roman"/>
          <w:noProof/>
        </w:rPr>
        <w:t xml:space="preserve">provided was not projected and as such was intended to be used to determine relative rather than absolute </w:t>
      </w:r>
      <w:r w:rsidR="00021010">
        <w:rPr>
          <w:rFonts w:cs="Times New Roman"/>
          <w:noProof/>
        </w:rPr>
        <w:t>basket level volumns and purchasing patterns in Australia.</w:t>
      </w:r>
    </w:p>
    <w:p w14:paraId="4FB32D0F" w14:textId="1BD4E4AC" w:rsidR="005C7FF0" w:rsidRDefault="00722D0F" w:rsidP="005C7FF0">
      <w:pPr>
        <w:rPr>
          <w:rFonts w:cs="Times New Roman"/>
          <w:noProof/>
        </w:rPr>
      </w:pPr>
      <w:r w:rsidRPr="0091560A">
        <w:rPr>
          <w:rFonts w:cs="Times New Roman"/>
          <w:noProof/>
        </w:rPr>
        <w:t xml:space="preserve">These show paracetamol containing products </w:t>
      </w:r>
      <w:r w:rsidR="00DD17DB" w:rsidRPr="0091560A">
        <w:rPr>
          <w:rFonts w:cs="Times New Roman"/>
          <w:noProof/>
        </w:rPr>
        <w:t>dominate the non-prescription analgesic market</w:t>
      </w:r>
      <w:r w:rsidR="00D66510" w:rsidRPr="0091560A">
        <w:rPr>
          <w:rFonts w:cs="Times New Roman"/>
          <w:noProof/>
        </w:rPr>
        <w:t xml:space="preserve"> in pharmacies</w:t>
      </w:r>
      <w:r w:rsidR="00DD17DB" w:rsidRPr="0091560A">
        <w:rPr>
          <w:rFonts w:cs="Times New Roman"/>
          <w:noProof/>
        </w:rPr>
        <w:t xml:space="preserve">, selling around 40 million </w:t>
      </w:r>
      <w:r w:rsidR="001909FE" w:rsidRPr="0091560A">
        <w:rPr>
          <w:rFonts w:cs="Times New Roman"/>
          <w:noProof/>
        </w:rPr>
        <w:t xml:space="preserve">units a year in the most recent data. The </w:t>
      </w:r>
      <w:r w:rsidR="00A009AE" w:rsidRPr="0091560A">
        <w:rPr>
          <w:rFonts w:cs="Times New Roman"/>
          <w:noProof/>
        </w:rPr>
        <w:t xml:space="preserve">S4 </w:t>
      </w:r>
      <w:r w:rsidR="001909FE" w:rsidRPr="0091560A">
        <w:rPr>
          <w:rFonts w:cs="Times New Roman"/>
          <w:noProof/>
        </w:rPr>
        <w:t xml:space="preserve">codeine </w:t>
      </w:r>
      <w:r w:rsidR="00A009AE" w:rsidRPr="0091560A">
        <w:rPr>
          <w:rFonts w:cs="Times New Roman"/>
          <w:noProof/>
        </w:rPr>
        <w:t>scheduling in 2018 might account for the drop in combinations from 2018 on</w:t>
      </w:r>
      <w:r w:rsidR="008D4B74">
        <w:rPr>
          <w:rFonts w:cs="Times New Roman"/>
          <w:noProof/>
        </w:rPr>
        <w:t>wards</w:t>
      </w:r>
      <w:r w:rsidR="00067926" w:rsidRPr="0091560A">
        <w:rPr>
          <w:rFonts w:cs="Times New Roman"/>
          <w:noProof/>
        </w:rPr>
        <w:t xml:space="preserve"> (Figure </w:t>
      </w:r>
      <w:r w:rsidR="0081179E">
        <w:rPr>
          <w:rFonts w:cs="Times New Roman"/>
          <w:noProof/>
        </w:rPr>
        <w:t>3</w:t>
      </w:r>
      <w:r w:rsidR="00DA4616">
        <w:rPr>
          <w:rFonts w:cs="Times New Roman"/>
          <w:noProof/>
        </w:rPr>
        <w:t>2</w:t>
      </w:r>
      <w:r w:rsidR="00067926" w:rsidRPr="0091560A">
        <w:rPr>
          <w:rFonts w:cs="Times New Roman"/>
          <w:noProof/>
        </w:rPr>
        <w:t>)</w:t>
      </w:r>
      <w:r w:rsidR="00A009AE" w:rsidRPr="0091560A">
        <w:rPr>
          <w:rFonts w:cs="Times New Roman"/>
          <w:noProof/>
        </w:rPr>
        <w:t>.</w:t>
      </w:r>
      <w:r w:rsidR="00067926" w:rsidRPr="0091560A">
        <w:rPr>
          <w:rFonts w:cs="Times New Roman"/>
          <w:noProof/>
        </w:rPr>
        <w:t xml:space="preserve"> Further evidence for this is seen in the drop in </w:t>
      </w:r>
      <w:r w:rsidR="00C773C9">
        <w:rPr>
          <w:rFonts w:cs="Times New Roman"/>
          <w:noProof/>
        </w:rPr>
        <w:t>S</w:t>
      </w:r>
      <w:r w:rsidR="00067926" w:rsidRPr="0091560A">
        <w:rPr>
          <w:rFonts w:cs="Times New Roman"/>
          <w:noProof/>
        </w:rPr>
        <w:t>chedule 3</w:t>
      </w:r>
      <w:r w:rsidR="008D00E8" w:rsidRPr="0091560A">
        <w:rPr>
          <w:rFonts w:cs="Times New Roman"/>
          <w:noProof/>
        </w:rPr>
        <w:t xml:space="preserve"> paracetamol </w:t>
      </w:r>
      <w:r w:rsidR="00067926" w:rsidRPr="0091560A">
        <w:rPr>
          <w:rFonts w:cs="Times New Roman"/>
          <w:noProof/>
        </w:rPr>
        <w:t>products</w:t>
      </w:r>
      <w:r w:rsidR="008D00E8" w:rsidRPr="0091560A">
        <w:rPr>
          <w:rFonts w:cs="Times New Roman"/>
          <w:noProof/>
        </w:rPr>
        <w:t xml:space="preserve"> at the same time (Figure </w:t>
      </w:r>
      <w:r w:rsidR="0081179E">
        <w:rPr>
          <w:rFonts w:cs="Times New Roman"/>
          <w:noProof/>
        </w:rPr>
        <w:t>3</w:t>
      </w:r>
      <w:r w:rsidR="00DA4616">
        <w:rPr>
          <w:rFonts w:cs="Times New Roman"/>
          <w:noProof/>
        </w:rPr>
        <w:t>3</w:t>
      </w:r>
      <w:r w:rsidR="008D00E8" w:rsidRPr="0091560A">
        <w:rPr>
          <w:rFonts w:cs="Times New Roman"/>
          <w:noProof/>
        </w:rPr>
        <w:t>)</w:t>
      </w:r>
      <w:r w:rsidR="005C7FF0">
        <w:rPr>
          <w:rFonts w:cs="Times New Roman"/>
          <w:noProof/>
        </w:rPr>
        <w:t xml:space="preserve">. </w:t>
      </w:r>
    </w:p>
    <w:p w14:paraId="718D6CB4" w14:textId="77777777" w:rsidR="00C432DD" w:rsidRPr="0091560A" w:rsidRDefault="00C432DD" w:rsidP="00C432DD">
      <w:pPr>
        <w:rPr>
          <w:rFonts w:cs="Times New Roman"/>
          <w:noProof/>
        </w:rPr>
      </w:pPr>
      <w:r w:rsidRPr="0091560A">
        <w:rPr>
          <w:rFonts w:cs="Times New Roman"/>
        </w:rPr>
        <w:t xml:space="preserve">It was notable that large pack sizes (96 or 100, both containing 50 or more grams of paracetamol, assuming 96s are of MR paracetamol) accounted for around half of all unit sales (Figure </w:t>
      </w:r>
      <w:r>
        <w:rPr>
          <w:rFonts w:cs="Times New Roman"/>
        </w:rPr>
        <w:t>34, left</w:t>
      </w:r>
      <w:r w:rsidRPr="0091560A">
        <w:rPr>
          <w:rFonts w:cs="Times New Roman"/>
        </w:rPr>
        <w:t xml:space="preserve">). </w:t>
      </w:r>
    </w:p>
    <w:p w14:paraId="599034EB" w14:textId="77777777" w:rsidR="00C432DD" w:rsidRDefault="00C432DD" w:rsidP="00C432DD">
      <w:pPr>
        <w:rPr>
          <w:rFonts w:cs="Times New Roman"/>
          <w:noProof/>
        </w:rPr>
      </w:pPr>
      <w:r w:rsidRPr="0091560A">
        <w:rPr>
          <w:rFonts w:cs="Times New Roman"/>
          <w:noProof/>
        </w:rPr>
        <w:t>These can be converted to a proportion of grams sold by assigning 500</w:t>
      </w:r>
      <w:r>
        <w:rPr>
          <w:rFonts w:cs="Times New Roman"/>
          <w:noProof/>
        </w:rPr>
        <w:t xml:space="preserve"> </w:t>
      </w:r>
      <w:r w:rsidRPr="0091560A">
        <w:rPr>
          <w:rFonts w:cs="Times New Roman"/>
          <w:noProof/>
        </w:rPr>
        <w:t xml:space="preserve">mg per unit for all unit pack sizes except for 1 and 96 units with a &gt;50 </w:t>
      </w:r>
      <w:r>
        <w:rPr>
          <w:rFonts w:cs="Times New Roman"/>
          <w:noProof/>
        </w:rPr>
        <w:t>g</w:t>
      </w:r>
      <w:r w:rsidRPr="0091560A">
        <w:rPr>
          <w:rFonts w:cs="Times New Roman"/>
          <w:noProof/>
        </w:rPr>
        <w:t xml:space="preserve"> classification.</w:t>
      </w:r>
      <w:r w:rsidRPr="0091560A" w:rsidDel="008150F3">
        <w:rPr>
          <w:rFonts w:cs="Times New Roman"/>
          <w:noProof/>
        </w:rPr>
        <w:t xml:space="preserve"> </w:t>
      </w:r>
      <w:r w:rsidRPr="0091560A">
        <w:rPr>
          <w:rFonts w:cs="Times New Roman"/>
          <w:noProof/>
        </w:rPr>
        <w:t>The 1s are assumed to be syrups and have been arbitrarily assigned a 5000 mg dose; these 96 packs &gt;50</w:t>
      </w:r>
      <w:r>
        <w:rPr>
          <w:rFonts w:cs="Times New Roman"/>
          <w:noProof/>
        </w:rPr>
        <w:t xml:space="preserve"> g</w:t>
      </w:r>
      <w:r w:rsidRPr="0091560A">
        <w:rPr>
          <w:rFonts w:cs="Times New Roman"/>
          <w:noProof/>
        </w:rPr>
        <w:t xml:space="preserve"> have been assigned assuming they are MR preparations of 665 mg tablets. It can be seen that these large pack sizes dominate total non-prescription sales of paracetamol in terms of total doses (Figure </w:t>
      </w:r>
      <w:r>
        <w:rPr>
          <w:rFonts w:cs="Times New Roman"/>
          <w:noProof/>
        </w:rPr>
        <w:t>34, right</w:t>
      </w:r>
      <w:r w:rsidRPr="0091560A">
        <w:rPr>
          <w:rFonts w:cs="Times New Roman"/>
          <w:noProof/>
        </w:rPr>
        <w:t>).</w:t>
      </w:r>
    </w:p>
    <w:p w14:paraId="135651D1" w14:textId="684C4C73" w:rsidR="00C432DD" w:rsidRDefault="00C432DD" w:rsidP="005C7FF0">
      <w:pPr>
        <w:rPr>
          <w:rFonts w:cs="Times New Roman"/>
        </w:rPr>
      </w:pPr>
      <w:r w:rsidRPr="11F138D4">
        <w:rPr>
          <w:rFonts w:cs="Times New Roman"/>
        </w:rPr>
        <w:t xml:space="preserve">Most </w:t>
      </w:r>
      <w:r w:rsidR="00B714A6">
        <w:rPr>
          <w:rFonts w:cs="Times New Roman"/>
        </w:rPr>
        <w:t xml:space="preserve">paracetamol-containing </w:t>
      </w:r>
      <w:r w:rsidR="00BD4F0D">
        <w:rPr>
          <w:rFonts w:cs="Times New Roman"/>
        </w:rPr>
        <w:t>transactions</w:t>
      </w:r>
      <w:r w:rsidR="00BD4F0D" w:rsidRPr="11F138D4">
        <w:rPr>
          <w:rFonts w:cs="Times New Roman"/>
        </w:rPr>
        <w:t xml:space="preserve"> </w:t>
      </w:r>
      <w:r w:rsidRPr="11F138D4">
        <w:rPr>
          <w:rFonts w:cs="Times New Roman"/>
        </w:rPr>
        <w:t xml:space="preserve">(85-90%) involve </w:t>
      </w:r>
      <w:r w:rsidR="00B714A6">
        <w:rPr>
          <w:rFonts w:cs="Times New Roman"/>
        </w:rPr>
        <w:t>the</w:t>
      </w:r>
      <w:r w:rsidRPr="11F138D4">
        <w:rPr>
          <w:rFonts w:cs="Times New Roman"/>
        </w:rPr>
        <w:t xml:space="preserve"> purchase of only one paracetamol item</w:t>
      </w:r>
      <w:r w:rsidR="00C72AC1">
        <w:rPr>
          <w:rFonts w:cs="Times New Roman"/>
        </w:rPr>
        <w:t xml:space="preserve"> (</w:t>
      </w:r>
      <w:r w:rsidR="00C72AC1">
        <w:rPr>
          <w:rFonts w:cs="Times New Roman"/>
        </w:rPr>
        <w:fldChar w:fldCharType="begin"/>
      </w:r>
      <w:r w:rsidR="00C72AC1">
        <w:rPr>
          <w:rFonts w:cs="Times New Roman"/>
        </w:rPr>
        <w:instrText xml:space="preserve"> REF _Ref112073075 \h </w:instrText>
      </w:r>
      <w:r w:rsidR="00C72AC1">
        <w:rPr>
          <w:rFonts w:cs="Times New Roman"/>
        </w:rPr>
      </w:r>
      <w:r w:rsidR="00C72AC1">
        <w:rPr>
          <w:rFonts w:cs="Times New Roman"/>
        </w:rPr>
        <w:fldChar w:fldCharType="separate"/>
      </w:r>
      <w:r w:rsidR="0091734E" w:rsidRPr="0091560A">
        <w:t xml:space="preserve">Figure </w:t>
      </w:r>
      <w:r w:rsidR="0091734E">
        <w:rPr>
          <w:noProof/>
        </w:rPr>
        <w:t>35</w:t>
      </w:r>
      <w:r w:rsidR="00C72AC1">
        <w:rPr>
          <w:rFonts w:cs="Times New Roman"/>
        </w:rPr>
        <w:fldChar w:fldCharType="end"/>
      </w:r>
      <w:r w:rsidR="00C72AC1">
        <w:rPr>
          <w:rFonts w:cs="Times New Roman"/>
        </w:rPr>
        <w:t>)</w:t>
      </w:r>
      <w:r w:rsidRPr="11F138D4">
        <w:rPr>
          <w:rFonts w:cs="Times New Roman"/>
        </w:rPr>
        <w:t xml:space="preserve">. The proportion </w:t>
      </w:r>
      <w:r w:rsidR="00B714A6">
        <w:rPr>
          <w:rFonts w:cs="Times New Roman"/>
        </w:rPr>
        <w:t>of transactions</w:t>
      </w:r>
      <w:r w:rsidR="00FE3F01">
        <w:rPr>
          <w:rFonts w:cs="Times New Roman"/>
        </w:rPr>
        <w:t xml:space="preserve"> in which</w:t>
      </w:r>
      <w:r w:rsidR="00B714A6" w:rsidRPr="11F138D4">
        <w:rPr>
          <w:rFonts w:cs="Times New Roman"/>
        </w:rPr>
        <w:t xml:space="preserve"> </w:t>
      </w:r>
      <w:r w:rsidRPr="11F138D4">
        <w:rPr>
          <w:rFonts w:cs="Times New Roman"/>
        </w:rPr>
        <w:t xml:space="preserve">multiple </w:t>
      </w:r>
      <w:r w:rsidR="00FE3F01">
        <w:rPr>
          <w:rFonts w:cs="Times New Roman"/>
        </w:rPr>
        <w:t xml:space="preserve">units of paracetamol are purchased </w:t>
      </w:r>
      <w:r w:rsidRPr="11F138D4">
        <w:rPr>
          <w:rFonts w:cs="Times New Roman"/>
        </w:rPr>
        <w:t>is generally higher in those getting the smaller pack sizes, for example being only around 5% of those getting the 100-pack size (Figure 35).</w:t>
      </w:r>
    </w:p>
    <w:p w14:paraId="6308DEE4" w14:textId="77777777" w:rsidR="00681183" w:rsidRDefault="00C15B3B" w:rsidP="00CA00B2">
      <w:pPr>
        <w:spacing w:after="0"/>
      </w:pPr>
      <w:r>
        <w:rPr>
          <w:noProof/>
        </w:rPr>
        <w:drawing>
          <wp:inline distT="0" distB="0" distL="0" distR="0" wp14:anchorId="4F6F0468" wp14:editId="6F15DC36">
            <wp:extent cx="5172075" cy="2603441"/>
            <wp:effectExtent l="0" t="0" r="0" b="6985"/>
            <wp:docPr id="8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3929" b="3606"/>
                    <a:stretch/>
                  </pic:blipFill>
                  <pic:spPr bwMode="auto">
                    <a:xfrm>
                      <a:off x="0" y="0"/>
                      <a:ext cx="5204740" cy="2619884"/>
                    </a:xfrm>
                    <a:prstGeom prst="rect">
                      <a:avLst/>
                    </a:prstGeom>
                    <a:noFill/>
                    <a:ln>
                      <a:noFill/>
                    </a:ln>
                    <a:extLst>
                      <a:ext uri="{53640926-AAD7-44D8-BBD7-CCE9431645EC}">
                        <a14:shadowObscured xmlns:a14="http://schemas.microsoft.com/office/drawing/2010/main"/>
                      </a:ext>
                    </a:extLst>
                  </pic:spPr>
                </pic:pic>
              </a:graphicData>
            </a:graphic>
          </wp:inline>
        </w:drawing>
      </w:r>
    </w:p>
    <w:p w14:paraId="40EFF7B2" w14:textId="6C072B00" w:rsidR="00322AA6" w:rsidRPr="0091560A" w:rsidRDefault="00AD6F6D" w:rsidP="00681183">
      <w:pPr>
        <w:pStyle w:val="FigureCaption"/>
        <w:rPr>
          <w:noProof/>
        </w:rPr>
      </w:pPr>
      <w:bookmarkStart w:id="99" w:name="_Toc114559993"/>
      <w:r w:rsidRPr="0091560A">
        <w:t xml:space="preserve">Figure </w:t>
      </w:r>
      <w:r w:rsidR="005C7FF0">
        <w:fldChar w:fldCharType="begin"/>
      </w:r>
      <w:r w:rsidR="005C7FF0">
        <w:instrText>SEQ Figure \* ARABIC</w:instrText>
      </w:r>
      <w:r w:rsidR="005C7FF0">
        <w:fldChar w:fldCharType="separate"/>
      </w:r>
      <w:r w:rsidR="0091734E">
        <w:rPr>
          <w:noProof/>
        </w:rPr>
        <w:t>32</w:t>
      </w:r>
      <w:r w:rsidR="005C7FF0">
        <w:fldChar w:fldCharType="end"/>
      </w:r>
      <w:r w:rsidRPr="0091560A">
        <w:t xml:space="preserve">. </w:t>
      </w:r>
      <w:r w:rsidRPr="0091560A">
        <w:rPr>
          <w:noProof/>
        </w:rPr>
        <w:t>Unit sales of non-prescription analgesics, IQVIA 2017-2021</w:t>
      </w:r>
      <w:bookmarkEnd w:id="99"/>
    </w:p>
    <w:p w14:paraId="0763C4B5" w14:textId="77777777" w:rsidR="0001534C" w:rsidRPr="0091560A" w:rsidRDefault="0001534C" w:rsidP="00C27CD5">
      <w:pPr>
        <w:pStyle w:val="FigureCaption"/>
        <w:rPr>
          <w:noProof/>
        </w:rPr>
      </w:pPr>
    </w:p>
    <w:p w14:paraId="071A3C7F" w14:textId="77777777" w:rsidR="008609CF" w:rsidRDefault="008609CF" w:rsidP="00CA00B2">
      <w:pPr>
        <w:spacing w:after="0"/>
      </w:pPr>
      <w:r>
        <w:rPr>
          <w:noProof/>
        </w:rPr>
        <w:drawing>
          <wp:inline distT="0" distB="0" distL="0" distR="0" wp14:anchorId="379BDAA5" wp14:editId="45414A12">
            <wp:extent cx="4257675" cy="2602257"/>
            <wp:effectExtent l="0" t="0" r="0" b="7620"/>
            <wp:docPr id="9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4795" b="2907"/>
                    <a:stretch/>
                  </pic:blipFill>
                  <pic:spPr bwMode="auto">
                    <a:xfrm>
                      <a:off x="0" y="0"/>
                      <a:ext cx="4298229" cy="2627043"/>
                    </a:xfrm>
                    <a:prstGeom prst="rect">
                      <a:avLst/>
                    </a:prstGeom>
                    <a:noFill/>
                    <a:ln>
                      <a:noFill/>
                    </a:ln>
                    <a:extLst>
                      <a:ext uri="{53640926-AAD7-44D8-BBD7-CCE9431645EC}">
                        <a14:shadowObscured xmlns:a14="http://schemas.microsoft.com/office/drawing/2010/main"/>
                      </a:ext>
                    </a:extLst>
                  </pic:spPr>
                </pic:pic>
              </a:graphicData>
            </a:graphic>
          </wp:inline>
        </w:drawing>
      </w:r>
    </w:p>
    <w:p w14:paraId="135E2AE3" w14:textId="71C7034D" w:rsidR="0056512F" w:rsidRPr="00CA00B2" w:rsidRDefault="008D00E8" w:rsidP="00CA00B2">
      <w:pPr>
        <w:pStyle w:val="FigureCaption"/>
      </w:pPr>
      <w:bookmarkStart w:id="100" w:name="_Toc114559994"/>
      <w:r w:rsidRPr="0091560A">
        <w:t xml:space="preserve">Figure </w:t>
      </w:r>
      <w:r>
        <w:fldChar w:fldCharType="begin"/>
      </w:r>
      <w:r>
        <w:instrText>SEQ Figure \* ARABIC</w:instrText>
      </w:r>
      <w:r>
        <w:fldChar w:fldCharType="separate"/>
      </w:r>
      <w:r w:rsidR="0091734E">
        <w:rPr>
          <w:noProof/>
        </w:rPr>
        <w:t>33</w:t>
      </w:r>
      <w:r>
        <w:fldChar w:fldCharType="end"/>
      </w:r>
      <w:r w:rsidRPr="0091560A">
        <w:t xml:space="preserve">. </w:t>
      </w:r>
      <w:r w:rsidR="00A83B34" w:rsidRPr="0091560A">
        <w:t>Pharmacy u</w:t>
      </w:r>
      <w:r w:rsidRPr="0091560A">
        <w:t xml:space="preserve">nit sales of non-prescription paracetamol by </w:t>
      </w:r>
      <w:r w:rsidR="00C773C9">
        <w:t>S</w:t>
      </w:r>
      <w:r w:rsidRPr="0091560A">
        <w:t>chedule, IQVIA 2017-21</w:t>
      </w:r>
      <w:bookmarkEnd w:id="100"/>
    </w:p>
    <w:p w14:paraId="7A1995C6" w14:textId="77777777" w:rsidR="00681183" w:rsidRDefault="0001534C" w:rsidP="00CA00B2">
      <w:pPr>
        <w:spacing w:after="0"/>
      </w:pPr>
      <w:r>
        <w:rPr>
          <w:noProof/>
        </w:rPr>
        <w:drawing>
          <wp:inline distT="0" distB="0" distL="0" distR="0" wp14:anchorId="2BE7128A" wp14:editId="61440FD3">
            <wp:extent cx="5904865" cy="2085975"/>
            <wp:effectExtent l="0" t="0" r="635" b="9525"/>
            <wp:docPr id="9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5913048" cy="2088866"/>
                    </a:xfrm>
                    <a:prstGeom prst="rect">
                      <a:avLst/>
                    </a:prstGeom>
                    <a:noFill/>
                    <a:ln>
                      <a:noFill/>
                    </a:ln>
                    <a:extLst>
                      <a:ext uri="{53640926-AAD7-44D8-BBD7-CCE9431645EC}">
                        <a14:shadowObscured xmlns:a14="http://schemas.microsoft.com/office/drawing/2010/main"/>
                      </a:ext>
                    </a:extLst>
                  </pic:spPr>
                </pic:pic>
              </a:graphicData>
            </a:graphic>
          </wp:inline>
        </w:drawing>
      </w:r>
    </w:p>
    <w:p w14:paraId="2591D85D" w14:textId="586B00DA" w:rsidR="00175A50" w:rsidRPr="0091560A" w:rsidRDefault="00175A50" w:rsidP="00681183">
      <w:pPr>
        <w:pStyle w:val="FigureCaption"/>
      </w:pPr>
      <w:bookmarkStart w:id="101" w:name="_Toc114559995"/>
      <w:r w:rsidRPr="0091560A">
        <w:t>Fi</w:t>
      </w:r>
      <w:bookmarkStart w:id="102" w:name="_Hlk107760990"/>
      <w:r w:rsidRPr="0091560A">
        <w:t xml:space="preserve">gure </w:t>
      </w:r>
      <w:r>
        <w:fldChar w:fldCharType="begin"/>
      </w:r>
      <w:r>
        <w:instrText>SEQ Figure \* ARABIC</w:instrText>
      </w:r>
      <w:r>
        <w:fldChar w:fldCharType="separate"/>
      </w:r>
      <w:r w:rsidR="0091734E">
        <w:rPr>
          <w:noProof/>
        </w:rPr>
        <w:t>34</w:t>
      </w:r>
      <w:r>
        <w:fldChar w:fldCharType="end"/>
      </w:r>
      <w:r w:rsidRPr="0091560A">
        <w:t xml:space="preserve">. Pack size of </w:t>
      </w:r>
      <w:r w:rsidR="00BC6864" w:rsidRPr="0091560A">
        <w:t xml:space="preserve">pharmacy sales of </w:t>
      </w:r>
      <w:r w:rsidRPr="0091560A">
        <w:t>non-prescription paracetamol, IQVIA 2017-21</w:t>
      </w:r>
      <w:r w:rsidR="0036247B" w:rsidRPr="0091560A">
        <w:t xml:space="preserve">, </w:t>
      </w:r>
      <w:r w:rsidR="00DB68CE" w:rsidRPr="0091560A">
        <w:t xml:space="preserve">million </w:t>
      </w:r>
      <w:r w:rsidR="0036247B" w:rsidRPr="0091560A">
        <w:t xml:space="preserve">units </w:t>
      </w:r>
      <w:r w:rsidR="00DB68CE" w:rsidRPr="0091560A">
        <w:t>and tonnes of paracetamol</w:t>
      </w:r>
      <w:bookmarkEnd w:id="101"/>
    </w:p>
    <w:bookmarkEnd w:id="102"/>
    <w:p w14:paraId="01AAE490" w14:textId="77777777" w:rsidR="0001534C" w:rsidRPr="0091560A" w:rsidRDefault="0001534C" w:rsidP="00CF0BB8">
      <w:pPr>
        <w:rPr>
          <w:rFonts w:cs="Times New Roman"/>
        </w:rPr>
      </w:pPr>
    </w:p>
    <w:p w14:paraId="5F14F9A8" w14:textId="77777777" w:rsidR="00681183" w:rsidRDefault="0001534C" w:rsidP="00681183">
      <w:pPr>
        <w:keepNext/>
      </w:pPr>
      <w:r>
        <w:rPr>
          <w:noProof/>
        </w:rPr>
        <w:drawing>
          <wp:inline distT="0" distB="0" distL="0" distR="0" wp14:anchorId="096937BB" wp14:editId="58013BBA">
            <wp:extent cx="5730875" cy="3590925"/>
            <wp:effectExtent l="0" t="0" r="0" b="9525"/>
            <wp:docPr id="9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5730875" cy="3590925"/>
                    </a:xfrm>
                    <a:prstGeom prst="rect">
                      <a:avLst/>
                    </a:prstGeom>
                    <a:noFill/>
                    <a:ln>
                      <a:noFill/>
                    </a:ln>
                    <a:extLst>
                      <a:ext uri="{53640926-AAD7-44D8-BBD7-CCE9431645EC}">
                        <a14:shadowObscured xmlns:a14="http://schemas.microsoft.com/office/drawing/2010/main"/>
                      </a:ext>
                    </a:extLst>
                  </pic:spPr>
                </pic:pic>
              </a:graphicData>
            </a:graphic>
          </wp:inline>
        </w:drawing>
      </w:r>
    </w:p>
    <w:p w14:paraId="16CF6FFA" w14:textId="3D2DB583" w:rsidR="00A866C8" w:rsidRPr="0091560A" w:rsidRDefault="005658F0" w:rsidP="00681183">
      <w:pPr>
        <w:pStyle w:val="FigureCaption"/>
      </w:pPr>
      <w:bookmarkStart w:id="103" w:name="_Ref112073075"/>
      <w:bookmarkStart w:id="104" w:name="_Toc114559996"/>
      <w:r w:rsidRPr="0091560A">
        <w:t xml:space="preserve">Figure </w:t>
      </w:r>
      <w:r>
        <w:fldChar w:fldCharType="begin"/>
      </w:r>
      <w:r>
        <w:instrText>SEQ Figure \* ARABIC</w:instrText>
      </w:r>
      <w:r>
        <w:fldChar w:fldCharType="separate"/>
      </w:r>
      <w:r w:rsidR="0091734E">
        <w:rPr>
          <w:noProof/>
        </w:rPr>
        <w:t>35</w:t>
      </w:r>
      <w:r>
        <w:fldChar w:fldCharType="end"/>
      </w:r>
      <w:bookmarkEnd w:id="103"/>
      <w:r w:rsidRPr="0091560A">
        <w:t xml:space="preserve">. </w:t>
      </w:r>
      <w:r w:rsidR="00F258BF">
        <w:t>P</w:t>
      </w:r>
      <w:r w:rsidR="00E0190D" w:rsidRPr="0091560A">
        <w:t>roportion getting more than one paracetamol item by unit p</w:t>
      </w:r>
      <w:r w:rsidRPr="0091560A">
        <w:t>ack size, IQVIA 2017-21</w:t>
      </w:r>
      <w:r w:rsidR="00E0190D" w:rsidRPr="0091560A">
        <w:t>.</w:t>
      </w:r>
      <w:bookmarkEnd w:id="104"/>
    </w:p>
    <w:p w14:paraId="2ACD6D88" w14:textId="086FBC4E" w:rsidR="0052501F" w:rsidRPr="0091560A" w:rsidRDefault="3EFEF777" w:rsidP="00B2525D">
      <w:pPr>
        <w:pStyle w:val="Heading3"/>
      </w:pPr>
      <w:bookmarkStart w:id="105" w:name="_Toc112843922"/>
      <w:r w:rsidRPr="11F138D4">
        <w:t>Grocery and convenience store sales</w:t>
      </w:r>
      <w:bookmarkEnd w:id="105"/>
    </w:p>
    <w:p w14:paraId="114463BC" w14:textId="3CF06000" w:rsidR="00E73590" w:rsidRPr="0091560A" w:rsidRDefault="0007757A" w:rsidP="00E73590">
      <w:pPr>
        <w:rPr>
          <w:rFonts w:cs="Times New Roman"/>
          <w:noProof/>
        </w:rPr>
      </w:pPr>
      <w:r>
        <w:rPr>
          <w:rFonts w:cs="Times New Roman"/>
          <w:noProof/>
        </w:rPr>
        <w:t>D</w:t>
      </w:r>
      <w:r w:rsidR="00E73590" w:rsidRPr="0091560A">
        <w:rPr>
          <w:rFonts w:cs="Times New Roman"/>
          <w:noProof/>
        </w:rPr>
        <w:t>ata were obtained by the TGA</w:t>
      </w:r>
      <w:r>
        <w:rPr>
          <w:rFonts w:cs="Times New Roman"/>
          <w:noProof/>
        </w:rPr>
        <w:t xml:space="preserve"> from </w:t>
      </w:r>
      <w:r w:rsidRPr="0091560A">
        <w:rPr>
          <w:rFonts w:cs="Times New Roman"/>
          <w:noProof/>
        </w:rPr>
        <w:t xml:space="preserve">IRI </w:t>
      </w:r>
      <w:r w:rsidR="00E73590" w:rsidRPr="0091560A">
        <w:rPr>
          <w:rFonts w:cs="Times New Roman"/>
          <w:noProof/>
        </w:rPr>
        <w:t>on absolute and relative sale volumes for paracetamol-containing medicines in Australia</w:t>
      </w:r>
      <w:r w:rsidR="001B2D25">
        <w:rPr>
          <w:rFonts w:cs="Times New Roman"/>
          <w:noProof/>
        </w:rPr>
        <w:t xml:space="preserve">n </w:t>
      </w:r>
      <w:r w:rsidR="001B2D25" w:rsidRPr="0091560A">
        <w:rPr>
          <w:rFonts w:cs="Times New Roman"/>
          <w:noProof/>
        </w:rPr>
        <w:t>grocery and convenience store</w:t>
      </w:r>
      <w:r w:rsidR="001B2D25">
        <w:rPr>
          <w:rFonts w:cs="Times New Roman"/>
          <w:noProof/>
        </w:rPr>
        <w:t>s</w:t>
      </w:r>
      <w:r w:rsidR="00E73590" w:rsidRPr="0091560A">
        <w:rPr>
          <w:rFonts w:cs="Times New Roman"/>
          <w:noProof/>
        </w:rPr>
        <w:t xml:space="preserve">, segmented wherever possible by </w:t>
      </w:r>
      <w:r w:rsidR="00F72E97" w:rsidRPr="0091560A">
        <w:rPr>
          <w:rFonts w:cs="Times New Roman"/>
          <w:noProof/>
        </w:rPr>
        <w:t xml:space="preserve">pack size, </w:t>
      </w:r>
      <w:r w:rsidR="00E73590" w:rsidRPr="0091560A">
        <w:rPr>
          <w:rFonts w:cs="Times New Roman"/>
          <w:noProof/>
        </w:rPr>
        <w:t>type, year and jurisdiction.</w:t>
      </w:r>
      <w:r w:rsidR="002D62C3" w:rsidRPr="0091560A">
        <w:rPr>
          <w:rFonts w:cs="Times New Roman"/>
          <w:noProof/>
        </w:rPr>
        <w:t xml:space="preserve"> </w:t>
      </w:r>
      <w:r w:rsidR="005D05FF">
        <w:rPr>
          <w:rFonts w:cs="Times New Roman"/>
          <w:noProof/>
        </w:rPr>
        <w:t xml:space="preserve">The grocery store unit sales data provided by IRI represent approximately 85% market share and the remainder were projected to </w:t>
      </w:r>
      <w:r w:rsidR="00B26AE7">
        <w:rPr>
          <w:rFonts w:cs="Times New Roman"/>
          <w:noProof/>
        </w:rPr>
        <w:t xml:space="preserve">obtain a figure for </w:t>
      </w:r>
      <w:r w:rsidR="005D05FF">
        <w:rPr>
          <w:rFonts w:cs="Times New Roman"/>
          <w:noProof/>
        </w:rPr>
        <w:t>100%</w:t>
      </w:r>
      <w:r w:rsidR="00B26AE7">
        <w:rPr>
          <w:rFonts w:cs="Times New Roman"/>
          <w:noProof/>
        </w:rPr>
        <w:t xml:space="preserve"> of Australian sales</w:t>
      </w:r>
      <w:r w:rsidR="005D05FF">
        <w:rPr>
          <w:rFonts w:cs="Times New Roman"/>
          <w:noProof/>
        </w:rPr>
        <w:t xml:space="preserve">. The convenence store unit sales data </w:t>
      </w:r>
      <w:r w:rsidR="006E6EF5">
        <w:rPr>
          <w:rFonts w:cs="Times New Roman"/>
          <w:noProof/>
        </w:rPr>
        <w:t xml:space="preserve">are projected to 100% from data representing </w:t>
      </w:r>
      <w:r w:rsidR="005D05FF">
        <w:rPr>
          <w:rFonts w:cs="Times New Roman"/>
          <w:noProof/>
        </w:rPr>
        <w:t>approximately 65% market share. The transactional (basket level) grocery store data represent 35% of all analgesic sales and are reported only as proportions of transactions rather than absolute numbers as these cannot be projected to absolute numbers due to technical and data collection limitations.</w:t>
      </w:r>
      <w:r w:rsidR="006E7CDA" w:rsidRPr="0091560A">
        <w:rPr>
          <w:rFonts w:cs="Times New Roman"/>
          <w:noProof/>
        </w:rPr>
        <w:t>The grocery data cover 2017-21</w:t>
      </w:r>
      <w:r w:rsidR="00AD2B54">
        <w:rPr>
          <w:rFonts w:cs="Times New Roman"/>
          <w:noProof/>
        </w:rPr>
        <w:t xml:space="preserve"> and </w:t>
      </w:r>
      <w:r w:rsidR="006E7CDA" w:rsidRPr="0091560A">
        <w:rPr>
          <w:rFonts w:cs="Times New Roman"/>
          <w:noProof/>
        </w:rPr>
        <w:t>convenience store data only 2020 &amp; 2021.</w:t>
      </w:r>
    </w:p>
    <w:p w14:paraId="71A323F5" w14:textId="3880396F" w:rsidR="009752F5" w:rsidRPr="0091560A" w:rsidRDefault="00E73590" w:rsidP="00E73590">
      <w:pPr>
        <w:rPr>
          <w:rFonts w:cs="Times New Roman"/>
          <w:noProof/>
        </w:rPr>
      </w:pPr>
      <w:r w:rsidRPr="0091560A">
        <w:rPr>
          <w:rFonts w:cs="Times New Roman"/>
          <w:noProof/>
        </w:rPr>
        <w:t xml:space="preserve">These </w:t>
      </w:r>
      <w:r w:rsidR="00B26AE7">
        <w:rPr>
          <w:rFonts w:cs="Times New Roman"/>
          <w:noProof/>
        </w:rPr>
        <w:t xml:space="preserve">data </w:t>
      </w:r>
      <w:r w:rsidRPr="0091560A">
        <w:rPr>
          <w:rFonts w:cs="Times New Roman"/>
          <w:noProof/>
        </w:rPr>
        <w:t xml:space="preserve">show paracetamol containing products </w:t>
      </w:r>
      <w:r w:rsidR="000E570A">
        <w:rPr>
          <w:rFonts w:cs="Times New Roman"/>
          <w:noProof/>
        </w:rPr>
        <w:t>account for approxi</w:t>
      </w:r>
      <w:r w:rsidR="006D3121">
        <w:rPr>
          <w:rFonts w:cs="Times New Roman"/>
          <w:noProof/>
        </w:rPr>
        <w:t>mately half of</w:t>
      </w:r>
      <w:r w:rsidRPr="0091560A">
        <w:rPr>
          <w:rFonts w:cs="Times New Roman"/>
          <w:noProof/>
        </w:rPr>
        <w:t xml:space="preserve"> non-prescription analgesic </w:t>
      </w:r>
      <w:r w:rsidR="00B6681F">
        <w:rPr>
          <w:rFonts w:cs="Times New Roman"/>
          <w:noProof/>
        </w:rPr>
        <w:t>sales</w:t>
      </w:r>
      <w:r w:rsidR="00B6681F" w:rsidRPr="0091560A">
        <w:rPr>
          <w:rFonts w:cs="Times New Roman"/>
          <w:noProof/>
        </w:rPr>
        <w:t xml:space="preserve"> </w:t>
      </w:r>
      <w:r w:rsidRPr="0091560A">
        <w:rPr>
          <w:rFonts w:cs="Times New Roman"/>
          <w:noProof/>
        </w:rPr>
        <w:t xml:space="preserve">in </w:t>
      </w:r>
      <w:r w:rsidR="00F72E97" w:rsidRPr="0091560A">
        <w:rPr>
          <w:rFonts w:cs="Times New Roman"/>
          <w:noProof/>
        </w:rPr>
        <w:t>grocery and convenience store</w:t>
      </w:r>
      <w:r w:rsidR="00B6681F">
        <w:rPr>
          <w:rFonts w:cs="Times New Roman"/>
          <w:noProof/>
        </w:rPr>
        <w:t>s</w:t>
      </w:r>
      <w:r w:rsidRPr="0091560A">
        <w:rPr>
          <w:rFonts w:cs="Times New Roman"/>
          <w:noProof/>
        </w:rPr>
        <w:t xml:space="preserve">, selling around </w:t>
      </w:r>
      <w:r w:rsidR="00BC6C16" w:rsidRPr="0091560A">
        <w:rPr>
          <w:rFonts w:cs="Times New Roman"/>
          <w:noProof/>
        </w:rPr>
        <w:t>25</w:t>
      </w:r>
      <w:r w:rsidRPr="0091560A">
        <w:rPr>
          <w:rFonts w:cs="Times New Roman"/>
          <w:noProof/>
        </w:rPr>
        <w:t xml:space="preserve"> million units a year in the most recent data</w:t>
      </w:r>
      <w:r w:rsidR="003A6C90">
        <w:rPr>
          <w:rFonts w:cs="Times New Roman"/>
          <w:noProof/>
        </w:rPr>
        <w:t xml:space="preserve"> (</w:t>
      </w:r>
      <w:r w:rsidR="00691409">
        <w:rPr>
          <w:rFonts w:cs="Times New Roman"/>
          <w:noProof/>
        </w:rPr>
        <w:fldChar w:fldCharType="begin"/>
      </w:r>
      <w:r w:rsidR="00691409">
        <w:rPr>
          <w:rFonts w:cs="Times New Roman"/>
          <w:noProof/>
        </w:rPr>
        <w:instrText xml:space="preserve"> REF _Ref112073170 \h </w:instrText>
      </w:r>
      <w:r w:rsidR="00691409">
        <w:rPr>
          <w:rFonts w:cs="Times New Roman"/>
          <w:noProof/>
        </w:rPr>
      </w:r>
      <w:r w:rsidR="00691409">
        <w:rPr>
          <w:rFonts w:cs="Times New Roman"/>
          <w:noProof/>
        </w:rPr>
        <w:fldChar w:fldCharType="separate"/>
      </w:r>
      <w:r w:rsidR="0091734E" w:rsidRPr="0091560A">
        <w:t xml:space="preserve">Figure </w:t>
      </w:r>
      <w:r w:rsidR="0091734E">
        <w:rPr>
          <w:noProof/>
        </w:rPr>
        <w:t>36</w:t>
      </w:r>
      <w:r w:rsidR="00691409">
        <w:rPr>
          <w:rFonts w:cs="Times New Roman"/>
          <w:noProof/>
        </w:rPr>
        <w:fldChar w:fldCharType="end"/>
      </w:r>
      <w:r w:rsidR="00691409">
        <w:rPr>
          <w:rFonts w:cs="Times New Roman"/>
          <w:noProof/>
        </w:rPr>
        <w:t>)</w:t>
      </w:r>
      <w:r w:rsidRPr="0091560A">
        <w:rPr>
          <w:rFonts w:cs="Times New Roman"/>
          <w:noProof/>
        </w:rPr>
        <w:t xml:space="preserve">. </w:t>
      </w:r>
      <w:r w:rsidR="002D62C3" w:rsidRPr="0091560A">
        <w:rPr>
          <w:rFonts w:cs="Times New Roman"/>
          <w:noProof/>
        </w:rPr>
        <w:t>Most sales are through grocery stores</w:t>
      </w:r>
      <w:r w:rsidR="006E7CDA" w:rsidRPr="0091560A">
        <w:rPr>
          <w:rFonts w:cs="Times New Roman"/>
          <w:noProof/>
        </w:rPr>
        <w:t xml:space="preserve"> (95% of total</w:t>
      </w:r>
      <w:r w:rsidR="00F123AA">
        <w:t xml:space="preserve">; </w:t>
      </w:r>
      <w:r w:rsidR="00F123AA">
        <w:fldChar w:fldCharType="begin"/>
      </w:r>
      <w:r w:rsidR="00F123AA">
        <w:instrText xml:space="preserve"> REF _Ref112073263 \h </w:instrText>
      </w:r>
      <w:r w:rsidR="00F123AA">
        <w:fldChar w:fldCharType="separate"/>
      </w:r>
      <w:r w:rsidR="0091734E">
        <w:t xml:space="preserve">Table </w:t>
      </w:r>
      <w:r w:rsidR="0091734E">
        <w:rPr>
          <w:noProof/>
        </w:rPr>
        <w:t>22</w:t>
      </w:r>
      <w:r w:rsidR="00F123AA">
        <w:fldChar w:fldCharType="end"/>
      </w:r>
      <w:r w:rsidR="006E7CDA" w:rsidRPr="0091560A">
        <w:rPr>
          <w:rFonts w:cs="Times New Roman"/>
          <w:noProof/>
        </w:rPr>
        <w:t>)</w:t>
      </w:r>
      <w:r w:rsidR="007B14A1" w:rsidRPr="0091560A">
        <w:rPr>
          <w:rFonts w:cs="Times New Roman"/>
          <w:noProof/>
        </w:rPr>
        <w:t xml:space="preserve">, </w:t>
      </w:r>
      <w:r w:rsidR="00B6681F">
        <w:rPr>
          <w:rFonts w:cs="Times New Roman"/>
          <w:noProof/>
        </w:rPr>
        <w:t>with</w:t>
      </w:r>
      <w:r w:rsidR="007B14A1" w:rsidRPr="0091560A">
        <w:rPr>
          <w:rFonts w:cs="Times New Roman"/>
          <w:noProof/>
        </w:rPr>
        <w:t xml:space="preserve"> 20 x 500</w:t>
      </w:r>
      <w:r w:rsidR="00D0077B">
        <w:rPr>
          <w:rFonts w:cs="Times New Roman"/>
          <w:noProof/>
        </w:rPr>
        <w:t xml:space="preserve"> </w:t>
      </w:r>
      <w:r w:rsidR="007B14A1" w:rsidRPr="0091560A">
        <w:rPr>
          <w:rFonts w:cs="Times New Roman"/>
          <w:noProof/>
        </w:rPr>
        <w:t>mg tablet packs</w:t>
      </w:r>
      <w:r w:rsidR="00547265">
        <w:rPr>
          <w:rFonts w:cs="Times New Roman"/>
          <w:noProof/>
        </w:rPr>
        <w:t xml:space="preserve"> </w:t>
      </w:r>
      <w:r w:rsidR="00B6681F">
        <w:rPr>
          <w:rFonts w:cs="Times New Roman"/>
          <w:noProof/>
        </w:rPr>
        <w:t xml:space="preserve">overwhelmingly favoured </w:t>
      </w:r>
      <w:r w:rsidR="00547265">
        <w:rPr>
          <w:rFonts w:cs="Times New Roman"/>
          <w:noProof/>
        </w:rPr>
        <w:t>(</w:t>
      </w:r>
      <w:r w:rsidR="00547265">
        <w:rPr>
          <w:rFonts w:cs="Times New Roman"/>
          <w:noProof/>
        </w:rPr>
        <w:fldChar w:fldCharType="begin"/>
      </w:r>
      <w:r w:rsidR="00547265">
        <w:rPr>
          <w:rFonts w:cs="Times New Roman"/>
          <w:noProof/>
        </w:rPr>
        <w:instrText xml:space="preserve"> REF _Ref112073316 \h </w:instrText>
      </w:r>
      <w:r w:rsidR="00547265">
        <w:rPr>
          <w:rFonts w:cs="Times New Roman"/>
          <w:noProof/>
        </w:rPr>
      </w:r>
      <w:r w:rsidR="00547265">
        <w:rPr>
          <w:rFonts w:cs="Times New Roman"/>
          <w:noProof/>
        </w:rPr>
        <w:fldChar w:fldCharType="separate"/>
      </w:r>
      <w:r w:rsidR="0091734E" w:rsidRPr="0091560A">
        <w:t xml:space="preserve">Figure </w:t>
      </w:r>
      <w:r w:rsidR="0091734E">
        <w:rPr>
          <w:noProof/>
        </w:rPr>
        <w:t>37</w:t>
      </w:r>
      <w:r w:rsidR="00547265">
        <w:rPr>
          <w:rFonts w:cs="Times New Roman"/>
          <w:noProof/>
        </w:rPr>
        <w:fldChar w:fldCharType="end"/>
      </w:r>
      <w:r w:rsidR="00547265">
        <w:rPr>
          <w:rFonts w:cs="Times New Roman"/>
          <w:noProof/>
        </w:rPr>
        <w:t>)</w:t>
      </w:r>
      <w:r w:rsidR="007B14A1" w:rsidRPr="0091560A">
        <w:rPr>
          <w:rFonts w:cs="Times New Roman"/>
          <w:noProof/>
        </w:rPr>
        <w:t>.</w:t>
      </w:r>
      <w:r w:rsidR="0009550C" w:rsidRPr="0091560A">
        <w:rPr>
          <w:rFonts w:cs="Times New Roman"/>
          <w:noProof/>
        </w:rPr>
        <w:t xml:space="preserve"> Most of the relevant data</w:t>
      </w:r>
      <w:r w:rsidR="00547265">
        <w:rPr>
          <w:rFonts w:cs="Times New Roman"/>
          <w:noProof/>
        </w:rPr>
        <w:t>,</w:t>
      </w:r>
      <w:r w:rsidR="0009550C" w:rsidRPr="0091560A">
        <w:rPr>
          <w:rFonts w:cs="Times New Roman"/>
          <w:noProof/>
        </w:rPr>
        <w:t xml:space="preserve"> </w:t>
      </w:r>
      <w:r w:rsidR="00A74F8A" w:rsidRPr="0091560A">
        <w:rPr>
          <w:rFonts w:cs="Times New Roman"/>
          <w:noProof/>
        </w:rPr>
        <w:t>and the only pre-2020</w:t>
      </w:r>
      <w:r w:rsidR="00547265">
        <w:rPr>
          <w:rFonts w:cs="Times New Roman"/>
          <w:noProof/>
        </w:rPr>
        <w:t xml:space="preserve"> data,</w:t>
      </w:r>
      <w:r w:rsidR="00A74F8A" w:rsidRPr="0091560A">
        <w:rPr>
          <w:rFonts w:cs="Times New Roman"/>
          <w:noProof/>
        </w:rPr>
        <w:t xml:space="preserve"> </w:t>
      </w:r>
      <w:r w:rsidR="00547265">
        <w:rPr>
          <w:rFonts w:cs="Times New Roman"/>
          <w:noProof/>
        </w:rPr>
        <w:t>are for</w:t>
      </w:r>
      <w:r w:rsidR="0009550C" w:rsidRPr="0091560A">
        <w:rPr>
          <w:rFonts w:cs="Times New Roman"/>
          <w:noProof/>
        </w:rPr>
        <w:t xml:space="preserve"> grocery </w:t>
      </w:r>
      <w:r w:rsidR="00547265">
        <w:rPr>
          <w:rFonts w:cs="Times New Roman"/>
          <w:noProof/>
        </w:rPr>
        <w:t xml:space="preserve">sales, </w:t>
      </w:r>
      <w:r w:rsidR="0009550C" w:rsidRPr="0091560A">
        <w:rPr>
          <w:rFonts w:cs="Times New Roman"/>
          <w:noProof/>
        </w:rPr>
        <w:t xml:space="preserve">and </w:t>
      </w:r>
      <w:r w:rsidR="00582E49">
        <w:rPr>
          <w:rFonts w:cs="Times New Roman"/>
          <w:noProof/>
        </w:rPr>
        <w:t xml:space="preserve">so </w:t>
      </w:r>
      <w:r w:rsidR="0009550C" w:rsidRPr="0091560A">
        <w:rPr>
          <w:rFonts w:cs="Times New Roman"/>
          <w:noProof/>
        </w:rPr>
        <w:t xml:space="preserve">that </w:t>
      </w:r>
      <w:r w:rsidR="00A74F8A" w:rsidRPr="0091560A">
        <w:rPr>
          <w:rFonts w:cs="Times New Roman"/>
          <w:noProof/>
        </w:rPr>
        <w:t>is the focus of the figures.</w:t>
      </w:r>
      <w:r w:rsidR="006A5C27" w:rsidRPr="0091560A">
        <w:rPr>
          <w:rFonts w:cs="Times New Roman"/>
          <w:noProof/>
        </w:rPr>
        <w:t xml:space="preserve">  </w:t>
      </w:r>
    </w:p>
    <w:p w14:paraId="075AFF40" w14:textId="77777777" w:rsidR="0006626C" w:rsidRDefault="0001534C" w:rsidP="0006626C">
      <w:r>
        <w:rPr>
          <w:noProof/>
        </w:rPr>
        <w:drawing>
          <wp:inline distT="0" distB="0" distL="0" distR="0" wp14:anchorId="20E47B15" wp14:editId="71F6FD5B">
            <wp:extent cx="5730875" cy="2905125"/>
            <wp:effectExtent l="0" t="0" r="0" b="9525"/>
            <wp:docPr id="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959" b="3147"/>
                    <a:stretch/>
                  </pic:blipFill>
                  <pic:spPr bwMode="auto">
                    <a:xfrm>
                      <a:off x="0" y="0"/>
                      <a:ext cx="5730875" cy="2905125"/>
                    </a:xfrm>
                    <a:prstGeom prst="rect">
                      <a:avLst/>
                    </a:prstGeom>
                    <a:noFill/>
                    <a:ln>
                      <a:noFill/>
                    </a:ln>
                    <a:extLst>
                      <a:ext uri="{53640926-AAD7-44D8-BBD7-CCE9431645EC}">
                        <a14:shadowObscured xmlns:a14="http://schemas.microsoft.com/office/drawing/2010/main"/>
                      </a:ext>
                    </a:extLst>
                  </pic:spPr>
                </pic:pic>
              </a:graphicData>
            </a:graphic>
          </wp:inline>
        </w:drawing>
      </w:r>
    </w:p>
    <w:p w14:paraId="72441460" w14:textId="3DCBD93E" w:rsidR="00151665" w:rsidRPr="0091560A" w:rsidRDefault="001F2AC0" w:rsidP="0006626C">
      <w:pPr>
        <w:pStyle w:val="FigureCaption"/>
      </w:pPr>
      <w:bookmarkStart w:id="106" w:name="_Ref112073170"/>
      <w:bookmarkStart w:id="107" w:name="_Toc114559997"/>
      <w:r w:rsidRPr="0091560A">
        <w:t xml:space="preserve">Figure </w:t>
      </w:r>
      <w:r w:rsidR="00E95FDA">
        <w:fldChar w:fldCharType="begin"/>
      </w:r>
      <w:r w:rsidR="00E95FDA" w:rsidRPr="0091560A">
        <w:instrText xml:space="preserve"> SEQ Figure \* ARABIC </w:instrText>
      </w:r>
      <w:r w:rsidR="00E95FDA">
        <w:fldChar w:fldCharType="separate"/>
      </w:r>
      <w:r w:rsidR="0091734E">
        <w:rPr>
          <w:noProof/>
        </w:rPr>
        <w:t>36</w:t>
      </w:r>
      <w:r w:rsidR="00E95FDA">
        <w:fldChar w:fldCharType="end"/>
      </w:r>
      <w:bookmarkEnd w:id="106"/>
      <w:r w:rsidRPr="0091560A">
        <w:t>. Unit sales of non-prescription analgesics</w:t>
      </w:r>
      <w:r w:rsidR="00C225FF" w:rsidRPr="0091560A">
        <w:t xml:space="preserve"> in grocery stores</w:t>
      </w:r>
      <w:r w:rsidRPr="0091560A">
        <w:t>, IRI2017-2021</w:t>
      </w:r>
      <w:bookmarkEnd w:id="107"/>
    </w:p>
    <w:p w14:paraId="076C9792" w14:textId="77777777" w:rsidR="0001534C" w:rsidRDefault="0001534C" w:rsidP="0096748C">
      <w:pPr>
        <w:rPr>
          <w:rFonts w:cs="Times New Roman"/>
          <w:noProof/>
        </w:rPr>
      </w:pPr>
    </w:p>
    <w:p w14:paraId="20E990DB" w14:textId="04D8ACDF" w:rsidR="0096748C" w:rsidRPr="0091560A" w:rsidRDefault="0096748C" w:rsidP="0096748C">
      <w:pPr>
        <w:rPr>
          <w:rFonts w:cs="Times New Roman"/>
          <w:noProof/>
        </w:rPr>
      </w:pPr>
      <w:r w:rsidRPr="0091560A">
        <w:rPr>
          <w:rFonts w:cs="Times New Roman"/>
          <w:noProof/>
        </w:rPr>
        <w:t xml:space="preserve">The unit sales of non-prescription analgesics are nearly two-thirds of the unit sales through pharmacies (Table </w:t>
      </w:r>
      <w:r w:rsidR="00EB74F4">
        <w:rPr>
          <w:rFonts w:cs="Times New Roman"/>
          <w:noProof/>
        </w:rPr>
        <w:t>22</w:t>
      </w:r>
      <w:r w:rsidRPr="0091560A">
        <w:rPr>
          <w:rFonts w:cs="Times New Roman"/>
          <w:noProof/>
        </w:rPr>
        <w:t xml:space="preserve">), but this varies </w:t>
      </w:r>
      <w:r w:rsidR="000D0148" w:rsidRPr="0091560A">
        <w:rPr>
          <w:rFonts w:cs="Times New Roman"/>
          <w:noProof/>
        </w:rPr>
        <w:t>to some extent by state</w:t>
      </w:r>
      <w:r w:rsidR="00D440B5" w:rsidRPr="0091560A">
        <w:rPr>
          <w:rFonts w:cs="Times New Roman"/>
          <w:noProof/>
        </w:rPr>
        <w:t xml:space="preserve"> (</w:t>
      </w:r>
      <w:r w:rsidR="0048604E" w:rsidRPr="0091560A">
        <w:rPr>
          <w:rFonts w:cs="Times New Roman"/>
          <w:noProof/>
        </w:rPr>
        <w:t xml:space="preserve">perhaps reflecting </w:t>
      </w:r>
      <w:r w:rsidR="00BD55EB" w:rsidRPr="0091560A">
        <w:rPr>
          <w:rFonts w:cs="Times New Roman"/>
          <w:noProof/>
        </w:rPr>
        <w:t xml:space="preserve">less access to pharmacies in </w:t>
      </w:r>
      <w:r w:rsidR="00D440B5" w:rsidRPr="0091560A">
        <w:rPr>
          <w:rFonts w:cs="Times New Roman"/>
          <w:noProof/>
        </w:rPr>
        <w:t xml:space="preserve">areas of </w:t>
      </w:r>
      <w:r w:rsidR="00BD55EB" w:rsidRPr="0091560A">
        <w:rPr>
          <w:rFonts w:cs="Times New Roman"/>
          <w:noProof/>
        </w:rPr>
        <w:t>the least densely populated states</w:t>
      </w:r>
      <w:r w:rsidR="00D440B5" w:rsidRPr="0091560A">
        <w:rPr>
          <w:rFonts w:cs="Times New Roman"/>
          <w:noProof/>
        </w:rPr>
        <w:t>)</w:t>
      </w:r>
      <w:r w:rsidRPr="0091560A">
        <w:rPr>
          <w:rFonts w:cs="Times New Roman"/>
          <w:noProof/>
        </w:rPr>
        <w:t>.</w:t>
      </w:r>
    </w:p>
    <w:p w14:paraId="3B66EA8A" w14:textId="6483331B" w:rsidR="0096748C" w:rsidRPr="0091560A" w:rsidRDefault="007F3DC0" w:rsidP="00B549C4">
      <w:pPr>
        <w:pStyle w:val="Caption"/>
        <w:keepNext/>
      </w:pPr>
      <w:bookmarkStart w:id="108" w:name="_Ref112073263"/>
      <w:bookmarkStart w:id="109" w:name="_Ref112073257"/>
      <w:bookmarkStart w:id="110" w:name="_Toc114560137"/>
      <w:r>
        <w:t xml:space="preserve">Table </w:t>
      </w:r>
      <w:r>
        <w:fldChar w:fldCharType="begin"/>
      </w:r>
      <w:r>
        <w:instrText>SEQ Table \* ARABIC</w:instrText>
      </w:r>
      <w:r>
        <w:fldChar w:fldCharType="separate"/>
      </w:r>
      <w:r w:rsidR="0091734E">
        <w:rPr>
          <w:noProof/>
        </w:rPr>
        <w:t>22</w:t>
      </w:r>
      <w:r>
        <w:fldChar w:fldCharType="end"/>
      </w:r>
      <w:bookmarkEnd w:id="108"/>
      <w:r w:rsidRPr="0091560A">
        <w:t xml:space="preserve">. </w:t>
      </w:r>
      <w:r w:rsidR="0096748C" w:rsidRPr="0091560A">
        <w:t>The number and proportion of paracetamol units sold through pharmacy, grocery and convenience stores in 2021 (IQVIA</w:t>
      </w:r>
      <w:r w:rsidR="00FB253E">
        <w:t xml:space="preserve"> and</w:t>
      </w:r>
      <w:r w:rsidR="0096748C" w:rsidRPr="0091560A">
        <w:t xml:space="preserve"> IRI 2021).</w:t>
      </w:r>
      <w:bookmarkEnd w:id="109"/>
      <w:bookmarkEnd w:id="110"/>
      <w:r w:rsidR="0096748C" w:rsidRPr="0091560A">
        <w:t xml:space="preserve">  </w:t>
      </w:r>
    </w:p>
    <w:tbl>
      <w:tblPr>
        <w:tblStyle w:val="ListTable2"/>
        <w:tblW w:w="9067" w:type="dxa"/>
        <w:tblLook w:val="04A0" w:firstRow="1" w:lastRow="0" w:firstColumn="1" w:lastColumn="0" w:noHBand="0" w:noVBand="1"/>
      </w:tblPr>
      <w:tblGrid>
        <w:gridCol w:w="1987"/>
        <w:gridCol w:w="1808"/>
        <w:gridCol w:w="1834"/>
        <w:gridCol w:w="2141"/>
        <w:gridCol w:w="1297"/>
      </w:tblGrid>
      <w:tr w:rsidR="000A3EA0" w:rsidRPr="0091560A" w14:paraId="563465FF" w14:textId="77777777" w:rsidTr="000A3EA0">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7" w:type="dxa"/>
            <w:tcBorders>
              <w:bottom w:val="nil"/>
            </w:tcBorders>
            <w:shd w:val="clear" w:color="auto" w:fill="595959" w:themeFill="text1" w:themeFillTint="A6"/>
            <w:noWrap/>
          </w:tcPr>
          <w:p w14:paraId="3ECDA682" w14:textId="77777777" w:rsidR="000A3EA0" w:rsidRPr="00B549C4" w:rsidRDefault="000A3EA0" w:rsidP="00B549C4">
            <w:pPr>
              <w:keepNext/>
              <w:rPr>
                <w:rFonts w:eastAsia="Times New Roman" w:cs="Times New Roman"/>
                <w:color w:val="FFFFFF" w:themeColor="background1"/>
                <w:sz w:val="22"/>
                <w:lang w:eastAsia="en-AU"/>
              </w:rPr>
            </w:pPr>
          </w:p>
        </w:tc>
        <w:tc>
          <w:tcPr>
            <w:tcW w:w="7080" w:type="dxa"/>
            <w:gridSpan w:val="4"/>
            <w:tcBorders>
              <w:bottom w:val="single" w:sz="4" w:space="0" w:color="D9D9D9" w:themeColor="background1" w:themeShade="D9"/>
            </w:tcBorders>
            <w:shd w:val="clear" w:color="auto" w:fill="595959" w:themeFill="text1" w:themeFillTint="A6"/>
            <w:noWrap/>
          </w:tcPr>
          <w:p w14:paraId="38169A90" w14:textId="4C597DE9" w:rsidR="000A3EA0" w:rsidRPr="00B549C4" w:rsidRDefault="000A3EA0" w:rsidP="00B549C4">
            <w:pPr>
              <w:keepNext/>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2"/>
                <w:lang w:eastAsia="en-AU"/>
              </w:rPr>
            </w:pPr>
            <w:r>
              <w:rPr>
                <w:rFonts w:eastAsia="Times New Roman" w:cs="Times New Roman"/>
                <w:color w:val="FFFFFF" w:themeColor="background1"/>
                <w:sz w:val="22"/>
                <w:lang w:eastAsia="en-AU"/>
              </w:rPr>
              <w:t>Units sold (millions) by channel</w:t>
            </w:r>
          </w:p>
        </w:tc>
      </w:tr>
      <w:tr w:rsidR="00B60ACC" w:rsidRPr="0091560A" w14:paraId="6D36FED0" w14:textId="77777777" w:rsidTr="0035014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single" w:sz="4" w:space="0" w:color="666666" w:themeColor="text1" w:themeTint="99"/>
            </w:tcBorders>
            <w:shd w:val="clear" w:color="auto" w:fill="595959" w:themeFill="text1" w:themeFillTint="A6"/>
            <w:noWrap/>
            <w:hideMark/>
          </w:tcPr>
          <w:p w14:paraId="2DA6DCBB" w14:textId="5C8FA02A" w:rsidR="00B60ACC" w:rsidRPr="00B549C4" w:rsidRDefault="000A3EA0" w:rsidP="00B549C4">
            <w:pPr>
              <w:keepNext/>
              <w:rPr>
                <w:rFonts w:eastAsia="Times New Roman" w:cs="Times New Roman"/>
                <w:color w:val="FFFFFF" w:themeColor="background1"/>
                <w:sz w:val="22"/>
                <w:lang w:eastAsia="en-AU"/>
              </w:rPr>
            </w:pPr>
            <w:r>
              <w:rPr>
                <w:rFonts w:eastAsia="Times New Roman" w:cs="Times New Roman"/>
                <w:color w:val="FFFFFF" w:themeColor="background1"/>
                <w:sz w:val="22"/>
                <w:lang w:eastAsia="en-AU"/>
              </w:rPr>
              <w:t>Jurisdiction</w:t>
            </w:r>
          </w:p>
        </w:tc>
        <w:tc>
          <w:tcPr>
            <w:tcW w:w="1808"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756EB045" w14:textId="77777777" w:rsidR="00B60ACC" w:rsidRPr="000A3EA0"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2"/>
                <w:lang w:eastAsia="en-AU"/>
              </w:rPr>
            </w:pPr>
            <w:r w:rsidRPr="000A3EA0">
              <w:rPr>
                <w:rFonts w:eastAsia="Times New Roman" w:cs="Times New Roman"/>
                <w:b/>
                <w:bCs/>
                <w:color w:val="FFFFFF" w:themeColor="background1"/>
                <w:sz w:val="22"/>
                <w:lang w:eastAsia="en-AU"/>
              </w:rPr>
              <w:t>Pharmacy</w:t>
            </w:r>
          </w:p>
        </w:tc>
        <w:tc>
          <w:tcPr>
            <w:tcW w:w="1834"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326D4C11" w14:textId="77777777" w:rsidR="00B60ACC" w:rsidRPr="000A3EA0"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2"/>
                <w:lang w:eastAsia="en-AU"/>
              </w:rPr>
            </w:pPr>
            <w:r w:rsidRPr="000A3EA0">
              <w:rPr>
                <w:rFonts w:eastAsia="Times New Roman" w:cs="Times New Roman"/>
                <w:b/>
                <w:bCs/>
                <w:color w:val="FFFFFF" w:themeColor="background1"/>
                <w:sz w:val="22"/>
                <w:lang w:eastAsia="en-AU"/>
              </w:rPr>
              <w:t>Grocery</w:t>
            </w:r>
          </w:p>
        </w:tc>
        <w:tc>
          <w:tcPr>
            <w:tcW w:w="2141"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260BEB8A" w14:textId="77777777" w:rsidR="00B60ACC" w:rsidRPr="000A3EA0"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2"/>
                <w:lang w:eastAsia="en-AU"/>
              </w:rPr>
            </w:pPr>
            <w:r w:rsidRPr="000A3EA0">
              <w:rPr>
                <w:rFonts w:eastAsia="Times New Roman" w:cs="Times New Roman"/>
                <w:b/>
                <w:bCs/>
                <w:color w:val="FFFFFF" w:themeColor="background1"/>
                <w:sz w:val="22"/>
                <w:lang w:eastAsia="en-AU"/>
              </w:rPr>
              <w:t>Convenience</w:t>
            </w:r>
          </w:p>
        </w:tc>
        <w:tc>
          <w:tcPr>
            <w:tcW w:w="1297" w:type="dxa"/>
            <w:tcBorders>
              <w:top w:val="single" w:sz="4" w:space="0" w:color="D9D9D9" w:themeColor="background1" w:themeShade="D9"/>
              <w:bottom w:val="single" w:sz="4" w:space="0" w:color="666666" w:themeColor="text1" w:themeTint="99"/>
            </w:tcBorders>
            <w:shd w:val="clear" w:color="auto" w:fill="595959" w:themeFill="text1" w:themeFillTint="A6"/>
            <w:noWrap/>
            <w:hideMark/>
          </w:tcPr>
          <w:p w14:paraId="3257CBED" w14:textId="77777777" w:rsidR="00B60ACC" w:rsidRPr="000A3EA0"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FFFFFF" w:themeColor="background1"/>
                <w:sz w:val="22"/>
                <w:lang w:eastAsia="en-AU"/>
              </w:rPr>
            </w:pPr>
            <w:r w:rsidRPr="000A3EA0">
              <w:rPr>
                <w:rFonts w:eastAsia="Times New Roman" w:cs="Times New Roman"/>
                <w:b/>
                <w:bCs/>
                <w:color w:val="FFFFFF" w:themeColor="background1"/>
                <w:sz w:val="22"/>
                <w:lang w:eastAsia="en-AU"/>
              </w:rPr>
              <w:t>Total</w:t>
            </w:r>
          </w:p>
        </w:tc>
      </w:tr>
      <w:tr w:rsidR="00B60ACC" w:rsidRPr="0091560A" w14:paraId="23242D8A" w14:textId="77777777" w:rsidTr="0035014D">
        <w:trPr>
          <w:trHeight w:val="294"/>
        </w:trPr>
        <w:tc>
          <w:tcPr>
            <w:cnfStyle w:val="001000000000" w:firstRow="0" w:lastRow="0" w:firstColumn="1" w:lastColumn="0" w:oddVBand="0" w:evenVBand="0" w:oddHBand="0" w:evenHBand="0" w:firstRowFirstColumn="0" w:firstRowLastColumn="0" w:lastRowFirstColumn="0" w:lastRowLastColumn="0"/>
            <w:tcW w:w="1987" w:type="dxa"/>
            <w:tcBorders>
              <w:bottom w:val="nil"/>
            </w:tcBorders>
            <w:noWrap/>
            <w:hideMark/>
          </w:tcPr>
          <w:p w14:paraId="71DA68D8"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NSW</w:t>
            </w:r>
          </w:p>
        </w:tc>
        <w:tc>
          <w:tcPr>
            <w:tcW w:w="1808" w:type="dxa"/>
            <w:tcBorders>
              <w:bottom w:val="nil"/>
            </w:tcBorders>
            <w:noWrap/>
            <w:hideMark/>
          </w:tcPr>
          <w:p w14:paraId="62F52D43"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14 (62.3%)</w:t>
            </w:r>
          </w:p>
        </w:tc>
        <w:tc>
          <w:tcPr>
            <w:tcW w:w="1834" w:type="dxa"/>
            <w:tcBorders>
              <w:bottom w:val="nil"/>
            </w:tcBorders>
            <w:noWrap/>
            <w:hideMark/>
          </w:tcPr>
          <w:p w14:paraId="72D65AD9"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8.1 (36.1%)</w:t>
            </w:r>
          </w:p>
        </w:tc>
        <w:tc>
          <w:tcPr>
            <w:tcW w:w="2141" w:type="dxa"/>
            <w:tcBorders>
              <w:bottom w:val="nil"/>
            </w:tcBorders>
            <w:noWrap/>
            <w:hideMark/>
          </w:tcPr>
          <w:p w14:paraId="24682C2C"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0.4 (1.6%)</w:t>
            </w:r>
          </w:p>
        </w:tc>
        <w:tc>
          <w:tcPr>
            <w:tcW w:w="1297" w:type="dxa"/>
            <w:tcBorders>
              <w:bottom w:val="nil"/>
            </w:tcBorders>
            <w:noWrap/>
            <w:hideMark/>
          </w:tcPr>
          <w:p w14:paraId="4B7358D8"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22.53</w:t>
            </w:r>
          </w:p>
        </w:tc>
      </w:tr>
      <w:tr w:rsidR="00B60ACC" w:rsidRPr="0091560A" w14:paraId="44A72A3F" w14:textId="77777777" w:rsidTr="0035014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nil"/>
            </w:tcBorders>
            <w:noWrap/>
            <w:hideMark/>
          </w:tcPr>
          <w:p w14:paraId="3DF3BD28"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QLD</w:t>
            </w:r>
          </w:p>
        </w:tc>
        <w:tc>
          <w:tcPr>
            <w:tcW w:w="1808" w:type="dxa"/>
            <w:tcBorders>
              <w:top w:val="nil"/>
              <w:bottom w:val="nil"/>
            </w:tcBorders>
            <w:noWrap/>
            <w:hideMark/>
          </w:tcPr>
          <w:p w14:paraId="4AAC7FF2"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7.7 (51.4%)</w:t>
            </w:r>
          </w:p>
        </w:tc>
        <w:tc>
          <w:tcPr>
            <w:tcW w:w="1834" w:type="dxa"/>
            <w:tcBorders>
              <w:top w:val="nil"/>
              <w:bottom w:val="nil"/>
            </w:tcBorders>
            <w:noWrap/>
            <w:hideMark/>
          </w:tcPr>
          <w:p w14:paraId="56B54DA4"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6.9 (46.1%)</w:t>
            </w:r>
          </w:p>
        </w:tc>
        <w:tc>
          <w:tcPr>
            <w:tcW w:w="2141" w:type="dxa"/>
            <w:tcBorders>
              <w:top w:val="nil"/>
              <w:bottom w:val="nil"/>
            </w:tcBorders>
            <w:noWrap/>
            <w:hideMark/>
          </w:tcPr>
          <w:p w14:paraId="0470678C"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0.4 (2.5%)</w:t>
            </w:r>
          </w:p>
        </w:tc>
        <w:tc>
          <w:tcPr>
            <w:tcW w:w="1297" w:type="dxa"/>
            <w:tcBorders>
              <w:top w:val="nil"/>
              <w:bottom w:val="nil"/>
            </w:tcBorders>
            <w:noWrap/>
            <w:hideMark/>
          </w:tcPr>
          <w:p w14:paraId="6741069A"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15.01</w:t>
            </w:r>
          </w:p>
        </w:tc>
      </w:tr>
      <w:tr w:rsidR="00B60ACC" w:rsidRPr="0091560A" w14:paraId="0CC9ECB0" w14:textId="77777777" w:rsidTr="0035014D">
        <w:trPr>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nil"/>
            </w:tcBorders>
            <w:noWrap/>
            <w:hideMark/>
          </w:tcPr>
          <w:p w14:paraId="5C0C86BB"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VIC</w:t>
            </w:r>
          </w:p>
        </w:tc>
        <w:tc>
          <w:tcPr>
            <w:tcW w:w="1808" w:type="dxa"/>
            <w:tcBorders>
              <w:top w:val="nil"/>
              <w:bottom w:val="nil"/>
            </w:tcBorders>
            <w:noWrap/>
            <w:hideMark/>
          </w:tcPr>
          <w:p w14:paraId="67999796"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11.2 (65.9%)</w:t>
            </w:r>
          </w:p>
        </w:tc>
        <w:tc>
          <w:tcPr>
            <w:tcW w:w="1834" w:type="dxa"/>
            <w:tcBorders>
              <w:top w:val="nil"/>
              <w:bottom w:val="nil"/>
            </w:tcBorders>
            <w:noWrap/>
            <w:hideMark/>
          </w:tcPr>
          <w:p w14:paraId="0A5945AA"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5.5 (32.5%)</w:t>
            </w:r>
          </w:p>
        </w:tc>
        <w:tc>
          <w:tcPr>
            <w:tcW w:w="2141" w:type="dxa"/>
            <w:tcBorders>
              <w:top w:val="nil"/>
              <w:bottom w:val="nil"/>
            </w:tcBorders>
            <w:noWrap/>
            <w:hideMark/>
          </w:tcPr>
          <w:p w14:paraId="1DD23B04"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0.3 (1.6%)</w:t>
            </w:r>
          </w:p>
        </w:tc>
        <w:tc>
          <w:tcPr>
            <w:tcW w:w="1297" w:type="dxa"/>
            <w:tcBorders>
              <w:top w:val="nil"/>
              <w:bottom w:val="nil"/>
            </w:tcBorders>
            <w:noWrap/>
            <w:hideMark/>
          </w:tcPr>
          <w:p w14:paraId="252EBB08"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16.94</w:t>
            </w:r>
          </w:p>
        </w:tc>
      </w:tr>
      <w:tr w:rsidR="00B60ACC" w:rsidRPr="0091560A" w14:paraId="514E58BE" w14:textId="77777777" w:rsidTr="0035014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nil"/>
            </w:tcBorders>
            <w:noWrap/>
            <w:hideMark/>
          </w:tcPr>
          <w:p w14:paraId="3989DA0E"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WA</w:t>
            </w:r>
          </w:p>
        </w:tc>
        <w:tc>
          <w:tcPr>
            <w:tcW w:w="1808" w:type="dxa"/>
            <w:tcBorders>
              <w:top w:val="nil"/>
              <w:bottom w:val="nil"/>
            </w:tcBorders>
            <w:noWrap/>
            <w:hideMark/>
          </w:tcPr>
          <w:p w14:paraId="787F14D0"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4.4 (57.3%)</w:t>
            </w:r>
          </w:p>
        </w:tc>
        <w:tc>
          <w:tcPr>
            <w:tcW w:w="1834" w:type="dxa"/>
            <w:tcBorders>
              <w:top w:val="nil"/>
              <w:bottom w:val="nil"/>
            </w:tcBorders>
            <w:noWrap/>
            <w:hideMark/>
          </w:tcPr>
          <w:p w14:paraId="3E4E6593"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3.1 (40.7%)</w:t>
            </w:r>
          </w:p>
        </w:tc>
        <w:tc>
          <w:tcPr>
            <w:tcW w:w="2141" w:type="dxa"/>
            <w:tcBorders>
              <w:top w:val="nil"/>
              <w:bottom w:val="nil"/>
            </w:tcBorders>
            <w:noWrap/>
            <w:hideMark/>
          </w:tcPr>
          <w:p w14:paraId="609B9589"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0.1 (2%)</w:t>
            </w:r>
          </w:p>
        </w:tc>
        <w:tc>
          <w:tcPr>
            <w:tcW w:w="1297" w:type="dxa"/>
            <w:tcBorders>
              <w:top w:val="nil"/>
              <w:bottom w:val="nil"/>
            </w:tcBorders>
            <w:noWrap/>
            <w:hideMark/>
          </w:tcPr>
          <w:p w14:paraId="4BC4A081"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7.62</w:t>
            </w:r>
          </w:p>
        </w:tc>
      </w:tr>
      <w:tr w:rsidR="00B60ACC" w:rsidRPr="0091560A" w14:paraId="5958604D" w14:textId="77777777" w:rsidTr="0035014D">
        <w:trPr>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nil"/>
            </w:tcBorders>
            <w:noWrap/>
            <w:hideMark/>
          </w:tcPr>
          <w:p w14:paraId="45AF4FBC"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TAS</w:t>
            </w:r>
          </w:p>
        </w:tc>
        <w:tc>
          <w:tcPr>
            <w:tcW w:w="1808" w:type="dxa"/>
            <w:tcBorders>
              <w:top w:val="nil"/>
              <w:bottom w:val="nil"/>
            </w:tcBorders>
            <w:noWrap/>
            <w:hideMark/>
          </w:tcPr>
          <w:p w14:paraId="7192A98C"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1.2 (66.2%)</w:t>
            </w:r>
          </w:p>
        </w:tc>
        <w:tc>
          <w:tcPr>
            <w:tcW w:w="1834" w:type="dxa"/>
            <w:tcBorders>
              <w:top w:val="nil"/>
              <w:bottom w:val="nil"/>
            </w:tcBorders>
            <w:noWrap/>
            <w:hideMark/>
          </w:tcPr>
          <w:p w14:paraId="227F604A"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0.6 (33.3%)</w:t>
            </w:r>
          </w:p>
        </w:tc>
        <w:tc>
          <w:tcPr>
            <w:tcW w:w="2141" w:type="dxa"/>
            <w:tcBorders>
              <w:top w:val="nil"/>
              <w:bottom w:val="nil"/>
            </w:tcBorders>
            <w:noWrap/>
            <w:hideMark/>
          </w:tcPr>
          <w:p w14:paraId="0B9DB740"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 (0.5%)</w:t>
            </w:r>
          </w:p>
        </w:tc>
        <w:tc>
          <w:tcPr>
            <w:tcW w:w="1297" w:type="dxa"/>
            <w:tcBorders>
              <w:top w:val="nil"/>
              <w:bottom w:val="nil"/>
            </w:tcBorders>
            <w:noWrap/>
            <w:hideMark/>
          </w:tcPr>
          <w:p w14:paraId="3C8BC6DA"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1.78</w:t>
            </w:r>
          </w:p>
        </w:tc>
      </w:tr>
      <w:tr w:rsidR="00B60ACC" w:rsidRPr="0091560A" w14:paraId="0056ED84" w14:textId="77777777" w:rsidTr="0035014D">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bottom w:val="nil"/>
            </w:tcBorders>
            <w:noWrap/>
            <w:hideMark/>
          </w:tcPr>
          <w:p w14:paraId="2E735246"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ACT/NT/SA</w:t>
            </w:r>
          </w:p>
        </w:tc>
        <w:tc>
          <w:tcPr>
            <w:tcW w:w="1808" w:type="dxa"/>
            <w:tcBorders>
              <w:top w:val="nil"/>
              <w:bottom w:val="nil"/>
            </w:tcBorders>
            <w:noWrap/>
            <w:hideMark/>
          </w:tcPr>
          <w:p w14:paraId="19281B47"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4.4 (67.1%)</w:t>
            </w:r>
          </w:p>
        </w:tc>
        <w:tc>
          <w:tcPr>
            <w:tcW w:w="1834" w:type="dxa"/>
            <w:tcBorders>
              <w:top w:val="nil"/>
              <w:bottom w:val="nil"/>
            </w:tcBorders>
            <w:noWrap/>
            <w:hideMark/>
          </w:tcPr>
          <w:p w14:paraId="32AB3016"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2.1 (32.2%)</w:t>
            </w:r>
          </w:p>
        </w:tc>
        <w:tc>
          <w:tcPr>
            <w:tcW w:w="2141" w:type="dxa"/>
            <w:tcBorders>
              <w:top w:val="nil"/>
              <w:bottom w:val="nil"/>
            </w:tcBorders>
            <w:noWrap/>
            <w:hideMark/>
          </w:tcPr>
          <w:p w14:paraId="6C6085CB"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0 (0.6%)</w:t>
            </w:r>
          </w:p>
        </w:tc>
        <w:tc>
          <w:tcPr>
            <w:tcW w:w="1297" w:type="dxa"/>
            <w:tcBorders>
              <w:top w:val="nil"/>
              <w:bottom w:val="nil"/>
            </w:tcBorders>
            <w:noWrap/>
            <w:hideMark/>
          </w:tcPr>
          <w:p w14:paraId="4DF9B9BA" w14:textId="77777777" w:rsidR="00B60ACC" w:rsidRPr="0091560A" w:rsidRDefault="00B60ACC" w:rsidP="00B549C4">
            <w:pPr>
              <w:keepNext/>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6.61</w:t>
            </w:r>
          </w:p>
        </w:tc>
      </w:tr>
      <w:tr w:rsidR="00B60ACC" w:rsidRPr="0091560A" w14:paraId="12D5C5BB" w14:textId="77777777" w:rsidTr="0035014D">
        <w:trPr>
          <w:trHeight w:val="294"/>
        </w:trPr>
        <w:tc>
          <w:tcPr>
            <w:cnfStyle w:val="001000000000" w:firstRow="0" w:lastRow="0" w:firstColumn="1" w:lastColumn="0" w:oddVBand="0" w:evenVBand="0" w:oddHBand="0" w:evenHBand="0" w:firstRowFirstColumn="0" w:firstRowLastColumn="0" w:lastRowFirstColumn="0" w:lastRowLastColumn="0"/>
            <w:tcW w:w="1987" w:type="dxa"/>
            <w:tcBorders>
              <w:top w:val="nil"/>
            </w:tcBorders>
            <w:noWrap/>
            <w:hideMark/>
          </w:tcPr>
          <w:p w14:paraId="21E2855F" w14:textId="77777777" w:rsidR="00B60ACC" w:rsidRPr="0091560A" w:rsidRDefault="00B60ACC" w:rsidP="00B549C4">
            <w:pPr>
              <w:keepNext/>
              <w:rPr>
                <w:rFonts w:eastAsia="Times New Roman" w:cs="Times New Roman"/>
                <w:color w:val="000000"/>
                <w:sz w:val="22"/>
                <w:lang w:eastAsia="en-AU"/>
              </w:rPr>
            </w:pPr>
            <w:r w:rsidRPr="0091560A">
              <w:rPr>
                <w:rFonts w:eastAsia="Times New Roman" w:cs="Times New Roman"/>
                <w:color w:val="000000"/>
                <w:sz w:val="22"/>
                <w:lang w:eastAsia="en-AU"/>
              </w:rPr>
              <w:t>National</w:t>
            </w:r>
          </w:p>
        </w:tc>
        <w:tc>
          <w:tcPr>
            <w:tcW w:w="1808" w:type="dxa"/>
            <w:tcBorders>
              <w:top w:val="nil"/>
            </w:tcBorders>
            <w:noWrap/>
            <w:hideMark/>
          </w:tcPr>
          <w:p w14:paraId="0A234BA2"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42.9 (60.9%)</w:t>
            </w:r>
          </w:p>
        </w:tc>
        <w:tc>
          <w:tcPr>
            <w:tcW w:w="1834" w:type="dxa"/>
            <w:tcBorders>
              <w:top w:val="nil"/>
            </w:tcBorders>
            <w:noWrap/>
            <w:hideMark/>
          </w:tcPr>
          <w:p w14:paraId="0719379C"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26.4 (37.4%)</w:t>
            </w:r>
          </w:p>
        </w:tc>
        <w:tc>
          <w:tcPr>
            <w:tcW w:w="2141" w:type="dxa"/>
            <w:tcBorders>
              <w:top w:val="nil"/>
            </w:tcBorders>
            <w:noWrap/>
            <w:hideMark/>
          </w:tcPr>
          <w:p w14:paraId="6D770029"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1.2 (1.7%)</w:t>
            </w:r>
          </w:p>
        </w:tc>
        <w:tc>
          <w:tcPr>
            <w:tcW w:w="1297" w:type="dxa"/>
            <w:tcBorders>
              <w:top w:val="nil"/>
            </w:tcBorders>
            <w:noWrap/>
            <w:hideMark/>
          </w:tcPr>
          <w:p w14:paraId="094E1058" w14:textId="77777777" w:rsidR="00B60ACC" w:rsidRPr="0091560A" w:rsidRDefault="00B60ACC" w:rsidP="00B549C4">
            <w:pPr>
              <w:keepNext/>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91560A">
              <w:rPr>
                <w:rFonts w:eastAsia="Times New Roman" w:cs="Times New Roman"/>
                <w:color w:val="000000"/>
                <w:sz w:val="22"/>
                <w:lang w:eastAsia="en-AU"/>
              </w:rPr>
              <w:t>70.48</w:t>
            </w:r>
          </w:p>
        </w:tc>
      </w:tr>
    </w:tbl>
    <w:p w14:paraId="53BC9E07" w14:textId="06075381" w:rsidR="00B60ACC" w:rsidRPr="0091560A" w:rsidRDefault="00B60ACC" w:rsidP="00B60ACC">
      <w:pPr>
        <w:rPr>
          <w:rFonts w:cs="Times New Roman"/>
        </w:rPr>
      </w:pPr>
    </w:p>
    <w:p w14:paraId="49E0A4D0" w14:textId="7C1BCE57" w:rsidR="00031DE7" w:rsidRPr="0091560A" w:rsidRDefault="6B49D136" w:rsidP="00031DE7">
      <w:pPr>
        <w:rPr>
          <w:rFonts w:cs="Times New Roman"/>
          <w:noProof/>
        </w:rPr>
      </w:pPr>
      <w:r w:rsidRPr="3F26E0DA">
        <w:rPr>
          <w:rFonts w:cs="Times New Roman"/>
        </w:rPr>
        <w:t>Twenty tablet pack s</w:t>
      </w:r>
      <w:r w:rsidR="008AABF5" w:rsidRPr="3F26E0DA">
        <w:rPr>
          <w:rFonts w:cs="Times New Roman"/>
        </w:rPr>
        <w:t xml:space="preserve">ales </w:t>
      </w:r>
      <w:r w:rsidRPr="3F26E0DA">
        <w:rPr>
          <w:rFonts w:cs="Times New Roman"/>
        </w:rPr>
        <w:t>dominated the paracetamol unit</w:t>
      </w:r>
      <w:r w:rsidR="538A9FD4" w:rsidRPr="3F26E0DA">
        <w:rPr>
          <w:rFonts w:cs="Times New Roman"/>
        </w:rPr>
        <w:t xml:space="preserve"> sales through these other sources</w:t>
      </w:r>
      <w:r w:rsidRPr="3F26E0DA">
        <w:rPr>
          <w:rFonts w:cs="Times New Roman"/>
        </w:rPr>
        <w:t xml:space="preserve"> </w:t>
      </w:r>
      <w:r w:rsidR="008AABF5" w:rsidRPr="3F26E0DA">
        <w:rPr>
          <w:rFonts w:cs="Times New Roman"/>
        </w:rPr>
        <w:t xml:space="preserve">(Figure </w:t>
      </w:r>
      <w:r w:rsidR="593113A2" w:rsidRPr="3F26E0DA">
        <w:rPr>
          <w:rFonts w:cs="Times New Roman"/>
        </w:rPr>
        <w:t>37, left</w:t>
      </w:r>
      <w:r w:rsidR="008AABF5" w:rsidRPr="3F26E0DA">
        <w:rPr>
          <w:rFonts w:cs="Times New Roman"/>
        </w:rPr>
        <w:t xml:space="preserve">). </w:t>
      </w:r>
      <w:r w:rsidRPr="3F26E0DA">
        <w:rPr>
          <w:rFonts w:cs="Times New Roman"/>
          <w:noProof/>
        </w:rPr>
        <w:t xml:space="preserve">All pack sales </w:t>
      </w:r>
      <w:r w:rsidR="008AABF5" w:rsidRPr="3F26E0DA">
        <w:rPr>
          <w:rFonts w:cs="Times New Roman"/>
          <w:noProof/>
        </w:rPr>
        <w:t>can be converted to a proportion of grams sold by assigning 500</w:t>
      </w:r>
      <w:r w:rsidR="1C366785" w:rsidRPr="3F26E0DA">
        <w:rPr>
          <w:rFonts w:cs="Times New Roman"/>
          <w:noProof/>
        </w:rPr>
        <w:t xml:space="preserve"> </w:t>
      </w:r>
      <w:r w:rsidR="008AABF5" w:rsidRPr="3F26E0DA">
        <w:rPr>
          <w:rFonts w:cs="Times New Roman"/>
          <w:noProof/>
        </w:rPr>
        <w:t xml:space="preserve">mg per unit for all unit pack sizes except for </w:t>
      </w:r>
      <w:r w:rsidRPr="3F26E0DA">
        <w:rPr>
          <w:rFonts w:cs="Times New Roman"/>
          <w:noProof/>
        </w:rPr>
        <w:t>the 16</w:t>
      </w:r>
      <w:r w:rsidR="008AABF5" w:rsidRPr="3F26E0DA">
        <w:rPr>
          <w:rFonts w:cs="Times New Roman"/>
          <w:noProof/>
        </w:rPr>
        <w:t xml:space="preserve"> unit</w:t>
      </w:r>
      <w:r w:rsidRPr="3F26E0DA">
        <w:rPr>
          <w:rFonts w:cs="Times New Roman"/>
          <w:noProof/>
        </w:rPr>
        <w:t xml:space="preserve"> sales which are specified as containing 250 mg.</w:t>
      </w:r>
      <w:r w:rsidR="008AABF5" w:rsidRPr="3F26E0DA">
        <w:rPr>
          <w:rFonts w:cs="Times New Roman"/>
          <w:noProof/>
        </w:rPr>
        <w:t xml:space="preserve"> It can be seen that these </w:t>
      </w:r>
      <w:r w:rsidR="0EC17973" w:rsidRPr="3F26E0DA">
        <w:rPr>
          <w:rFonts w:cs="Times New Roman"/>
          <w:noProof/>
        </w:rPr>
        <w:t xml:space="preserve">many </w:t>
      </w:r>
      <w:r w:rsidRPr="3F26E0DA">
        <w:rPr>
          <w:rFonts w:cs="Times New Roman"/>
          <w:noProof/>
        </w:rPr>
        <w:t>small</w:t>
      </w:r>
      <w:r w:rsidR="0EC17973" w:rsidRPr="3F26E0DA">
        <w:rPr>
          <w:rFonts w:cs="Times New Roman"/>
          <w:noProof/>
        </w:rPr>
        <w:t>er</w:t>
      </w:r>
      <w:r w:rsidR="008AABF5" w:rsidRPr="3F26E0DA">
        <w:rPr>
          <w:rFonts w:cs="Times New Roman"/>
          <w:noProof/>
        </w:rPr>
        <w:t xml:space="preserve"> pack sizes </w:t>
      </w:r>
      <w:r w:rsidR="0EC17973" w:rsidRPr="3F26E0DA">
        <w:rPr>
          <w:rFonts w:cs="Times New Roman"/>
          <w:noProof/>
        </w:rPr>
        <w:t xml:space="preserve">sold through grocery stores account for about </w:t>
      </w:r>
      <w:r w:rsidR="00633055">
        <w:rPr>
          <w:rFonts w:cs="Times New Roman"/>
          <w:noProof/>
        </w:rPr>
        <w:t>10%</w:t>
      </w:r>
      <w:r w:rsidR="0EC17973" w:rsidRPr="3F26E0DA">
        <w:rPr>
          <w:rFonts w:cs="Times New Roman"/>
          <w:noProof/>
        </w:rPr>
        <w:t xml:space="preserve"> of total </w:t>
      </w:r>
      <w:r w:rsidR="008AABF5" w:rsidRPr="3F26E0DA">
        <w:rPr>
          <w:rFonts w:cs="Times New Roman"/>
          <w:noProof/>
        </w:rPr>
        <w:t>doses</w:t>
      </w:r>
      <w:r w:rsidR="5D9F0221" w:rsidRPr="3F26E0DA">
        <w:rPr>
          <w:rFonts w:cs="Times New Roman"/>
          <w:noProof/>
        </w:rPr>
        <w:t xml:space="preserve"> (</w:t>
      </w:r>
      <w:r w:rsidR="062D5EBA" w:rsidRPr="3F26E0DA">
        <w:rPr>
          <w:rFonts w:cs="Times New Roman"/>
          <w:noProof/>
        </w:rPr>
        <w:t>tonne)</w:t>
      </w:r>
      <w:r w:rsidR="0EC17973" w:rsidRPr="3F26E0DA">
        <w:rPr>
          <w:rFonts w:cs="Times New Roman"/>
          <w:noProof/>
        </w:rPr>
        <w:t xml:space="preserve"> sold</w:t>
      </w:r>
      <w:r w:rsidR="008AABF5" w:rsidRPr="3F26E0DA">
        <w:rPr>
          <w:rFonts w:cs="Times New Roman"/>
          <w:noProof/>
        </w:rPr>
        <w:t xml:space="preserve"> (Figure </w:t>
      </w:r>
      <w:r w:rsidR="593113A2" w:rsidRPr="3F26E0DA">
        <w:rPr>
          <w:rFonts w:cs="Times New Roman"/>
          <w:noProof/>
        </w:rPr>
        <w:t>37, right</w:t>
      </w:r>
      <w:r w:rsidR="008AABF5" w:rsidRPr="3F26E0DA">
        <w:rPr>
          <w:rFonts w:cs="Times New Roman"/>
          <w:noProof/>
        </w:rPr>
        <w:t>).</w:t>
      </w:r>
    </w:p>
    <w:p w14:paraId="3F036570" w14:textId="77777777" w:rsidR="0006626C" w:rsidRDefault="003B0627" w:rsidP="0006626C">
      <w:r>
        <w:rPr>
          <w:noProof/>
        </w:rPr>
        <w:drawing>
          <wp:inline distT="0" distB="0" distL="0" distR="0" wp14:anchorId="1D5E3EAE" wp14:editId="558EDED3">
            <wp:extent cx="5793104" cy="2047875"/>
            <wp:effectExtent l="0" t="0" r="0" b="0"/>
            <wp:docPr id="9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160" t="6558" r="2105" b="5321"/>
                    <a:stretch/>
                  </pic:blipFill>
                  <pic:spPr bwMode="auto">
                    <a:xfrm>
                      <a:off x="0" y="0"/>
                      <a:ext cx="5797899" cy="2049570"/>
                    </a:xfrm>
                    <a:prstGeom prst="rect">
                      <a:avLst/>
                    </a:prstGeom>
                    <a:noFill/>
                    <a:ln>
                      <a:noFill/>
                    </a:ln>
                    <a:extLst>
                      <a:ext uri="{53640926-AAD7-44D8-BBD7-CCE9431645EC}">
                        <a14:shadowObscured xmlns:a14="http://schemas.microsoft.com/office/drawing/2010/main"/>
                      </a:ext>
                    </a:extLst>
                  </pic:spPr>
                </pic:pic>
              </a:graphicData>
            </a:graphic>
          </wp:inline>
        </w:drawing>
      </w:r>
    </w:p>
    <w:p w14:paraId="59DE18B9" w14:textId="6592F43E" w:rsidR="00123CC3" w:rsidRPr="0091560A" w:rsidRDefault="00123CC3" w:rsidP="0006626C">
      <w:pPr>
        <w:pStyle w:val="FigureCaption"/>
      </w:pPr>
      <w:bookmarkStart w:id="111" w:name="_Ref112073316"/>
      <w:bookmarkStart w:id="112" w:name="OLE_LINK14"/>
      <w:bookmarkStart w:id="113" w:name="_Toc114559998"/>
      <w:r w:rsidRPr="0091560A">
        <w:t xml:space="preserve">Figure </w:t>
      </w:r>
      <w:r>
        <w:fldChar w:fldCharType="begin"/>
      </w:r>
      <w:r>
        <w:instrText>SEQ Figure \* ARABIC</w:instrText>
      </w:r>
      <w:r>
        <w:fldChar w:fldCharType="separate"/>
      </w:r>
      <w:r w:rsidR="0091734E">
        <w:rPr>
          <w:noProof/>
        </w:rPr>
        <w:t>37</w:t>
      </w:r>
      <w:r>
        <w:fldChar w:fldCharType="end"/>
      </w:r>
      <w:bookmarkEnd w:id="111"/>
      <w:r w:rsidRPr="0091560A">
        <w:t xml:space="preserve">. </w:t>
      </w:r>
      <w:r w:rsidR="00841A60" w:rsidRPr="0091560A">
        <w:t>G</w:t>
      </w:r>
      <w:r w:rsidRPr="0091560A">
        <w:t>rocery sales of non-prescription paracetamol</w:t>
      </w:r>
      <w:r w:rsidR="00FB253E">
        <w:t xml:space="preserve"> and</w:t>
      </w:r>
      <w:r w:rsidRPr="0091560A">
        <w:t>IRI 2017-21, million units and tonnes of paracetamol</w:t>
      </w:r>
      <w:bookmarkEnd w:id="112"/>
      <w:bookmarkEnd w:id="113"/>
    </w:p>
    <w:p w14:paraId="6E6BE923" w14:textId="77777777" w:rsidR="003B0627" w:rsidRDefault="003B0627" w:rsidP="00E73590">
      <w:pPr>
        <w:rPr>
          <w:rFonts w:cs="Times New Roman"/>
        </w:rPr>
      </w:pPr>
    </w:p>
    <w:p w14:paraId="228ABF6C" w14:textId="78BB6EE6" w:rsidR="00114B0D" w:rsidRDefault="0B49C66A" w:rsidP="00E73590">
      <w:pPr>
        <w:rPr>
          <w:rFonts w:cs="Times New Roman"/>
        </w:rPr>
      </w:pPr>
      <w:r w:rsidRPr="3F26E0DA">
        <w:rPr>
          <w:rFonts w:cs="Times New Roman"/>
        </w:rPr>
        <w:t xml:space="preserve">Most </w:t>
      </w:r>
      <w:r w:rsidR="488DC86A" w:rsidRPr="3F26E0DA">
        <w:rPr>
          <w:rFonts w:cs="Times New Roman"/>
        </w:rPr>
        <w:t xml:space="preserve">transactions in which paracetamol is purchased in grocery stores involve the </w:t>
      </w:r>
      <w:r w:rsidRPr="3F26E0DA">
        <w:rPr>
          <w:rFonts w:cs="Times New Roman"/>
        </w:rPr>
        <w:t xml:space="preserve">purchase </w:t>
      </w:r>
      <w:r w:rsidR="488DC86A" w:rsidRPr="3F26E0DA">
        <w:rPr>
          <w:rFonts w:cs="Times New Roman"/>
        </w:rPr>
        <w:t xml:space="preserve">of </w:t>
      </w:r>
      <w:r w:rsidRPr="3F26E0DA">
        <w:rPr>
          <w:rFonts w:cs="Times New Roman"/>
        </w:rPr>
        <w:t xml:space="preserve">1 </w:t>
      </w:r>
      <w:r w:rsidR="39215BBA" w:rsidRPr="3F26E0DA">
        <w:rPr>
          <w:rFonts w:cs="Times New Roman"/>
        </w:rPr>
        <w:t xml:space="preserve">(~75%) </w:t>
      </w:r>
      <w:r w:rsidRPr="3F26E0DA">
        <w:rPr>
          <w:rFonts w:cs="Times New Roman"/>
        </w:rPr>
        <w:t xml:space="preserve">or 2 </w:t>
      </w:r>
      <w:r w:rsidR="39215BBA" w:rsidRPr="3F26E0DA">
        <w:rPr>
          <w:rFonts w:cs="Times New Roman"/>
        </w:rPr>
        <w:t xml:space="preserve">(~20%) </w:t>
      </w:r>
      <w:r w:rsidRPr="3F26E0DA">
        <w:rPr>
          <w:rFonts w:cs="Times New Roman"/>
        </w:rPr>
        <w:t>packs</w:t>
      </w:r>
      <w:r w:rsidR="18E9A086" w:rsidRPr="3F26E0DA">
        <w:rPr>
          <w:rFonts w:cs="Times New Roman"/>
        </w:rPr>
        <w:t xml:space="preserve"> </w:t>
      </w:r>
      <w:r w:rsidR="488DC86A" w:rsidRPr="3F26E0DA">
        <w:rPr>
          <w:rFonts w:cs="Times New Roman"/>
        </w:rPr>
        <w:t xml:space="preserve">only </w:t>
      </w:r>
      <w:r w:rsidR="18E9A086" w:rsidRPr="3F26E0DA">
        <w:rPr>
          <w:rFonts w:cs="Times New Roman"/>
        </w:rPr>
        <w:t xml:space="preserve">(which accounts for around 85% </w:t>
      </w:r>
      <w:r w:rsidR="1E419EC3" w:rsidRPr="3F26E0DA">
        <w:rPr>
          <w:rFonts w:cs="Times New Roman"/>
        </w:rPr>
        <w:t xml:space="preserve">of pack sales </w:t>
      </w:r>
      <w:r w:rsidR="18E9A086" w:rsidRPr="3F26E0DA">
        <w:rPr>
          <w:rFonts w:cs="Times New Roman"/>
        </w:rPr>
        <w:t>by volume)</w:t>
      </w:r>
      <w:r w:rsidR="69667E6B" w:rsidRPr="3F26E0DA">
        <w:rPr>
          <w:rFonts w:cs="Times New Roman"/>
        </w:rPr>
        <w:t xml:space="preserve">. </w:t>
      </w:r>
      <w:r w:rsidR="2586DAD8" w:rsidRPr="3F26E0DA">
        <w:rPr>
          <w:rFonts w:cs="Times New Roman"/>
        </w:rPr>
        <w:t>Purchasing multiple units in a single transaction is common (~ 25% of the time) (based on 2021 data)</w:t>
      </w:r>
      <w:r w:rsidR="794444B1" w:rsidRPr="3F26E0DA">
        <w:rPr>
          <w:rFonts w:cs="Times New Roman"/>
        </w:rPr>
        <w:t>. However,</w:t>
      </w:r>
      <w:r w:rsidR="1E51625E" w:rsidRPr="3F26E0DA">
        <w:rPr>
          <w:rFonts w:cs="Times New Roman"/>
        </w:rPr>
        <w:t xml:space="preserve"> 98% of transactions (accounting for 93% of units sold) involve three packs or less</w:t>
      </w:r>
      <w:r w:rsidR="794444B1" w:rsidRPr="3F26E0DA">
        <w:rPr>
          <w:rFonts w:cs="Times New Roman"/>
        </w:rPr>
        <w:t>; a</w:t>
      </w:r>
      <w:r w:rsidR="1E419EC3" w:rsidRPr="3F26E0DA">
        <w:rPr>
          <w:rFonts w:cs="Times New Roman"/>
        </w:rPr>
        <w:t xml:space="preserve"> </w:t>
      </w:r>
      <w:r w:rsidR="5243FDC2" w:rsidRPr="3F26E0DA">
        <w:rPr>
          <w:rFonts w:cs="Times New Roman"/>
        </w:rPr>
        <w:t xml:space="preserve">very </w:t>
      </w:r>
      <w:r w:rsidR="1E419EC3" w:rsidRPr="3F26E0DA">
        <w:rPr>
          <w:rFonts w:cs="Times New Roman"/>
        </w:rPr>
        <w:t xml:space="preserve">small proportion </w:t>
      </w:r>
      <w:r w:rsidR="2F015477" w:rsidRPr="3F26E0DA">
        <w:rPr>
          <w:rFonts w:cs="Times New Roman"/>
        </w:rPr>
        <w:t xml:space="preserve">of transactions </w:t>
      </w:r>
      <w:r w:rsidR="2D15B1A3" w:rsidRPr="3F26E0DA">
        <w:rPr>
          <w:rFonts w:cs="Times New Roman"/>
        </w:rPr>
        <w:t xml:space="preserve">(&lt; 0.1%) </w:t>
      </w:r>
      <w:r w:rsidR="53CADE56" w:rsidRPr="3F26E0DA">
        <w:rPr>
          <w:rFonts w:cs="Times New Roman"/>
        </w:rPr>
        <w:t xml:space="preserve">involve the purchase of </w:t>
      </w:r>
      <w:r w:rsidR="1E419EC3" w:rsidRPr="3F26E0DA">
        <w:rPr>
          <w:rFonts w:cs="Times New Roman"/>
        </w:rPr>
        <w:t xml:space="preserve">very large </w:t>
      </w:r>
      <w:r w:rsidR="5243FDC2" w:rsidRPr="3F26E0DA">
        <w:rPr>
          <w:rFonts w:cs="Times New Roman"/>
        </w:rPr>
        <w:t xml:space="preserve">(10+) </w:t>
      </w:r>
      <w:r w:rsidR="1E419EC3" w:rsidRPr="3F26E0DA">
        <w:rPr>
          <w:rFonts w:cs="Times New Roman"/>
        </w:rPr>
        <w:t>numbers of units</w:t>
      </w:r>
      <w:r w:rsidR="44699D7F" w:rsidRPr="3F26E0DA">
        <w:rPr>
          <w:rFonts w:cs="Times New Roman"/>
        </w:rPr>
        <w:t xml:space="preserve"> on the one occasion</w:t>
      </w:r>
      <w:r w:rsidR="5F09B66D" w:rsidRPr="3F26E0DA">
        <w:rPr>
          <w:rFonts w:cs="Times New Roman"/>
        </w:rPr>
        <w:t xml:space="preserve"> </w:t>
      </w:r>
      <w:r w:rsidR="593113A2" w:rsidRPr="3F26E0DA">
        <w:rPr>
          <w:rFonts w:cs="Times New Roman"/>
        </w:rPr>
        <w:t>(Figure 38)</w:t>
      </w:r>
      <w:r w:rsidR="5F09B66D" w:rsidRPr="3F26E0DA">
        <w:rPr>
          <w:rFonts w:cs="Times New Roman"/>
        </w:rPr>
        <w:t>.</w:t>
      </w:r>
      <w:r w:rsidR="053A56AE" w:rsidRPr="3F26E0DA">
        <w:rPr>
          <w:rFonts w:cs="Times New Roman"/>
        </w:rPr>
        <w:t xml:space="preserve"> </w:t>
      </w:r>
    </w:p>
    <w:p w14:paraId="09149ADB" w14:textId="45BC97FA" w:rsidR="00E76E1C" w:rsidRPr="0091560A" w:rsidRDefault="1D1580BF" w:rsidP="00E73590">
      <w:pPr>
        <w:rPr>
          <w:rFonts w:cs="Times New Roman"/>
        </w:rPr>
      </w:pPr>
      <w:r w:rsidRPr="643B7D7F">
        <w:rPr>
          <w:rFonts w:cs="Times New Roman"/>
        </w:rPr>
        <w:t>20-packs are infrequently brought alongside other pack sizes (&lt;</w:t>
      </w:r>
      <w:r w:rsidR="00355C66">
        <w:rPr>
          <w:rFonts w:cs="Times New Roman"/>
        </w:rPr>
        <w:t xml:space="preserve"> </w:t>
      </w:r>
      <w:r w:rsidRPr="643B7D7F">
        <w:rPr>
          <w:rFonts w:cs="Times New Roman"/>
        </w:rPr>
        <w:t xml:space="preserve">1% of total visits are of a 20-pack along with either a 10-pack or 12-pack). Therefore, although multiple-pack visits are common (25% of the time), these most frequently involve multiple 20 packs being purchased together without other pack sizes, consistent with 20 packs being the most popular pack size purchased (by number of units sold) </w:t>
      </w:r>
      <w:r w:rsidR="134AF0BB" w:rsidRPr="643B7D7F">
        <w:rPr>
          <w:rFonts w:cs="Times New Roman"/>
        </w:rPr>
        <w:t>(Appendix C)</w:t>
      </w:r>
      <w:r w:rsidRPr="643B7D7F">
        <w:rPr>
          <w:rFonts w:cs="Times New Roman"/>
        </w:rPr>
        <w:t>.</w:t>
      </w:r>
      <w:r w:rsidR="39E7220D" w:rsidRPr="643B7D7F">
        <w:rPr>
          <w:rFonts w:cs="Times New Roman"/>
        </w:rPr>
        <w:t xml:space="preserve"> </w:t>
      </w:r>
    </w:p>
    <w:p w14:paraId="1FE32F10" w14:textId="77777777" w:rsidR="003B0627" w:rsidRDefault="003B0627" w:rsidP="00315435">
      <w:pPr>
        <w:keepNext/>
        <w:spacing w:after="0"/>
      </w:pPr>
      <w:r>
        <w:rPr>
          <w:noProof/>
        </w:rPr>
        <w:drawing>
          <wp:inline distT="0" distB="0" distL="0" distR="0" wp14:anchorId="46503B4D" wp14:editId="5DEB3FA0">
            <wp:extent cx="5067300" cy="3185808"/>
            <wp:effectExtent l="0" t="0" r="0" b="0"/>
            <wp:docPr id="9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792"/>
                    <a:stretch/>
                  </pic:blipFill>
                  <pic:spPr bwMode="auto">
                    <a:xfrm>
                      <a:off x="0" y="0"/>
                      <a:ext cx="5093974" cy="3202578"/>
                    </a:xfrm>
                    <a:prstGeom prst="rect">
                      <a:avLst/>
                    </a:prstGeom>
                    <a:noFill/>
                    <a:ln>
                      <a:noFill/>
                    </a:ln>
                    <a:extLst>
                      <a:ext uri="{53640926-AAD7-44D8-BBD7-CCE9431645EC}">
                        <a14:shadowObscured xmlns:a14="http://schemas.microsoft.com/office/drawing/2010/main"/>
                      </a:ext>
                    </a:extLst>
                  </pic:spPr>
                </pic:pic>
              </a:graphicData>
            </a:graphic>
          </wp:inline>
        </w:drawing>
      </w:r>
    </w:p>
    <w:p w14:paraId="1CC8B3D9" w14:textId="6CF73C3F" w:rsidR="003F2194" w:rsidRDefault="008D0BE7" w:rsidP="00B549C4">
      <w:pPr>
        <w:pStyle w:val="FigureCaption"/>
        <w:sectPr w:rsidR="003F2194" w:rsidSect="00A905E4">
          <w:headerReference w:type="default" r:id="rId55"/>
          <w:footerReference w:type="default" r:id="rId56"/>
          <w:pgSz w:w="11906" w:h="16838"/>
          <w:pgMar w:top="1440" w:right="1440" w:bottom="1440" w:left="1440" w:header="708" w:footer="708" w:gutter="0"/>
          <w:pgNumType w:start="0"/>
          <w:cols w:space="708"/>
          <w:titlePg/>
          <w:docGrid w:linePitch="360"/>
        </w:sectPr>
      </w:pPr>
      <w:bookmarkStart w:id="114" w:name="_Toc114559999"/>
      <w:r w:rsidRPr="0091560A">
        <w:t xml:space="preserve">Figure </w:t>
      </w:r>
      <w:r w:rsidR="00E95FDA">
        <w:rPr>
          <w:sz w:val="22"/>
        </w:rPr>
        <w:fldChar w:fldCharType="begin"/>
      </w:r>
      <w:r w:rsidR="00E95FDA" w:rsidRPr="0091560A">
        <w:instrText xml:space="preserve"> SEQ Figure \* ARABIC </w:instrText>
      </w:r>
      <w:r w:rsidR="00E95FDA">
        <w:rPr>
          <w:sz w:val="22"/>
        </w:rPr>
        <w:fldChar w:fldCharType="separate"/>
      </w:r>
      <w:r w:rsidR="0091734E">
        <w:rPr>
          <w:noProof/>
        </w:rPr>
        <w:t>38</w:t>
      </w:r>
      <w:r w:rsidR="00E95FDA">
        <w:rPr>
          <w:sz w:val="22"/>
        </w:rPr>
        <w:fldChar w:fldCharType="end"/>
      </w:r>
      <w:r w:rsidRPr="0091560A">
        <w:t xml:space="preserve">. </w:t>
      </w:r>
      <w:bookmarkStart w:id="115" w:name="OLE_LINK12"/>
      <w:r w:rsidRPr="0091560A">
        <w:t>Grocery sales of non-prescription paracetamol</w:t>
      </w:r>
      <w:r w:rsidR="00FB253E">
        <w:t xml:space="preserve"> and</w:t>
      </w:r>
      <w:r w:rsidRPr="0091560A">
        <w:t xml:space="preserve"> IRI 2017-21, </w:t>
      </w:r>
      <w:r w:rsidR="00AD7B5A" w:rsidRPr="0091560A">
        <w:t>number of packs purchased when more than one item purchased</w:t>
      </w:r>
      <w:bookmarkEnd w:id="115"/>
      <w:r w:rsidR="00AD7B5A" w:rsidRPr="0091560A">
        <w:t>.</w:t>
      </w:r>
      <w:bookmarkEnd w:id="114"/>
    </w:p>
    <w:p w14:paraId="055AC526" w14:textId="61FE1A96" w:rsidR="00185833" w:rsidRDefault="003836A2" w:rsidP="00185833">
      <w:pPr>
        <w:pStyle w:val="Heading2"/>
      </w:pPr>
      <w:bookmarkStart w:id="116" w:name="_Toc112843923"/>
      <w:r>
        <w:t xml:space="preserve">2.6 </w:t>
      </w:r>
      <w:r w:rsidR="00010D45">
        <w:t xml:space="preserve"> </w:t>
      </w:r>
      <w:r>
        <w:t>Comparison</w:t>
      </w:r>
      <w:r w:rsidR="00433E93">
        <w:t xml:space="preserve"> of data </w:t>
      </w:r>
      <w:r>
        <w:t>normalis</w:t>
      </w:r>
      <w:r w:rsidR="00433E93">
        <w:t>ed</w:t>
      </w:r>
      <w:r>
        <w:t xml:space="preserve"> </w:t>
      </w:r>
      <w:r w:rsidR="00433E93">
        <w:t>to</w:t>
      </w:r>
      <w:r>
        <w:t xml:space="preserve"> population and units sold</w:t>
      </w:r>
      <w:bookmarkEnd w:id="116"/>
    </w:p>
    <w:p w14:paraId="21418D19" w14:textId="79C1CF5F" w:rsidR="00696AA6" w:rsidRDefault="00696AA6" w:rsidP="00696AA6">
      <w:pPr>
        <w:pStyle w:val="Heading3"/>
      </w:pPr>
      <w:bookmarkStart w:id="117" w:name="_Toc112843924"/>
      <w:r>
        <w:t>Introduction</w:t>
      </w:r>
      <w:bookmarkEnd w:id="117"/>
    </w:p>
    <w:p w14:paraId="2141E118" w14:textId="260A994B" w:rsidR="00B53ED2" w:rsidRPr="00D707E3" w:rsidRDefault="001A2F43" w:rsidP="00D707E3">
      <w:r>
        <w:t xml:space="preserve">The </w:t>
      </w:r>
      <w:r w:rsidR="00917206">
        <w:t xml:space="preserve">purpose of this task was to contextualise the </w:t>
      </w:r>
      <w:r w:rsidR="0042045E">
        <w:t>number of poisonings, hospitalisations</w:t>
      </w:r>
      <w:r w:rsidR="00573769">
        <w:t>,</w:t>
      </w:r>
      <w:r w:rsidR="0042045E">
        <w:t xml:space="preserve"> and deaths </w:t>
      </w:r>
      <w:r w:rsidR="00AC5E08">
        <w:t xml:space="preserve">per head of population </w:t>
      </w:r>
      <w:r w:rsidR="006F264D">
        <w:t>or</w:t>
      </w:r>
      <w:r w:rsidR="00AC5E08">
        <w:t xml:space="preserve"> units of paracetamol sold</w:t>
      </w:r>
      <w:r w:rsidR="008C29F9">
        <w:t xml:space="preserve">, noting </w:t>
      </w:r>
      <w:r w:rsidR="00697616">
        <w:t>how prevalent use of paracetamol is in the Australian community</w:t>
      </w:r>
      <w:r w:rsidR="006F264D">
        <w:t xml:space="preserve">. </w:t>
      </w:r>
      <w:r w:rsidR="008C29F9">
        <w:t>In particular, we sought t</w:t>
      </w:r>
      <w:r w:rsidR="007F34AC">
        <w:t>o</w:t>
      </w:r>
      <w:r w:rsidR="006F264D">
        <w:t xml:space="preserve"> determine </w:t>
      </w:r>
      <w:r w:rsidR="00697616">
        <w:t>how</w:t>
      </w:r>
      <w:r w:rsidR="006F264D">
        <w:t xml:space="preserve"> incidences </w:t>
      </w:r>
      <w:r w:rsidR="003D4AC2">
        <w:t xml:space="preserve">have </w:t>
      </w:r>
      <w:r w:rsidR="00697616">
        <w:t>trend</w:t>
      </w:r>
      <w:r w:rsidR="003D4AC2">
        <w:t>ed</w:t>
      </w:r>
      <w:r w:rsidR="00697616">
        <w:t xml:space="preserve"> over time as both the </w:t>
      </w:r>
      <w:r w:rsidR="006F264D">
        <w:t xml:space="preserve">population </w:t>
      </w:r>
      <w:r w:rsidR="003D4AC2">
        <w:t xml:space="preserve">and </w:t>
      </w:r>
      <w:r w:rsidR="00B21DF7">
        <w:t xml:space="preserve">amount of paracetamol </w:t>
      </w:r>
      <w:r w:rsidR="003D4AC2">
        <w:t>sold in the community may have varied</w:t>
      </w:r>
      <w:r w:rsidR="00692B3F">
        <w:t xml:space="preserve">. </w:t>
      </w:r>
    </w:p>
    <w:p w14:paraId="23F06DEE" w14:textId="4BE05FA3" w:rsidR="00696AA6" w:rsidRDefault="00D707E3" w:rsidP="00696AA6">
      <w:pPr>
        <w:pStyle w:val="Heading3"/>
      </w:pPr>
      <w:bookmarkStart w:id="118" w:name="_Toc112843925"/>
      <w:r>
        <w:t>Findings</w:t>
      </w:r>
      <w:bookmarkEnd w:id="118"/>
    </w:p>
    <w:p w14:paraId="5B8DB967" w14:textId="2EF2F6CF" w:rsidR="0025234F" w:rsidRDefault="00B76E1E" w:rsidP="00A1350E">
      <w:pPr>
        <w:pStyle w:val="Heading4"/>
      </w:pPr>
      <w:r>
        <w:t xml:space="preserve">Trends </w:t>
      </w:r>
      <w:r w:rsidR="00D56A20">
        <w:t>per</w:t>
      </w:r>
      <w:r>
        <w:t xml:space="preserve"> head of population</w:t>
      </w:r>
    </w:p>
    <w:p w14:paraId="75B504EB" w14:textId="77777777" w:rsidR="00F529C7" w:rsidRDefault="00635182" w:rsidP="00873147">
      <w:pPr>
        <w:pStyle w:val="ListParagraph"/>
        <w:numPr>
          <w:ilvl w:val="0"/>
          <w:numId w:val="134"/>
        </w:numPr>
      </w:pPr>
      <w:r>
        <w:t xml:space="preserve">The units </w:t>
      </w:r>
      <w:r w:rsidR="000E1043">
        <w:t xml:space="preserve">of paracetamol sold per million people decreased between 2017 and 2018 and this could be attributed to the rescheduling of codeine to S4. </w:t>
      </w:r>
      <w:r w:rsidR="00BE5DBE">
        <w:t>S</w:t>
      </w:r>
      <w:r w:rsidR="000E1043">
        <w:t xml:space="preserve">ince 2018 </w:t>
      </w:r>
      <w:r w:rsidR="00BE5DBE">
        <w:t>the units sold has continued to increase</w:t>
      </w:r>
      <w:r w:rsidR="00160007">
        <w:t>, however ha</w:t>
      </w:r>
      <w:r w:rsidR="00F529C7">
        <w:t>ve</w:t>
      </w:r>
      <w:r w:rsidR="00160007">
        <w:t xml:space="preserve"> not reached the same</w:t>
      </w:r>
      <w:r w:rsidR="00F529C7">
        <w:t xml:space="preserve"> level pre-2018.</w:t>
      </w:r>
    </w:p>
    <w:p w14:paraId="1FEFF8F2" w14:textId="662536C0" w:rsidR="00D700C9" w:rsidRDefault="00A43C8B" w:rsidP="00873147">
      <w:pPr>
        <w:pStyle w:val="ListParagraph"/>
        <w:numPr>
          <w:ilvl w:val="0"/>
          <w:numId w:val="134"/>
        </w:numPr>
      </w:pPr>
      <w:r>
        <w:t xml:space="preserve">Conversely, the units per </w:t>
      </w:r>
      <w:r w:rsidR="00D700C9">
        <w:t>population of other non-prescription analgesics have continued to increase between 2017 to 2021</w:t>
      </w:r>
      <w:r w:rsidR="0088626E">
        <w:t xml:space="preserve"> (Table 23)</w:t>
      </w:r>
      <w:r w:rsidR="00D700C9">
        <w:t>.</w:t>
      </w:r>
    </w:p>
    <w:p w14:paraId="43516A0D" w14:textId="566FDF41" w:rsidR="005571A0" w:rsidRDefault="00064482" w:rsidP="00873147">
      <w:pPr>
        <w:pStyle w:val="ListParagraph"/>
        <w:numPr>
          <w:ilvl w:val="0"/>
          <w:numId w:val="134"/>
        </w:numPr>
      </w:pPr>
      <w:r>
        <w:t xml:space="preserve">Paracetamol poisoning </w:t>
      </w:r>
      <w:r w:rsidR="0001296B">
        <w:t>hospital admissions and deliberate self-poisoning admissions per million people has decrease</w:t>
      </w:r>
      <w:r w:rsidR="4B542A28">
        <w:t>d</w:t>
      </w:r>
      <w:r w:rsidR="0001296B">
        <w:t xml:space="preserve"> </w:t>
      </w:r>
      <w:r w:rsidR="65F6D8DB">
        <w:t>between</w:t>
      </w:r>
      <w:r w:rsidR="0001296B">
        <w:t xml:space="preserve"> </w:t>
      </w:r>
      <w:r w:rsidR="001A5275">
        <w:t>2016-17</w:t>
      </w:r>
      <w:r w:rsidR="1AE8D8AE">
        <w:t xml:space="preserve"> and 2019-20</w:t>
      </w:r>
      <w:r w:rsidR="001A5275">
        <w:t xml:space="preserve">, whereas hospital admissions with liver injury </w:t>
      </w:r>
      <w:r w:rsidR="00F74768">
        <w:t>have</w:t>
      </w:r>
      <w:r w:rsidR="001A5275">
        <w:t xml:space="preserve"> </w:t>
      </w:r>
      <w:r w:rsidR="005571A0">
        <w:t>been consistent between the years 2015-16 through to 2019-20</w:t>
      </w:r>
      <w:r w:rsidR="00B95903">
        <w:t xml:space="preserve"> (Table 24)</w:t>
      </w:r>
      <w:r w:rsidR="005571A0">
        <w:t>.</w:t>
      </w:r>
    </w:p>
    <w:p w14:paraId="00A5704E" w14:textId="5050531B" w:rsidR="00AF4B38" w:rsidRDefault="00281F13" w:rsidP="00873147">
      <w:pPr>
        <w:pStyle w:val="ListParagraph"/>
        <w:numPr>
          <w:ilvl w:val="0"/>
          <w:numId w:val="134"/>
        </w:numPr>
      </w:pPr>
      <w:r>
        <w:t>NCIS data sho</w:t>
      </w:r>
      <w:r w:rsidR="00563451">
        <w:t xml:space="preserve">ws </w:t>
      </w:r>
      <w:r w:rsidR="007D2D3E">
        <w:t xml:space="preserve">two </w:t>
      </w:r>
      <w:r w:rsidR="00563451">
        <w:t>death</w:t>
      </w:r>
      <w:r w:rsidR="007D2D3E">
        <w:t>s</w:t>
      </w:r>
      <w:r w:rsidR="00563451">
        <w:t xml:space="preserve"> per million</w:t>
      </w:r>
      <w:r w:rsidR="00FF2A95">
        <w:t xml:space="preserve"> people from paracetamol poisoning and </w:t>
      </w:r>
      <w:r w:rsidR="001151E0">
        <w:t xml:space="preserve">almost </w:t>
      </w:r>
      <w:r w:rsidR="00B6379E">
        <w:t xml:space="preserve">one death per million people </w:t>
      </w:r>
      <w:r w:rsidR="00AF4B38">
        <w:t>with liver injury</w:t>
      </w:r>
      <w:r w:rsidR="00B95903">
        <w:t xml:space="preserve"> (Table 25)</w:t>
      </w:r>
      <w:r w:rsidR="00AF4B38">
        <w:t>.</w:t>
      </w:r>
    </w:p>
    <w:p w14:paraId="136B1E61" w14:textId="250B1970" w:rsidR="005B0CB8" w:rsidRDefault="0090093C" w:rsidP="00873147">
      <w:pPr>
        <w:pStyle w:val="ListParagraph"/>
        <w:numPr>
          <w:ilvl w:val="0"/>
          <w:numId w:val="134"/>
        </w:numPr>
      </w:pPr>
      <w:r>
        <w:t xml:space="preserve">There has been an increase in the number of </w:t>
      </w:r>
      <w:r w:rsidR="005A0D21">
        <w:t xml:space="preserve">deliberate paracetamol exposures reported to all PICs between 2018 to 2021 (217 to 300 respectively), </w:t>
      </w:r>
      <w:r w:rsidR="00AE3392">
        <w:t xml:space="preserve">which </w:t>
      </w:r>
      <w:r w:rsidR="005B0CB8">
        <w:t xml:space="preserve">is consistent with findings indicated in </w:t>
      </w:r>
      <w:r w:rsidR="005E72E7">
        <w:t>Section</w:t>
      </w:r>
      <w:r w:rsidR="005B0CB8">
        <w:t xml:space="preserve"> </w:t>
      </w:r>
      <w:r w:rsidR="008D6BC6" w:rsidRPr="005E72E7">
        <w:t>2.4</w:t>
      </w:r>
      <w:r w:rsidR="00B95903" w:rsidRPr="005E72E7">
        <w:t xml:space="preserve"> </w:t>
      </w:r>
      <w:r w:rsidR="00B95903" w:rsidRPr="00B95903">
        <w:t>(Table 26)</w:t>
      </w:r>
      <w:r w:rsidR="005B0CB8" w:rsidRPr="00B95903">
        <w:t>.</w:t>
      </w:r>
    </w:p>
    <w:p w14:paraId="298AEE60" w14:textId="3FDA06B8" w:rsidR="00B76E1E" w:rsidRDefault="00BC020E" w:rsidP="00873147">
      <w:pPr>
        <w:pStyle w:val="ListParagraph"/>
        <w:numPr>
          <w:ilvl w:val="0"/>
          <w:numId w:val="134"/>
        </w:numPr>
      </w:pPr>
      <w:r>
        <w:t xml:space="preserve">The data also shows that </w:t>
      </w:r>
      <w:r w:rsidR="00005358">
        <w:t xml:space="preserve">the number of intentional </w:t>
      </w:r>
      <w:r w:rsidR="00634C46">
        <w:t xml:space="preserve">paracetamol poisoning exposure events </w:t>
      </w:r>
      <w:r w:rsidR="00650C83">
        <w:t xml:space="preserve">has almost doubled between 2018 and 2021 for females </w:t>
      </w:r>
      <w:r w:rsidR="00DC6A24">
        <w:t xml:space="preserve">aged between 15-19 years and also increased in </w:t>
      </w:r>
      <w:r w:rsidR="00642396">
        <w:t xml:space="preserve">females aged 20-74 years, which is consistent with findings referred to earlier in the report. </w:t>
      </w:r>
      <w:r w:rsidR="00C71A0E">
        <w:t>Poisonings in this cohort is disproportionately increasing compared to other age groups and in males</w:t>
      </w:r>
      <w:r w:rsidR="00B95903">
        <w:t xml:space="preserve"> (Table 27)</w:t>
      </w:r>
      <w:r w:rsidR="00C71A0E">
        <w:t>.</w:t>
      </w:r>
      <w:r w:rsidR="005A0D21">
        <w:t xml:space="preserve"> </w:t>
      </w:r>
      <w:r w:rsidR="0001296B">
        <w:t xml:space="preserve"> </w:t>
      </w:r>
      <w:r w:rsidR="00160007">
        <w:t xml:space="preserve"> </w:t>
      </w:r>
    </w:p>
    <w:p w14:paraId="3C81590A" w14:textId="35E35FCA" w:rsidR="00B76E1E" w:rsidRPr="00B76E1E" w:rsidRDefault="00B76E1E" w:rsidP="00A1350E">
      <w:pPr>
        <w:pStyle w:val="Heading4"/>
      </w:pPr>
      <w:r>
        <w:t xml:space="preserve">Trends </w:t>
      </w:r>
      <w:r w:rsidR="00D56A20">
        <w:t>per unit of paracetamol sold</w:t>
      </w:r>
    </w:p>
    <w:p w14:paraId="0526FB2D" w14:textId="77777777" w:rsidR="00E366FC" w:rsidRDefault="005D68B9" w:rsidP="005D68B9">
      <w:pPr>
        <w:pStyle w:val="ListParagraph"/>
        <w:numPr>
          <w:ilvl w:val="0"/>
          <w:numId w:val="136"/>
        </w:numPr>
      </w:pPr>
      <w:r>
        <w:t xml:space="preserve">Paracetamol </w:t>
      </w:r>
      <w:r w:rsidR="00400CD2">
        <w:t xml:space="preserve">poisoning and </w:t>
      </w:r>
      <w:r>
        <w:t xml:space="preserve">deliberate self-poisoning admissions </w:t>
      </w:r>
      <w:r w:rsidR="0065378E">
        <w:t>are decreasing</w:t>
      </w:r>
      <w:r w:rsidR="00400CD2">
        <w:t xml:space="preserve"> </w:t>
      </w:r>
      <w:r w:rsidR="00D2425A">
        <w:t xml:space="preserve">per million units sold and </w:t>
      </w:r>
      <w:r w:rsidR="00B15B15">
        <w:t>those with liver injury has remained constant</w:t>
      </w:r>
      <w:r w:rsidR="0049114C">
        <w:t xml:space="preserve"> (Table 28)</w:t>
      </w:r>
      <w:r w:rsidR="00B15B15">
        <w:t>.</w:t>
      </w:r>
    </w:p>
    <w:p w14:paraId="464504E3" w14:textId="7E119FA8" w:rsidR="00B15B15" w:rsidRDefault="00497A30" w:rsidP="005D68B9">
      <w:pPr>
        <w:pStyle w:val="ListParagraph"/>
        <w:numPr>
          <w:ilvl w:val="0"/>
          <w:numId w:val="136"/>
        </w:numPr>
      </w:pPr>
      <w:r>
        <w:t>Deliberate paracetamol self-poisonings were approximately 100 per million units of paracetamol sold in 2019-20.</w:t>
      </w:r>
    </w:p>
    <w:p w14:paraId="129E7783" w14:textId="49D14044" w:rsidR="00A05E03" w:rsidRDefault="00664F11" w:rsidP="005D68B9">
      <w:pPr>
        <w:pStyle w:val="ListParagraph"/>
        <w:numPr>
          <w:ilvl w:val="0"/>
          <w:numId w:val="136"/>
        </w:numPr>
      </w:pPr>
      <w:r>
        <w:t xml:space="preserve">Conversely, paracetamol deliberate exposures reported to all PICs has </w:t>
      </w:r>
      <w:r w:rsidR="0049114C">
        <w:t>been increasing (Table 30).</w:t>
      </w:r>
      <w:r w:rsidR="0065378E">
        <w:t xml:space="preserve"> </w:t>
      </w:r>
    </w:p>
    <w:p w14:paraId="648905F8" w14:textId="77777777" w:rsidR="00A05E03" w:rsidRDefault="00A05E03" w:rsidP="00470A22">
      <w:pPr>
        <w:pStyle w:val="ListParagraph"/>
        <w:numPr>
          <w:ilvl w:val="0"/>
          <w:numId w:val="135"/>
        </w:numPr>
        <w:sectPr w:rsidR="00A05E03" w:rsidSect="00531849">
          <w:headerReference w:type="default" r:id="rId57"/>
          <w:headerReference w:type="first" r:id="rId58"/>
          <w:footerReference w:type="first" r:id="rId59"/>
          <w:pgSz w:w="11906" w:h="16838"/>
          <w:pgMar w:top="1440" w:right="1440" w:bottom="1440" w:left="1440" w:header="709" w:footer="709" w:gutter="0"/>
          <w:cols w:space="708"/>
          <w:docGrid w:linePitch="360"/>
        </w:sectPr>
      </w:pPr>
    </w:p>
    <w:p w14:paraId="26948740" w14:textId="1B6BF4A2" w:rsidR="003836A2" w:rsidRDefault="004A2736" w:rsidP="00B345B2">
      <w:pPr>
        <w:pStyle w:val="Caption"/>
      </w:pPr>
      <w:bookmarkStart w:id="119" w:name="_Toc114560138"/>
      <w:r>
        <w:t xml:space="preserve">Table </w:t>
      </w:r>
      <w:r>
        <w:fldChar w:fldCharType="begin"/>
      </w:r>
      <w:r>
        <w:instrText>SEQ Table \* ARABIC</w:instrText>
      </w:r>
      <w:r>
        <w:fldChar w:fldCharType="separate"/>
      </w:r>
      <w:r w:rsidR="0091734E">
        <w:rPr>
          <w:noProof/>
        </w:rPr>
        <w:t>23</w:t>
      </w:r>
      <w:r>
        <w:fldChar w:fldCharType="end"/>
      </w:r>
      <w:r w:rsidRPr="0091560A">
        <w:t xml:space="preserve">. </w:t>
      </w:r>
      <w:r w:rsidR="00353CE9">
        <w:t>Units of</w:t>
      </w:r>
      <w:r w:rsidR="00245AC7">
        <w:t xml:space="preserve"> paracetamol and other non-prescription analgesics</w:t>
      </w:r>
      <w:r w:rsidR="003836A2">
        <w:t xml:space="preserve"> </w:t>
      </w:r>
      <w:r w:rsidR="00353CE9">
        <w:t xml:space="preserve">sold in Australia </w:t>
      </w:r>
      <w:r w:rsidR="00B345B2">
        <w:t>by</w:t>
      </w:r>
      <w:r w:rsidR="00931392">
        <w:t xml:space="preserve"> </w:t>
      </w:r>
      <w:r w:rsidR="00353CE9">
        <w:t xml:space="preserve">head of </w:t>
      </w:r>
      <w:r w:rsidR="00931392">
        <w:t>population</w:t>
      </w:r>
      <w:bookmarkEnd w:id="119"/>
    </w:p>
    <w:tbl>
      <w:tblPr>
        <w:tblStyle w:val="ListTable2"/>
        <w:tblW w:w="13745" w:type="dxa"/>
        <w:tblLook w:val="04A0" w:firstRow="1" w:lastRow="0" w:firstColumn="1" w:lastColumn="0" w:noHBand="0" w:noVBand="1"/>
      </w:tblPr>
      <w:tblGrid>
        <w:gridCol w:w="1843"/>
        <w:gridCol w:w="1559"/>
        <w:gridCol w:w="2694"/>
        <w:gridCol w:w="1296"/>
        <w:gridCol w:w="1560"/>
        <w:gridCol w:w="1417"/>
        <w:gridCol w:w="1701"/>
        <w:gridCol w:w="1688"/>
        <w:gridCol w:w="13"/>
      </w:tblGrid>
      <w:tr w:rsidR="00E95468" w:rsidRPr="00A74A6B" w14:paraId="6D4C6D02" w14:textId="77777777" w:rsidTr="006A2CE5">
        <w:trPr>
          <w:gridAfter w:val="1"/>
          <w:cnfStyle w:val="100000000000" w:firstRow="1" w:lastRow="0" w:firstColumn="0" w:lastColumn="0" w:oddVBand="0" w:evenVBand="0" w:oddHBand="0"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left w:val="nil"/>
              <w:bottom w:val="single" w:sz="4" w:space="0" w:color="auto"/>
              <w:right w:val="nil"/>
            </w:tcBorders>
            <w:shd w:val="clear" w:color="auto" w:fill="595959" w:themeFill="text1" w:themeFillTint="A6"/>
            <w:noWrap/>
            <w:hideMark/>
          </w:tcPr>
          <w:p w14:paraId="74F9C170" w14:textId="77777777" w:rsidR="008B7E94" w:rsidRPr="007F0C4A" w:rsidRDefault="008B7E94" w:rsidP="005C6ECE">
            <w:pPr>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Product type</w:t>
            </w:r>
          </w:p>
        </w:tc>
        <w:tc>
          <w:tcPr>
            <w:tcW w:w="1559" w:type="dxa"/>
            <w:tcBorders>
              <w:top w:val="single" w:sz="4" w:space="0" w:color="auto"/>
              <w:left w:val="nil"/>
              <w:bottom w:val="single" w:sz="4" w:space="0" w:color="auto"/>
              <w:right w:val="nil"/>
            </w:tcBorders>
            <w:shd w:val="clear" w:color="auto" w:fill="595959" w:themeFill="text1" w:themeFillTint="A6"/>
          </w:tcPr>
          <w:p w14:paraId="1CEB4821" w14:textId="0970B601" w:rsidR="008B7E94" w:rsidRPr="007F0C4A" w:rsidRDefault="008B7E94" w:rsidP="005C6EC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Purchase location</w:t>
            </w:r>
          </w:p>
        </w:tc>
        <w:tc>
          <w:tcPr>
            <w:tcW w:w="2694" w:type="dxa"/>
            <w:tcBorders>
              <w:top w:val="single" w:sz="4" w:space="0" w:color="auto"/>
              <w:left w:val="nil"/>
              <w:bottom w:val="single" w:sz="4" w:space="0" w:color="auto"/>
              <w:right w:val="nil"/>
            </w:tcBorders>
            <w:shd w:val="clear" w:color="auto" w:fill="595959" w:themeFill="text1" w:themeFillTint="A6"/>
            <w:noWrap/>
            <w:hideMark/>
          </w:tcPr>
          <w:p w14:paraId="093ADF00" w14:textId="0BD4CE6E" w:rsidR="008B7E94" w:rsidRPr="007F0C4A" w:rsidRDefault="00BE4630" w:rsidP="005C6ECE">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Measure</w:t>
            </w:r>
          </w:p>
        </w:tc>
        <w:tc>
          <w:tcPr>
            <w:tcW w:w="1270" w:type="dxa"/>
            <w:tcBorders>
              <w:top w:val="single" w:sz="4" w:space="0" w:color="auto"/>
              <w:left w:val="nil"/>
              <w:bottom w:val="single" w:sz="4" w:space="0" w:color="auto"/>
              <w:right w:val="nil"/>
            </w:tcBorders>
            <w:shd w:val="clear" w:color="auto" w:fill="595959" w:themeFill="text1" w:themeFillTint="A6"/>
            <w:noWrap/>
            <w:hideMark/>
          </w:tcPr>
          <w:p w14:paraId="3289C1A4" w14:textId="77777777" w:rsidR="008B7E94" w:rsidRPr="007F0C4A" w:rsidRDefault="008B7E9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2017</w:t>
            </w:r>
          </w:p>
        </w:tc>
        <w:tc>
          <w:tcPr>
            <w:tcW w:w="1560" w:type="dxa"/>
            <w:tcBorders>
              <w:top w:val="single" w:sz="4" w:space="0" w:color="auto"/>
              <w:left w:val="nil"/>
              <w:bottom w:val="single" w:sz="4" w:space="0" w:color="auto"/>
              <w:right w:val="nil"/>
            </w:tcBorders>
            <w:shd w:val="clear" w:color="auto" w:fill="595959" w:themeFill="text1" w:themeFillTint="A6"/>
            <w:noWrap/>
            <w:hideMark/>
          </w:tcPr>
          <w:p w14:paraId="69D684B8" w14:textId="77777777" w:rsidR="008B7E94" w:rsidRPr="007F0C4A" w:rsidRDefault="008B7E9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2018</w:t>
            </w:r>
          </w:p>
        </w:tc>
        <w:tc>
          <w:tcPr>
            <w:tcW w:w="1417" w:type="dxa"/>
            <w:tcBorders>
              <w:top w:val="single" w:sz="4" w:space="0" w:color="auto"/>
              <w:left w:val="nil"/>
              <w:bottom w:val="single" w:sz="4" w:space="0" w:color="auto"/>
              <w:right w:val="nil"/>
            </w:tcBorders>
            <w:shd w:val="clear" w:color="auto" w:fill="595959" w:themeFill="text1" w:themeFillTint="A6"/>
            <w:noWrap/>
            <w:hideMark/>
          </w:tcPr>
          <w:p w14:paraId="65AE865F" w14:textId="77777777" w:rsidR="008B7E94" w:rsidRPr="007F0C4A" w:rsidRDefault="008B7E9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2019</w:t>
            </w:r>
          </w:p>
        </w:tc>
        <w:tc>
          <w:tcPr>
            <w:tcW w:w="1701" w:type="dxa"/>
            <w:tcBorders>
              <w:top w:val="single" w:sz="4" w:space="0" w:color="auto"/>
              <w:left w:val="nil"/>
              <w:bottom w:val="single" w:sz="4" w:space="0" w:color="auto"/>
              <w:right w:val="nil"/>
            </w:tcBorders>
            <w:shd w:val="clear" w:color="auto" w:fill="595959" w:themeFill="text1" w:themeFillTint="A6"/>
            <w:noWrap/>
            <w:hideMark/>
          </w:tcPr>
          <w:p w14:paraId="7365CA31" w14:textId="77777777" w:rsidR="008B7E94" w:rsidRPr="007F0C4A" w:rsidRDefault="008B7E9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2020</w:t>
            </w:r>
          </w:p>
        </w:tc>
        <w:tc>
          <w:tcPr>
            <w:tcW w:w="1688" w:type="dxa"/>
            <w:tcBorders>
              <w:top w:val="single" w:sz="4" w:space="0" w:color="auto"/>
              <w:left w:val="nil"/>
              <w:bottom w:val="single" w:sz="4" w:space="0" w:color="auto"/>
              <w:right w:val="nil"/>
            </w:tcBorders>
            <w:shd w:val="clear" w:color="auto" w:fill="595959" w:themeFill="text1" w:themeFillTint="A6"/>
            <w:noWrap/>
            <w:hideMark/>
          </w:tcPr>
          <w:p w14:paraId="230AB848" w14:textId="77777777" w:rsidR="008B7E94" w:rsidRPr="007F0C4A" w:rsidRDefault="008B7E94">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F0C4A">
              <w:rPr>
                <w:rFonts w:eastAsia="Times New Roman" w:cs="Times New Roman"/>
                <w:color w:val="FFFFFF" w:themeColor="background1"/>
                <w:szCs w:val="24"/>
                <w:lang w:eastAsia="en-AU"/>
              </w:rPr>
              <w:t>2021</w:t>
            </w:r>
          </w:p>
        </w:tc>
      </w:tr>
      <w:tr w:rsidR="00161F03" w:rsidRPr="005C6ECE" w14:paraId="38C95499"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385"/>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shd w:val="clear" w:color="auto" w:fill="auto"/>
            <w:hideMark/>
          </w:tcPr>
          <w:p w14:paraId="39E2F61A" w14:textId="20B80265" w:rsidR="00161F03" w:rsidRPr="007F0C4A" w:rsidRDefault="00161F03" w:rsidP="005C6ECE">
            <w:pPr>
              <w:rPr>
                <w:rFonts w:eastAsia="Times New Roman" w:cs="Times New Roman"/>
                <w:color w:val="000000"/>
                <w:szCs w:val="24"/>
                <w:lang w:eastAsia="en-AU"/>
              </w:rPr>
            </w:pPr>
            <w:r w:rsidRPr="007F0C4A">
              <w:rPr>
                <w:rFonts w:eastAsia="Times New Roman" w:cs="Times New Roman"/>
                <w:color w:val="000000"/>
                <w:szCs w:val="24"/>
                <w:lang w:eastAsia="en-AU"/>
              </w:rPr>
              <w:t xml:space="preserve">Paracetamol (single or multi active) </w:t>
            </w:r>
          </w:p>
        </w:tc>
        <w:tc>
          <w:tcPr>
            <w:tcW w:w="1559" w:type="dxa"/>
            <w:vMerge w:val="restart"/>
            <w:tcBorders>
              <w:top w:val="single" w:sz="4" w:space="0" w:color="auto"/>
              <w:bottom w:val="nil"/>
            </w:tcBorders>
            <w:shd w:val="clear" w:color="auto" w:fill="auto"/>
            <w:noWrap/>
            <w:hideMark/>
          </w:tcPr>
          <w:p w14:paraId="5308278C" w14:textId="77777777" w:rsidR="00161F03" w:rsidRPr="007F0C4A" w:rsidRDefault="00161F03" w:rsidP="005C6EC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Pharmacy</w:t>
            </w:r>
            <w:r w:rsidRPr="007F0C4A">
              <w:rPr>
                <w:rFonts w:eastAsia="Times New Roman" w:cs="Times New Roman"/>
                <w:color w:val="000000"/>
                <w:szCs w:val="24"/>
                <w:vertAlign w:val="superscript"/>
                <w:lang w:eastAsia="en-AU"/>
              </w:rPr>
              <w:t>1</w:t>
            </w:r>
          </w:p>
        </w:tc>
        <w:tc>
          <w:tcPr>
            <w:tcW w:w="2694" w:type="dxa"/>
            <w:tcBorders>
              <w:top w:val="single" w:sz="4" w:space="0" w:color="auto"/>
              <w:bottom w:val="nil"/>
            </w:tcBorders>
            <w:noWrap/>
            <w:hideMark/>
          </w:tcPr>
          <w:p w14:paraId="7AE21978" w14:textId="205332D1" w:rsidR="00161F03" w:rsidRPr="007F0C4A" w:rsidRDefault="00161F03" w:rsidP="005C6EC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top w:val="single" w:sz="4" w:space="0" w:color="auto"/>
              <w:bottom w:val="nil"/>
            </w:tcBorders>
            <w:noWrap/>
            <w:hideMark/>
          </w:tcPr>
          <w:p w14:paraId="4EF81B36" w14:textId="77777777" w:rsidR="00161F03" w:rsidRPr="007F0C4A" w:rsidRDefault="00161F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48,503,672</w:t>
            </w:r>
          </w:p>
        </w:tc>
        <w:tc>
          <w:tcPr>
            <w:tcW w:w="1560" w:type="dxa"/>
            <w:tcBorders>
              <w:top w:val="single" w:sz="4" w:space="0" w:color="auto"/>
              <w:bottom w:val="nil"/>
            </w:tcBorders>
            <w:noWrap/>
            <w:hideMark/>
          </w:tcPr>
          <w:p w14:paraId="1F38C1F5" w14:textId="77777777" w:rsidR="00161F03" w:rsidRPr="007F0C4A" w:rsidRDefault="00161F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43,647,173</w:t>
            </w:r>
          </w:p>
        </w:tc>
        <w:tc>
          <w:tcPr>
            <w:tcW w:w="1417" w:type="dxa"/>
            <w:tcBorders>
              <w:top w:val="single" w:sz="4" w:space="0" w:color="auto"/>
              <w:bottom w:val="nil"/>
            </w:tcBorders>
            <w:noWrap/>
            <w:hideMark/>
          </w:tcPr>
          <w:p w14:paraId="5F759796" w14:textId="77777777" w:rsidR="00161F03" w:rsidRPr="007F0C4A" w:rsidRDefault="00161F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45,176,021</w:t>
            </w:r>
          </w:p>
        </w:tc>
        <w:tc>
          <w:tcPr>
            <w:tcW w:w="1701" w:type="dxa"/>
            <w:tcBorders>
              <w:top w:val="single" w:sz="4" w:space="0" w:color="auto"/>
              <w:bottom w:val="nil"/>
            </w:tcBorders>
            <w:noWrap/>
            <w:hideMark/>
          </w:tcPr>
          <w:p w14:paraId="3D454F8D" w14:textId="77777777" w:rsidR="00161F03" w:rsidRPr="007F0C4A" w:rsidRDefault="00161F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42,231,391</w:t>
            </w:r>
          </w:p>
        </w:tc>
        <w:tc>
          <w:tcPr>
            <w:tcW w:w="1688" w:type="dxa"/>
            <w:tcBorders>
              <w:top w:val="single" w:sz="4" w:space="0" w:color="auto"/>
              <w:bottom w:val="nil"/>
            </w:tcBorders>
            <w:noWrap/>
            <w:hideMark/>
          </w:tcPr>
          <w:p w14:paraId="2709A9F1" w14:textId="77777777" w:rsidR="00161F03" w:rsidRPr="007F0C4A" w:rsidRDefault="00161F0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42,909,145</w:t>
            </w:r>
          </w:p>
        </w:tc>
      </w:tr>
      <w:tr w:rsidR="00161F03" w:rsidRPr="005C6ECE" w14:paraId="73E57778" w14:textId="77777777" w:rsidTr="006A2CE5">
        <w:trPr>
          <w:gridAfter w:val="1"/>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EBF4774" w14:textId="77777777" w:rsidR="00161F03" w:rsidRPr="007F0C4A" w:rsidRDefault="00161F03" w:rsidP="005C6ECE">
            <w:pPr>
              <w:rPr>
                <w:rFonts w:eastAsia="Times New Roman" w:cs="Times New Roman"/>
                <w:color w:val="000000"/>
                <w:szCs w:val="24"/>
                <w:lang w:eastAsia="en-AU"/>
              </w:rPr>
            </w:pPr>
          </w:p>
        </w:tc>
        <w:tc>
          <w:tcPr>
            <w:tcW w:w="1559" w:type="dxa"/>
            <w:vMerge/>
            <w:tcBorders>
              <w:top w:val="nil"/>
              <w:bottom w:val="single" w:sz="4" w:space="0" w:color="auto"/>
            </w:tcBorders>
            <w:hideMark/>
          </w:tcPr>
          <w:p w14:paraId="2B24E6C3" w14:textId="77777777" w:rsidR="00161F03" w:rsidRPr="007F0C4A" w:rsidRDefault="00161F03" w:rsidP="005C6EC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auto"/>
            </w:tcBorders>
            <w:noWrap/>
            <w:hideMark/>
          </w:tcPr>
          <w:p w14:paraId="41B59477" w14:textId="3FEFD575" w:rsidR="00161F03" w:rsidRPr="007F0C4A" w:rsidRDefault="00161F03" w:rsidP="005C6EC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auto"/>
            </w:tcBorders>
            <w:noWrap/>
            <w:hideMark/>
          </w:tcPr>
          <w:p w14:paraId="6E0D79F6" w14:textId="77777777" w:rsidR="00161F03" w:rsidRPr="007F0C4A" w:rsidRDefault="00161F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1,958,107 </w:t>
            </w:r>
          </w:p>
        </w:tc>
        <w:tc>
          <w:tcPr>
            <w:tcW w:w="1560" w:type="dxa"/>
            <w:tcBorders>
              <w:top w:val="nil"/>
              <w:bottom w:val="single" w:sz="4" w:space="0" w:color="auto"/>
            </w:tcBorders>
            <w:noWrap/>
            <w:hideMark/>
          </w:tcPr>
          <w:p w14:paraId="160CBF51" w14:textId="77777777" w:rsidR="00161F03" w:rsidRPr="007F0C4A" w:rsidRDefault="00161F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1,733,393 </w:t>
            </w:r>
          </w:p>
        </w:tc>
        <w:tc>
          <w:tcPr>
            <w:tcW w:w="1417" w:type="dxa"/>
            <w:tcBorders>
              <w:top w:val="nil"/>
              <w:bottom w:val="single" w:sz="4" w:space="0" w:color="auto"/>
            </w:tcBorders>
            <w:noWrap/>
            <w:hideMark/>
          </w:tcPr>
          <w:p w14:paraId="02143E1A" w14:textId="77777777" w:rsidR="00161F03" w:rsidRPr="007F0C4A" w:rsidRDefault="00161F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1,770,070 </w:t>
            </w:r>
          </w:p>
        </w:tc>
        <w:tc>
          <w:tcPr>
            <w:tcW w:w="1701" w:type="dxa"/>
            <w:tcBorders>
              <w:top w:val="nil"/>
              <w:bottom w:val="single" w:sz="4" w:space="0" w:color="auto"/>
            </w:tcBorders>
            <w:noWrap/>
            <w:hideMark/>
          </w:tcPr>
          <w:p w14:paraId="5D9F1D59" w14:textId="77777777" w:rsidR="00161F03" w:rsidRPr="007F0C4A" w:rsidRDefault="00161F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1,643,603 </w:t>
            </w:r>
          </w:p>
        </w:tc>
        <w:tc>
          <w:tcPr>
            <w:tcW w:w="1688" w:type="dxa"/>
            <w:tcBorders>
              <w:top w:val="nil"/>
              <w:bottom w:val="single" w:sz="4" w:space="0" w:color="auto"/>
            </w:tcBorders>
            <w:noWrap/>
            <w:hideMark/>
          </w:tcPr>
          <w:p w14:paraId="3C35B820" w14:textId="77777777" w:rsidR="00161F03" w:rsidRPr="007F0C4A" w:rsidRDefault="00161F0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1,665,301 </w:t>
            </w:r>
          </w:p>
        </w:tc>
      </w:tr>
      <w:tr w:rsidR="00161F03" w:rsidRPr="005C6ECE" w14:paraId="6577B398"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311"/>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5251A40" w14:textId="77777777" w:rsidR="00161F03" w:rsidRPr="007F0C4A" w:rsidRDefault="00161F03" w:rsidP="005F4A24">
            <w:pPr>
              <w:rPr>
                <w:rFonts w:eastAsia="Times New Roman" w:cs="Times New Roman"/>
                <w:color w:val="000000"/>
                <w:szCs w:val="24"/>
                <w:lang w:eastAsia="en-AU"/>
              </w:rPr>
            </w:pPr>
          </w:p>
        </w:tc>
        <w:tc>
          <w:tcPr>
            <w:tcW w:w="1559" w:type="dxa"/>
            <w:vMerge w:val="restart"/>
            <w:tcBorders>
              <w:top w:val="single" w:sz="4" w:space="0" w:color="auto"/>
              <w:bottom w:val="nil"/>
            </w:tcBorders>
            <w:shd w:val="clear" w:color="auto" w:fill="auto"/>
            <w:noWrap/>
            <w:hideMark/>
          </w:tcPr>
          <w:p w14:paraId="3B6CD334" w14:textId="77777777"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Grocery</w:t>
            </w:r>
            <w:r w:rsidRPr="007F0C4A">
              <w:rPr>
                <w:rFonts w:eastAsia="Times New Roman" w:cs="Times New Roman"/>
                <w:color w:val="000000"/>
                <w:szCs w:val="24"/>
                <w:vertAlign w:val="superscript"/>
                <w:lang w:eastAsia="en-AU"/>
              </w:rPr>
              <w:t>2</w:t>
            </w:r>
            <w:r w:rsidRPr="007F0C4A">
              <w:rPr>
                <w:rFonts w:eastAsia="Times New Roman" w:cs="Times New Roman"/>
                <w:color w:val="000000"/>
                <w:szCs w:val="24"/>
                <w:lang w:eastAsia="en-AU"/>
              </w:rPr>
              <w:t xml:space="preserve"> </w:t>
            </w:r>
          </w:p>
        </w:tc>
        <w:tc>
          <w:tcPr>
            <w:tcW w:w="2694" w:type="dxa"/>
            <w:tcBorders>
              <w:top w:val="single" w:sz="4" w:space="0" w:color="auto"/>
              <w:bottom w:val="nil"/>
            </w:tcBorders>
            <w:noWrap/>
            <w:hideMark/>
          </w:tcPr>
          <w:p w14:paraId="58EF5671" w14:textId="14C0F6E8"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top w:val="single" w:sz="4" w:space="0" w:color="auto"/>
              <w:bottom w:val="nil"/>
            </w:tcBorders>
            <w:noWrap/>
            <w:hideMark/>
          </w:tcPr>
          <w:p w14:paraId="70D4241C"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22,966,654</w:t>
            </w:r>
          </w:p>
        </w:tc>
        <w:tc>
          <w:tcPr>
            <w:tcW w:w="1560" w:type="dxa"/>
            <w:tcBorders>
              <w:top w:val="single" w:sz="4" w:space="0" w:color="auto"/>
              <w:bottom w:val="nil"/>
            </w:tcBorders>
            <w:noWrap/>
            <w:hideMark/>
          </w:tcPr>
          <w:p w14:paraId="157A3811"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23,306,892</w:t>
            </w:r>
          </w:p>
        </w:tc>
        <w:tc>
          <w:tcPr>
            <w:tcW w:w="1417" w:type="dxa"/>
            <w:tcBorders>
              <w:top w:val="single" w:sz="4" w:space="0" w:color="auto"/>
              <w:bottom w:val="nil"/>
            </w:tcBorders>
            <w:noWrap/>
            <w:hideMark/>
          </w:tcPr>
          <w:p w14:paraId="0CC59B40"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23,082,043</w:t>
            </w:r>
          </w:p>
        </w:tc>
        <w:tc>
          <w:tcPr>
            <w:tcW w:w="1701" w:type="dxa"/>
            <w:tcBorders>
              <w:top w:val="single" w:sz="4" w:space="0" w:color="auto"/>
              <w:bottom w:val="nil"/>
            </w:tcBorders>
            <w:noWrap/>
            <w:hideMark/>
          </w:tcPr>
          <w:p w14:paraId="13E1AD23"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25,160,591</w:t>
            </w:r>
          </w:p>
        </w:tc>
        <w:tc>
          <w:tcPr>
            <w:tcW w:w="1688" w:type="dxa"/>
            <w:tcBorders>
              <w:top w:val="single" w:sz="4" w:space="0" w:color="auto"/>
              <w:bottom w:val="nil"/>
            </w:tcBorders>
            <w:noWrap/>
            <w:hideMark/>
          </w:tcPr>
          <w:p w14:paraId="53BBC4BF"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26,377,433</w:t>
            </w:r>
          </w:p>
        </w:tc>
      </w:tr>
      <w:tr w:rsidR="00161F03" w:rsidRPr="005C6ECE" w14:paraId="77613E67" w14:textId="77777777" w:rsidTr="006A2CE5">
        <w:trPr>
          <w:gridAfter w:val="1"/>
          <w:wAfter w:w="13" w:type="dxa"/>
          <w:trHeight w:val="30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3C31B0C0" w14:textId="77777777" w:rsidR="00161F03" w:rsidRPr="007F0C4A" w:rsidRDefault="00161F03" w:rsidP="005F4A24">
            <w:pPr>
              <w:rPr>
                <w:rFonts w:eastAsia="Times New Roman" w:cs="Times New Roman"/>
                <w:color w:val="000000"/>
                <w:szCs w:val="24"/>
                <w:lang w:eastAsia="en-AU"/>
              </w:rPr>
            </w:pPr>
          </w:p>
        </w:tc>
        <w:tc>
          <w:tcPr>
            <w:tcW w:w="1559" w:type="dxa"/>
            <w:vMerge/>
            <w:tcBorders>
              <w:top w:val="nil"/>
              <w:bottom w:val="single" w:sz="4" w:space="0" w:color="auto"/>
            </w:tcBorders>
            <w:hideMark/>
          </w:tcPr>
          <w:p w14:paraId="59568A1E" w14:textId="7777777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auto"/>
            </w:tcBorders>
            <w:noWrap/>
            <w:hideMark/>
          </w:tcPr>
          <w:p w14:paraId="67FD8EF7" w14:textId="36D1B0E0"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auto"/>
            </w:tcBorders>
            <w:noWrap/>
            <w:hideMark/>
          </w:tcPr>
          <w:p w14:paraId="0562936B"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927,170 </w:t>
            </w:r>
          </w:p>
        </w:tc>
        <w:tc>
          <w:tcPr>
            <w:tcW w:w="1560" w:type="dxa"/>
            <w:tcBorders>
              <w:top w:val="nil"/>
              <w:bottom w:val="single" w:sz="4" w:space="0" w:color="auto"/>
            </w:tcBorders>
            <w:noWrap/>
            <w:hideMark/>
          </w:tcPr>
          <w:p w14:paraId="31BE22C0"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925,604 </w:t>
            </w:r>
          </w:p>
        </w:tc>
        <w:tc>
          <w:tcPr>
            <w:tcW w:w="1417" w:type="dxa"/>
            <w:tcBorders>
              <w:top w:val="nil"/>
              <w:bottom w:val="single" w:sz="4" w:space="0" w:color="auto"/>
            </w:tcBorders>
            <w:noWrap/>
            <w:hideMark/>
          </w:tcPr>
          <w:p w14:paraId="6647E009"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904,392 </w:t>
            </w:r>
          </w:p>
        </w:tc>
        <w:tc>
          <w:tcPr>
            <w:tcW w:w="1701" w:type="dxa"/>
            <w:tcBorders>
              <w:top w:val="nil"/>
              <w:bottom w:val="single" w:sz="4" w:space="0" w:color="auto"/>
            </w:tcBorders>
            <w:noWrap/>
            <w:hideMark/>
          </w:tcPr>
          <w:p w14:paraId="6E6AB3A0"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979,225 </w:t>
            </w:r>
          </w:p>
        </w:tc>
        <w:tc>
          <w:tcPr>
            <w:tcW w:w="1688" w:type="dxa"/>
            <w:tcBorders>
              <w:top w:val="nil"/>
              <w:bottom w:val="single" w:sz="4" w:space="0" w:color="auto"/>
            </w:tcBorders>
            <w:noWrap/>
            <w:hideMark/>
          </w:tcPr>
          <w:p w14:paraId="0E79F2B8"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1,023,706 </w:t>
            </w:r>
          </w:p>
        </w:tc>
      </w:tr>
      <w:tr w:rsidR="00161F03" w:rsidRPr="005C6ECE" w14:paraId="3C9FA5C0"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68A3F325" w14:textId="77777777" w:rsidR="00161F03" w:rsidRPr="007F0C4A" w:rsidRDefault="00161F03" w:rsidP="005F4A24">
            <w:pPr>
              <w:rPr>
                <w:rFonts w:eastAsia="Times New Roman" w:cs="Times New Roman"/>
                <w:color w:val="000000"/>
                <w:szCs w:val="24"/>
                <w:lang w:eastAsia="en-AU"/>
              </w:rPr>
            </w:pPr>
          </w:p>
        </w:tc>
        <w:tc>
          <w:tcPr>
            <w:tcW w:w="1559" w:type="dxa"/>
            <w:vMerge w:val="restart"/>
            <w:tcBorders>
              <w:top w:val="single" w:sz="4" w:space="0" w:color="auto"/>
              <w:bottom w:val="nil"/>
            </w:tcBorders>
            <w:shd w:val="clear" w:color="auto" w:fill="auto"/>
            <w:noWrap/>
            <w:hideMark/>
          </w:tcPr>
          <w:p w14:paraId="74B3CAD9" w14:textId="77777777"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Convenience</w:t>
            </w:r>
            <w:r w:rsidRPr="007F0C4A">
              <w:rPr>
                <w:rFonts w:eastAsia="Times New Roman" w:cs="Times New Roman"/>
                <w:color w:val="000000"/>
                <w:szCs w:val="24"/>
                <w:vertAlign w:val="superscript"/>
                <w:lang w:eastAsia="en-AU"/>
              </w:rPr>
              <w:t>2</w:t>
            </w:r>
          </w:p>
        </w:tc>
        <w:tc>
          <w:tcPr>
            <w:tcW w:w="2694" w:type="dxa"/>
            <w:tcBorders>
              <w:top w:val="single" w:sz="4" w:space="0" w:color="auto"/>
              <w:bottom w:val="nil"/>
            </w:tcBorders>
            <w:noWrap/>
            <w:hideMark/>
          </w:tcPr>
          <w:p w14:paraId="3079E310" w14:textId="5B615989"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top w:val="single" w:sz="4" w:space="0" w:color="auto"/>
              <w:bottom w:val="nil"/>
            </w:tcBorders>
            <w:noWrap/>
            <w:hideMark/>
          </w:tcPr>
          <w:p w14:paraId="4F08BCF2"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560" w:type="dxa"/>
            <w:tcBorders>
              <w:top w:val="single" w:sz="4" w:space="0" w:color="auto"/>
              <w:bottom w:val="nil"/>
            </w:tcBorders>
            <w:noWrap/>
            <w:hideMark/>
          </w:tcPr>
          <w:p w14:paraId="1D456B7B"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417" w:type="dxa"/>
            <w:tcBorders>
              <w:top w:val="single" w:sz="4" w:space="0" w:color="auto"/>
              <w:bottom w:val="nil"/>
            </w:tcBorders>
            <w:noWrap/>
            <w:hideMark/>
          </w:tcPr>
          <w:p w14:paraId="0B38FFD0"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701" w:type="dxa"/>
            <w:tcBorders>
              <w:top w:val="single" w:sz="4" w:space="0" w:color="auto"/>
              <w:bottom w:val="nil"/>
            </w:tcBorders>
            <w:noWrap/>
            <w:hideMark/>
          </w:tcPr>
          <w:p w14:paraId="24BA95E5"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1,044,817</w:t>
            </w:r>
          </w:p>
        </w:tc>
        <w:tc>
          <w:tcPr>
            <w:tcW w:w="1688" w:type="dxa"/>
            <w:tcBorders>
              <w:top w:val="single" w:sz="4" w:space="0" w:color="auto"/>
              <w:bottom w:val="nil"/>
            </w:tcBorders>
            <w:noWrap/>
            <w:hideMark/>
          </w:tcPr>
          <w:p w14:paraId="25154909"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1,197,109</w:t>
            </w:r>
          </w:p>
        </w:tc>
      </w:tr>
      <w:tr w:rsidR="00161F03" w:rsidRPr="005C6ECE" w14:paraId="064529E0" w14:textId="77777777" w:rsidTr="006A2CE5">
        <w:trPr>
          <w:gridAfter w:val="1"/>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53A69B87" w14:textId="77777777" w:rsidR="00161F03" w:rsidRPr="007F0C4A" w:rsidRDefault="00161F03" w:rsidP="005F4A24">
            <w:pPr>
              <w:rPr>
                <w:rFonts w:eastAsia="Times New Roman" w:cs="Times New Roman"/>
                <w:color w:val="000000"/>
                <w:szCs w:val="24"/>
                <w:lang w:eastAsia="en-AU"/>
              </w:rPr>
            </w:pPr>
          </w:p>
        </w:tc>
        <w:tc>
          <w:tcPr>
            <w:tcW w:w="1559" w:type="dxa"/>
            <w:vMerge/>
            <w:tcBorders>
              <w:top w:val="nil"/>
              <w:bottom w:val="single" w:sz="4" w:space="0" w:color="auto"/>
            </w:tcBorders>
            <w:hideMark/>
          </w:tcPr>
          <w:p w14:paraId="39A96FA5" w14:textId="7777777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auto"/>
            </w:tcBorders>
            <w:noWrap/>
            <w:hideMark/>
          </w:tcPr>
          <w:p w14:paraId="342CF278" w14:textId="052B43E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auto"/>
            </w:tcBorders>
            <w:noWrap/>
            <w:hideMark/>
          </w:tcPr>
          <w:p w14:paraId="3B5EC427"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560" w:type="dxa"/>
            <w:tcBorders>
              <w:top w:val="nil"/>
              <w:bottom w:val="single" w:sz="4" w:space="0" w:color="auto"/>
            </w:tcBorders>
            <w:noWrap/>
            <w:hideMark/>
          </w:tcPr>
          <w:p w14:paraId="3D97EED9"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417" w:type="dxa"/>
            <w:tcBorders>
              <w:top w:val="nil"/>
              <w:bottom w:val="single" w:sz="4" w:space="0" w:color="auto"/>
            </w:tcBorders>
            <w:noWrap/>
            <w:hideMark/>
          </w:tcPr>
          <w:p w14:paraId="08B2DD24"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701" w:type="dxa"/>
            <w:tcBorders>
              <w:top w:val="nil"/>
              <w:bottom w:val="single" w:sz="4" w:space="0" w:color="auto"/>
            </w:tcBorders>
            <w:noWrap/>
            <w:hideMark/>
          </w:tcPr>
          <w:p w14:paraId="50DA6D8B"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40,663 </w:t>
            </w:r>
          </w:p>
        </w:tc>
        <w:tc>
          <w:tcPr>
            <w:tcW w:w="1688" w:type="dxa"/>
            <w:tcBorders>
              <w:top w:val="nil"/>
              <w:bottom w:val="single" w:sz="4" w:space="0" w:color="auto"/>
            </w:tcBorders>
            <w:noWrap/>
            <w:hideMark/>
          </w:tcPr>
          <w:p w14:paraId="66A94190"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46,460 </w:t>
            </w:r>
          </w:p>
        </w:tc>
      </w:tr>
      <w:tr w:rsidR="0094482F" w:rsidRPr="005C6ECE" w14:paraId="1C859B0C"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shd w:val="clear" w:color="auto" w:fill="FFFFFF" w:themeFill="background1"/>
            <w:noWrap/>
          </w:tcPr>
          <w:p w14:paraId="11C47823" w14:textId="77777777" w:rsidR="0094482F" w:rsidRPr="007F0C4A" w:rsidRDefault="0094482F" w:rsidP="005F4A24">
            <w:pPr>
              <w:jc w:val="right"/>
              <w:rPr>
                <w:rFonts w:eastAsia="Times New Roman" w:cs="Times New Roman"/>
                <w:color w:val="000000"/>
                <w:szCs w:val="24"/>
                <w:lang w:eastAsia="en-AU"/>
              </w:rPr>
            </w:pPr>
          </w:p>
        </w:tc>
        <w:tc>
          <w:tcPr>
            <w:tcW w:w="1559" w:type="dxa"/>
            <w:vMerge w:val="restart"/>
            <w:tcBorders>
              <w:top w:val="single" w:sz="4" w:space="0" w:color="auto"/>
              <w:right w:val="nil"/>
            </w:tcBorders>
            <w:shd w:val="clear" w:color="auto" w:fill="auto"/>
            <w:noWrap/>
          </w:tcPr>
          <w:p w14:paraId="39419548" w14:textId="6A647913" w:rsidR="0094482F" w:rsidRPr="007F0C4A" w:rsidRDefault="0094482F"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n-AU"/>
              </w:rPr>
            </w:pPr>
            <w:r w:rsidRPr="007F0C4A">
              <w:rPr>
                <w:rFonts w:eastAsia="Times New Roman" w:cs="Times New Roman"/>
                <w:b/>
                <w:bCs/>
                <w:szCs w:val="24"/>
                <w:lang w:eastAsia="en-AU"/>
              </w:rPr>
              <w:t>All channels</w:t>
            </w:r>
          </w:p>
        </w:tc>
        <w:tc>
          <w:tcPr>
            <w:tcW w:w="2694" w:type="dxa"/>
            <w:tcBorders>
              <w:top w:val="single" w:sz="4" w:space="0" w:color="auto"/>
              <w:left w:val="nil"/>
              <w:bottom w:val="nil"/>
              <w:right w:val="nil"/>
            </w:tcBorders>
            <w:noWrap/>
          </w:tcPr>
          <w:p w14:paraId="2408B856" w14:textId="2AB9FC99" w:rsidR="0094482F" w:rsidRPr="007F0C4A" w:rsidRDefault="0094482F"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Total units</w:t>
            </w:r>
          </w:p>
        </w:tc>
        <w:tc>
          <w:tcPr>
            <w:tcW w:w="1270" w:type="dxa"/>
            <w:tcBorders>
              <w:top w:val="single" w:sz="4" w:space="0" w:color="auto"/>
              <w:left w:val="nil"/>
              <w:bottom w:val="nil"/>
              <w:right w:val="nil"/>
            </w:tcBorders>
            <w:noWrap/>
          </w:tcPr>
          <w:p w14:paraId="7D947229" w14:textId="04300439"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71,470,326</w:t>
            </w:r>
          </w:p>
        </w:tc>
        <w:tc>
          <w:tcPr>
            <w:tcW w:w="1560" w:type="dxa"/>
            <w:tcBorders>
              <w:top w:val="single" w:sz="4" w:space="0" w:color="auto"/>
              <w:left w:val="nil"/>
              <w:bottom w:val="nil"/>
              <w:right w:val="nil"/>
            </w:tcBorders>
            <w:noWrap/>
          </w:tcPr>
          <w:p w14:paraId="42EC9491" w14:textId="411EABF7"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66,954,065</w:t>
            </w:r>
          </w:p>
        </w:tc>
        <w:tc>
          <w:tcPr>
            <w:tcW w:w="1417" w:type="dxa"/>
            <w:tcBorders>
              <w:top w:val="single" w:sz="4" w:space="0" w:color="auto"/>
              <w:left w:val="nil"/>
              <w:bottom w:val="nil"/>
              <w:right w:val="nil"/>
            </w:tcBorders>
            <w:noWrap/>
          </w:tcPr>
          <w:p w14:paraId="090C5A51" w14:textId="50B7F17B"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68,258,064</w:t>
            </w:r>
          </w:p>
        </w:tc>
        <w:tc>
          <w:tcPr>
            <w:tcW w:w="1701" w:type="dxa"/>
            <w:tcBorders>
              <w:top w:val="single" w:sz="4" w:space="0" w:color="auto"/>
              <w:left w:val="nil"/>
              <w:bottom w:val="nil"/>
              <w:right w:val="nil"/>
            </w:tcBorders>
            <w:noWrap/>
          </w:tcPr>
          <w:p w14:paraId="39F18E86" w14:textId="3BB7D1DA"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68,436,799</w:t>
            </w:r>
          </w:p>
        </w:tc>
        <w:tc>
          <w:tcPr>
            <w:tcW w:w="1688" w:type="dxa"/>
            <w:tcBorders>
              <w:top w:val="single" w:sz="4" w:space="0" w:color="auto"/>
              <w:left w:val="nil"/>
              <w:bottom w:val="nil"/>
              <w:right w:val="nil"/>
            </w:tcBorders>
            <w:noWrap/>
          </w:tcPr>
          <w:p w14:paraId="02F56DE5" w14:textId="15FA6DB1"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70,483,687</w:t>
            </w:r>
          </w:p>
        </w:tc>
      </w:tr>
      <w:tr w:rsidR="0094482F" w:rsidRPr="005C6ECE" w14:paraId="4232EF73" w14:textId="77777777" w:rsidTr="006A2CE5">
        <w:trPr>
          <w:gridAfter w:val="1"/>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noWrap/>
            <w:hideMark/>
          </w:tcPr>
          <w:p w14:paraId="266433D1" w14:textId="77777777" w:rsidR="0094482F" w:rsidRPr="007F0C4A" w:rsidRDefault="0094482F" w:rsidP="005F4A24">
            <w:pPr>
              <w:jc w:val="right"/>
              <w:rPr>
                <w:rFonts w:eastAsia="Times New Roman" w:cs="Times New Roman"/>
                <w:color w:val="000000"/>
                <w:szCs w:val="24"/>
                <w:lang w:eastAsia="en-AU"/>
              </w:rPr>
            </w:pPr>
          </w:p>
        </w:tc>
        <w:tc>
          <w:tcPr>
            <w:tcW w:w="1559" w:type="dxa"/>
            <w:vMerge/>
            <w:tcBorders>
              <w:bottom w:val="single" w:sz="4" w:space="0" w:color="auto"/>
            </w:tcBorders>
            <w:noWrap/>
            <w:hideMark/>
          </w:tcPr>
          <w:p w14:paraId="6D24B0AA" w14:textId="77777777" w:rsidR="0094482F" w:rsidRPr="007F0C4A" w:rsidRDefault="0094482F"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2694" w:type="dxa"/>
            <w:tcBorders>
              <w:top w:val="nil"/>
              <w:bottom w:val="single" w:sz="4" w:space="0" w:color="auto"/>
            </w:tcBorders>
            <w:noWrap/>
            <w:hideMark/>
          </w:tcPr>
          <w:p w14:paraId="339A5E7F" w14:textId="7D53C146" w:rsidR="0094482F" w:rsidRPr="007F0C4A" w:rsidRDefault="0094482F"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auto"/>
            </w:tcBorders>
            <w:noWrap/>
            <w:hideMark/>
          </w:tcPr>
          <w:p w14:paraId="442807FA" w14:textId="436BBD48"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2,885,277 </w:t>
            </w:r>
          </w:p>
        </w:tc>
        <w:tc>
          <w:tcPr>
            <w:tcW w:w="1560" w:type="dxa"/>
            <w:tcBorders>
              <w:top w:val="nil"/>
              <w:bottom w:val="single" w:sz="4" w:space="0" w:color="auto"/>
            </w:tcBorders>
            <w:noWrap/>
            <w:hideMark/>
          </w:tcPr>
          <w:p w14:paraId="4EC6D37E" w14:textId="17495205"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 2,658,997 </w:t>
            </w:r>
          </w:p>
        </w:tc>
        <w:tc>
          <w:tcPr>
            <w:tcW w:w="1417" w:type="dxa"/>
            <w:tcBorders>
              <w:top w:val="nil"/>
              <w:bottom w:val="single" w:sz="4" w:space="0" w:color="auto"/>
            </w:tcBorders>
            <w:noWrap/>
            <w:hideMark/>
          </w:tcPr>
          <w:p w14:paraId="3CAC622A" w14:textId="72DC3BA4"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 2,674,462 </w:t>
            </w:r>
          </w:p>
        </w:tc>
        <w:tc>
          <w:tcPr>
            <w:tcW w:w="1701" w:type="dxa"/>
            <w:tcBorders>
              <w:top w:val="nil"/>
              <w:bottom w:val="single" w:sz="4" w:space="0" w:color="auto"/>
            </w:tcBorders>
            <w:noWrap/>
            <w:hideMark/>
          </w:tcPr>
          <w:p w14:paraId="3C3EB37C" w14:textId="05E8FAC4"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 xml:space="preserve"> 2,663,492 </w:t>
            </w:r>
          </w:p>
        </w:tc>
        <w:tc>
          <w:tcPr>
            <w:tcW w:w="1688" w:type="dxa"/>
            <w:tcBorders>
              <w:top w:val="nil"/>
              <w:bottom w:val="single" w:sz="4" w:space="0" w:color="auto"/>
            </w:tcBorders>
            <w:noWrap/>
            <w:hideMark/>
          </w:tcPr>
          <w:p w14:paraId="4C7867CD" w14:textId="55E8F22A"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 xml:space="preserve"> 2,735,467 </w:t>
            </w:r>
          </w:p>
        </w:tc>
      </w:tr>
      <w:tr w:rsidR="00161F03" w:rsidRPr="005C6ECE" w14:paraId="0C07A0A9"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297"/>
        </w:trPr>
        <w:tc>
          <w:tcPr>
            <w:cnfStyle w:val="001000000000" w:firstRow="0" w:lastRow="0" w:firstColumn="1" w:lastColumn="0" w:oddVBand="0" w:evenVBand="0" w:oddHBand="0" w:evenHBand="0" w:firstRowFirstColumn="0" w:firstRowLastColumn="0" w:lastRowFirstColumn="0" w:lastRowLastColumn="0"/>
            <w:tcW w:w="1843" w:type="dxa"/>
            <w:vMerge w:val="restart"/>
            <w:tcBorders>
              <w:top w:val="single" w:sz="4" w:space="0" w:color="auto"/>
            </w:tcBorders>
            <w:shd w:val="clear" w:color="auto" w:fill="auto"/>
            <w:hideMark/>
          </w:tcPr>
          <w:p w14:paraId="3718EFA9" w14:textId="63480C52" w:rsidR="00161F03" w:rsidRPr="007D17BD" w:rsidRDefault="00161F03" w:rsidP="005F4A24">
            <w:pPr>
              <w:rPr>
                <w:rFonts w:eastAsia="Times New Roman" w:cs="Times New Roman"/>
                <w:color w:val="000000"/>
                <w:lang w:eastAsia="en-AU"/>
              </w:rPr>
            </w:pPr>
            <w:r w:rsidRPr="390B4D37">
              <w:rPr>
                <w:rFonts w:eastAsia="Times New Roman" w:cs="Times New Roman"/>
                <w:color w:val="000000" w:themeColor="text1"/>
                <w:sz w:val="22"/>
                <w:lang w:eastAsia="en-AU"/>
              </w:rPr>
              <w:t xml:space="preserve">Other </w:t>
            </w:r>
            <w:r w:rsidRPr="390B4D37">
              <w:rPr>
                <w:rFonts w:eastAsia="Times New Roman" w:cs="Times New Roman"/>
                <w:color w:val="000000" w:themeColor="text1"/>
                <w:lang w:eastAsia="en-AU"/>
              </w:rPr>
              <w:t>non-prescription analgesics (including multi-actives)</w:t>
            </w:r>
          </w:p>
        </w:tc>
        <w:tc>
          <w:tcPr>
            <w:tcW w:w="1559" w:type="dxa"/>
            <w:vMerge w:val="restart"/>
            <w:tcBorders>
              <w:top w:val="single" w:sz="4" w:space="0" w:color="auto"/>
            </w:tcBorders>
            <w:shd w:val="clear" w:color="auto" w:fill="auto"/>
            <w:noWrap/>
            <w:hideMark/>
          </w:tcPr>
          <w:p w14:paraId="52AEFAEA" w14:textId="77777777"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Pharmacy</w:t>
            </w:r>
            <w:r w:rsidRPr="007F0C4A">
              <w:rPr>
                <w:rFonts w:eastAsia="Times New Roman" w:cs="Times New Roman"/>
                <w:color w:val="000000"/>
                <w:szCs w:val="24"/>
                <w:vertAlign w:val="superscript"/>
                <w:lang w:eastAsia="en-AU"/>
              </w:rPr>
              <w:t>1</w:t>
            </w:r>
          </w:p>
        </w:tc>
        <w:tc>
          <w:tcPr>
            <w:tcW w:w="2694" w:type="dxa"/>
            <w:tcBorders>
              <w:top w:val="single" w:sz="4" w:space="0" w:color="auto"/>
              <w:bottom w:val="nil"/>
            </w:tcBorders>
            <w:noWrap/>
            <w:hideMark/>
          </w:tcPr>
          <w:p w14:paraId="1DDCB8A7" w14:textId="72483592"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top w:val="single" w:sz="4" w:space="0" w:color="auto"/>
              <w:bottom w:val="nil"/>
            </w:tcBorders>
            <w:noWrap/>
            <w:hideMark/>
          </w:tcPr>
          <w:p w14:paraId="37A4A9BF"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21,150,168</w:t>
            </w:r>
          </w:p>
        </w:tc>
        <w:tc>
          <w:tcPr>
            <w:tcW w:w="1560" w:type="dxa"/>
            <w:tcBorders>
              <w:top w:val="single" w:sz="4" w:space="0" w:color="auto"/>
              <w:bottom w:val="nil"/>
            </w:tcBorders>
            <w:noWrap/>
            <w:hideMark/>
          </w:tcPr>
          <w:p w14:paraId="4310DE60"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20,440,461</w:t>
            </w:r>
          </w:p>
        </w:tc>
        <w:tc>
          <w:tcPr>
            <w:tcW w:w="1417" w:type="dxa"/>
            <w:tcBorders>
              <w:top w:val="single" w:sz="4" w:space="0" w:color="auto"/>
              <w:bottom w:val="nil"/>
            </w:tcBorders>
            <w:noWrap/>
            <w:hideMark/>
          </w:tcPr>
          <w:p w14:paraId="792FE87B"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21,420,730</w:t>
            </w:r>
          </w:p>
        </w:tc>
        <w:tc>
          <w:tcPr>
            <w:tcW w:w="1701" w:type="dxa"/>
            <w:tcBorders>
              <w:top w:val="single" w:sz="4" w:space="0" w:color="auto"/>
              <w:bottom w:val="nil"/>
            </w:tcBorders>
            <w:noWrap/>
            <w:hideMark/>
          </w:tcPr>
          <w:p w14:paraId="3DF6AE32"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20,925,859</w:t>
            </w:r>
          </w:p>
        </w:tc>
        <w:tc>
          <w:tcPr>
            <w:tcW w:w="1688" w:type="dxa"/>
            <w:tcBorders>
              <w:top w:val="single" w:sz="4" w:space="0" w:color="auto"/>
              <w:bottom w:val="nil"/>
            </w:tcBorders>
            <w:noWrap/>
            <w:hideMark/>
          </w:tcPr>
          <w:p w14:paraId="3B858337"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22,006,754</w:t>
            </w:r>
          </w:p>
        </w:tc>
      </w:tr>
      <w:tr w:rsidR="00161F03" w:rsidRPr="005C6ECE" w14:paraId="06EB6B5E" w14:textId="77777777" w:rsidTr="006A2CE5">
        <w:trPr>
          <w:gridAfter w:val="1"/>
          <w:wAfter w:w="13" w:type="dxa"/>
          <w:trHeight w:val="33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BAB3868" w14:textId="77777777" w:rsidR="00161F03" w:rsidRPr="007F0C4A" w:rsidRDefault="00161F03" w:rsidP="005F4A24">
            <w:pPr>
              <w:rPr>
                <w:rFonts w:eastAsia="Times New Roman" w:cs="Times New Roman"/>
                <w:color w:val="000000"/>
                <w:szCs w:val="24"/>
                <w:lang w:eastAsia="en-AU"/>
              </w:rPr>
            </w:pPr>
          </w:p>
        </w:tc>
        <w:tc>
          <w:tcPr>
            <w:tcW w:w="1559" w:type="dxa"/>
            <w:vMerge/>
            <w:hideMark/>
          </w:tcPr>
          <w:p w14:paraId="129FAC6D" w14:textId="7777777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666666"/>
            </w:tcBorders>
            <w:noWrap/>
            <w:hideMark/>
          </w:tcPr>
          <w:p w14:paraId="12A67F62" w14:textId="2AE285F2"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666666"/>
            </w:tcBorders>
            <w:noWrap/>
            <w:hideMark/>
          </w:tcPr>
          <w:p w14:paraId="18718568"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853,838 </w:t>
            </w:r>
          </w:p>
        </w:tc>
        <w:tc>
          <w:tcPr>
            <w:tcW w:w="1560" w:type="dxa"/>
            <w:tcBorders>
              <w:top w:val="nil"/>
              <w:bottom w:val="single" w:sz="4" w:space="0" w:color="666666"/>
            </w:tcBorders>
            <w:noWrap/>
            <w:hideMark/>
          </w:tcPr>
          <w:p w14:paraId="5617A01A"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811,767 </w:t>
            </w:r>
          </w:p>
        </w:tc>
        <w:tc>
          <w:tcPr>
            <w:tcW w:w="1417" w:type="dxa"/>
            <w:tcBorders>
              <w:top w:val="nil"/>
              <w:bottom w:val="single" w:sz="4" w:space="0" w:color="666666"/>
            </w:tcBorders>
            <w:noWrap/>
            <w:hideMark/>
          </w:tcPr>
          <w:p w14:paraId="6365DD8F"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839,299 </w:t>
            </w:r>
          </w:p>
        </w:tc>
        <w:tc>
          <w:tcPr>
            <w:tcW w:w="1701" w:type="dxa"/>
            <w:tcBorders>
              <w:top w:val="nil"/>
              <w:bottom w:val="single" w:sz="4" w:space="0" w:color="666666"/>
            </w:tcBorders>
            <w:noWrap/>
            <w:hideMark/>
          </w:tcPr>
          <w:p w14:paraId="55F1A82A"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814,413 </w:t>
            </w:r>
          </w:p>
        </w:tc>
        <w:tc>
          <w:tcPr>
            <w:tcW w:w="1688" w:type="dxa"/>
            <w:tcBorders>
              <w:top w:val="nil"/>
              <w:bottom w:val="single" w:sz="4" w:space="0" w:color="666666"/>
            </w:tcBorders>
            <w:noWrap/>
            <w:hideMark/>
          </w:tcPr>
          <w:p w14:paraId="32CD3EB5"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854,080 </w:t>
            </w:r>
          </w:p>
        </w:tc>
      </w:tr>
      <w:tr w:rsidR="00161F03" w:rsidRPr="005C6ECE" w14:paraId="2760BF59"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28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10829ED0" w14:textId="77777777" w:rsidR="00161F03" w:rsidRPr="007F0C4A" w:rsidRDefault="00161F03" w:rsidP="005F4A24">
            <w:pPr>
              <w:rPr>
                <w:rFonts w:eastAsia="Times New Roman" w:cs="Times New Roman"/>
                <w:color w:val="000000"/>
                <w:szCs w:val="24"/>
                <w:lang w:eastAsia="en-AU"/>
              </w:rPr>
            </w:pPr>
          </w:p>
        </w:tc>
        <w:tc>
          <w:tcPr>
            <w:tcW w:w="1559" w:type="dxa"/>
            <w:vMerge w:val="restart"/>
            <w:shd w:val="clear" w:color="auto" w:fill="auto"/>
            <w:noWrap/>
            <w:hideMark/>
          </w:tcPr>
          <w:p w14:paraId="7E1344BC" w14:textId="77777777"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Grocery</w:t>
            </w:r>
            <w:r w:rsidRPr="007F0C4A">
              <w:rPr>
                <w:rFonts w:eastAsia="Times New Roman" w:cs="Times New Roman"/>
                <w:color w:val="000000"/>
                <w:szCs w:val="24"/>
                <w:vertAlign w:val="superscript"/>
                <w:lang w:eastAsia="en-AU"/>
              </w:rPr>
              <w:t>2</w:t>
            </w:r>
          </w:p>
        </w:tc>
        <w:tc>
          <w:tcPr>
            <w:tcW w:w="2694" w:type="dxa"/>
            <w:tcBorders>
              <w:bottom w:val="nil"/>
            </w:tcBorders>
            <w:noWrap/>
            <w:hideMark/>
          </w:tcPr>
          <w:p w14:paraId="4440E2D2" w14:textId="2A2F7E76"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bottom w:val="nil"/>
            </w:tcBorders>
            <w:noWrap/>
            <w:hideMark/>
          </w:tcPr>
          <w:p w14:paraId="084A7C51"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19,389,160</w:t>
            </w:r>
          </w:p>
        </w:tc>
        <w:tc>
          <w:tcPr>
            <w:tcW w:w="1560" w:type="dxa"/>
            <w:tcBorders>
              <w:bottom w:val="nil"/>
            </w:tcBorders>
            <w:noWrap/>
            <w:hideMark/>
          </w:tcPr>
          <w:p w14:paraId="2C8FE3BA"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21,298,841</w:t>
            </w:r>
          </w:p>
        </w:tc>
        <w:tc>
          <w:tcPr>
            <w:tcW w:w="1417" w:type="dxa"/>
            <w:tcBorders>
              <w:bottom w:val="nil"/>
            </w:tcBorders>
            <w:noWrap/>
            <w:hideMark/>
          </w:tcPr>
          <w:p w14:paraId="2720282B"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22,521,151</w:t>
            </w:r>
          </w:p>
        </w:tc>
        <w:tc>
          <w:tcPr>
            <w:tcW w:w="1701" w:type="dxa"/>
            <w:tcBorders>
              <w:bottom w:val="nil"/>
            </w:tcBorders>
            <w:noWrap/>
            <w:hideMark/>
          </w:tcPr>
          <w:p w14:paraId="17B1CC0C"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23,258,006</w:t>
            </w:r>
          </w:p>
        </w:tc>
        <w:tc>
          <w:tcPr>
            <w:tcW w:w="1688" w:type="dxa"/>
            <w:tcBorders>
              <w:bottom w:val="nil"/>
            </w:tcBorders>
            <w:noWrap/>
            <w:hideMark/>
          </w:tcPr>
          <w:p w14:paraId="1AED9458"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24,551,912</w:t>
            </w:r>
          </w:p>
        </w:tc>
      </w:tr>
      <w:tr w:rsidR="00161F03" w:rsidRPr="005C6ECE" w14:paraId="24059326" w14:textId="77777777" w:rsidTr="006A2CE5">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459988D5" w14:textId="77777777" w:rsidR="00161F03" w:rsidRPr="007F0C4A" w:rsidRDefault="00161F03" w:rsidP="005F4A24">
            <w:pPr>
              <w:rPr>
                <w:rFonts w:eastAsia="Times New Roman" w:cs="Times New Roman"/>
                <w:color w:val="000000"/>
                <w:szCs w:val="24"/>
                <w:lang w:eastAsia="en-AU"/>
              </w:rPr>
            </w:pPr>
          </w:p>
        </w:tc>
        <w:tc>
          <w:tcPr>
            <w:tcW w:w="1559" w:type="dxa"/>
            <w:vMerge/>
            <w:hideMark/>
          </w:tcPr>
          <w:p w14:paraId="2E232281" w14:textId="7777777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666666"/>
            </w:tcBorders>
            <w:noWrap/>
            <w:hideMark/>
          </w:tcPr>
          <w:p w14:paraId="14EF8183" w14:textId="655881F4"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666666"/>
            </w:tcBorders>
            <w:noWrap/>
            <w:hideMark/>
          </w:tcPr>
          <w:p w14:paraId="43483F7A"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782,746 </w:t>
            </w:r>
          </w:p>
        </w:tc>
        <w:tc>
          <w:tcPr>
            <w:tcW w:w="1560" w:type="dxa"/>
            <w:tcBorders>
              <w:top w:val="nil"/>
              <w:bottom w:val="single" w:sz="4" w:space="0" w:color="666666"/>
            </w:tcBorders>
            <w:noWrap/>
            <w:hideMark/>
          </w:tcPr>
          <w:p w14:paraId="45B810B3"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845,857 </w:t>
            </w:r>
          </w:p>
        </w:tc>
        <w:tc>
          <w:tcPr>
            <w:tcW w:w="1417" w:type="dxa"/>
            <w:tcBorders>
              <w:top w:val="nil"/>
              <w:bottom w:val="single" w:sz="4" w:space="0" w:color="666666"/>
            </w:tcBorders>
            <w:noWrap/>
            <w:hideMark/>
          </w:tcPr>
          <w:p w14:paraId="416573A7"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882,415 </w:t>
            </w:r>
          </w:p>
        </w:tc>
        <w:tc>
          <w:tcPr>
            <w:tcW w:w="1701" w:type="dxa"/>
            <w:tcBorders>
              <w:top w:val="nil"/>
              <w:bottom w:val="single" w:sz="4" w:space="0" w:color="666666"/>
            </w:tcBorders>
            <w:noWrap/>
            <w:hideMark/>
          </w:tcPr>
          <w:p w14:paraId="6C12923A"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905,178 </w:t>
            </w:r>
          </w:p>
        </w:tc>
        <w:tc>
          <w:tcPr>
            <w:tcW w:w="1688" w:type="dxa"/>
            <w:tcBorders>
              <w:top w:val="nil"/>
              <w:bottom w:val="single" w:sz="4" w:space="0" w:color="666666"/>
            </w:tcBorders>
            <w:noWrap/>
            <w:hideMark/>
          </w:tcPr>
          <w:p w14:paraId="1F809CA1" w14:textId="5F0706B5"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themeColor="text1"/>
                <w:szCs w:val="24"/>
                <w:lang w:eastAsia="en-AU"/>
              </w:rPr>
              <w:t xml:space="preserve"> 952,858 </w:t>
            </w:r>
          </w:p>
        </w:tc>
      </w:tr>
      <w:tr w:rsidR="00161F03" w:rsidRPr="005C6ECE" w14:paraId="1AE2EE6C"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285"/>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4EAD74C" w14:textId="77777777" w:rsidR="00161F03" w:rsidRPr="007F0C4A" w:rsidRDefault="00161F03" w:rsidP="005F4A24">
            <w:pPr>
              <w:rPr>
                <w:rFonts w:eastAsia="Times New Roman" w:cs="Times New Roman"/>
                <w:color w:val="000000"/>
                <w:szCs w:val="24"/>
                <w:lang w:eastAsia="en-AU"/>
              </w:rPr>
            </w:pPr>
          </w:p>
        </w:tc>
        <w:tc>
          <w:tcPr>
            <w:tcW w:w="1559" w:type="dxa"/>
            <w:vMerge w:val="restart"/>
            <w:shd w:val="clear" w:color="auto" w:fill="auto"/>
            <w:noWrap/>
            <w:hideMark/>
          </w:tcPr>
          <w:p w14:paraId="405244D1" w14:textId="77777777"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Convenience</w:t>
            </w:r>
            <w:r w:rsidRPr="007F0C4A">
              <w:rPr>
                <w:rFonts w:eastAsia="Times New Roman" w:cs="Times New Roman"/>
                <w:color w:val="000000"/>
                <w:szCs w:val="24"/>
                <w:vertAlign w:val="superscript"/>
                <w:lang w:eastAsia="en-AU"/>
              </w:rPr>
              <w:t>2</w:t>
            </w:r>
          </w:p>
        </w:tc>
        <w:tc>
          <w:tcPr>
            <w:tcW w:w="2694" w:type="dxa"/>
            <w:tcBorders>
              <w:bottom w:val="nil"/>
            </w:tcBorders>
            <w:noWrap/>
            <w:hideMark/>
          </w:tcPr>
          <w:p w14:paraId="2F26E755" w14:textId="409A4F03" w:rsidR="00161F03" w:rsidRPr="007F0C4A" w:rsidRDefault="00161F03"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Total units</w:t>
            </w:r>
          </w:p>
        </w:tc>
        <w:tc>
          <w:tcPr>
            <w:tcW w:w="1270" w:type="dxa"/>
            <w:tcBorders>
              <w:bottom w:val="nil"/>
            </w:tcBorders>
            <w:noWrap/>
            <w:hideMark/>
          </w:tcPr>
          <w:p w14:paraId="028586D1"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560" w:type="dxa"/>
            <w:tcBorders>
              <w:bottom w:val="nil"/>
            </w:tcBorders>
            <w:noWrap/>
            <w:hideMark/>
          </w:tcPr>
          <w:p w14:paraId="5791B8B8"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417" w:type="dxa"/>
            <w:tcBorders>
              <w:bottom w:val="nil"/>
            </w:tcBorders>
            <w:noWrap/>
            <w:hideMark/>
          </w:tcPr>
          <w:p w14:paraId="0C685EEA"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701" w:type="dxa"/>
            <w:tcBorders>
              <w:bottom w:val="nil"/>
            </w:tcBorders>
            <w:noWrap/>
            <w:hideMark/>
          </w:tcPr>
          <w:p w14:paraId="1B0DE8FD"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1,240,694</w:t>
            </w:r>
          </w:p>
        </w:tc>
        <w:tc>
          <w:tcPr>
            <w:tcW w:w="1688" w:type="dxa"/>
            <w:tcBorders>
              <w:bottom w:val="nil"/>
            </w:tcBorders>
            <w:noWrap/>
            <w:hideMark/>
          </w:tcPr>
          <w:p w14:paraId="7FAFEB4D" w14:textId="77777777" w:rsidR="00161F03" w:rsidRPr="007F0C4A" w:rsidRDefault="00161F03"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1,372,570</w:t>
            </w:r>
          </w:p>
        </w:tc>
      </w:tr>
      <w:tr w:rsidR="00161F03" w:rsidRPr="005C6ECE" w14:paraId="23E8F9A2" w14:textId="77777777" w:rsidTr="006A2CE5">
        <w:trPr>
          <w:gridAfter w:val="1"/>
          <w:wAfter w:w="13" w:type="dxa"/>
          <w:trHeight w:val="300"/>
        </w:trPr>
        <w:tc>
          <w:tcPr>
            <w:cnfStyle w:val="001000000000" w:firstRow="0" w:lastRow="0" w:firstColumn="1" w:lastColumn="0" w:oddVBand="0" w:evenVBand="0" w:oddHBand="0" w:evenHBand="0" w:firstRowFirstColumn="0" w:firstRowLastColumn="0" w:lastRowFirstColumn="0" w:lastRowLastColumn="0"/>
            <w:tcW w:w="1843" w:type="dxa"/>
            <w:vMerge/>
            <w:hideMark/>
          </w:tcPr>
          <w:p w14:paraId="0EE16C0C" w14:textId="77777777" w:rsidR="00161F03" w:rsidRPr="007F0C4A" w:rsidRDefault="00161F03" w:rsidP="005F4A24">
            <w:pPr>
              <w:rPr>
                <w:rFonts w:eastAsia="Times New Roman" w:cs="Times New Roman"/>
                <w:color w:val="000000"/>
                <w:szCs w:val="24"/>
                <w:lang w:eastAsia="en-AU"/>
              </w:rPr>
            </w:pPr>
          </w:p>
        </w:tc>
        <w:tc>
          <w:tcPr>
            <w:tcW w:w="1559" w:type="dxa"/>
            <w:vMerge/>
            <w:tcBorders>
              <w:bottom w:val="single" w:sz="4" w:space="0" w:color="666666" w:themeColor="text1" w:themeTint="99"/>
            </w:tcBorders>
            <w:hideMark/>
          </w:tcPr>
          <w:p w14:paraId="78FAAE6B" w14:textId="77777777"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p>
        </w:tc>
        <w:tc>
          <w:tcPr>
            <w:tcW w:w="2694" w:type="dxa"/>
            <w:tcBorders>
              <w:top w:val="nil"/>
              <w:bottom w:val="single" w:sz="4" w:space="0" w:color="666666"/>
            </w:tcBorders>
            <w:noWrap/>
            <w:hideMark/>
          </w:tcPr>
          <w:p w14:paraId="44024990" w14:textId="7C7A54FB" w:rsidR="00161F03" w:rsidRPr="007F0C4A" w:rsidRDefault="00161F03"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bottom w:val="single" w:sz="4" w:space="0" w:color="666666"/>
            </w:tcBorders>
            <w:noWrap/>
            <w:hideMark/>
          </w:tcPr>
          <w:p w14:paraId="26CCFB8C"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560" w:type="dxa"/>
            <w:tcBorders>
              <w:top w:val="nil"/>
              <w:bottom w:val="single" w:sz="4" w:space="0" w:color="666666"/>
            </w:tcBorders>
            <w:noWrap/>
            <w:hideMark/>
          </w:tcPr>
          <w:p w14:paraId="20DAE25C"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417" w:type="dxa"/>
            <w:tcBorders>
              <w:top w:val="nil"/>
              <w:bottom w:val="single" w:sz="4" w:space="0" w:color="666666"/>
            </w:tcBorders>
            <w:noWrap/>
            <w:hideMark/>
          </w:tcPr>
          <w:p w14:paraId="082A9541"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n/a</w:t>
            </w:r>
          </w:p>
        </w:tc>
        <w:tc>
          <w:tcPr>
            <w:tcW w:w="1701" w:type="dxa"/>
            <w:tcBorders>
              <w:top w:val="nil"/>
              <w:bottom w:val="single" w:sz="4" w:space="0" w:color="666666"/>
            </w:tcBorders>
            <w:noWrap/>
            <w:hideMark/>
          </w:tcPr>
          <w:p w14:paraId="64AC8A12"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48,287 </w:t>
            </w:r>
          </w:p>
        </w:tc>
        <w:tc>
          <w:tcPr>
            <w:tcW w:w="1688" w:type="dxa"/>
            <w:tcBorders>
              <w:top w:val="nil"/>
              <w:bottom w:val="single" w:sz="4" w:space="0" w:color="666666"/>
            </w:tcBorders>
            <w:noWrap/>
            <w:hideMark/>
          </w:tcPr>
          <w:p w14:paraId="4A39BBDD" w14:textId="77777777" w:rsidR="00161F03" w:rsidRPr="007F0C4A" w:rsidRDefault="00161F03"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F0C4A">
              <w:rPr>
                <w:rFonts w:eastAsia="Times New Roman" w:cs="Times New Roman"/>
                <w:color w:val="000000"/>
                <w:szCs w:val="24"/>
                <w:lang w:eastAsia="en-AU"/>
              </w:rPr>
              <w:t xml:space="preserve"> 53,269 </w:t>
            </w:r>
          </w:p>
        </w:tc>
      </w:tr>
      <w:tr w:rsidR="0094482F" w:rsidRPr="005C6ECE" w14:paraId="4E835C0A" w14:textId="77777777" w:rsidTr="006A2CE5">
        <w:trPr>
          <w:gridAfter w:val="1"/>
          <w:cnfStyle w:val="000000100000" w:firstRow="0" w:lastRow="0" w:firstColumn="0" w:lastColumn="0" w:oddVBand="0" w:evenVBand="0" w:oddHBand="1" w:evenHBand="0" w:firstRowFirstColumn="0" w:firstRowLastColumn="0" w:lastRowFirstColumn="0" w:lastRowLastColumn="0"/>
          <w:wAfter w:w="13" w:type="dxa"/>
          <w:trHeight w:val="300"/>
        </w:trPr>
        <w:tc>
          <w:tcPr>
            <w:cnfStyle w:val="001000000000" w:firstRow="0" w:lastRow="0" w:firstColumn="1" w:lastColumn="0" w:oddVBand="0" w:evenVBand="0" w:oddHBand="0" w:evenHBand="0" w:firstRowFirstColumn="0" w:firstRowLastColumn="0" w:lastRowFirstColumn="0" w:lastRowLastColumn="0"/>
            <w:tcW w:w="1843" w:type="dxa"/>
            <w:vMerge/>
            <w:noWrap/>
            <w:hideMark/>
          </w:tcPr>
          <w:p w14:paraId="3BBD885B" w14:textId="77777777" w:rsidR="0094482F" w:rsidRPr="007F0C4A" w:rsidRDefault="0094482F" w:rsidP="005F4A24">
            <w:pPr>
              <w:jc w:val="right"/>
              <w:rPr>
                <w:rFonts w:eastAsia="Times New Roman" w:cs="Times New Roman"/>
                <w:color w:val="000000"/>
                <w:szCs w:val="24"/>
                <w:lang w:eastAsia="en-AU"/>
              </w:rPr>
            </w:pPr>
          </w:p>
        </w:tc>
        <w:tc>
          <w:tcPr>
            <w:tcW w:w="1559" w:type="dxa"/>
            <w:vMerge w:val="restart"/>
            <w:shd w:val="clear" w:color="auto" w:fill="auto"/>
            <w:noWrap/>
            <w:hideMark/>
          </w:tcPr>
          <w:p w14:paraId="7124CFFD" w14:textId="4446F5C0" w:rsidR="0094482F" w:rsidRPr="007F0C4A" w:rsidRDefault="0094482F"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b/>
                <w:bCs/>
                <w:szCs w:val="24"/>
                <w:lang w:eastAsia="en-AU"/>
              </w:rPr>
            </w:pPr>
            <w:r w:rsidRPr="007F0C4A">
              <w:rPr>
                <w:rFonts w:eastAsia="Times New Roman" w:cs="Times New Roman"/>
                <w:b/>
                <w:bCs/>
                <w:szCs w:val="24"/>
                <w:lang w:eastAsia="en-AU"/>
              </w:rPr>
              <w:t>All channels</w:t>
            </w:r>
          </w:p>
        </w:tc>
        <w:tc>
          <w:tcPr>
            <w:tcW w:w="2694" w:type="dxa"/>
            <w:tcBorders>
              <w:bottom w:val="nil"/>
            </w:tcBorders>
            <w:noWrap/>
            <w:hideMark/>
          </w:tcPr>
          <w:p w14:paraId="2C4C214F" w14:textId="4163B0C8" w:rsidR="0094482F" w:rsidRPr="007F0C4A" w:rsidRDefault="0094482F" w:rsidP="005F4A24">
            <w:pPr>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Total units</w:t>
            </w:r>
          </w:p>
        </w:tc>
        <w:tc>
          <w:tcPr>
            <w:tcW w:w="1270" w:type="dxa"/>
            <w:tcBorders>
              <w:bottom w:val="nil"/>
            </w:tcBorders>
            <w:noWrap/>
            <w:hideMark/>
          </w:tcPr>
          <w:p w14:paraId="7FA6AC09" w14:textId="40026139"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40,539,328</w:t>
            </w:r>
          </w:p>
        </w:tc>
        <w:tc>
          <w:tcPr>
            <w:tcW w:w="1560" w:type="dxa"/>
            <w:tcBorders>
              <w:bottom w:val="nil"/>
            </w:tcBorders>
            <w:noWrap/>
            <w:hideMark/>
          </w:tcPr>
          <w:p w14:paraId="3822DB64" w14:textId="3658A00C"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41,739,302</w:t>
            </w:r>
          </w:p>
        </w:tc>
        <w:tc>
          <w:tcPr>
            <w:tcW w:w="1417" w:type="dxa"/>
            <w:tcBorders>
              <w:bottom w:val="nil"/>
            </w:tcBorders>
            <w:noWrap/>
            <w:hideMark/>
          </w:tcPr>
          <w:p w14:paraId="2C476A90" w14:textId="0100CC1F"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43,941,881</w:t>
            </w:r>
          </w:p>
        </w:tc>
        <w:tc>
          <w:tcPr>
            <w:tcW w:w="1701" w:type="dxa"/>
            <w:tcBorders>
              <w:bottom w:val="nil"/>
            </w:tcBorders>
            <w:noWrap/>
            <w:hideMark/>
          </w:tcPr>
          <w:p w14:paraId="4ACFEAFB" w14:textId="16A379FC"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45,424,559</w:t>
            </w:r>
          </w:p>
        </w:tc>
        <w:tc>
          <w:tcPr>
            <w:tcW w:w="1688" w:type="dxa"/>
            <w:tcBorders>
              <w:bottom w:val="nil"/>
            </w:tcBorders>
            <w:noWrap/>
            <w:hideMark/>
          </w:tcPr>
          <w:p w14:paraId="257682C4" w14:textId="188B7F48" w:rsidR="0094482F" w:rsidRPr="007F0C4A" w:rsidRDefault="0094482F" w:rsidP="005F4A24">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47,931,236</w:t>
            </w:r>
          </w:p>
        </w:tc>
      </w:tr>
      <w:tr w:rsidR="0094482F" w:rsidRPr="005C6ECE" w14:paraId="59FFE4DA" w14:textId="77777777" w:rsidTr="006A2CE5">
        <w:trPr>
          <w:trHeight w:val="300"/>
        </w:trPr>
        <w:tc>
          <w:tcPr>
            <w:cnfStyle w:val="001000000000" w:firstRow="0" w:lastRow="0" w:firstColumn="1" w:lastColumn="0" w:oddVBand="0" w:evenVBand="0" w:oddHBand="0" w:evenHBand="0" w:firstRowFirstColumn="0" w:firstRowLastColumn="0" w:lastRowFirstColumn="0" w:lastRowLastColumn="0"/>
            <w:tcW w:w="1843" w:type="dxa"/>
            <w:vMerge/>
            <w:tcBorders>
              <w:bottom w:val="single" w:sz="4" w:space="0" w:color="auto"/>
            </w:tcBorders>
            <w:noWrap/>
          </w:tcPr>
          <w:p w14:paraId="6388EF11" w14:textId="77777777" w:rsidR="0094482F" w:rsidRPr="007F0C4A" w:rsidRDefault="0094482F" w:rsidP="005F4A24">
            <w:pPr>
              <w:jc w:val="right"/>
              <w:rPr>
                <w:rFonts w:eastAsia="Times New Roman" w:cs="Times New Roman"/>
                <w:color w:val="000000"/>
                <w:szCs w:val="24"/>
                <w:lang w:eastAsia="en-AU"/>
              </w:rPr>
            </w:pPr>
          </w:p>
        </w:tc>
        <w:tc>
          <w:tcPr>
            <w:tcW w:w="1559" w:type="dxa"/>
            <w:vMerge/>
            <w:tcBorders>
              <w:bottom w:val="single" w:sz="4" w:space="0" w:color="auto"/>
            </w:tcBorders>
            <w:noWrap/>
          </w:tcPr>
          <w:p w14:paraId="1748453B" w14:textId="77777777" w:rsidR="0094482F" w:rsidRPr="007F0C4A" w:rsidRDefault="0094482F"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p>
        </w:tc>
        <w:tc>
          <w:tcPr>
            <w:tcW w:w="2694" w:type="dxa"/>
            <w:tcBorders>
              <w:top w:val="nil"/>
              <w:bottom w:val="single" w:sz="4" w:space="0" w:color="auto"/>
              <w:right w:val="nil"/>
            </w:tcBorders>
            <w:noWrap/>
          </w:tcPr>
          <w:p w14:paraId="4A94AB0B" w14:textId="5200DA22" w:rsidR="0094482F" w:rsidRPr="007F0C4A" w:rsidRDefault="0094482F" w:rsidP="005F4A24">
            <w:pPr>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Units per </w:t>
            </w:r>
            <w:r>
              <w:rPr>
                <w:rFonts w:eastAsia="Times New Roman" w:cs="Times New Roman"/>
                <w:color w:val="000000"/>
                <w:szCs w:val="24"/>
                <w:lang w:eastAsia="en-AU"/>
              </w:rPr>
              <w:t>million</w:t>
            </w:r>
            <w:r w:rsidRPr="007F0C4A">
              <w:rPr>
                <w:rFonts w:eastAsia="Times New Roman" w:cs="Times New Roman"/>
                <w:color w:val="000000"/>
                <w:szCs w:val="24"/>
                <w:lang w:eastAsia="en-AU"/>
              </w:rPr>
              <w:t xml:space="preserve"> people</w:t>
            </w:r>
          </w:p>
        </w:tc>
        <w:tc>
          <w:tcPr>
            <w:tcW w:w="1270" w:type="dxa"/>
            <w:tcBorders>
              <w:top w:val="nil"/>
              <w:left w:val="nil"/>
              <w:bottom w:val="single" w:sz="4" w:space="0" w:color="auto"/>
              <w:right w:val="nil"/>
            </w:tcBorders>
            <w:noWrap/>
          </w:tcPr>
          <w:p w14:paraId="4472B131" w14:textId="76F055A1"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1,636,584 </w:t>
            </w:r>
          </w:p>
        </w:tc>
        <w:tc>
          <w:tcPr>
            <w:tcW w:w="1560" w:type="dxa"/>
            <w:tcBorders>
              <w:top w:val="nil"/>
              <w:left w:val="nil"/>
              <w:bottom w:val="single" w:sz="4" w:space="0" w:color="auto"/>
              <w:right w:val="nil"/>
            </w:tcBorders>
            <w:noWrap/>
          </w:tcPr>
          <w:p w14:paraId="7F0489BA" w14:textId="7D120A01"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 1,657,624 </w:t>
            </w:r>
          </w:p>
        </w:tc>
        <w:tc>
          <w:tcPr>
            <w:tcW w:w="1417" w:type="dxa"/>
            <w:tcBorders>
              <w:top w:val="nil"/>
              <w:left w:val="nil"/>
              <w:bottom w:val="single" w:sz="4" w:space="0" w:color="auto"/>
              <w:right w:val="nil"/>
            </w:tcBorders>
            <w:noWrap/>
          </w:tcPr>
          <w:p w14:paraId="6C24981B" w14:textId="3816C6C5"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7F0C4A">
              <w:rPr>
                <w:rFonts w:eastAsia="Times New Roman" w:cs="Times New Roman"/>
                <w:color w:val="000000"/>
                <w:szCs w:val="24"/>
                <w:lang w:eastAsia="en-AU"/>
              </w:rPr>
              <w:t xml:space="preserve"> 1,721,714 </w:t>
            </w:r>
          </w:p>
        </w:tc>
        <w:tc>
          <w:tcPr>
            <w:tcW w:w="1701" w:type="dxa"/>
            <w:tcBorders>
              <w:top w:val="nil"/>
              <w:left w:val="nil"/>
              <w:bottom w:val="single" w:sz="4" w:space="0" w:color="auto"/>
              <w:right w:val="nil"/>
            </w:tcBorders>
            <w:noWrap/>
          </w:tcPr>
          <w:p w14:paraId="52EC479B" w14:textId="5CD43786"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 xml:space="preserve"> 1,767,878 </w:t>
            </w:r>
          </w:p>
        </w:tc>
        <w:tc>
          <w:tcPr>
            <w:tcW w:w="1701" w:type="dxa"/>
            <w:gridSpan w:val="2"/>
            <w:tcBorders>
              <w:top w:val="nil"/>
              <w:left w:val="nil"/>
              <w:bottom w:val="single" w:sz="4" w:space="0" w:color="auto"/>
              <w:right w:val="nil"/>
            </w:tcBorders>
            <w:noWrap/>
          </w:tcPr>
          <w:p w14:paraId="4D83F2A1" w14:textId="54630637" w:rsidR="0094482F" w:rsidRPr="007F0C4A" w:rsidRDefault="0094482F" w:rsidP="005F4A24">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Cs w:val="24"/>
                <w:lang w:eastAsia="en-AU"/>
              </w:rPr>
            </w:pPr>
            <w:r w:rsidRPr="0043592D">
              <w:rPr>
                <w:rFonts w:eastAsia="Times New Roman" w:cs="Times New Roman"/>
                <w:szCs w:val="24"/>
                <w:lang w:eastAsia="en-AU"/>
              </w:rPr>
              <w:t xml:space="preserve"> 1,860,208 </w:t>
            </w:r>
          </w:p>
        </w:tc>
      </w:tr>
    </w:tbl>
    <w:p w14:paraId="4EFDA982" w14:textId="29F75C1F" w:rsidR="008C0988" w:rsidRDefault="007C4F74" w:rsidP="00424DA3">
      <w:pPr>
        <w:pStyle w:val="Tablenote"/>
      </w:pPr>
      <w:r w:rsidRPr="007C4F74">
        <w:rPr>
          <w:vertAlign w:val="superscript"/>
        </w:rPr>
        <w:t>1</w:t>
      </w:r>
      <w:r>
        <w:t xml:space="preserve"> Source of data = IQVIA</w:t>
      </w:r>
      <w:r w:rsidR="00A05368">
        <w:t xml:space="preserve"> (see section 2.5)</w:t>
      </w:r>
      <w:r>
        <w:t xml:space="preserve">, </w:t>
      </w:r>
      <w:r w:rsidRPr="007C4F74">
        <w:rPr>
          <w:vertAlign w:val="superscript"/>
        </w:rPr>
        <w:t>2</w:t>
      </w:r>
      <w:r>
        <w:t xml:space="preserve"> Source of data = IRI </w:t>
      </w:r>
      <w:r w:rsidR="00A05368">
        <w:t>(see section 2.5)</w:t>
      </w:r>
      <w:r>
        <w:t xml:space="preserve">. </w:t>
      </w:r>
      <w:r w:rsidR="0043592D">
        <w:t xml:space="preserve">n/a = not available due to unavailability of sales data. </w:t>
      </w:r>
      <w:r w:rsidR="00452FD9">
        <w:t xml:space="preserve">Sales data is per calendar year. </w:t>
      </w:r>
      <w:r w:rsidR="00D96B0D">
        <w:t xml:space="preserve">Population data was sourced through the ABS: </w:t>
      </w:r>
      <w:hyperlink r:id="rId60" w:history="1">
        <w:r w:rsidR="00D96B0D" w:rsidRPr="00545509">
          <w:rPr>
            <w:rStyle w:val="Hyperlink"/>
          </w:rPr>
          <w:t>www.abs.gov.au/statistics/people/population/national-state-and-territory-population</w:t>
        </w:r>
      </w:hyperlink>
      <w:r w:rsidR="00D96B0D">
        <w:t xml:space="preserve"> </w:t>
      </w:r>
    </w:p>
    <w:p w14:paraId="647227CC" w14:textId="77777777" w:rsidR="006A2CE5" w:rsidRDefault="006A2CE5" w:rsidP="00E95468">
      <w:pPr>
        <w:pStyle w:val="Caption"/>
        <w:spacing w:before="120" w:after="120"/>
      </w:pPr>
      <w:r>
        <w:br w:type="page"/>
      </w:r>
    </w:p>
    <w:p w14:paraId="03297E7C" w14:textId="0F871C46" w:rsidR="005C6ECE" w:rsidRDefault="00637063" w:rsidP="00E95468">
      <w:pPr>
        <w:pStyle w:val="Caption"/>
        <w:spacing w:before="120" w:after="120"/>
      </w:pPr>
      <w:bookmarkStart w:id="120" w:name="_Toc114560139"/>
      <w:r>
        <w:t xml:space="preserve">Table </w:t>
      </w:r>
      <w:r>
        <w:fldChar w:fldCharType="begin"/>
      </w:r>
      <w:r>
        <w:instrText>SEQ Table \* ARABIC</w:instrText>
      </w:r>
      <w:r>
        <w:fldChar w:fldCharType="separate"/>
      </w:r>
      <w:r w:rsidR="0091734E">
        <w:rPr>
          <w:noProof/>
        </w:rPr>
        <w:t>24</w:t>
      </w:r>
      <w:r>
        <w:fldChar w:fldCharType="end"/>
      </w:r>
      <w:r>
        <w:t xml:space="preserve">. </w:t>
      </w:r>
      <w:r w:rsidR="005C6ECE">
        <w:t xml:space="preserve">AIHW </w:t>
      </w:r>
      <w:r w:rsidR="3D562DCB">
        <w:t xml:space="preserve">admissions </w:t>
      </w:r>
      <w:r w:rsidR="005C6ECE">
        <w:t xml:space="preserve">data </w:t>
      </w:r>
      <w:r w:rsidR="00353CE9">
        <w:t xml:space="preserve">by head of </w:t>
      </w:r>
      <w:r w:rsidR="005C6ECE">
        <w:t>population</w:t>
      </w:r>
      <w:bookmarkEnd w:id="120"/>
    </w:p>
    <w:tbl>
      <w:tblPr>
        <w:tblStyle w:val="GridTable2"/>
        <w:tblW w:w="5000" w:type="pct"/>
        <w:tblLook w:val="04A0" w:firstRow="1" w:lastRow="0" w:firstColumn="1" w:lastColumn="0" w:noHBand="0" w:noVBand="1"/>
      </w:tblPr>
      <w:tblGrid>
        <w:gridCol w:w="3672"/>
        <w:gridCol w:w="14"/>
        <w:gridCol w:w="3218"/>
        <w:gridCol w:w="1469"/>
        <w:gridCol w:w="1470"/>
        <w:gridCol w:w="1469"/>
        <w:gridCol w:w="1323"/>
        <w:gridCol w:w="1323"/>
      </w:tblGrid>
      <w:tr w:rsidR="00F61CE0" w:rsidRPr="00A74A6B" w14:paraId="4571CA7E" w14:textId="77777777" w:rsidTr="00DC31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72" w:type="dxa"/>
            <w:tcBorders>
              <w:bottom w:val="single" w:sz="2" w:space="0" w:color="666666"/>
            </w:tcBorders>
            <w:shd w:val="clear" w:color="auto" w:fill="595959" w:themeFill="text1" w:themeFillTint="A6"/>
            <w:noWrap/>
            <w:hideMark/>
          </w:tcPr>
          <w:p w14:paraId="111C9239" w14:textId="7ADB1346" w:rsidR="00F61CE0" w:rsidRPr="007D17BD" w:rsidRDefault="00F61CE0" w:rsidP="000317C8">
            <w:pPr>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Hospital admission cause</w:t>
            </w:r>
          </w:p>
        </w:tc>
        <w:tc>
          <w:tcPr>
            <w:tcW w:w="3232" w:type="dxa"/>
            <w:gridSpan w:val="2"/>
            <w:tcBorders>
              <w:bottom w:val="single" w:sz="2" w:space="0" w:color="666666"/>
            </w:tcBorders>
            <w:shd w:val="clear" w:color="auto" w:fill="595959" w:themeFill="text1" w:themeFillTint="A6"/>
            <w:noWrap/>
            <w:hideMark/>
          </w:tcPr>
          <w:p w14:paraId="0E6322CF" w14:textId="7F091842" w:rsidR="00F61CE0" w:rsidRPr="007D17BD" w:rsidRDefault="00F61CE0" w:rsidP="000317C8">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Measure</w:t>
            </w:r>
          </w:p>
        </w:tc>
        <w:tc>
          <w:tcPr>
            <w:tcW w:w="1469" w:type="dxa"/>
            <w:tcBorders>
              <w:bottom w:val="single" w:sz="2" w:space="0" w:color="666666"/>
            </w:tcBorders>
            <w:shd w:val="clear" w:color="auto" w:fill="595959" w:themeFill="text1" w:themeFillTint="A6"/>
            <w:noWrap/>
            <w:hideMark/>
          </w:tcPr>
          <w:p w14:paraId="0C3B2124" w14:textId="77777777" w:rsidR="00F61CE0" w:rsidRPr="007D17BD" w:rsidRDefault="00F61CE0" w:rsidP="00D55C1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2015-2016</w:t>
            </w:r>
          </w:p>
        </w:tc>
        <w:tc>
          <w:tcPr>
            <w:tcW w:w="1470" w:type="dxa"/>
            <w:tcBorders>
              <w:bottom w:val="single" w:sz="2" w:space="0" w:color="666666"/>
            </w:tcBorders>
            <w:shd w:val="clear" w:color="auto" w:fill="595959" w:themeFill="text1" w:themeFillTint="A6"/>
            <w:noWrap/>
            <w:hideMark/>
          </w:tcPr>
          <w:p w14:paraId="53730F8F" w14:textId="77777777" w:rsidR="00F61CE0" w:rsidRPr="007D17BD" w:rsidRDefault="00F61CE0" w:rsidP="00D55C1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2016-2017</w:t>
            </w:r>
          </w:p>
        </w:tc>
        <w:tc>
          <w:tcPr>
            <w:tcW w:w="1469" w:type="dxa"/>
            <w:tcBorders>
              <w:bottom w:val="single" w:sz="2" w:space="0" w:color="666666"/>
            </w:tcBorders>
            <w:shd w:val="clear" w:color="auto" w:fill="595959" w:themeFill="text1" w:themeFillTint="A6"/>
            <w:noWrap/>
            <w:hideMark/>
          </w:tcPr>
          <w:p w14:paraId="0028C49C" w14:textId="77777777" w:rsidR="00F61CE0" w:rsidRPr="007D17BD" w:rsidRDefault="00F61CE0" w:rsidP="00D55C1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2017-2018</w:t>
            </w:r>
          </w:p>
        </w:tc>
        <w:tc>
          <w:tcPr>
            <w:tcW w:w="1323" w:type="dxa"/>
            <w:tcBorders>
              <w:bottom w:val="single" w:sz="2" w:space="0" w:color="666666"/>
            </w:tcBorders>
            <w:shd w:val="clear" w:color="auto" w:fill="595959" w:themeFill="text1" w:themeFillTint="A6"/>
            <w:noWrap/>
            <w:hideMark/>
          </w:tcPr>
          <w:p w14:paraId="370B381D" w14:textId="77777777" w:rsidR="00F61CE0" w:rsidRPr="007D17BD" w:rsidRDefault="00F61CE0" w:rsidP="00D55C1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2018-2019</w:t>
            </w:r>
          </w:p>
        </w:tc>
        <w:tc>
          <w:tcPr>
            <w:tcW w:w="1323" w:type="dxa"/>
            <w:tcBorders>
              <w:bottom w:val="single" w:sz="2" w:space="0" w:color="666666"/>
            </w:tcBorders>
            <w:shd w:val="clear" w:color="auto" w:fill="595959" w:themeFill="text1" w:themeFillTint="A6"/>
            <w:noWrap/>
            <w:hideMark/>
          </w:tcPr>
          <w:p w14:paraId="44748727" w14:textId="77777777" w:rsidR="00F61CE0" w:rsidRPr="007D17BD" w:rsidRDefault="00F61CE0" w:rsidP="00D55C1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2019-2020</w:t>
            </w:r>
          </w:p>
        </w:tc>
      </w:tr>
      <w:tr w:rsidR="003A225A" w:rsidRPr="000317C8" w14:paraId="77FF45C0" w14:textId="77777777" w:rsidTr="007D17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gridSpan w:val="2"/>
            <w:vMerge w:val="restart"/>
            <w:tcBorders>
              <w:right w:val="nil"/>
            </w:tcBorders>
            <w:shd w:val="clear" w:color="auto" w:fill="auto"/>
            <w:hideMark/>
          </w:tcPr>
          <w:p w14:paraId="05FD4BC4" w14:textId="16359D70" w:rsidR="000317C8" w:rsidRPr="007D17BD" w:rsidRDefault="0096031D" w:rsidP="000317C8">
            <w:pPr>
              <w:rPr>
                <w:rFonts w:eastAsia="Times New Roman" w:cs="Times New Roman"/>
                <w:color w:val="000000"/>
                <w:lang w:eastAsia="en-AU"/>
              </w:rPr>
            </w:pPr>
            <w:r w:rsidRPr="390B4D37">
              <w:rPr>
                <w:rFonts w:eastAsia="Times New Roman" w:cs="Times New Roman"/>
                <w:color w:val="000000" w:themeColor="text1"/>
                <w:lang w:eastAsia="en-AU"/>
              </w:rPr>
              <w:t xml:space="preserve">All </w:t>
            </w:r>
            <w:r w:rsidR="00166B12">
              <w:rPr>
                <w:rFonts w:eastAsia="Times New Roman" w:cs="Times New Roman"/>
                <w:color w:val="000000" w:themeColor="text1"/>
                <w:lang w:eastAsia="en-AU"/>
              </w:rPr>
              <w:t xml:space="preserve">medicine </w:t>
            </w:r>
            <w:r w:rsidR="000317C8" w:rsidRPr="390B4D37">
              <w:rPr>
                <w:rFonts w:eastAsia="Times New Roman" w:cs="Times New Roman"/>
                <w:color w:val="000000" w:themeColor="text1"/>
                <w:lang w:eastAsia="en-AU"/>
              </w:rPr>
              <w:t>poisonings</w:t>
            </w:r>
            <w:r w:rsidR="00E3153F">
              <w:rPr>
                <w:rFonts w:eastAsia="Times New Roman" w:cs="Times New Roman"/>
                <w:color w:val="000000" w:themeColor="text1"/>
                <w:lang w:eastAsia="en-AU"/>
              </w:rPr>
              <w:t xml:space="preserve"> </w:t>
            </w:r>
          </w:p>
        </w:tc>
        <w:tc>
          <w:tcPr>
            <w:tcW w:w="3218" w:type="dxa"/>
            <w:tcBorders>
              <w:left w:val="nil"/>
              <w:bottom w:val="nil"/>
              <w:right w:val="nil"/>
            </w:tcBorders>
            <w:noWrap/>
            <w:hideMark/>
          </w:tcPr>
          <w:p w14:paraId="615057BF" w14:textId="5789BDE0" w:rsidR="000317C8" w:rsidRPr="007D17BD" w:rsidRDefault="000317C8" w:rsidP="000317C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Total </w:t>
            </w:r>
            <w:r w:rsidR="003A225A" w:rsidRPr="007D17BD">
              <w:rPr>
                <w:rFonts w:eastAsia="Times New Roman" w:cs="Times New Roman"/>
                <w:color w:val="000000"/>
                <w:szCs w:val="24"/>
                <w:lang w:eastAsia="en-AU"/>
              </w:rPr>
              <w:t>number</w:t>
            </w:r>
          </w:p>
        </w:tc>
        <w:tc>
          <w:tcPr>
            <w:tcW w:w="1469" w:type="dxa"/>
            <w:tcBorders>
              <w:left w:val="nil"/>
              <w:bottom w:val="nil"/>
              <w:right w:val="nil"/>
            </w:tcBorders>
            <w:noWrap/>
            <w:hideMark/>
          </w:tcPr>
          <w:p w14:paraId="62432768" w14:textId="77777777" w:rsidR="000317C8" w:rsidRPr="007D17BD" w:rsidRDefault="000317C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45,607 </w:t>
            </w:r>
          </w:p>
        </w:tc>
        <w:tc>
          <w:tcPr>
            <w:tcW w:w="1470" w:type="dxa"/>
            <w:tcBorders>
              <w:left w:val="nil"/>
              <w:bottom w:val="nil"/>
              <w:right w:val="nil"/>
            </w:tcBorders>
            <w:noWrap/>
            <w:hideMark/>
          </w:tcPr>
          <w:p w14:paraId="454BA5A2" w14:textId="77777777" w:rsidR="000317C8" w:rsidRPr="007D17BD" w:rsidRDefault="000317C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47,327 </w:t>
            </w:r>
          </w:p>
        </w:tc>
        <w:tc>
          <w:tcPr>
            <w:tcW w:w="1469" w:type="dxa"/>
            <w:tcBorders>
              <w:left w:val="nil"/>
              <w:bottom w:val="nil"/>
              <w:right w:val="nil"/>
            </w:tcBorders>
            <w:noWrap/>
            <w:hideMark/>
          </w:tcPr>
          <w:p w14:paraId="021E246D" w14:textId="77777777" w:rsidR="000317C8" w:rsidRPr="007D17BD" w:rsidRDefault="000317C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43,807 </w:t>
            </w:r>
          </w:p>
        </w:tc>
        <w:tc>
          <w:tcPr>
            <w:tcW w:w="1323" w:type="dxa"/>
            <w:tcBorders>
              <w:left w:val="nil"/>
              <w:bottom w:val="nil"/>
              <w:right w:val="nil"/>
            </w:tcBorders>
            <w:noWrap/>
            <w:hideMark/>
          </w:tcPr>
          <w:p w14:paraId="596824A4" w14:textId="77777777" w:rsidR="000317C8" w:rsidRPr="007D17BD" w:rsidRDefault="000317C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42,766 </w:t>
            </w:r>
          </w:p>
        </w:tc>
        <w:tc>
          <w:tcPr>
            <w:tcW w:w="1323" w:type="dxa"/>
            <w:tcBorders>
              <w:left w:val="nil"/>
              <w:bottom w:val="nil"/>
            </w:tcBorders>
            <w:noWrap/>
            <w:hideMark/>
          </w:tcPr>
          <w:p w14:paraId="0B528685" w14:textId="77777777" w:rsidR="000317C8" w:rsidRPr="007D17BD" w:rsidRDefault="000317C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41,920 </w:t>
            </w:r>
          </w:p>
        </w:tc>
      </w:tr>
      <w:tr w:rsidR="003A225A" w:rsidRPr="000317C8" w14:paraId="62E1F22E" w14:textId="77777777" w:rsidTr="00D707E3">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vMerge/>
            <w:tcBorders>
              <w:bottom w:val="single" w:sz="2" w:space="0" w:color="666666" w:themeColor="text1" w:themeTint="99"/>
              <w:right w:val="nil"/>
            </w:tcBorders>
            <w:hideMark/>
          </w:tcPr>
          <w:p w14:paraId="1723C1C0" w14:textId="77777777" w:rsidR="000317C8" w:rsidRPr="007D17BD" w:rsidRDefault="000317C8" w:rsidP="000317C8">
            <w:pPr>
              <w:rPr>
                <w:rFonts w:eastAsia="Times New Roman" w:cs="Times New Roman"/>
                <w:color w:val="000000"/>
                <w:szCs w:val="24"/>
                <w:lang w:eastAsia="en-AU"/>
              </w:rPr>
            </w:pPr>
          </w:p>
        </w:tc>
        <w:tc>
          <w:tcPr>
            <w:tcW w:w="3218" w:type="dxa"/>
            <w:tcBorders>
              <w:top w:val="nil"/>
              <w:left w:val="nil"/>
              <w:bottom w:val="single" w:sz="2" w:space="0" w:color="666666"/>
              <w:right w:val="nil"/>
            </w:tcBorders>
            <w:noWrap/>
            <w:hideMark/>
          </w:tcPr>
          <w:p w14:paraId="51CCA4E9" w14:textId="44DA3532" w:rsidR="000317C8" w:rsidRPr="007D17BD" w:rsidRDefault="000943DA" w:rsidP="000317C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Number</w:t>
            </w:r>
            <w:r w:rsidR="000317C8" w:rsidRPr="007D17BD">
              <w:rPr>
                <w:rFonts w:eastAsia="Times New Roman" w:cs="Times New Roman"/>
                <w:color w:val="000000"/>
                <w:szCs w:val="24"/>
                <w:lang w:eastAsia="en-AU"/>
              </w:rPr>
              <w:t xml:space="preserve">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1469" w:type="dxa"/>
            <w:tcBorders>
              <w:top w:val="nil"/>
              <w:left w:val="nil"/>
              <w:bottom w:val="single" w:sz="2" w:space="0" w:color="666666"/>
              <w:right w:val="nil"/>
            </w:tcBorders>
            <w:noWrap/>
            <w:hideMark/>
          </w:tcPr>
          <w:p w14:paraId="32DF6765" w14:textId="77777777" w:rsidR="000317C8" w:rsidRPr="007D17BD" w:rsidRDefault="000317C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1,885 </w:t>
            </w:r>
          </w:p>
        </w:tc>
        <w:tc>
          <w:tcPr>
            <w:tcW w:w="1470" w:type="dxa"/>
            <w:tcBorders>
              <w:top w:val="nil"/>
              <w:left w:val="nil"/>
              <w:bottom w:val="single" w:sz="2" w:space="0" w:color="666666"/>
              <w:right w:val="nil"/>
            </w:tcBorders>
            <w:noWrap/>
            <w:hideMark/>
          </w:tcPr>
          <w:p w14:paraId="3F8E64FC" w14:textId="77777777" w:rsidR="000317C8" w:rsidRPr="007D17BD" w:rsidRDefault="000317C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1,924 </w:t>
            </w:r>
          </w:p>
        </w:tc>
        <w:tc>
          <w:tcPr>
            <w:tcW w:w="1469" w:type="dxa"/>
            <w:tcBorders>
              <w:top w:val="nil"/>
              <w:left w:val="nil"/>
              <w:bottom w:val="single" w:sz="2" w:space="0" w:color="666666"/>
              <w:right w:val="nil"/>
            </w:tcBorders>
            <w:noWrap/>
            <w:hideMark/>
          </w:tcPr>
          <w:p w14:paraId="54C4E279" w14:textId="77777777" w:rsidR="000317C8" w:rsidRPr="007D17BD" w:rsidRDefault="000317C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1,755 </w:t>
            </w:r>
          </w:p>
        </w:tc>
        <w:tc>
          <w:tcPr>
            <w:tcW w:w="1323" w:type="dxa"/>
            <w:tcBorders>
              <w:top w:val="nil"/>
              <w:left w:val="nil"/>
              <w:bottom w:val="single" w:sz="2" w:space="0" w:color="666666"/>
              <w:right w:val="nil"/>
            </w:tcBorders>
            <w:noWrap/>
            <w:hideMark/>
          </w:tcPr>
          <w:p w14:paraId="20312E60" w14:textId="77777777" w:rsidR="000317C8" w:rsidRPr="007D17BD" w:rsidRDefault="000317C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1,688 </w:t>
            </w:r>
          </w:p>
        </w:tc>
        <w:tc>
          <w:tcPr>
            <w:tcW w:w="1323" w:type="dxa"/>
            <w:tcBorders>
              <w:top w:val="nil"/>
              <w:left w:val="nil"/>
              <w:bottom w:val="single" w:sz="2" w:space="0" w:color="666666"/>
            </w:tcBorders>
            <w:noWrap/>
            <w:hideMark/>
          </w:tcPr>
          <w:p w14:paraId="19CCDA5D" w14:textId="77777777" w:rsidR="000317C8" w:rsidRPr="007D17BD" w:rsidRDefault="000317C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1,634 </w:t>
            </w:r>
          </w:p>
        </w:tc>
      </w:tr>
      <w:tr w:rsidR="000943DA" w:rsidRPr="000317C8" w14:paraId="275FE986" w14:textId="77777777" w:rsidTr="007D17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gridSpan w:val="2"/>
            <w:vMerge w:val="restart"/>
            <w:tcBorders>
              <w:right w:val="nil"/>
            </w:tcBorders>
            <w:shd w:val="clear" w:color="auto" w:fill="auto"/>
            <w:hideMark/>
          </w:tcPr>
          <w:p w14:paraId="1114CB18" w14:textId="7EDBDAC9" w:rsidR="000943DA" w:rsidRPr="007D17BD" w:rsidRDefault="000943DA" w:rsidP="000943DA">
            <w:pPr>
              <w:rPr>
                <w:rFonts w:eastAsia="Times New Roman" w:cs="Times New Roman"/>
                <w:color w:val="000000"/>
                <w:szCs w:val="24"/>
                <w:lang w:eastAsia="en-AU"/>
              </w:rPr>
            </w:pPr>
            <w:r w:rsidRPr="007D17BD">
              <w:rPr>
                <w:rFonts w:eastAsia="Times New Roman" w:cs="Times New Roman"/>
                <w:color w:val="000000"/>
                <w:szCs w:val="24"/>
                <w:lang w:eastAsia="en-AU"/>
              </w:rPr>
              <w:t>Paracetamol poisoning</w:t>
            </w:r>
            <w:r w:rsidR="00F61CE0">
              <w:rPr>
                <w:rFonts w:eastAsia="Times New Roman" w:cs="Times New Roman"/>
                <w:color w:val="000000"/>
                <w:szCs w:val="24"/>
                <w:lang w:eastAsia="en-AU"/>
              </w:rPr>
              <w:t>s</w:t>
            </w:r>
            <w:r w:rsidRPr="007D17BD">
              <w:rPr>
                <w:rFonts w:eastAsia="Times New Roman" w:cs="Times New Roman"/>
                <w:color w:val="000000"/>
                <w:szCs w:val="24"/>
                <w:lang w:eastAsia="en-AU"/>
              </w:rPr>
              <w:t xml:space="preserve"> </w:t>
            </w:r>
          </w:p>
        </w:tc>
        <w:tc>
          <w:tcPr>
            <w:tcW w:w="3218" w:type="dxa"/>
            <w:tcBorders>
              <w:left w:val="nil"/>
              <w:bottom w:val="nil"/>
              <w:right w:val="nil"/>
            </w:tcBorders>
            <w:noWrap/>
            <w:hideMark/>
          </w:tcPr>
          <w:p w14:paraId="65C01F46" w14:textId="57331BDA" w:rsidR="000943DA" w:rsidRPr="007D17BD" w:rsidRDefault="000943DA" w:rsidP="000943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1469" w:type="dxa"/>
            <w:tcBorders>
              <w:left w:val="nil"/>
              <w:bottom w:val="nil"/>
              <w:right w:val="nil"/>
            </w:tcBorders>
            <w:noWrap/>
            <w:hideMark/>
          </w:tcPr>
          <w:p w14:paraId="167CAC2E"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11,122 </w:t>
            </w:r>
          </w:p>
        </w:tc>
        <w:tc>
          <w:tcPr>
            <w:tcW w:w="1470" w:type="dxa"/>
            <w:tcBorders>
              <w:left w:val="nil"/>
              <w:bottom w:val="nil"/>
              <w:right w:val="nil"/>
            </w:tcBorders>
            <w:noWrap/>
            <w:hideMark/>
          </w:tcPr>
          <w:p w14:paraId="47E61BD4"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11,697 </w:t>
            </w:r>
          </w:p>
        </w:tc>
        <w:tc>
          <w:tcPr>
            <w:tcW w:w="1469" w:type="dxa"/>
            <w:tcBorders>
              <w:left w:val="nil"/>
              <w:bottom w:val="nil"/>
              <w:right w:val="nil"/>
            </w:tcBorders>
            <w:noWrap/>
            <w:hideMark/>
          </w:tcPr>
          <w:p w14:paraId="61C679EB"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10,186 </w:t>
            </w:r>
          </w:p>
        </w:tc>
        <w:tc>
          <w:tcPr>
            <w:tcW w:w="1323" w:type="dxa"/>
            <w:tcBorders>
              <w:left w:val="nil"/>
              <w:bottom w:val="nil"/>
              <w:right w:val="nil"/>
            </w:tcBorders>
            <w:noWrap/>
            <w:hideMark/>
          </w:tcPr>
          <w:p w14:paraId="16400769"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9,327 </w:t>
            </w:r>
          </w:p>
        </w:tc>
        <w:tc>
          <w:tcPr>
            <w:tcW w:w="1323" w:type="dxa"/>
            <w:tcBorders>
              <w:left w:val="nil"/>
              <w:bottom w:val="nil"/>
            </w:tcBorders>
            <w:noWrap/>
            <w:hideMark/>
          </w:tcPr>
          <w:p w14:paraId="31691539"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8,723 </w:t>
            </w:r>
          </w:p>
        </w:tc>
      </w:tr>
      <w:tr w:rsidR="000943DA" w:rsidRPr="000317C8" w14:paraId="035CF94A" w14:textId="77777777" w:rsidTr="00D707E3">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vMerge/>
            <w:tcBorders>
              <w:bottom w:val="single" w:sz="2" w:space="0" w:color="666666" w:themeColor="text1" w:themeTint="99"/>
              <w:right w:val="nil"/>
            </w:tcBorders>
            <w:hideMark/>
          </w:tcPr>
          <w:p w14:paraId="258E8DE7" w14:textId="77777777" w:rsidR="000943DA" w:rsidRPr="007D17BD" w:rsidRDefault="000943DA" w:rsidP="000943DA">
            <w:pPr>
              <w:rPr>
                <w:rFonts w:eastAsia="Times New Roman" w:cs="Times New Roman"/>
                <w:color w:val="000000"/>
                <w:szCs w:val="24"/>
                <w:lang w:eastAsia="en-AU"/>
              </w:rPr>
            </w:pPr>
          </w:p>
        </w:tc>
        <w:tc>
          <w:tcPr>
            <w:tcW w:w="3218" w:type="dxa"/>
            <w:tcBorders>
              <w:top w:val="nil"/>
              <w:left w:val="nil"/>
              <w:bottom w:val="single" w:sz="2" w:space="0" w:color="666666"/>
              <w:right w:val="nil"/>
            </w:tcBorders>
            <w:noWrap/>
            <w:hideMark/>
          </w:tcPr>
          <w:p w14:paraId="68E690AF" w14:textId="2A9C4589" w:rsidR="000943DA" w:rsidRPr="007D17BD" w:rsidRDefault="000943DA" w:rsidP="000943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1469" w:type="dxa"/>
            <w:tcBorders>
              <w:top w:val="nil"/>
              <w:left w:val="nil"/>
              <w:bottom w:val="single" w:sz="2" w:space="0" w:color="666666"/>
              <w:right w:val="nil"/>
            </w:tcBorders>
            <w:noWrap/>
            <w:hideMark/>
          </w:tcPr>
          <w:p w14:paraId="70498B7F"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460 </w:t>
            </w:r>
          </w:p>
        </w:tc>
        <w:tc>
          <w:tcPr>
            <w:tcW w:w="1470" w:type="dxa"/>
            <w:tcBorders>
              <w:top w:val="nil"/>
              <w:left w:val="nil"/>
              <w:bottom w:val="single" w:sz="2" w:space="0" w:color="666666"/>
              <w:right w:val="nil"/>
            </w:tcBorders>
            <w:noWrap/>
            <w:hideMark/>
          </w:tcPr>
          <w:p w14:paraId="507985FD"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476 </w:t>
            </w:r>
          </w:p>
        </w:tc>
        <w:tc>
          <w:tcPr>
            <w:tcW w:w="1469" w:type="dxa"/>
            <w:tcBorders>
              <w:top w:val="nil"/>
              <w:left w:val="nil"/>
              <w:bottom w:val="single" w:sz="2" w:space="0" w:color="666666"/>
              <w:right w:val="nil"/>
            </w:tcBorders>
            <w:noWrap/>
            <w:hideMark/>
          </w:tcPr>
          <w:p w14:paraId="611628AE"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408 </w:t>
            </w:r>
          </w:p>
        </w:tc>
        <w:tc>
          <w:tcPr>
            <w:tcW w:w="1323" w:type="dxa"/>
            <w:tcBorders>
              <w:top w:val="nil"/>
              <w:left w:val="nil"/>
              <w:bottom w:val="single" w:sz="2" w:space="0" w:color="666666"/>
              <w:right w:val="nil"/>
            </w:tcBorders>
            <w:noWrap/>
            <w:hideMark/>
          </w:tcPr>
          <w:p w14:paraId="2A237906"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368 </w:t>
            </w:r>
          </w:p>
        </w:tc>
        <w:tc>
          <w:tcPr>
            <w:tcW w:w="1323" w:type="dxa"/>
            <w:tcBorders>
              <w:top w:val="nil"/>
              <w:left w:val="nil"/>
              <w:bottom w:val="single" w:sz="2" w:space="0" w:color="666666"/>
            </w:tcBorders>
            <w:noWrap/>
            <w:hideMark/>
          </w:tcPr>
          <w:p w14:paraId="2DE69E8B"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340 </w:t>
            </w:r>
          </w:p>
        </w:tc>
      </w:tr>
      <w:tr w:rsidR="000943DA" w:rsidRPr="000317C8" w14:paraId="35A3117F" w14:textId="77777777" w:rsidTr="007D17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gridSpan w:val="2"/>
            <w:vMerge w:val="restart"/>
            <w:tcBorders>
              <w:right w:val="nil"/>
            </w:tcBorders>
            <w:shd w:val="clear" w:color="auto" w:fill="auto"/>
            <w:hideMark/>
          </w:tcPr>
          <w:p w14:paraId="20D4479A" w14:textId="716E0381" w:rsidR="000943DA" w:rsidRPr="007D17BD" w:rsidRDefault="000943DA" w:rsidP="000943DA">
            <w:pPr>
              <w:rPr>
                <w:rFonts w:eastAsia="Times New Roman" w:cs="Times New Roman"/>
                <w:color w:val="000000"/>
                <w:szCs w:val="24"/>
                <w:lang w:eastAsia="en-AU"/>
              </w:rPr>
            </w:pPr>
            <w:r w:rsidRPr="007D17BD">
              <w:rPr>
                <w:rFonts w:eastAsia="Times New Roman" w:cs="Times New Roman"/>
                <w:color w:val="000000"/>
                <w:szCs w:val="24"/>
                <w:lang w:eastAsia="en-AU"/>
              </w:rPr>
              <w:t>Paracetamol deliberate self-poisoning</w:t>
            </w:r>
            <w:r w:rsidR="00F61CE0">
              <w:rPr>
                <w:rFonts w:eastAsia="Times New Roman" w:cs="Times New Roman"/>
                <w:color w:val="000000"/>
                <w:szCs w:val="24"/>
                <w:lang w:eastAsia="en-AU"/>
              </w:rPr>
              <w:t>s</w:t>
            </w:r>
          </w:p>
        </w:tc>
        <w:tc>
          <w:tcPr>
            <w:tcW w:w="3218" w:type="dxa"/>
            <w:tcBorders>
              <w:left w:val="nil"/>
              <w:bottom w:val="nil"/>
              <w:right w:val="nil"/>
            </w:tcBorders>
            <w:noWrap/>
            <w:hideMark/>
          </w:tcPr>
          <w:p w14:paraId="0ACBAFDF" w14:textId="412BA8E3" w:rsidR="000943DA" w:rsidRPr="007D17BD" w:rsidRDefault="000943DA" w:rsidP="000943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1469" w:type="dxa"/>
            <w:tcBorders>
              <w:left w:val="nil"/>
              <w:bottom w:val="nil"/>
              <w:right w:val="nil"/>
            </w:tcBorders>
            <w:noWrap/>
            <w:hideMark/>
          </w:tcPr>
          <w:p w14:paraId="4326B815"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8,748 </w:t>
            </w:r>
          </w:p>
        </w:tc>
        <w:tc>
          <w:tcPr>
            <w:tcW w:w="1470" w:type="dxa"/>
            <w:tcBorders>
              <w:left w:val="nil"/>
              <w:bottom w:val="nil"/>
              <w:right w:val="nil"/>
            </w:tcBorders>
            <w:noWrap/>
            <w:hideMark/>
          </w:tcPr>
          <w:p w14:paraId="3F70CEB4"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9,381 </w:t>
            </w:r>
          </w:p>
        </w:tc>
        <w:tc>
          <w:tcPr>
            <w:tcW w:w="1469" w:type="dxa"/>
            <w:tcBorders>
              <w:left w:val="nil"/>
              <w:bottom w:val="nil"/>
              <w:right w:val="nil"/>
            </w:tcBorders>
            <w:noWrap/>
            <w:hideMark/>
          </w:tcPr>
          <w:p w14:paraId="65B69765"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8,078 </w:t>
            </w:r>
          </w:p>
        </w:tc>
        <w:tc>
          <w:tcPr>
            <w:tcW w:w="1323" w:type="dxa"/>
            <w:tcBorders>
              <w:left w:val="nil"/>
              <w:bottom w:val="nil"/>
              <w:right w:val="nil"/>
            </w:tcBorders>
            <w:noWrap/>
            <w:hideMark/>
          </w:tcPr>
          <w:p w14:paraId="28DAECE3"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7,404 </w:t>
            </w:r>
          </w:p>
        </w:tc>
        <w:tc>
          <w:tcPr>
            <w:tcW w:w="1323" w:type="dxa"/>
            <w:tcBorders>
              <w:left w:val="nil"/>
              <w:bottom w:val="nil"/>
            </w:tcBorders>
            <w:noWrap/>
            <w:hideMark/>
          </w:tcPr>
          <w:p w14:paraId="71BE8938"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6,918 </w:t>
            </w:r>
          </w:p>
        </w:tc>
      </w:tr>
      <w:tr w:rsidR="000943DA" w:rsidRPr="000317C8" w14:paraId="44053A37" w14:textId="77777777" w:rsidTr="00D707E3">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vMerge/>
            <w:tcBorders>
              <w:bottom w:val="single" w:sz="2" w:space="0" w:color="666666" w:themeColor="text1" w:themeTint="99"/>
              <w:right w:val="nil"/>
            </w:tcBorders>
            <w:hideMark/>
          </w:tcPr>
          <w:p w14:paraId="4BE2FB32" w14:textId="77777777" w:rsidR="000943DA" w:rsidRPr="007D17BD" w:rsidRDefault="000943DA" w:rsidP="000943DA">
            <w:pPr>
              <w:rPr>
                <w:rFonts w:eastAsia="Times New Roman" w:cs="Times New Roman"/>
                <w:color w:val="000000"/>
                <w:szCs w:val="24"/>
                <w:lang w:eastAsia="en-AU"/>
              </w:rPr>
            </w:pPr>
          </w:p>
        </w:tc>
        <w:tc>
          <w:tcPr>
            <w:tcW w:w="3218" w:type="dxa"/>
            <w:tcBorders>
              <w:top w:val="nil"/>
              <w:left w:val="nil"/>
              <w:bottom w:val="single" w:sz="2" w:space="0" w:color="666666"/>
              <w:right w:val="nil"/>
            </w:tcBorders>
            <w:noWrap/>
            <w:hideMark/>
          </w:tcPr>
          <w:p w14:paraId="5DCB80A2" w14:textId="37E94362" w:rsidR="000943DA" w:rsidRPr="007D17BD" w:rsidRDefault="000943DA" w:rsidP="000943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1469" w:type="dxa"/>
            <w:tcBorders>
              <w:top w:val="nil"/>
              <w:left w:val="nil"/>
              <w:bottom w:val="single" w:sz="2" w:space="0" w:color="666666"/>
              <w:right w:val="nil"/>
            </w:tcBorders>
            <w:noWrap/>
            <w:hideMark/>
          </w:tcPr>
          <w:p w14:paraId="6312AE07"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362 </w:t>
            </w:r>
          </w:p>
        </w:tc>
        <w:tc>
          <w:tcPr>
            <w:tcW w:w="1470" w:type="dxa"/>
            <w:tcBorders>
              <w:top w:val="nil"/>
              <w:left w:val="nil"/>
              <w:bottom w:val="single" w:sz="2" w:space="0" w:color="666666"/>
              <w:right w:val="nil"/>
            </w:tcBorders>
            <w:noWrap/>
            <w:hideMark/>
          </w:tcPr>
          <w:p w14:paraId="5EAB20F3"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381 </w:t>
            </w:r>
          </w:p>
        </w:tc>
        <w:tc>
          <w:tcPr>
            <w:tcW w:w="1469" w:type="dxa"/>
            <w:tcBorders>
              <w:top w:val="nil"/>
              <w:left w:val="nil"/>
              <w:bottom w:val="single" w:sz="2" w:space="0" w:color="666666"/>
              <w:right w:val="nil"/>
            </w:tcBorders>
            <w:noWrap/>
            <w:hideMark/>
          </w:tcPr>
          <w:p w14:paraId="661C0562"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324 </w:t>
            </w:r>
          </w:p>
        </w:tc>
        <w:tc>
          <w:tcPr>
            <w:tcW w:w="1323" w:type="dxa"/>
            <w:tcBorders>
              <w:top w:val="nil"/>
              <w:left w:val="nil"/>
              <w:bottom w:val="single" w:sz="2" w:space="0" w:color="666666"/>
              <w:right w:val="nil"/>
            </w:tcBorders>
            <w:noWrap/>
            <w:hideMark/>
          </w:tcPr>
          <w:p w14:paraId="5C076B26"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292 </w:t>
            </w:r>
          </w:p>
        </w:tc>
        <w:tc>
          <w:tcPr>
            <w:tcW w:w="1323" w:type="dxa"/>
            <w:tcBorders>
              <w:top w:val="nil"/>
              <w:left w:val="nil"/>
              <w:bottom w:val="single" w:sz="2" w:space="0" w:color="666666"/>
            </w:tcBorders>
            <w:noWrap/>
            <w:hideMark/>
          </w:tcPr>
          <w:p w14:paraId="23A675E3"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270 </w:t>
            </w:r>
          </w:p>
        </w:tc>
      </w:tr>
      <w:tr w:rsidR="000943DA" w:rsidRPr="000317C8" w14:paraId="36532E8E" w14:textId="77777777" w:rsidTr="007D17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gridSpan w:val="2"/>
            <w:vMerge w:val="restart"/>
            <w:tcBorders>
              <w:right w:val="nil"/>
            </w:tcBorders>
            <w:shd w:val="clear" w:color="auto" w:fill="auto"/>
            <w:hideMark/>
          </w:tcPr>
          <w:p w14:paraId="17972507" w14:textId="24894E79" w:rsidR="000943DA" w:rsidRPr="007D17BD" w:rsidRDefault="00CD3C68" w:rsidP="000943DA">
            <w:pPr>
              <w:rPr>
                <w:rFonts w:eastAsia="Times New Roman" w:cs="Times New Roman"/>
                <w:color w:val="000000"/>
                <w:szCs w:val="24"/>
                <w:lang w:eastAsia="en-AU"/>
              </w:rPr>
            </w:pPr>
            <w:r w:rsidRPr="007D17BD">
              <w:rPr>
                <w:rFonts w:eastAsia="Times New Roman" w:cs="Times New Roman"/>
                <w:color w:val="000000"/>
                <w:szCs w:val="24"/>
                <w:lang w:eastAsia="en-AU"/>
              </w:rPr>
              <w:t>P</w:t>
            </w:r>
            <w:r w:rsidR="000943DA" w:rsidRPr="007D17BD">
              <w:rPr>
                <w:rFonts w:eastAsia="Times New Roman" w:cs="Times New Roman"/>
                <w:color w:val="000000"/>
                <w:szCs w:val="24"/>
                <w:lang w:eastAsia="en-AU"/>
              </w:rPr>
              <w:t xml:space="preserve">aracetamol poisoning </w:t>
            </w:r>
            <w:r w:rsidRPr="007D17BD">
              <w:rPr>
                <w:rFonts w:eastAsia="Times New Roman" w:cs="Times New Roman"/>
                <w:color w:val="000000"/>
                <w:szCs w:val="24"/>
                <w:lang w:eastAsia="en-AU"/>
              </w:rPr>
              <w:t>with liver injury</w:t>
            </w:r>
          </w:p>
        </w:tc>
        <w:tc>
          <w:tcPr>
            <w:tcW w:w="3218" w:type="dxa"/>
            <w:tcBorders>
              <w:left w:val="nil"/>
              <w:bottom w:val="nil"/>
              <w:right w:val="nil"/>
            </w:tcBorders>
            <w:noWrap/>
            <w:hideMark/>
          </w:tcPr>
          <w:p w14:paraId="1C74373E" w14:textId="0143622C" w:rsidR="000943DA" w:rsidRPr="007D17BD" w:rsidRDefault="000943DA" w:rsidP="000943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1469" w:type="dxa"/>
            <w:tcBorders>
              <w:left w:val="nil"/>
              <w:bottom w:val="nil"/>
              <w:right w:val="nil"/>
            </w:tcBorders>
            <w:noWrap/>
            <w:hideMark/>
          </w:tcPr>
          <w:p w14:paraId="3177F3C1"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220</w:t>
            </w:r>
          </w:p>
        </w:tc>
        <w:tc>
          <w:tcPr>
            <w:tcW w:w="1470" w:type="dxa"/>
            <w:tcBorders>
              <w:left w:val="nil"/>
              <w:bottom w:val="nil"/>
              <w:right w:val="nil"/>
            </w:tcBorders>
            <w:noWrap/>
            <w:hideMark/>
          </w:tcPr>
          <w:p w14:paraId="61CF0FB9"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235</w:t>
            </w:r>
          </w:p>
        </w:tc>
        <w:tc>
          <w:tcPr>
            <w:tcW w:w="1469" w:type="dxa"/>
            <w:tcBorders>
              <w:left w:val="nil"/>
              <w:bottom w:val="nil"/>
              <w:right w:val="nil"/>
            </w:tcBorders>
            <w:noWrap/>
            <w:hideMark/>
          </w:tcPr>
          <w:p w14:paraId="5F9B1987"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224</w:t>
            </w:r>
          </w:p>
        </w:tc>
        <w:tc>
          <w:tcPr>
            <w:tcW w:w="1323" w:type="dxa"/>
            <w:tcBorders>
              <w:left w:val="nil"/>
              <w:bottom w:val="nil"/>
              <w:right w:val="nil"/>
            </w:tcBorders>
            <w:noWrap/>
            <w:hideMark/>
          </w:tcPr>
          <w:p w14:paraId="5C2F2A68"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204</w:t>
            </w:r>
          </w:p>
        </w:tc>
        <w:tc>
          <w:tcPr>
            <w:tcW w:w="1323" w:type="dxa"/>
            <w:tcBorders>
              <w:left w:val="nil"/>
              <w:bottom w:val="nil"/>
            </w:tcBorders>
            <w:noWrap/>
            <w:hideMark/>
          </w:tcPr>
          <w:p w14:paraId="187AB3DF"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199</w:t>
            </w:r>
          </w:p>
        </w:tc>
      </w:tr>
      <w:tr w:rsidR="000943DA" w:rsidRPr="000317C8" w14:paraId="6F546D93" w14:textId="77777777" w:rsidTr="00D707E3">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vMerge/>
            <w:tcBorders>
              <w:bottom w:val="single" w:sz="2" w:space="0" w:color="666666" w:themeColor="text1" w:themeTint="99"/>
              <w:right w:val="nil"/>
            </w:tcBorders>
            <w:hideMark/>
          </w:tcPr>
          <w:p w14:paraId="302DCE6F" w14:textId="77777777" w:rsidR="000943DA" w:rsidRPr="007D17BD" w:rsidRDefault="000943DA" w:rsidP="000943DA">
            <w:pPr>
              <w:rPr>
                <w:rFonts w:eastAsia="Times New Roman" w:cs="Times New Roman"/>
                <w:color w:val="000000"/>
                <w:szCs w:val="24"/>
                <w:lang w:eastAsia="en-AU"/>
              </w:rPr>
            </w:pPr>
          </w:p>
        </w:tc>
        <w:tc>
          <w:tcPr>
            <w:tcW w:w="3218" w:type="dxa"/>
            <w:tcBorders>
              <w:top w:val="nil"/>
              <w:left w:val="nil"/>
              <w:bottom w:val="single" w:sz="2" w:space="0" w:color="666666"/>
              <w:right w:val="nil"/>
            </w:tcBorders>
            <w:noWrap/>
            <w:hideMark/>
          </w:tcPr>
          <w:p w14:paraId="685551C9" w14:textId="247B7BF1" w:rsidR="000943DA" w:rsidRPr="007D17BD" w:rsidRDefault="000943DA" w:rsidP="000943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1469" w:type="dxa"/>
            <w:tcBorders>
              <w:top w:val="nil"/>
              <w:left w:val="nil"/>
              <w:bottom w:val="single" w:sz="2" w:space="0" w:color="666666"/>
              <w:right w:val="nil"/>
            </w:tcBorders>
            <w:noWrap/>
            <w:hideMark/>
          </w:tcPr>
          <w:p w14:paraId="2C2F8794"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9</w:t>
            </w:r>
          </w:p>
        </w:tc>
        <w:tc>
          <w:tcPr>
            <w:tcW w:w="1470" w:type="dxa"/>
            <w:tcBorders>
              <w:top w:val="nil"/>
              <w:left w:val="nil"/>
              <w:bottom w:val="single" w:sz="2" w:space="0" w:color="666666"/>
              <w:right w:val="nil"/>
            </w:tcBorders>
            <w:noWrap/>
            <w:hideMark/>
          </w:tcPr>
          <w:p w14:paraId="36710066"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10</w:t>
            </w:r>
          </w:p>
        </w:tc>
        <w:tc>
          <w:tcPr>
            <w:tcW w:w="1469" w:type="dxa"/>
            <w:tcBorders>
              <w:top w:val="nil"/>
              <w:left w:val="nil"/>
              <w:bottom w:val="single" w:sz="2" w:space="0" w:color="666666"/>
              <w:right w:val="nil"/>
            </w:tcBorders>
            <w:noWrap/>
            <w:hideMark/>
          </w:tcPr>
          <w:p w14:paraId="28291569"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9</w:t>
            </w:r>
          </w:p>
        </w:tc>
        <w:tc>
          <w:tcPr>
            <w:tcW w:w="1323" w:type="dxa"/>
            <w:tcBorders>
              <w:top w:val="nil"/>
              <w:left w:val="nil"/>
              <w:bottom w:val="single" w:sz="2" w:space="0" w:color="666666"/>
              <w:right w:val="nil"/>
            </w:tcBorders>
            <w:noWrap/>
            <w:hideMark/>
          </w:tcPr>
          <w:p w14:paraId="4B271424"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8</w:t>
            </w:r>
          </w:p>
        </w:tc>
        <w:tc>
          <w:tcPr>
            <w:tcW w:w="1323" w:type="dxa"/>
            <w:tcBorders>
              <w:top w:val="nil"/>
              <w:left w:val="nil"/>
              <w:bottom w:val="single" w:sz="2" w:space="0" w:color="666666"/>
            </w:tcBorders>
            <w:noWrap/>
            <w:hideMark/>
          </w:tcPr>
          <w:p w14:paraId="353C8F5B"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8</w:t>
            </w:r>
          </w:p>
        </w:tc>
      </w:tr>
      <w:tr w:rsidR="000943DA" w:rsidRPr="000317C8" w14:paraId="795A207E" w14:textId="77777777" w:rsidTr="007D17B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gridSpan w:val="2"/>
            <w:vMerge w:val="restart"/>
            <w:tcBorders>
              <w:right w:val="nil"/>
            </w:tcBorders>
            <w:shd w:val="clear" w:color="auto" w:fill="auto"/>
            <w:hideMark/>
          </w:tcPr>
          <w:p w14:paraId="14FC803D" w14:textId="42942CEE" w:rsidR="000943DA" w:rsidRPr="007D17BD" w:rsidRDefault="005571A0" w:rsidP="000943DA">
            <w:pPr>
              <w:rPr>
                <w:rFonts w:eastAsia="Times New Roman" w:cs="Times New Roman"/>
                <w:color w:val="000000"/>
                <w:szCs w:val="24"/>
                <w:lang w:eastAsia="en-AU"/>
              </w:rPr>
            </w:pPr>
            <w:r>
              <w:rPr>
                <w:rFonts w:eastAsia="Times New Roman" w:cs="Times New Roman"/>
                <w:color w:val="000000"/>
                <w:szCs w:val="24"/>
                <w:lang w:eastAsia="en-AU"/>
              </w:rPr>
              <w:t>‘</w:t>
            </w:r>
            <w:r w:rsidR="000943DA" w:rsidRPr="007D17BD">
              <w:rPr>
                <w:rFonts w:eastAsia="Times New Roman" w:cs="Times New Roman"/>
                <w:color w:val="000000"/>
                <w:szCs w:val="24"/>
                <w:lang w:eastAsia="en-AU"/>
              </w:rPr>
              <w:t>Other NSAID' poisonings</w:t>
            </w:r>
            <w:r w:rsidR="00EA5EBA">
              <w:rPr>
                <w:rFonts w:eastAsia="Times New Roman" w:cs="Times New Roman"/>
                <w:color w:val="000000"/>
                <w:szCs w:val="24"/>
                <w:lang w:eastAsia="en-AU"/>
              </w:rPr>
              <w:t xml:space="preserve"> </w:t>
            </w:r>
          </w:p>
        </w:tc>
        <w:tc>
          <w:tcPr>
            <w:tcW w:w="3218" w:type="dxa"/>
            <w:tcBorders>
              <w:left w:val="nil"/>
              <w:bottom w:val="nil"/>
              <w:right w:val="nil"/>
            </w:tcBorders>
            <w:noWrap/>
            <w:hideMark/>
          </w:tcPr>
          <w:p w14:paraId="35D063ED" w14:textId="660BAD69" w:rsidR="000943DA" w:rsidRPr="007D17BD" w:rsidRDefault="000943DA" w:rsidP="000943DA">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1469" w:type="dxa"/>
            <w:tcBorders>
              <w:left w:val="nil"/>
              <w:bottom w:val="nil"/>
              <w:right w:val="nil"/>
            </w:tcBorders>
            <w:noWrap/>
            <w:hideMark/>
          </w:tcPr>
          <w:p w14:paraId="169644AE"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1,694 </w:t>
            </w:r>
          </w:p>
        </w:tc>
        <w:tc>
          <w:tcPr>
            <w:tcW w:w="1470" w:type="dxa"/>
            <w:tcBorders>
              <w:left w:val="nil"/>
              <w:bottom w:val="nil"/>
              <w:right w:val="nil"/>
            </w:tcBorders>
            <w:noWrap/>
            <w:hideMark/>
          </w:tcPr>
          <w:p w14:paraId="1DD588ED"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1,847 </w:t>
            </w:r>
          </w:p>
        </w:tc>
        <w:tc>
          <w:tcPr>
            <w:tcW w:w="1469" w:type="dxa"/>
            <w:tcBorders>
              <w:left w:val="nil"/>
              <w:bottom w:val="nil"/>
              <w:right w:val="nil"/>
            </w:tcBorders>
            <w:noWrap/>
            <w:hideMark/>
          </w:tcPr>
          <w:p w14:paraId="23F2AB0A"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1,682 </w:t>
            </w:r>
          </w:p>
        </w:tc>
        <w:tc>
          <w:tcPr>
            <w:tcW w:w="1323" w:type="dxa"/>
            <w:tcBorders>
              <w:left w:val="nil"/>
              <w:bottom w:val="nil"/>
              <w:right w:val="nil"/>
            </w:tcBorders>
            <w:noWrap/>
            <w:hideMark/>
          </w:tcPr>
          <w:p w14:paraId="2F98684A"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1,680 </w:t>
            </w:r>
          </w:p>
        </w:tc>
        <w:tc>
          <w:tcPr>
            <w:tcW w:w="1323" w:type="dxa"/>
            <w:tcBorders>
              <w:left w:val="nil"/>
              <w:bottom w:val="nil"/>
            </w:tcBorders>
            <w:noWrap/>
            <w:hideMark/>
          </w:tcPr>
          <w:p w14:paraId="04E5A791" w14:textId="77777777" w:rsidR="000943DA" w:rsidRPr="007D17BD" w:rsidRDefault="000943DA" w:rsidP="000943DA">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1,555 </w:t>
            </w:r>
          </w:p>
        </w:tc>
      </w:tr>
      <w:tr w:rsidR="000943DA" w:rsidRPr="000317C8" w14:paraId="1358C66B" w14:textId="77777777" w:rsidTr="00D707E3">
        <w:trPr>
          <w:trHeight w:val="300"/>
        </w:trPr>
        <w:tc>
          <w:tcPr>
            <w:cnfStyle w:val="001000000000" w:firstRow="0" w:lastRow="0" w:firstColumn="1" w:lastColumn="0" w:oddVBand="0" w:evenVBand="0" w:oddHBand="0" w:evenHBand="0" w:firstRowFirstColumn="0" w:firstRowLastColumn="0" w:lastRowFirstColumn="0" w:lastRowLastColumn="0"/>
            <w:tcW w:w="3686" w:type="dxa"/>
            <w:gridSpan w:val="2"/>
            <w:vMerge/>
            <w:tcBorders>
              <w:right w:val="nil"/>
            </w:tcBorders>
            <w:hideMark/>
          </w:tcPr>
          <w:p w14:paraId="119D722B" w14:textId="77777777" w:rsidR="000943DA" w:rsidRPr="007D17BD" w:rsidRDefault="000943DA" w:rsidP="000943DA">
            <w:pPr>
              <w:rPr>
                <w:rFonts w:eastAsia="Times New Roman" w:cs="Times New Roman"/>
                <w:color w:val="000000"/>
                <w:szCs w:val="24"/>
                <w:lang w:eastAsia="en-AU"/>
              </w:rPr>
            </w:pPr>
          </w:p>
        </w:tc>
        <w:tc>
          <w:tcPr>
            <w:tcW w:w="3218" w:type="dxa"/>
            <w:tcBorders>
              <w:top w:val="nil"/>
              <w:left w:val="nil"/>
              <w:right w:val="nil"/>
            </w:tcBorders>
            <w:noWrap/>
            <w:hideMark/>
          </w:tcPr>
          <w:p w14:paraId="6031A0C7" w14:textId="4EA67D4F" w:rsidR="000943DA" w:rsidRPr="007D17BD" w:rsidRDefault="000943DA" w:rsidP="000943DA">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1469" w:type="dxa"/>
            <w:tcBorders>
              <w:top w:val="nil"/>
              <w:left w:val="nil"/>
              <w:right w:val="nil"/>
            </w:tcBorders>
            <w:noWrap/>
            <w:hideMark/>
          </w:tcPr>
          <w:p w14:paraId="6AF1E53B"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70 </w:t>
            </w:r>
          </w:p>
        </w:tc>
        <w:tc>
          <w:tcPr>
            <w:tcW w:w="1470" w:type="dxa"/>
            <w:tcBorders>
              <w:top w:val="nil"/>
              <w:left w:val="nil"/>
              <w:right w:val="nil"/>
            </w:tcBorders>
            <w:noWrap/>
            <w:hideMark/>
          </w:tcPr>
          <w:p w14:paraId="5CF3FAB3"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75 </w:t>
            </w:r>
          </w:p>
        </w:tc>
        <w:tc>
          <w:tcPr>
            <w:tcW w:w="1469" w:type="dxa"/>
            <w:tcBorders>
              <w:top w:val="nil"/>
              <w:left w:val="nil"/>
              <w:right w:val="nil"/>
            </w:tcBorders>
            <w:noWrap/>
            <w:hideMark/>
          </w:tcPr>
          <w:p w14:paraId="16E57F05"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67 </w:t>
            </w:r>
          </w:p>
        </w:tc>
        <w:tc>
          <w:tcPr>
            <w:tcW w:w="1323" w:type="dxa"/>
            <w:tcBorders>
              <w:top w:val="nil"/>
              <w:left w:val="nil"/>
              <w:right w:val="nil"/>
            </w:tcBorders>
            <w:noWrap/>
            <w:hideMark/>
          </w:tcPr>
          <w:p w14:paraId="7D469C0F"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66 </w:t>
            </w:r>
          </w:p>
        </w:tc>
        <w:tc>
          <w:tcPr>
            <w:tcW w:w="1323" w:type="dxa"/>
            <w:tcBorders>
              <w:top w:val="nil"/>
              <w:left w:val="nil"/>
            </w:tcBorders>
            <w:noWrap/>
            <w:hideMark/>
          </w:tcPr>
          <w:p w14:paraId="18DDE2F6" w14:textId="77777777" w:rsidR="000943DA" w:rsidRPr="007D17BD" w:rsidRDefault="000943DA" w:rsidP="000943DA">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61 </w:t>
            </w:r>
          </w:p>
        </w:tc>
      </w:tr>
    </w:tbl>
    <w:p w14:paraId="247668AB" w14:textId="3257BD43" w:rsidR="000E7FF2" w:rsidRDefault="00BE4AF4" w:rsidP="00BE4AF4">
      <w:pPr>
        <w:pStyle w:val="Tablenote"/>
      </w:pPr>
      <w:r>
        <w:t xml:space="preserve">AIHW data </w:t>
      </w:r>
      <w:r w:rsidR="006B2C89">
        <w:t xml:space="preserve">provided in Appendix A and is </w:t>
      </w:r>
      <w:r w:rsidR="007339D7">
        <w:t xml:space="preserve">based on financial year. Population </w:t>
      </w:r>
      <w:r w:rsidR="007E2E87">
        <w:t xml:space="preserve">data </w:t>
      </w:r>
      <w:r w:rsidR="00A35EE7">
        <w:t xml:space="preserve">for each financial year </w:t>
      </w:r>
      <w:r w:rsidR="007339D7">
        <w:t>was sourced</w:t>
      </w:r>
      <w:r w:rsidR="00A35EE7">
        <w:t xml:space="preserve"> </w:t>
      </w:r>
      <w:r w:rsidR="00AA606D">
        <w:t xml:space="preserve">through the ABS – </w:t>
      </w:r>
      <w:r w:rsidR="00AA606D">
        <w:rPr>
          <w:i/>
          <w:iCs/>
        </w:rPr>
        <w:t>Population- states and territories, Quarterly population by sex, by state and territory</w:t>
      </w:r>
      <w:r w:rsidR="003914BE">
        <w:rPr>
          <w:i/>
          <w:iCs/>
        </w:rPr>
        <w:t>, from June 1981 onwards.</w:t>
      </w:r>
      <w:r w:rsidR="007339D7">
        <w:t xml:space="preserve"> </w:t>
      </w:r>
    </w:p>
    <w:p w14:paraId="3684778F" w14:textId="331D254C" w:rsidR="00931392" w:rsidRDefault="00FF73B8" w:rsidP="00E95468">
      <w:pPr>
        <w:pStyle w:val="Caption"/>
        <w:spacing w:before="120" w:after="120"/>
      </w:pPr>
      <w:bookmarkStart w:id="121" w:name="_Toc114560140"/>
      <w:r>
        <w:t xml:space="preserve">Table </w:t>
      </w:r>
      <w:r>
        <w:fldChar w:fldCharType="begin"/>
      </w:r>
      <w:r>
        <w:instrText>SEQ Table \* ARABIC</w:instrText>
      </w:r>
      <w:r>
        <w:fldChar w:fldCharType="separate"/>
      </w:r>
      <w:r w:rsidR="0091734E">
        <w:rPr>
          <w:noProof/>
        </w:rPr>
        <w:t>25</w:t>
      </w:r>
      <w:r>
        <w:fldChar w:fldCharType="end"/>
      </w:r>
      <w:r>
        <w:t xml:space="preserve">. </w:t>
      </w:r>
      <w:r w:rsidR="00931392">
        <w:t xml:space="preserve">NCIS data </w:t>
      </w:r>
      <w:r>
        <w:t xml:space="preserve">by head of </w:t>
      </w:r>
      <w:r w:rsidR="00931392">
        <w:t>population</w:t>
      </w:r>
      <w:bookmarkEnd w:id="121"/>
    </w:p>
    <w:tbl>
      <w:tblPr>
        <w:tblStyle w:val="ListTable2"/>
        <w:tblW w:w="10065" w:type="dxa"/>
        <w:tblLook w:val="04A0" w:firstRow="1" w:lastRow="0" w:firstColumn="1" w:lastColumn="0" w:noHBand="0" w:noVBand="1"/>
      </w:tblPr>
      <w:tblGrid>
        <w:gridCol w:w="3124"/>
        <w:gridCol w:w="2121"/>
        <w:gridCol w:w="3544"/>
        <w:gridCol w:w="1276"/>
      </w:tblGrid>
      <w:tr w:rsidR="00B75323" w:rsidRPr="00B75323" w14:paraId="2B41039D" w14:textId="77777777" w:rsidTr="001151E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24" w:type="dxa"/>
            <w:shd w:val="clear" w:color="auto" w:fill="595959" w:themeFill="text1" w:themeFillTint="A6"/>
            <w:noWrap/>
            <w:hideMark/>
          </w:tcPr>
          <w:p w14:paraId="6BB96781" w14:textId="6E6AEEA7" w:rsidR="001E529F" w:rsidRPr="007D17BD" w:rsidRDefault="00B75323" w:rsidP="001E529F">
            <w:pPr>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Event</w:t>
            </w:r>
          </w:p>
        </w:tc>
        <w:tc>
          <w:tcPr>
            <w:tcW w:w="2121" w:type="dxa"/>
            <w:shd w:val="clear" w:color="auto" w:fill="595959" w:themeFill="text1" w:themeFillTint="A6"/>
            <w:noWrap/>
            <w:hideMark/>
          </w:tcPr>
          <w:p w14:paraId="42C4A4A4" w14:textId="77777777" w:rsidR="001E529F" w:rsidRPr="007D17BD" w:rsidRDefault="001E529F" w:rsidP="001E529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p>
        </w:tc>
        <w:tc>
          <w:tcPr>
            <w:tcW w:w="3544" w:type="dxa"/>
            <w:tcBorders>
              <w:bottom w:val="single" w:sz="4" w:space="0" w:color="666666"/>
            </w:tcBorders>
            <w:shd w:val="clear" w:color="auto" w:fill="595959" w:themeFill="text1" w:themeFillTint="A6"/>
            <w:noWrap/>
            <w:hideMark/>
          </w:tcPr>
          <w:p w14:paraId="0CED0D42" w14:textId="7066252D" w:rsidR="001E529F" w:rsidRPr="007D17BD" w:rsidRDefault="00B75323" w:rsidP="001E529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Measure</w:t>
            </w:r>
          </w:p>
        </w:tc>
        <w:tc>
          <w:tcPr>
            <w:tcW w:w="1276" w:type="dxa"/>
            <w:tcBorders>
              <w:bottom w:val="single" w:sz="4" w:space="0" w:color="666666"/>
            </w:tcBorders>
            <w:shd w:val="clear" w:color="auto" w:fill="595959" w:themeFill="text1" w:themeFillTint="A6"/>
            <w:noWrap/>
            <w:hideMark/>
          </w:tcPr>
          <w:p w14:paraId="7D22631B" w14:textId="295BEA10" w:rsidR="001E529F" w:rsidRPr="007D17BD" w:rsidRDefault="5A120094" w:rsidP="4C223402">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425395FE">
              <w:rPr>
                <w:rFonts w:eastAsia="Times New Roman" w:cs="Times New Roman"/>
                <w:color w:val="FFFFFF" w:themeColor="background1"/>
                <w:lang w:eastAsia="en-AU"/>
              </w:rPr>
              <w:t>20</w:t>
            </w:r>
            <w:r w:rsidR="6A088CFA" w:rsidRPr="425395FE">
              <w:rPr>
                <w:rFonts w:eastAsia="Times New Roman" w:cs="Times New Roman"/>
                <w:color w:val="FFFFFF" w:themeColor="background1"/>
                <w:lang w:eastAsia="en-AU"/>
              </w:rPr>
              <w:t>08</w:t>
            </w:r>
            <w:r w:rsidRPr="425395FE">
              <w:rPr>
                <w:rFonts w:eastAsia="Times New Roman" w:cs="Times New Roman"/>
                <w:color w:val="FFFFFF" w:themeColor="background1"/>
                <w:lang w:eastAsia="en-AU"/>
              </w:rPr>
              <w:t>-2020</w:t>
            </w:r>
          </w:p>
        </w:tc>
      </w:tr>
      <w:tr w:rsidR="00E95468" w:rsidRPr="00B75323" w14:paraId="25B8AF41" w14:textId="77777777" w:rsidTr="00115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gridSpan w:val="2"/>
            <w:vMerge w:val="restart"/>
            <w:shd w:val="clear" w:color="auto" w:fill="auto"/>
            <w:hideMark/>
          </w:tcPr>
          <w:p w14:paraId="53D2A829" w14:textId="77777777" w:rsidR="00870A5F" w:rsidRPr="007D17BD" w:rsidRDefault="00870A5F" w:rsidP="00870A5F">
            <w:pPr>
              <w:rPr>
                <w:rFonts w:eastAsia="Times New Roman" w:cs="Times New Roman"/>
                <w:color w:val="000000"/>
                <w:szCs w:val="24"/>
                <w:lang w:eastAsia="en-AU"/>
              </w:rPr>
            </w:pPr>
            <w:r w:rsidRPr="007D17BD">
              <w:rPr>
                <w:rFonts w:eastAsia="Times New Roman" w:cs="Times New Roman"/>
                <w:color w:val="000000"/>
                <w:szCs w:val="24"/>
                <w:lang w:eastAsia="en-AU"/>
              </w:rPr>
              <w:t>Paracetamol poisoning deaths</w:t>
            </w:r>
          </w:p>
        </w:tc>
        <w:tc>
          <w:tcPr>
            <w:tcW w:w="3544" w:type="dxa"/>
            <w:tcBorders>
              <w:bottom w:val="nil"/>
            </w:tcBorders>
            <w:noWrap/>
            <w:hideMark/>
          </w:tcPr>
          <w:p w14:paraId="538A0FCD" w14:textId="3341599F" w:rsidR="00870A5F" w:rsidRPr="007D17BD" w:rsidRDefault="2E1F8324" w:rsidP="425395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Total</w:t>
            </w:r>
            <w:r w:rsidR="007D3D1C">
              <w:rPr>
                <w:rFonts w:eastAsia="Times New Roman" w:cs="Times New Roman"/>
                <w:color w:val="000000" w:themeColor="text1"/>
                <w:lang w:eastAsia="en-AU"/>
              </w:rPr>
              <w:t xml:space="preserve"> </w:t>
            </w:r>
            <w:r w:rsidR="3CF74357" w:rsidRPr="425395FE">
              <w:rPr>
                <w:rFonts w:eastAsia="Times New Roman" w:cs="Times New Roman"/>
                <w:color w:val="000000" w:themeColor="text1"/>
                <w:lang w:eastAsia="en-AU"/>
              </w:rPr>
              <w:t xml:space="preserve">average yearly </w:t>
            </w:r>
            <w:r w:rsidRPr="425395FE">
              <w:rPr>
                <w:rFonts w:eastAsia="Times New Roman" w:cs="Times New Roman"/>
                <w:color w:val="000000" w:themeColor="text1"/>
                <w:lang w:eastAsia="en-AU"/>
              </w:rPr>
              <w:t>number</w:t>
            </w:r>
          </w:p>
        </w:tc>
        <w:tc>
          <w:tcPr>
            <w:tcW w:w="1276" w:type="dxa"/>
            <w:tcBorders>
              <w:bottom w:val="nil"/>
            </w:tcBorders>
            <w:noWrap/>
            <w:hideMark/>
          </w:tcPr>
          <w:p w14:paraId="728CFC51" w14:textId="4C036CCF" w:rsidR="00870A5F" w:rsidRPr="007D17BD" w:rsidRDefault="68D0969A" w:rsidP="425395F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50</w:t>
            </w:r>
          </w:p>
        </w:tc>
      </w:tr>
      <w:tr w:rsidR="00870A5F" w:rsidRPr="00B75323" w14:paraId="7CD9E3B2" w14:textId="77777777" w:rsidTr="001151E0">
        <w:trPr>
          <w:trHeight w:val="300"/>
        </w:trPr>
        <w:tc>
          <w:tcPr>
            <w:cnfStyle w:val="001000000000" w:firstRow="0" w:lastRow="0" w:firstColumn="1" w:lastColumn="0" w:oddVBand="0" w:evenVBand="0" w:oddHBand="0" w:evenHBand="0" w:firstRowFirstColumn="0" w:firstRowLastColumn="0" w:lastRowFirstColumn="0" w:lastRowLastColumn="0"/>
            <w:tcW w:w="5245" w:type="dxa"/>
            <w:gridSpan w:val="2"/>
            <w:vMerge/>
            <w:hideMark/>
          </w:tcPr>
          <w:p w14:paraId="392825F5" w14:textId="77777777" w:rsidR="00870A5F" w:rsidRPr="007D17BD" w:rsidRDefault="00870A5F" w:rsidP="00870A5F">
            <w:pPr>
              <w:rPr>
                <w:rFonts w:eastAsia="Times New Roman" w:cs="Times New Roman"/>
                <w:color w:val="000000"/>
                <w:szCs w:val="24"/>
                <w:lang w:eastAsia="en-AU"/>
              </w:rPr>
            </w:pPr>
          </w:p>
        </w:tc>
        <w:tc>
          <w:tcPr>
            <w:tcW w:w="3544" w:type="dxa"/>
            <w:tcBorders>
              <w:top w:val="nil"/>
              <w:bottom w:val="single" w:sz="4" w:space="0" w:color="666666"/>
            </w:tcBorders>
            <w:noWrap/>
            <w:hideMark/>
          </w:tcPr>
          <w:p w14:paraId="5444FD92" w14:textId="4633A3ED" w:rsidR="00870A5F" w:rsidRPr="007D17BD" w:rsidRDefault="000707A1" w:rsidP="00870A5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w:t>
            </w:r>
            <w:r w:rsidR="00870A5F" w:rsidRPr="007D17BD">
              <w:rPr>
                <w:rFonts w:eastAsia="Times New Roman" w:cs="Times New Roman"/>
                <w:color w:val="000000"/>
                <w:szCs w:val="24"/>
                <w:lang w:eastAsia="en-AU"/>
              </w:rPr>
              <w:t xml:space="preserve">umber per </w:t>
            </w:r>
            <w:r w:rsidR="00A65D38">
              <w:rPr>
                <w:rFonts w:eastAsia="Times New Roman" w:cs="Times New Roman"/>
                <w:color w:val="000000"/>
                <w:szCs w:val="24"/>
                <w:lang w:eastAsia="en-AU"/>
              </w:rPr>
              <w:t>million</w:t>
            </w:r>
            <w:r w:rsidR="00870A5F" w:rsidRPr="007D17BD">
              <w:rPr>
                <w:rFonts w:eastAsia="Times New Roman" w:cs="Times New Roman"/>
                <w:color w:val="000000"/>
                <w:szCs w:val="24"/>
                <w:lang w:eastAsia="en-AU"/>
              </w:rPr>
              <w:t xml:space="preserve"> people</w:t>
            </w:r>
          </w:p>
        </w:tc>
        <w:tc>
          <w:tcPr>
            <w:tcW w:w="1276" w:type="dxa"/>
            <w:tcBorders>
              <w:top w:val="nil"/>
              <w:bottom w:val="single" w:sz="4" w:space="0" w:color="666666"/>
            </w:tcBorders>
            <w:noWrap/>
            <w:hideMark/>
          </w:tcPr>
          <w:p w14:paraId="75C0B482" w14:textId="046CCD1F" w:rsidR="00870A5F" w:rsidRPr="007D17BD" w:rsidRDefault="6C96C000" w:rsidP="425395F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2</w:t>
            </w:r>
          </w:p>
        </w:tc>
      </w:tr>
      <w:tr w:rsidR="00E95468" w:rsidRPr="00B75323" w14:paraId="13EF576E" w14:textId="77777777" w:rsidTr="001151E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45" w:type="dxa"/>
            <w:gridSpan w:val="2"/>
            <w:vMerge w:val="restart"/>
            <w:shd w:val="clear" w:color="auto" w:fill="auto"/>
            <w:hideMark/>
          </w:tcPr>
          <w:p w14:paraId="4E012943" w14:textId="56C25238" w:rsidR="00870A5F" w:rsidRPr="007D17BD" w:rsidRDefault="00870A5F" w:rsidP="00870A5F">
            <w:pPr>
              <w:rPr>
                <w:rFonts w:eastAsia="Times New Roman" w:cs="Times New Roman"/>
                <w:color w:val="000000"/>
                <w:szCs w:val="24"/>
                <w:lang w:eastAsia="en-AU"/>
              </w:rPr>
            </w:pPr>
            <w:r w:rsidRPr="007D17BD">
              <w:rPr>
                <w:rFonts w:eastAsia="Times New Roman" w:cs="Times New Roman"/>
                <w:color w:val="000000"/>
                <w:szCs w:val="24"/>
                <w:lang w:eastAsia="en-AU"/>
              </w:rPr>
              <w:t>Paracetamol poisoning deaths with liver injury</w:t>
            </w:r>
            <w:r w:rsidR="00D96DDE">
              <w:rPr>
                <w:rFonts w:eastAsia="Times New Roman" w:cs="Times New Roman"/>
                <w:color w:val="000000"/>
                <w:szCs w:val="24"/>
                <w:lang w:eastAsia="en-AU"/>
              </w:rPr>
              <w:t xml:space="preserve"> (probable cause based on case review)</w:t>
            </w:r>
            <w:r w:rsidRPr="007D17BD">
              <w:rPr>
                <w:rFonts w:eastAsia="Times New Roman" w:cs="Times New Roman"/>
                <w:color w:val="000000"/>
                <w:szCs w:val="24"/>
                <w:lang w:eastAsia="en-AU"/>
              </w:rPr>
              <w:t xml:space="preserve"> </w:t>
            </w:r>
          </w:p>
        </w:tc>
        <w:tc>
          <w:tcPr>
            <w:tcW w:w="3544" w:type="dxa"/>
            <w:tcBorders>
              <w:bottom w:val="nil"/>
            </w:tcBorders>
            <w:noWrap/>
            <w:hideMark/>
          </w:tcPr>
          <w:p w14:paraId="1D98C416" w14:textId="24DCC7E6" w:rsidR="00870A5F" w:rsidRPr="007D17BD" w:rsidRDefault="2E1F8324" w:rsidP="425395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Total</w:t>
            </w:r>
            <w:r w:rsidR="007D3D1C">
              <w:rPr>
                <w:rFonts w:eastAsia="Times New Roman" w:cs="Times New Roman"/>
                <w:color w:val="000000" w:themeColor="text1"/>
                <w:lang w:eastAsia="en-AU"/>
              </w:rPr>
              <w:t xml:space="preserve"> </w:t>
            </w:r>
            <w:r w:rsidR="20498658" w:rsidRPr="425395FE">
              <w:rPr>
                <w:rFonts w:eastAsia="Times New Roman" w:cs="Times New Roman"/>
                <w:color w:val="000000" w:themeColor="text1"/>
                <w:lang w:eastAsia="en-AU"/>
              </w:rPr>
              <w:t xml:space="preserve">average yearly </w:t>
            </w:r>
            <w:r w:rsidRPr="425395FE">
              <w:rPr>
                <w:rFonts w:eastAsia="Times New Roman" w:cs="Times New Roman"/>
                <w:color w:val="000000" w:themeColor="text1"/>
                <w:lang w:eastAsia="en-AU"/>
              </w:rPr>
              <w:t>number</w:t>
            </w:r>
          </w:p>
        </w:tc>
        <w:tc>
          <w:tcPr>
            <w:tcW w:w="1276" w:type="dxa"/>
            <w:tcBorders>
              <w:bottom w:val="nil"/>
            </w:tcBorders>
            <w:noWrap/>
            <w:hideMark/>
          </w:tcPr>
          <w:p w14:paraId="08A7442E" w14:textId="68EF135F" w:rsidR="00870A5F" w:rsidRPr="007D17BD" w:rsidRDefault="625550BC" w:rsidP="425395F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20</w:t>
            </w:r>
          </w:p>
        </w:tc>
      </w:tr>
      <w:tr w:rsidR="00870A5F" w:rsidRPr="00B75323" w14:paraId="2E97033C" w14:textId="77777777" w:rsidTr="001151E0">
        <w:trPr>
          <w:trHeight w:val="300"/>
        </w:trPr>
        <w:tc>
          <w:tcPr>
            <w:cnfStyle w:val="001000000000" w:firstRow="0" w:lastRow="0" w:firstColumn="1" w:lastColumn="0" w:oddVBand="0" w:evenVBand="0" w:oddHBand="0" w:evenHBand="0" w:firstRowFirstColumn="0" w:firstRowLastColumn="0" w:lastRowFirstColumn="0" w:lastRowLastColumn="0"/>
            <w:tcW w:w="5245" w:type="dxa"/>
            <w:gridSpan w:val="2"/>
            <w:vMerge/>
            <w:hideMark/>
          </w:tcPr>
          <w:p w14:paraId="5FF9CBB5" w14:textId="77777777" w:rsidR="00870A5F" w:rsidRPr="007D17BD" w:rsidRDefault="00870A5F" w:rsidP="00870A5F">
            <w:pPr>
              <w:rPr>
                <w:rFonts w:eastAsia="Times New Roman" w:cs="Times New Roman"/>
                <w:color w:val="000000"/>
                <w:szCs w:val="24"/>
                <w:lang w:eastAsia="en-AU"/>
              </w:rPr>
            </w:pPr>
          </w:p>
        </w:tc>
        <w:tc>
          <w:tcPr>
            <w:tcW w:w="3544" w:type="dxa"/>
            <w:tcBorders>
              <w:top w:val="nil"/>
            </w:tcBorders>
            <w:noWrap/>
            <w:hideMark/>
          </w:tcPr>
          <w:p w14:paraId="0D08DA2A" w14:textId="0B1D7F44" w:rsidR="00870A5F" w:rsidRPr="007D17BD" w:rsidRDefault="000707A1" w:rsidP="00870A5F">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w:t>
            </w:r>
            <w:r w:rsidR="00870A5F" w:rsidRPr="007D17BD">
              <w:rPr>
                <w:rFonts w:eastAsia="Times New Roman" w:cs="Times New Roman"/>
                <w:color w:val="000000"/>
                <w:szCs w:val="24"/>
                <w:lang w:eastAsia="en-AU"/>
              </w:rPr>
              <w:t xml:space="preserve">umber per </w:t>
            </w:r>
            <w:r w:rsidR="00A65D38">
              <w:rPr>
                <w:rFonts w:eastAsia="Times New Roman" w:cs="Times New Roman"/>
                <w:color w:val="000000"/>
                <w:szCs w:val="24"/>
                <w:lang w:eastAsia="en-AU"/>
              </w:rPr>
              <w:t>million</w:t>
            </w:r>
            <w:r w:rsidR="00870A5F" w:rsidRPr="007D17BD">
              <w:rPr>
                <w:rFonts w:eastAsia="Times New Roman" w:cs="Times New Roman"/>
                <w:color w:val="000000"/>
                <w:szCs w:val="24"/>
                <w:lang w:eastAsia="en-AU"/>
              </w:rPr>
              <w:t xml:space="preserve"> people</w:t>
            </w:r>
          </w:p>
        </w:tc>
        <w:tc>
          <w:tcPr>
            <w:tcW w:w="1276" w:type="dxa"/>
            <w:tcBorders>
              <w:top w:val="nil"/>
            </w:tcBorders>
            <w:noWrap/>
            <w:hideMark/>
          </w:tcPr>
          <w:p w14:paraId="27A636F4" w14:textId="1A30E0FF" w:rsidR="00870A5F" w:rsidRPr="007D17BD" w:rsidRDefault="2E1F8324" w:rsidP="425395F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0.</w:t>
            </w:r>
            <w:r w:rsidR="3BF0CBA8" w:rsidRPr="425395FE">
              <w:rPr>
                <w:rFonts w:eastAsia="Times New Roman" w:cs="Times New Roman"/>
                <w:color w:val="000000" w:themeColor="text1"/>
                <w:lang w:eastAsia="en-AU"/>
              </w:rPr>
              <w:t>78</w:t>
            </w:r>
          </w:p>
        </w:tc>
      </w:tr>
    </w:tbl>
    <w:p w14:paraId="5C5FEFAE" w14:textId="77777777" w:rsidR="00E12FEC" w:rsidRDefault="00E12FEC" w:rsidP="00E95468">
      <w:pPr>
        <w:pStyle w:val="Caption"/>
        <w:spacing w:before="0" w:after="120"/>
      </w:pPr>
    </w:p>
    <w:p w14:paraId="11132390" w14:textId="77777777" w:rsidR="00E12FEC" w:rsidRDefault="00E12FEC">
      <w:pPr>
        <w:rPr>
          <w:b/>
          <w:bCs/>
          <w:i/>
          <w:iCs/>
          <w:color w:val="44546A" w:themeColor="text2"/>
        </w:rPr>
      </w:pPr>
      <w:r>
        <w:br w:type="page"/>
      </w:r>
    </w:p>
    <w:p w14:paraId="683AC24D" w14:textId="1E746CF0" w:rsidR="00D01CF1" w:rsidRDefault="00FF73B8" w:rsidP="00E95468">
      <w:pPr>
        <w:pStyle w:val="Caption"/>
        <w:spacing w:before="0" w:after="120"/>
      </w:pPr>
      <w:bookmarkStart w:id="122" w:name="_Toc114560141"/>
      <w:r>
        <w:t xml:space="preserve">Table </w:t>
      </w:r>
      <w:r>
        <w:fldChar w:fldCharType="begin"/>
      </w:r>
      <w:r>
        <w:instrText>SEQ Table \* ARABIC</w:instrText>
      </w:r>
      <w:r>
        <w:fldChar w:fldCharType="separate"/>
      </w:r>
      <w:r w:rsidR="0091734E">
        <w:rPr>
          <w:noProof/>
        </w:rPr>
        <w:t>26</w:t>
      </w:r>
      <w:r>
        <w:fldChar w:fldCharType="end"/>
      </w:r>
      <w:r w:rsidRPr="0091560A">
        <w:t xml:space="preserve">. </w:t>
      </w:r>
      <w:r w:rsidR="00ED6043">
        <w:t xml:space="preserve">Poisonings </w:t>
      </w:r>
      <w:r w:rsidR="007A4C49">
        <w:t xml:space="preserve">in Australia </w:t>
      </w:r>
      <w:r w:rsidR="00ED6043">
        <w:t>from all</w:t>
      </w:r>
      <w:r w:rsidR="00D01CF1">
        <w:t xml:space="preserve"> PIC data </w:t>
      </w:r>
      <w:r w:rsidR="007A4C49">
        <w:t xml:space="preserve">by head of </w:t>
      </w:r>
      <w:r w:rsidR="00D01CF1">
        <w:t>population</w:t>
      </w:r>
      <w:bookmarkEnd w:id="122"/>
    </w:p>
    <w:tbl>
      <w:tblPr>
        <w:tblStyle w:val="ListTable2"/>
        <w:tblW w:w="5000" w:type="pct"/>
        <w:tblLayout w:type="fixed"/>
        <w:tblLook w:val="04A0" w:firstRow="1" w:lastRow="0" w:firstColumn="1" w:lastColumn="0" w:noHBand="0" w:noVBand="1"/>
      </w:tblPr>
      <w:tblGrid>
        <w:gridCol w:w="4252"/>
        <w:gridCol w:w="3746"/>
        <w:gridCol w:w="1192"/>
        <w:gridCol w:w="1192"/>
        <w:gridCol w:w="1192"/>
        <w:gridCol w:w="1192"/>
        <w:gridCol w:w="1192"/>
      </w:tblGrid>
      <w:tr w:rsidR="00F74A35" w:rsidRPr="007D17BD" w14:paraId="14ECE692" w14:textId="77777777" w:rsidTr="00F74A3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3" w:type="pct"/>
            <w:shd w:val="clear" w:color="auto" w:fill="595959" w:themeFill="text1" w:themeFillTint="A6"/>
            <w:noWrap/>
            <w:hideMark/>
          </w:tcPr>
          <w:p w14:paraId="0A6E130F" w14:textId="4AE3D6EF" w:rsidR="00F74A35" w:rsidRPr="007D17BD" w:rsidRDefault="00F74A35" w:rsidP="001E529F">
            <w:pPr>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Exposure</w:t>
            </w:r>
          </w:p>
        </w:tc>
        <w:tc>
          <w:tcPr>
            <w:tcW w:w="1342" w:type="pct"/>
            <w:tcBorders>
              <w:bottom w:val="single" w:sz="4" w:space="0" w:color="666666" w:themeColor="text1" w:themeTint="99"/>
            </w:tcBorders>
            <w:shd w:val="clear" w:color="auto" w:fill="595959" w:themeFill="text1" w:themeFillTint="A6"/>
            <w:noWrap/>
            <w:hideMark/>
          </w:tcPr>
          <w:p w14:paraId="3BDDDCEC" w14:textId="311292B2" w:rsidR="00F74A35" w:rsidRPr="007D17BD" w:rsidRDefault="00F74A35" w:rsidP="001E529F">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Measure</w:t>
            </w:r>
          </w:p>
        </w:tc>
        <w:tc>
          <w:tcPr>
            <w:tcW w:w="427" w:type="pct"/>
            <w:tcBorders>
              <w:bottom w:val="single" w:sz="4" w:space="0" w:color="666666" w:themeColor="text1" w:themeTint="99"/>
            </w:tcBorders>
            <w:shd w:val="clear" w:color="auto" w:fill="595959" w:themeFill="text1" w:themeFillTint="A6"/>
            <w:noWrap/>
            <w:hideMark/>
          </w:tcPr>
          <w:p w14:paraId="49712599" w14:textId="77777777" w:rsidR="00F74A35" w:rsidRPr="007D17BD" w:rsidRDefault="00F74A35" w:rsidP="001E529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2017</w:t>
            </w:r>
          </w:p>
        </w:tc>
        <w:tc>
          <w:tcPr>
            <w:tcW w:w="427" w:type="pct"/>
            <w:tcBorders>
              <w:bottom w:val="single" w:sz="4" w:space="0" w:color="666666" w:themeColor="text1" w:themeTint="99"/>
            </w:tcBorders>
            <w:shd w:val="clear" w:color="auto" w:fill="595959" w:themeFill="text1" w:themeFillTint="A6"/>
            <w:noWrap/>
            <w:hideMark/>
          </w:tcPr>
          <w:p w14:paraId="14BC2C96" w14:textId="77777777" w:rsidR="00F74A35" w:rsidRPr="007D17BD" w:rsidRDefault="00F74A35" w:rsidP="001E529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2018</w:t>
            </w:r>
          </w:p>
        </w:tc>
        <w:tc>
          <w:tcPr>
            <w:tcW w:w="427" w:type="pct"/>
            <w:tcBorders>
              <w:bottom w:val="single" w:sz="4" w:space="0" w:color="666666" w:themeColor="text1" w:themeTint="99"/>
            </w:tcBorders>
            <w:shd w:val="clear" w:color="auto" w:fill="595959" w:themeFill="text1" w:themeFillTint="A6"/>
            <w:noWrap/>
            <w:hideMark/>
          </w:tcPr>
          <w:p w14:paraId="12072D58" w14:textId="77777777" w:rsidR="00F74A35" w:rsidRPr="007D17BD" w:rsidRDefault="00F74A35" w:rsidP="001E529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2019</w:t>
            </w:r>
          </w:p>
        </w:tc>
        <w:tc>
          <w:tcPr>
            <w:tcW w:w="427" w:type="pct"/>
            <w:tcBorders>
              <w:bottom w:val="single" w:sz="4" w:space="0" w:color="666666" w:themeColor="text1" w:themeTint="99"/>
            </w:tcBorders>
            <w:shd w:val="clear" w:color="auto" w:fill="595959" w:themeFill="text1" w:themeFillTint="A6"/>
            <w:noWrap/>
            <w:hideMark/>
          </w:tcPr>
          <w:p w14:paraId="38633AF2" w14:textId="77777777" w:rsidR="00F74A35" w:rsidRPr="007D17BD" w:rsidRDefault="00F74A35" w:rsidP="001E529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2020</w:t>
            </w:r>
          </w:p>
        </w:tc>
        <w:tc>
          <w:tcPr>
            <w:tcW w:w="427" w:type="pct"/>
            <w:tcBorders>
              <w:bottom w:val="single" w:sz="4" w:space="0" w:color="666666" w:themeColor="text1" w:themeTint="99"/>
            </w:tcBorders>
            <w:shd w:val="clear" w:color="auto" w:fill="595959" w:themeFill="text1" w:themeFillTint="A6"/>
            <w:noWrap/>
            <w:hideMark/>
          </w:tcPr>
          <w:p w14:paraId="51D935AC" w14:textId="77777777" w:rsidR="00F74A35" w:rsidRPr="007D17BD" w:rsidRDefault="00F74A35" w:rsidP="001E529F">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7D17BD">
              <w:rPr>
                <w:rFonts w:eastAsia="Times New Roman" w:cs="Times New Roman"/>
                <w:color w:val="FFFFFF" w:themeColor="background1"/>
                <w:szCs w:val="24"/>
                <w:lang w:eastAsia="en-AU"/>
              </w:rPr>
              <w:t>2021</w:t>
            </w:r>
          </w:p>
        </w:tc>
      </w:tr>
      <w:tr w:rsidR="00E95468" w:rsidRPr="001E529F" w14:paraId="3C61965E" w14:textId="77777777" w:rsidTr="002971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3" w:type="pct"/>
            <w:vMerge w:val="restart"/>
            <w:shd w:val="clear" w:color="auto" w:fill="auto"/>
            <w:hideMark/>
          </w:tcPr>
          <w:p w14:paraId="21FFD550" w14:textId="7A12D499" w:rsidR="007D17BD" w:rsidRPr="007D17BD" w:rsidRDefault="007D17BD" w:rsidP="007D17BD">
            <w:pPr>
              <w:rPr>
                <w:rFonts w:eastAsia="Times New Roman" w:cs="Times New Roman"/>
                <w:color w:val="000000"/>
                <w:szCs w:val="24"/>
                <w:lang w:eastAsia="en-AU"/>
              </w:rPr>
            </w:pPr>
            <w:r>
              <w:rPr>
                <w:rFonts w:eastAsia="Times New Roman" w:cs="Times New Roman"/>
                <w:color w:val="000000"/>
                <w:szCs w:val="24"/>
                <w:lang w:eastAsia="en-AU"/>
              </w:rPr>
              <w:t xml:space="preserve">All </w:t>
            </w:r>
          </w:p>
        </w:tc>
        <w:tc>
          <w:tcPr>
            <w:tcW w:w="1342" w:type="pct"/>
            <w:tcBorders>
              <w:bottom w:val="nil"/>
            </w:tcBorders>
            <w:noWrap/>
            <w:hideMark/>
          </w:tcPr>
          <w:p w14:paraId="6EA7250D" w14:textId="2D14C5AC" w:rsidR="007D17BD" w:rsidRPr="007D17BD" w:rsidRDefault="007D17BD" w:rsidP="007D17B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427" w:type="pct"/>
            <w:tcBorders>
              <w:bottom w:val="nil"/>
            </w:tcBorders>
            <w:noWrap/>
            <w:hideMark/>
          </w:tcPr>
          <w:p w14:paraId="1D45641D"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164,176 </w:t>
            </w:r>
          </w:p>
        </w:tc>
        <w:tc>
          <w:tcPr>
            <w:tcW w:w="427" w:type="pct"/>
            <w:tcBorders>
              <w:bottom w:val="nil"/>
            </w:tcBorders>
            <w:noWrap/>
            <w:hideMark/>
          </w:tcPr>
          <w:p w14:paraId="0A1E7C7D"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162,855 </w:t>
            </w:r>
          </w:p>
        </w:tc>
        <w:tc>
          <w:tcPr>
            <w:tcW w:w="427" w:type="pct"/>
            <w:tcBorders>
              <w:bottom w:val="nil"/>
            </w:tcBorders>
            <w:noWrap/>
            <w:hideMark/>
          </w:tcPr>
          <w:p w14:paraId="4E9A739E"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171,078 </w:t>
            </w:r>
          </w:p>
        </w:tc>
        <w:tc>
          <w:tcPr>
            <w:tcW w:w="427" w:type="pct"/>
            <w:tcBorders>
              <w:bottom w:val="nil"/>
            </w:tcBorders>
            <w:noWrap/>
            <w:hideMark/>
          </w:tcPr>
          <w:p w14:paraId="165254AF"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177,236 </w:t>
            </w:r>
          </w:p>
        </w:tc>
        <w:tc>
          <w:tcPr>
            <w:tcW w:w="427" w:type="pct"/>
            <w:tcBorders>
              <w:bottom w:val="nil"/>
            </w:tcBorders>
            <w:noWrap/>
            <w:hideMark/>
          </w:tcPr>
          <w:p w14:paraId="6F8780B5"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180,856 </w:t>
            </w:r>
          </w:p>
        </w:tc>
      </w:tr>
      <w:tr w:rsidR="00E95468" w:rsidRPr="001E529F" w14:paraId="2A30DC62" w14:textId="77777777" w:rsidTr="00297129">
        <w:trPr>
          <w:trHeight w:val="300"/>
        </w:trPr>
        <w:tc>
          <w:tcPr>
            <w:cnfStyle w:val="001000000000" w:firstRow="0" w:lastRow="0" w:firstColumn="1" w:lastColumn="0" w:oddVBand="0" w:evenVBand="0" w:oddHBand="0" w:evenHBand="0" w:firstRowFirstColumn="0" w:firstRowLastColumn="0" w:lastRowFirstColumn="0" w:lastRowLastColumn="0"/>
            <w:tcW w:w="1523" w:type="pct"/>
            <w:vMerge/>
            <w:shd w:val="clear" w:color="auto" w:fill="auto"/>
            <w:hideMark/>
          </w:tcPr>
          <w:p w14:paraId="06D25C4F" w14:textId="77777777" w:rsidR="007D17BD" w:rsidRPr="007D17BD" w:rsidRDefault="007D17BD" w:rsidP="007D17BD">
            <w:pPr>
              <w:rPr>
                <w:rFonts w:eastAsia="Times New Roman" w:cs="Times New Roman"/>
                <w:color w:val="000000"/>
                <w:szCs w:val="24"/>
                <w:lang w:eastAsia="en-AU"/>
              </w:rPr>
            </w:pPr>
          </w:p>
        </w:tc>
        <w:tc>
          <w:tcPr>
            <w:tcW w:w="1342" w:type="pct"/>
            <w:tcBorders>
              <w:top w:val="nil"/>
              <w:bottom w:val="single" w:sz="4" w:space="0" w:color="666666" w:themeColor="text1" w:themeTint="99"/>
            </w:tcBorders>
            <w:noWrap/>
            <w:hideMark/>
          </w:tcPr>
          <w:p w14:paraId="4F2BF31A" w14:textId="39D09CF1" w:rsidR="007D17BD" w:rsidRPr="007D17BD" w:rsidRDefault="007D17BD" w:rsidP="007D17B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427" w:type="pct"/>
            <w:tcBorders>
              <w:top w:val="nil"/>
              <w:bottom w:val="single" w:sz="4" w:space="0" w:color="666666" w:themeColor="text1" w:themeTint="99"/>
            </w:tcBorders>
            <w:noWrap/>
            <w:hideMark/>
          </w:tcPr>
          <w:p w14:paraId="641A1352"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6,628 </w:t>
            </w:r>
          </w:p>
        </w:tc>
        <w:tc>
          <w:tcPr>
            <w:tcW w:w="427" w:type="pct"/>
            <w:tcBorders>
              <w:top w:val="nil"/>
              <w:bottom w:val="single" w:sz="4" w:space="0" w:color="666666" w:themeColor="text1" w:themeTint="99"/>
            </w:tcBorders>
            <w:noWrap/>
            <w:hideMark/>
          </w:tcPr>
          <w:p w14:paraId="576419B0"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6,468 </w:t>
            </w:r>
          </w:p>
        </w:tc>
        <w:tc>
          <w:tcPr>
            <w:tcW w:w="427" w:type="pct"/>
            <w:tcBorders>
              <w:top w:val="nil"/>
              <w:bottom w:val="single" w:sz="4" w:space="0" w:color="666666" w:themeColor="text1" w:themeTint="99"/>
            </w:tcBorders>
            <w:noWrap/>
            <w:hideMark/>
          </w:tcPr>
          <w:p w14:paraId="363A5A2B"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6,703 </w:t>
            </w:r>
          </w:p>
        </w:tc>
        <w:tc>
          <w:tcPr>
            <w:tcW w:w="427" w:type="pct"/>
            <w:tcBorders>
              <w:top w:val="nil"/>
              <w:bottom w:val="single" w:sz="4" w:space="0" w:color="666666" w:themeColor="text1" w:themeTint="99"/>
            </w:tcBorders>
            <w:noWrap/>
            <w:hideMark/>
          </w:tcPr>
          <w:p w14:paraId="77A1E64E"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6,898 </w:t>
            </w:r>
          </w:p>
        </w:tc>
        <w:tc>
          <w:tcPr>
            <w:tcW w:w="427" w:type="pct"/>
            <w:tcBorders>
              <w:top w:val="nil"/>
              <w:bottom w:val="single" w:sz="4" w:space="0" w:color="666666" w:themeColor="text1" w:themeTint="99"/>
            </w:tcBorders>
            <w:noWrap/>
            <w:hideMark/>
          </w:tcPr>
          <w:p w14:paraId="190D3181"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7,019 </w:t>
            </w:r>
          </w:p>
        </w:tc>
      </w:tr>
      <w:tr w:rsidR="00E95468" w:rsidRPr="001E529F" w14:paraId="546A0956" w14:textId="77777777" w:rsidTr="002971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3" w:type="pct"/>
            <w:vMerge w:val="restart"/>
            <w:shd w:val="clear" w:color="auto" w:fill="auto"/>
            <w:hideMark/>
          </w:tcPr>
          <w:p w14:paraId="2F83701F" w14:textId="3F72E32C" w:rsidR="007D17BD" w:rsidRPr="007D17BD" w:rsidRDefault="007D17BD" w:rsidP="007D17BD">
            <w:pPr>
              <w:rPr>
                <w:rFonts w:eastAsia="Times New Roman" w:cs="Times New Roman"/>
                <w:color w:val="000000"/>
                <w:szCs w:val="24"/>
                <w:lang w:eastAsia="en-AU"/>
              </w:rPr>
            </w:pPr>
            <w:r w:rsidRPr="007D17BD">
              <w:rPr>
                <w:rFonts w:eastAsia="Times New Roman" w:cs="Times New Roman"/>
                <w:color w:val="000000"/>
                <w:szCs w:val="24"/>
                <w:lang w:eastAsia="en-AU"/>
              </w:rPr>
              <w:t xml:space="preserve">Paracetamol </w:t>
            </w:r>
          </w:p>
        </w:tc>
        <w:tc>
          <w:tcPr>
            <w:tcW w:w="1342" w:type="pct"/>
            <w:tcBorders>
              <w:bottom w:val="nil"/>
            </w:tcBorders>
            <w:noWrap/>
            <w:hideMark/>
          </w:tcPr>
          <w:p w14:paraId="60712AE7" w14:textId="08A2390B" w:rsidR="007D17BD" w:rsidRPr="007D17BD" w:rsidRDefault="007D17BD" w:rsidP="007D17B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427" w:type="pct"/>
            <w:tcBorders>
              <w:bottom w:val="nil"/>
            </w:tcBorders>
            <w:noWrap/>
            <w:hideMark/>
          </w:tcPr>
          <w:p w14:paraId="7087D15B"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16,573 </w:t>
            </w:r>
          </w:p>
        </w:tc>
        <w:tc>
          <w:tcPr>
            <w:tcW w:w="427" w:type="pct"/>
            <w:tcBorders>
              <w:bottom w:val="nil"/>
            </w:tcBorders>
            <w:noWrap/>
            <w:hideMark/>
          </w:tcPr>
          <w:p w14:paraId="2577906A"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15,406 </w:t>
            </w:r>
          </w:p>
        </w:tc>
        <w:tc>
          <w:tcPr>
            <w:tcW w:w="427" w:type="pct"/>
            <w:tcBorders>
              <w:bottom w:val="nil"/>
            </w:tcBorders>
            <w:noWrap/>
            <w:hideMark/>
          </w:tcPr>
          <w:p w14:paraId="76EBEBD3"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16,779 </w:t>
            </w:r>
          </w:p>
        </w:tc>
        <w:tc>
          <w:tcPr>
            <w:tcW w:w="427" w:type="pct"/>
            <w:tcBorders>
              <w:bottom w:val="nil"/>
            </w:tcBorders>
            <w:noWrap/>
            <w:hideMark/>
          </w:tcPr>
          <w:p w14:paraId="53C2FC21"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16,343 </w:t>
            </w:r>
          </w:p>
        </w:tc>
        <w:tc>
          <w:tcPr>
            <w:tcW w:w="427" w:type="pct"/>
            <w:tcBorders>
              <w:bottom w:val="nil"/>
            </w:tcBorders>
            <w:noWrap/>
            <w:hideMark/>
          </w:tcPr>
          <w:p w14:paraId="7A4F6F34"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18,296 </w:t>
            </w:r>
          </w:p>
        </w:tc>
      </w:tr>
      <w:tr w:rsidR="00E95468" w:rsidRPr="001E529F" w14:paraId="1900EBA6" w14:textId="77777777" w:rsidTr="00297129">
        <w:trPr>
          <w:trHeight w:val="300"/>
        </w:trPr>
        <w:tc>
          <w:tcPr>
            <w:cnfStyle w:val="001000000000" w:firstRow="0" w:lastRow="0" w:firstColumn="1" w:lastColumn="0" w:oddVBand="0" w:evenVBand="0" w:oddHBand="0" w:evenHBand="0" w:firstRowFirstColumn="0" w:firstRowLastColumn="0" w:lastRowFirstColumn="0" w:lastRowLastColumn="0"/>
            <w:tcW w:w="1523" w:type="pct"/>
            <w:vMerge/>
            <w:shd w:val="clear" w:color="auto" w:fill="auto"/>
            <w:hideMark/>
          </w:tcPr>
          <w:p w14:paraId="02F5145E" w14:textId="77777777" w:rsidR="007D17BD" w:rsidRPr="007D17BD" w:rsidRDefault="007D17BD" w:rsidP="007D17BD">
            <w:pPr>
              <w:rPr>
                <w:rFonts w:eastAsia="Times New Roman" w:cs="Times New Roman"/>
                <w:color w:val="000000"/>
                <w:szCs w:val="24"/>
                <w:lang w:eastAsia="en-AU"/>
              </w:rPr>
            </w:pPr>
          </w:p>
        </w:tc>
        <w:tc>
          <w:tcPr>
            <w:tcW w:w="1342" w:type="pct"/>
            <w:tcBorders>
              <w:top w:val="nil"/>
              <w:bottom w:val="single" w:sz="4" w:space="0" w:color="666666" w:themeColor="text1" w:themeTint="99"/>
            </w:tcBorders>
            <w:noWrap/>
            <w:hideMark/>
          </w:tcPr>
          <w:p w14:paraId="0F1B11C0" w14:textId="0BCC9D62" w:rsidR="007D17BD" w:rsidRPr="007D17BD" w:rsidRDefault="007D17BD" w:rsidP="007D17B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427" w:type="pct"/>
            <w:tcBorders>
              <w:top w:val="nil"/>
              <w:bottom w:val="single" w:sz="4" w:space="0" w:color="666666" w:themeColor="text1" w:themeTint="99"/>
            </w:tcBorders>
            <w:noWrap/>
            <w:hideMark/>
          </w:tcPr>
          <w:p w14:paraId="1C849DB0"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669 </w:t>
            </w:r>
          </w:p>
        </w:tc>
        <w:tc>
          <w:tcPr>
            <w:tcW w:w="427" w:type="pct"/>
            <w:tcBorders>
              <w:top w:val="nil"/>
              <w:bottom w:val="single" w:sz="4" w:space="0" w:color="666666" w:themeColor="text1" w:themeTint="99"/>
            </w:tcBorders>
            <w:noWrap/>
            <w:hideMark/>
          </w:tcPr>
          <w:p w14:paraId="26A2367D"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612 </w:t>
            </w:r>
          </w:p>
        </w:tc>
        <w:tc>
          <w:tcPr>
            <w:tcW w:w="427" w:type="pct"/>
            <w:tcBorders>
              <w:top w:val="nil"/>
              <w:bottom w:val="single" w:sz="4" w:space="0" w:color="666666" w:themeColor="text1" w:themeTint="99"/>
            </w:tcBorders>
            <w:noWrap/>
            <w:hideMark/>
          </w:tcPr>
          <w:p w14:paraId="3811332D"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657 </w:t>
            </w:r>
          </w:p>
        </w:tc>
        <w:tc>
          <w:tcPr>
            <w:tcW w:w="427" w:type="pct"/>
            <w:tcBorders>
              <w:top w:val="nil"/>
              <w:bottom w:val="single" w:sz="4" w:space="0" w:color="666666" w:themeColor="text1" w:themeTint="99"/>
            </w:tcBorders>
            <w:noWrap/>
            <w:hideMark/>
          </w:tcPr>
          <w:p w14:paraId="06E5100E"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636 </w:t>
            </w:r>
          </w:p>
        </w:tc>
        <w:tc>
          <w:tcPr>
            <w:tcW w:w="427" w:type="pct"/>
            <w:tcBorders>
              <w:top w:val="nil"/>
              <w:bottom w:val="single" w:sz="4" w:space="0" w:color="666666" w:themeColor="text1" w:themeTint="99"/>
            </w:tcBorders>
            <w:noWrap/>
            <w:hideMark/>
          </w:tcPr>
          <w:p w14:paraId="1CA5A03C"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710 </w:t>
            </w:r>
          </w:p>
        </w:tc>
      </w:tr>
      <w:tr w:rsidR="00E95468" w:rsidRPr="001E529F" w14:paraId="13336A49" w14:textId="77777777" w:rsidTr="0029712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23" w:type="pct"/>
            <w:vMerge w:val="restart"/>
            <w:shd w:val="clear" w:color="auto" w:fill="auto"/>
            <w:hideMark/>
          </w:tcPr>
          <w:p w14:paraId="535D0E94" w14:textId="3581F6E9" w:rsidR="007D17BD" w:rsidRPr="007D17BD" w:rsidRDefault="007D17BD" w:rsidP="007D17BD">
            <w:pPr>
              <w:rPr>
                <w:rFonts w:eastAsia="Times New Roman" w:cs="Times New Roman"/>
                <w:color w:val="000000"/>
                <w:szCs w:val="24"/>
                <w:lang w:eastAsia="en-AU"/>
              </w:rPr>
            </w:pPr>
            <w:r w:rsidRPr="007D17BD">
              <w:rPr>
                <w:rFonts w:eastAsia="Times New Roman" w:cs="Times New Roman"/>
                <w:color w:val="000000"/>
                <w:szCs w:val="24"/>
                <w:lang w:eastAsia="en-AU"/>
              </w:rPr>
              <w:t xml:space="preserve">Paracetamol deliberate </w:t>
            </w:r>
          </w:p>
        </w:tc>
        <w:tc>
          <w:tcPr>
            <w:tcW w:w="1342" w:type="pct"/>
            <w:tcBorders>
              <w:bottom w:val="nil"/>
            </w:tcBorders>
            <w:noWrap/>
            <w:hideMark/>
          </w:tcPr>
          <w:p w14:paraId="34052459" w14:textId="30E3BE52" w:rsidR="007D17BD" w:rsidRPr="007D17BD" w:rsidRDefault="007D17BD" w:rsidP="007D17B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Total number</w:t>
            </w:r>
          </w:p>
        </w:tc>
        <w:tc>
          <w:tcPr>
            <w:tcW w:w="427" w:type="pct"/>
            <w:tcBorders>
              <w:bottom w:val="nil"/>
            </w:tcBorders>
            <w:noWrap/>
            <w:hideMark/>
          </w:tcPr>
          <w:p w14:paraId="44504957"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5,910 </w:t>
            </w:r>
          </w:p>
        </w:tc>
        <w:tc>
          <w:tcPr>
            <w:tcW w:w="427" w:type="pct"/>
            <w:tcBorders>
              <w:bottom w:val="nil"/>
            </w:tcBorders>
            <w:noWrap/>
            <w:hideMark/>
          </w:tcPr>
          <w:p w14:paraId="571A74BB"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5,462 </w:t>
            </w:r>
          </w:p>
        </w:tc>
        <w:tc>
          <w:tcPr>
            <w:tcW w:w="427" w:type="pct"/>
            <w:tcBorders>
              <w:bottom w:val="nil"/>
            </w:tcBorders>
            <w:noWrap/>
            <w:hideMark/>
          </w:tcPr>
          <w:p w14:paraId="2CFD19E1"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5,767 </w:t>
            </w:r>
          </w:p>
        </w:tc>
        <w:tc>
          <w:tcPr>
            <w:tcW w:w="427" w:type="pct"/>
            <w:tcBorders>
              <w:bottom w:val="nil"/>
            </w:tcBorders>
            <w:noWrap/>
            <w:hideMark/>
          </w:tcPr>
          <w:p w14:paraId="04D68E74"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6,629 </w:t>
            </w:r>
          </w:p>
        </w:tc>
        <w:tc>
          <w:tcPr>
            <w:tcW w:w="427" w:type="pct"/>
            <w:tcBorders>
              <w:bottom w:val="nil"/>
            </w:tcBorders>
            <w:noWrap/>
            <w:hideMark/>
          </w:tcPr>
          <w:p w14:paraId="3623B715" w14:textId="77777777" w:rsidR="007D17BD" w:rsidRPr="007D17BD" w:rsidRDefault="007D17BD" w:rsidP="007D17B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7,729 </w:t>
            </w:r>
          </w:p>
        </w:tc>
      </w:tr>
      <w:tr w:rsidR="00E95468" w:rsidRPr="001E529F" w14:paraId="7E16258F" w14:textId="77777777" w:rsidTr="00297129">
        <w:trPr>
          <w:trHeight w:val="300"/>
        </w:trPr>
        <w:tc>
          <w:tcPr>
            <w:cnfStyle w:val="001000000000" w:firstRow="0" w:lastRow="0" w:firstColumn="1" w:lastColumn="0" w:oddVBand="0" w:evenVBand="0" w:oddHBand="0" w:evenHBand="0" w:firstRowFirstColumn="0" w:firstRowLastColumn="0" w:lastRowFirstColumn="0" w:lastRowLastColumn="0"/>
            <w:tcW w:w="1523" w:type="pct"/>
            <w:vMerge/>
            <w:shd w:val="clear" w:color="auto" w:fill="auto"/>
            <w:hideMark/>
          </w:tcPr>
          <w:p w14:paraId="36813B33" w14:textId="77777777" w:rsidR="007D17BD" w:rsidRPr="007D17BD" w:rsidRDefault="007D17BD" w:rsidP="007D17BD">
            <w:pPr>
              <w:rPr>
                <w:rFonts w:eastAsia="Times New Roman" w:cs="Times New Roman"/>
                <w:color w:val="000000"/>
                <w:szCs w:val="24"/>
                <w:lang w:eastAsia="en-AU"/>
              </w:rPr>
            </w:pPr>
          </w:p>
        </w:tc>
        <w:tc>
          <w:tcPr>
            <w:tcW w:w="1342" w:type="pct"/>
            <w:tcBorders>
              <w:top w:val="nil"/>
            </w:tcBorders>
            <w:noWrap/>
            <w:hideMark/>
          </w:tcPr>
          <w:p w14:paraId="16C8F4B6" w14:textId="7B508C6B" w:rsidR="007D17BD" w:rsidRPr="007D17BD" w:rsidRDefault="007D17BD" w:rsidP="007D17B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Number per </w:t>
            </w:r>
            <w:r w:rsidR="00A65D38">
              <w:rPr>
                <w:rFonts w:eastAsia="Times New Roman" w:cs="Times New Roman"/>
                <w:color w:val="000000"/>
                <w:szCs w:val="24"/>
                <w:lang w:eastAsia="en-AU"/>
              </w:rPr>
              <w:t>million</w:t>
            </w:r>
            <w:r w:rsidRPr="007D17BD">
              <w:rPr>
                <w:rFonts w:eastAsia="Times New Roman" w:cs="Times New Roman"/>
                <w:color w:val="000000"/>
                <w:szCs w:val="24"/>
                <w:lang w:eastAsia="en-AU"/>
              </w:rPr>
              <w:t xml:space="preserve"> people</w:t>
            </w:r>
          </w:p>
        </w:tc>
        <w:tc>
          <w:tcPr>
            <w:tcW w:w="427" w:type="pct"/>
            <w:tcBorders>
              <w:top w:val="nil"/>
            </w:tcBorders>
            <w:noWrap/>
            <w:hideMark/>
          </w:tcPr>
          <w:p w14:paraId="3660B426"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239 </w:t>
            </w:r>
          </w:p>
        </w:tc>
        <w:tc>
          <w:tcPr>
            <w:tcW w:w="427" w:type="pct"/>
            <w:tcBorders>
              <w:top w:val="nil"/>
            </w:tcBorders>
            <w:noWrap/>
            <w:hideMark/>
          </w:tcPr>
          <w:p w14:paraId="36EBDAF7"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217 </w:t>
            </w:r>
          </w:p>
        </w:tc>
        <w:tc>
          <w:tcPr>
            <w:tcW w:w="427" w:type="pct"/>
            <w:tcBorders>
              <w:top w:val="nil"/>
            </w:tcBorders>
            <w:noWrap/>
            <w:hideMark/>
          </w:tcPr>
          <w:p w14:paraId="113C024F"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226 </w:t>
            </w:r>
          </w:p>
        </w:tc>
        <w:tc>
          <w:tcPr>
            <w:tcW w:w="427" w:type="pct"/>
            <w:tcBorders>
              <w:top w:val="nil"/>
            </w:tcBorders>
            <w:noWrap/>
            <w:hideMark/>
          </w:tcPr>
          <w:p w14:paraId="46315C9A"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258 </w:t>
            </w:r>
          </w:p>
        </w:tc>
        <w:tc>
          <w:tcPr>
            <w:tcW w:w="427" w:type="pct"/>
            <w:tcBorders>
              <w:top w:val="nil"/>
            </w:tcBorders>
            <w:noWrap/>
            <w:hideMark/>
          </w:tcPr>
          <w:p w14:paraId="6EBA59DB" w14:textId="77777777" w:rsidR="007D17BD" w:rsidRPr="007D17BD" w:rsidRDefault="007D17BD" w:rsidP="007D17B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7D17BD">
              <w:rPr>
                <w:rFonts w:eastAsia="Times New Roman" w:cs="Times New Roman"/>
                <w:color w:val="000000"/>
                <w:szCs w:val="24"/>
                <w:lang w:eastAsia="en-AU"/>
              </w:rPr>
              <w:t xml:space="preserve"> 300 </w:t>
            </w:r>
          </w:p>
        </w:tc>
      </w:tr>
    </w:tbl>
    <w:p w14:paraId="18E67342" w14:textId="6484FF3E" w:rsidR="008910CC" w:rsidRDefault="009F6ABE" w:rsidP="008910CC">
      <w:pPr>
        <w:pStyle w:val="Tablenote"/>
      </w:pPr>
      <w:r>
        <w:t>Combined PIC data from Appendix D</w:t>
      </w:r>
      <w:r w:rsidR="00344960">
        <w:t xml:space="preserve"> and is based on calendar year. </w:t>
      </w:r>
      <w:r w:rsidR="00EF4870">
        <w:t xml:space="preserve">Population data </w:t>
      </w:r>
      <w:r w:rsidR="00C618E8">
        <w:t xml:space="preserve">was sourced through the ABS: </w:t>
      </w:r>
      <w:hyperlink r:id="rId61" w:history="1">
        <w:r w:rsidR="002B59D3" w:rsidRPr="00545509">
          <w:rPr>
            <w:rStyle w:val="Hyperlink"/>
          </w:rPr>
          <w:t>www.abs.gov.au/statistics/people/population/national-state-and-territory-population</w:t>
        </w:r>
      </w:hyperlink>
      <w:r w:rsidR="002B59D3">
        <w:t xml:space="preserve"> </w:t>
      </w:r>
    </w:p>
    <w:p w14:paraId="313CFFFB" w14:textId="49894536" w:rsidR="00D01CF1" w:rsidRDefault="00D55C18" w:rsidP="00B64301">
      <w:pPr>
        <w:pStyle w:val="Caption"/>
      </w:pPr>
      <w:bookmarkStart w:id="123" w:name="_Toc114560142"/>
      <w:r>
        <w:t xml:space="preserve">Table </w:t>
      </w:r>
      <w:r>
        <w:fldChar w:fldCharType="begin"/>
      </w:r>
      <w:r>
        <w:instrText>SEQ Table \* ARABIC</w:instrText>
      </w:r>
      <w:r>
        <w:fldChar w:fldCharType="separate"/>
      </w:r>
      <w:r w:rsidR="0091734E">
        <w:rPr>
          <w:noProof/>
        </w:rPr>
        <w:t>27</w:t>
      </w:r>
      <w:r>
        <w:fldChar w:fldCharType="end"/>
      </w:r>
      <w:r w:rsidRPr="0091560A">
        <w:t xml:space="preserve">. </w:t>
      </w:r>
      <w:r w:rsidR="00D01CF1">
        <w:t>Intentional single ingredient paracetamol poisoning exposure events by gender and age reported to NSW PIC</w:t>
      </w:r>
      <w:r w:rsidR="00F74A35">
        <w:t xml:space="preserve"> by head of population</w:t>
      </w:r>
      <w:bookmarkEnd w:id="123"/>
    </w:p>
    <w:tbl>
      <w:tblPr>
        <w:tblStyle w:val="ListTable2"/>
        <w:tblW w:w="5000" w:type="pct"/>
        <w:tblLook w:val="04A0" w:firstRow="1" w:lastRow="0" w:firstColumn="1" w:lastColumn="0" w:noHBand="0" w:noVBand="1"/>
      </w:tblPr>
      <w:tblGrid>
        <w:gridCol w:w="2694"/>
        <w:gridCol w:w="2674"/>
        <w:gridCol w:w="1718"/>
        <w:gridCol w:w="1718"/>
        <w:gridCol w:w="1718"/>
        <w:gridCol w:w="1718"/>
        <w:gridCol w:w="1718"/>
      </w:tblGrid>
      <w:tr w:rsidR="0094482F" w:rsidRPr="00CD4EB3" w14:paraId="2BCB98F0" w14:textId="77777777" w:rsidTr="0094482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shd w:val="clear" w:color="auto" w:fill="595959" w:themeFill="text1" w:themeFillTint="A6"/>
            <w:noWrap/>
            <w:hideMark/>
          </w:tcPr>
          <w:p w14:paraId="749F7920" w14:textId="77777777" w:rsidR="0094482F" w:rsidRPr="00445FBC" w:rsidRDefault="0094482F" w:rsidP="00CD4EB3">
            <w:pPr>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Age</w:t>
            </w:r>
          </w:p>
        </w:tc>
        <w:tc>
          <w:tcPr>
            <w:tcW w:w="2674" w:type="dxa"/>
            <w:shd w:val="clear" w:color="auto" w:fill="595959" w:themeFill="text1" w:themeFillTint="A6"/>
            <w:noWrap/>
            <w:hideMark/>
          </w:tcPr>
          <w:p w14:paraId="24F6A927" w14:textId="5952BA82" w:rsidR="0094482F" w:rsidRPr="00445FBC" w:rsidRDefault="0094482F" w:rsidP="00CD4EB3">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Measure</w:t>
            </w:r>
          </w:p>
        </w:tc>
        <w:tc>
          <w:tcPr>
            <w:tcW w:w="1718" w:type="dxa"/>
            <w:shd w:val="clear" w:color="auto" w:fill="595959" w:themeFill="text1" w:themeFillTint="A6"/>
            <w:noWrap/>
            <w:hideMark/>
          </w:tcPr>
          <w:p w14:paraId="25C3FFA2" w14:textId="77777777" w:rsidR="0094482F" w:rsidRPr="00445FBC" w:rsidRDefault="0094482F" w:rsidP="00CD4EB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2017</w:t>
            </w:r>
          </w:p>
        </w:tc>
        <w:tc>
          <w:tcPr>
            <w:tcW w:w="1718" w:type="dxa"/>
            <w:shd w:val="clear" w:color="auto" w:fill="595959" w:themeFill="text1" w:themeFillTint="A6"/>
            <w:noWrap/>
            <w:hideMark/>
          </w:tcPr>
          <w:p w14:paraId="6B32A1BF" w14:textId="77777777" w:rsidR="0094482F" w:rsidRPr="00445FBC" w:rsidRDefault="0094482F" w:rsidP="00CD4EB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2018</w:t>
            </w:r>
          </w:p>
        </w:tc>
        <w:tc>
          <w:tcPr>
            <w:tcW w:w="1718" w:type="dxa"/>
            <w:shd w:val="clear" w:color="auto" w:fill="595959" w:themeFill="text1" w:themeFillTint="A6"/>
            <w:noWrap/>
            <w:hideMark/>
          </w:tcPr>
          <w:p w14:paraId="1074098F" w14:textId="77777777" w:rsidR="0094482F" w:rsidRPr="00445FBC" w:rsidRDefault="0094482F" w:rsidP="00CD4EB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2019</w:t>
            </w:r>
          </w:p>
        </w:tc>
        <w:tc>
          <w:tcPr>
            <w:tcW w:w="1718" w:type="dxa"/>
            <w:shd w:val="clear" w:color="auto" w:fill="595959" w:themeFill="text1" w:themeFillTint="A6"/>
            <w:noWrap/>
            <w:hideMark/>
          </w:tcPr>
          <w:p w14:paraId="4E9F7F73" w14:textId="77777777" w:rsidR="0094482F" w:rsidRPr="00445FBC" w:rsidRDefault="0094482F" w:rsidP="00CD4EB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2020</w:t>
            </w:r>
          </w:p>
        </w:tc>
        <w:tc>
          <w:tcPr>
            <w:tcW w:w="1718" w:type="dxa"/>
            <w:shd w:val="clear" w:color="auto" w:fill="595959" w:themeFill="text1" w:themeFillTint="A6"/>
            <w:noWrap/>
            <w:hideMark/>
          </w:tcPr>
          <w:p w14:paraId="57E94A13" w14:textId="77777777" w:rsidR="0094482F" w:rsidRPr="00445FBC" w:rsidRDefault="0094482F" w:rsidP="00CD4EB3">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445FBC">
              <w:rPr>
                <w:rFonts w:eastAsia="Times New Roman" w:cs="Times New Roman"/>
                <w:color w:val="FFFFFF" w:themeColor="background1"/>
                <w:szCs w:val="24"/>
                <w:lang w:eastAsia="en-AU"/>
              </w:rPr>
              <w:t>2021</w:t>
            </w:r>
          </w:p>
        </w:tc>
      </w:tr>
      <w:tr w:rsidR="0094482F" w:rsidRPr="00CD4EB3" w14:paraId="20CF4B61"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13E0D0D4" w14:textId="77777777" w:rsidR="0094482F" w:rsidRPr="00E95468" w:rsidRDefault="0094482F" w:rsidP="00CD4EB3">
            <w:pPr>
              <w:rPr>
                <w:rFonts w:eastAsia="Times New Roman" w:cs="Times New Roman"/>
                <w:color w:val="000000"/>
                <w:szCs w:val="24"/>
                <w:lang w:eastAsia="en-AU"/>
              </w:rPr>
            </w:pPr>
            <w:r w:rsidRPr="00E95468">
              <w:rPr>
                <w:rFonts w:eastAsia="Times New Roman" w:cs="Times New Roman"/>
                <w:color w:val="000000"/>
                <w:szCs w:val="24"/>
                <w:lang w:eastAsia="en-AU"/>
              </w:rPr>
              <w:t>5 - 14 years female</w:t>
            </w:r>
          </w:p>
        </w:tc>
        <w:tc>
          <w:tcPr>
            <w:tcW w:w="2674" w:type="dxa"/>
            <w:noWrap/>
            <w:hideMark/>
          </w:tcPr>
          <w:p w14:paraId="32B81F45" w14:textId="3499D5F3" w:rsidR="0094482F" w:rsidRPr="00E95468" w:rsidRDefault="0094482F" w:rsidP="00CD4E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w:t>
            </w:r>
            <w:r w:rsidR="00A760CD">
              <w:rPr>
                <w:rFonts w:eastAsia="Times New Roman" w:cs="Times New Roman"/>
                <w:color w:val="000000"/>
                <w:szCs w:val="24"/>
                <w:lang w:eastAsia="en-AU"/>
              </w:rPr>
              <w:t xml:space="preserve"> (NSW)</w:t>
            </w:r>
          </w:p>
        </w:tc>
        <w:tc>
          <w:tcPr>
            <w:tcW w:w="1718" w:type="dxa"/>
            <w:noWrap/>
            <w:hideMark/>
          </w:tcPr>
          <w:p w14:paraId="5C947421"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219</w:t>
            </w:r>
          </w:p>
        </w:tc>
        <w:tc>
          <w:tcPr>
            <w:tcW w:w="1718" w:type="dxa"/>
            <w:noWrap/>
            <w:hideMark/>
          </w:tcPr>
          <w:p w14:paraId="4637FC91"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217</w:t>
            </w:r>
          </w:p>
        </w:tc>
        <w:tc>
          <w:tcPr>
            <w:tcW w:w="1718" w:type="dxa"/>
            <w:noWrap/>
            <w:hideMark/>
          </w:tcPr>
          <w:p w14:paraId="6CE113B3"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216</w:t>
            </w:r>
          </w:p>
        </w:tc>
        <w:tc>
          <w:tcPr>
            <w:tcW w:w="1718" w:type="dxa"/>
            <w:noWrap/>
            <w:hideMark/>
          </w:tcPr>
          <w:p w14:paraId="11BDAFBE"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352</w:t>
            </w:r>
          </w:p>
        </w:tc>
        <w:tc>
          <w:tcPr>
            <w:tcW w:w="1718" w:type="dxa"/>
            <w:noWrap/>
            <w:hideMark/>
          </w:tcPr>
          <w:p w14:paraId="350BCD49"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577</w:t>
            </w:r>
          </w:p>
        </w:tc>
      </w:tr>
      <w:tr w:rsidR="0094482F" w:rsidRPr="00CD4EB3" w14:paraId="26234F78"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425D9E69" w14:textId="77777777" w:rsidR="0094482F" w:rsidRPr="00E95468" w:rsidRDefault="0094482F" w:rsidP="00CD4EB3">
            <w:pPr>
              <w:rPr>
                <w:rFonts w:eastAsia="Times New Roman" w:cs="Times New Roman"/>
                <w:color w:val="000000"/>
                <w:szCs w:val="24"/>
                <w:lang w:eastAsia="en-AU"/>
              </w:rPr>
            </w:pPr>
          </w:p>
        </w:tc>
        <w:tc>
          <w:tcPr>
            <w:tcW w:w="2674" w:type="dxa"/>
            <w:hideMark/>
          </w:tcPr>
          <w:p w14:paraId="1C92F218" w14:textId="68D011C2" w:rsidR="0094482F" w:rsidRPr="00E95468" w:rsidRDefault="0094482F" w:rsidP="00CD4EB3">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w:t>
            </w:r>
            <w:r w:rsidR="00A760CD">
              <w:rPr>
                <w:rFonts w:eastAsia="Times New Roman" w:cs="Times New Roman"/>
                <w:color w:val="000000"/>
                <w:szCs w:val="24"/>
                <w:lang w:eastAsia="en-AU"/>
              </w:rPr>
              <w:t xml:space="preserve"> (Aus)</w:t>
            </w:r>
          </w:p>
        </w:tc>
        <w:tc>
          <w:tcPr>
            <w:tcW w:w="1718" w:type="dxa"/>
            <w:noWrap/>
            <w:hideMark/>
          </w:tcPr>
          <w:p w14:paraId="4C5E554A" w14:textId="77777777" w:rsidR="0094482F" w:rsidRPr="00E95468" w:rsidRDefault="0094482F" w:rsidP="00CD4EB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476</w:t>
            </w:r>
          </w:p>
        </w:tc>
        <w:tc>
          <w:tcPr>
            <w:tcW w:w="1718" w:type="dxa"/>
            <w:noWrap/>
            <w:hideMark/>
          </w:tcPr>
          <w:p w14:paraId="59FAD82A" w14:textId="77777777" w:rsidR="0094482F" w:rsidRPr="00E95468" w:rsidRDefault="0094482F" w:rsidP="00CD4EB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472</w:t>
            </w:r>
          </w:p>
        </w:tc>
        <w:tc>
          <w:tcPr>
            <w:tcW w:w="1718" w:type="dxa"/>
            <w:noWrap/>
            <w:hideMark/>
          </w:tcPr>
          <w:p w14:paraId="0743ACC3" w14:textId="77777777" w:rsidR="0094482F" w:rsidRPr="00E95468" w:rsidRDefault="0094482F" w:rsidP="00CD4EB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470</w:t>
            </w:r>
          </w:p>
        </w:tc>
        <w:tc>
          <w:tcPr>
            <w:tcW w:w="1718" w:type="dxa"/>
            <w:noWrap/>
            <w:hideMark/>
          </w:tcPr>
          <w:p w14:paraId="4A475EB9" w14:textId="77777777" w:rsidR="0094482F" w:rsidRPr="00E95468" w:rsidRDefault="0094482F" w:rsidP="00CD4EB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765</w:t>
            </w:r>
          </w:p>
        </w:tc>
        <w:tc>
          <w:tcPr>
            <w:tcW w:w="1718" w:type="dxa"/>
            <w:noWrap/>
            <w:hideMark/>
          </w:tcPr>
          <w:p w14:paraId="2F09CDA7" w14:textId="77777777" w:rsidR="0094482F" w:rsidRPr="00E95468" w:rsidRDefault="0094482F" w:rsidP="00CD4EB3">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1254</w:t>
            </w:r>
          </w:p>
        </w:tc>
      </w:tr>
      <w:tr w:rsidR="0094482F" w:rsidRPr="00CD4EB3" w14:paraId="025BB744"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79CD6098" w14:textId="77777777" w:rsidR="0094482F" w:rsidRPr="00E95468" w:rsidRDefault="0094482F" w:rsidP="00CD4EB3">
            <w:pPr>
              <w:rPr>
                <w:rFonts w:eastAsia="Times New Roman" w:cs="Times New Roman"/>
                <w:color w:val="000000"/>
                <w:szCs w:val="24"/>
                <w:lang w:eastAsia="en-AU"/>
              </w:rPr>
            </w:pPr>
          </w:p>
        </w:tc>
        <w:tc>
          <w:tcPr>
            <w:tcW w:w="2674" w:type="dxa"/>
            <w:hideMark/>
          </w:tcPr>
          <w:p w14:paraId="56FF8FF8" w14:textId="7F0238E0" w:rsidR="0094482F" w:rsidRPr="00E95468" w:rsidRDefault="0094482F" w:rsidP="00CD4EB3">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2542F489"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320 </w:t>
            </w:r>
          </w:p>
        </w:tc>
        <w:tc>
          <w:tcPr>
            <w:tcW w:w="1718" w:type="dxa"/>
            <w:noWrap/>
            <w:hideMark/>
          </w:tcPr>
          <w:p w14:paraId="14AC04A3"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311 </w:t>
            </w:r>
          </w:p>
        </w:tc>
        <w:tc>
          <w:tcPr>
            <w:tcW w:w="1718" w:type="dxa"/>
            <w:noWrap/>
            <w:hideMark/>
          </w:tcPr>
          <w:p w14:paraId="263AA507"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304 </w:t>
            </w:r>
          </w:p>
        </w:tc>
        <w:tc>
          <w:tcPr>
            <w:tcW w:w="1718" w:type="dxa"/>
            <w:noWrap/>
            <w:hideMark/>
          </w:tcPr>
          <w:p w14:paraId="32D9BFC8"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489 </w:t>
            </w:r>
          </w:p>
        </w:tc>
        <w:tc>
          <w:tcPr>
            <w:tcW w:w="1718" w:type="dxa"/>
            <w:noWrap/>
            <w:hideMark/>
          </w:tcPr>
          <w:p w14:paraId="669F2502" w14:textId="77777777" w:rsidR="0094482F" w:rsidRPr="00E95468" w:rsidRDefault="0094482F" w:rsidP="00CD4EB3">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797 </w:t>
            </w:r>
          </w:p>
        </w:tc>
      </w:tr>
      <w:tr w:rsidR="00A760CD" w:rsidRPr="00CD4EB3" w14:paraId="1AAE40CF"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6F2C9279" w14:textId="77777777"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5 - 14 years male</w:t>
            </w:r>
          </w:p>
        </w:tc>
        <w:tc>
          <w:tcPr>
            <w:tcW w:w="2674" w:type="dxa"/>
            <w:noWrap/>
            <w:hideMark/>
          </w:tcPr>
          <w:p w14:paraId="1BFC1635" w14:textId="506ABD0F"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30ECB89C"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31</w:t>
            </w:r>
          </w:p>
        </w:tc>
        <w:tc>
          <w:tcPr>
            <w:tcW w:w="1718" w:type="dxa"/>
            <w:noWrap/>
            <w:hideMark/>
          </w:tcPr>
          <w:p w14:paraId="04730BD9"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28</w:t>
            </w:r>
          </w:p>
        </w:tc>
        <w:tc>
          <w:tcPr>
            <w:tcW w:w="1718" w:type="dxa"/>
            <w:noWrap/>
            <w:hideMark/>
          </w:tcPr>
          <w:p w14:paraId="4C9A28C5"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32</w:t>
            </w:r>
          </w:p>
        </w:tc>
        <w:tc>
          <w:tcPr>
            <w:tcW w:w="1718" w:type="dxa"/>
            <w:noWrap/>
            <w:hideMark/>
          </w:tcPr>
          <w:p w14:paraId="511AFC76"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47</w:t>
            </w:r>
          </w:p>
        </w:tc>
        <w:tc>
          <w:tcPr>
            <w:tcW w:w="1718" w:type="dxa"/>
            <w:noWrap/>
            <w:hideMark/>
          </w:tcPr>
          <w:p w14:paraId="13540E1E"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54</w:t>
            </w:r>
          </w:p>
        </w:tc>
      </w:tr>
      <w:tr w:rsidR="00A760CD" w:rsidRPr="00CD4EB3" w14:paraId="4E9BDF68"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51F2794B" w14:textId="77777777" w:rsidR="00A760CD" w:rsidRPr="00E95468" w:rsidRDefault="00A760CD" w:rsidP="00A760CD">
            <w:pPr>
              <w:rPr>
                <w:rFonts w:eastAsia="Times New Roman" w:cs="Times New Roman"/>
                <w:color w:val="000000"/>
                <w:szCs w:val="24"/>
                <w:lang w:eastAsia="en-AU"/>
              </w:rPr>
            </w:pPr>
          </w:p>
        </w:tc>
        <w:tc>
          <w:tcPr>
            <w:tcW w:w="2674" w:type="dxa"/>
            <w:hideMark/>
          </w:tcPr>
          <w:p w14:paraId="5E2400FF" w14:textId="1FDE16DC"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26470CCE"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67</w:t>
            </w:r>
          </w:p>
        </w:tc>
        <w:tc>
          <w:tcPr>
            <w:tcW w:w="1718" w:type="dxa"/>
            <w:noWrap/>
            <w:hideMark/>
          </w:tcPr>
          <w:p w14:paraId="0EC31055"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61</w:t>
            </w:r>
          </w:p>
        </w:tc>
        <w:tc>
          <w:tcPr>
            <w:tcW w:w="1718" w:type="dxa"/>
            <w:noWrap/>
            <w:hideMark/>
          </w:tcPr>
          <w:p w14:paraId="6C564A05"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70</w:t>
            </w:r>
          </w:p>
        </w:tc>
        <w:tc>
          <w:tcPr>
            <w:tcW w:w="1718" w:type="dxa"/>
            <w:noWrap/>
            <w:hideMark/>
          </w:tcPr>
          <w:p w14:paraId="4562840C"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102</w:t>
            </w:r>
          </w:p>
        </w:tc>
        <w:tc>
          <w:tcPr>
            <w:tcW w:w="1718" w:type="dxa"/>
            <w:noWrap/>
            <w:hideMark/>
          </w:tcPr>
          <w:p w14:paraId="6F709F4A"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117</w:t>
            </w:r>
          </w:p>
        </w:tc>
      </w:tr>
      <w:tr w:rsidR="0094482F" w:rsidRPr="00CD4EB3" w14:paraId="11D679C6"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tcBorders>
              <w:bottom w:val="single" w:sz="8" w:space="0" w:color="666666" w:themeColor="text1" w:themeTint="99"/>
            </w:tcBorders>
            <w:shd w:val="clear" w:color="auto" w:fill="auto"/>
            <w:hideMark/>
          </w:tcPr>
          <w:p w14:paraId="582C2420" w14:textId="77777777" w:rsidR="0094482F" w:rsidRPr="00E95468" w:rsidRDefault="0094482F" w:rsidP="00636298">
            <w:pPr>
              <w:rPr>
                <w:rFonts w:eastAsia="Times New Roman" w:cs="Times New Roman"/>
                <w:color w:val="000000"/>
                <w:szCs w:val="24"/>
                <w:lang w:eastAsia="en-AU"/>
              </w:rPr>
            </w:pPr>
          </w:p>
        </w:tc>
        <w:tc>
          <w:tcPr>
            <w:tcW w:w="2674" w:type="dxa"/>
            <w:tcBorders>
              <w:bottom w:val="single" w:sz="8" w:space="0" w:color="666666" w:themeColor="text1" w:themeTint="99"/>
            </w:tcBorders>
            <w:hideMark/>
          </w:tcPr>
          <w:p w14:paraId="3072C035" w14:textId="057C290A" w:rsidR="0094482F" w:rsidRPr="00E95468" w:rsidRDefault="0094482F" w:rsidP="0063629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tcBorders>
              <w:bottom w:val="single" w:sz="8" w:space="0" w:color="666666" w:themeColor="text1" w:themeTint="99"/>
            </w:tcBorders>
            <w:noWrap/>
            <w:hideMark/>
          </w:tcPr>
          <w:p w14:paraId="3D449043"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43 </w:t>
            </w:r>
          </w:p>
        </w:tc>
        <w:tc>
          <w:tcPr>
            <w:tcW w:w="1718" w:type="dxa"/>
            <w:tcBorders>
              <w:bottom w:val="single" w:sz="8" w:space="0" w:color="666666" w:themeColor="text1" w:themeTint="99"/>
            </w:tcBorders>
            <w:noWrap/>
            <w:hideMark/>
          </w:tcPr>
          <w:p w14:paraId="0A5F4079"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38 </w:t>
            </w:r>
          </w:p>
        </w:tc>
        <w:tc>
          <w:tcPr>
            <w:tcW w:w="1718" w:type="dxa"/>
            <w:tcBorders>
              <w:bottom w:val="single" w:sz="8" w:space="0" w:color="666666" w:themeColor="text1" w:themeTint="99"/>
            </w:tcBorders>
            <w:noWrap/>
            <w:hideMark/>
          </w:tcPr>
          <w:p w14:paraId="0339052D"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43 </w:t>
            </w:r>
          </w:p>
        </w:tc>
        <w:tc>
          <w:tcPr>
            <w:tcW w:w="1718" w:type="dxa"/>
            <w:tcBorders>
              <w:bottom w:val="single" w:sz="8" w:space="0" w:color="666666" w:themeColor="text1" w:themeTint="99"/>
            </w:tcBorders>
            <w:noWrap/>
            <w:hideMark/>
          </w:tcPr>
          <w:p w14:paraId="3D88510F"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62 </w:t>
            </w:r>
          </w:p>
        </w:tc>
        <w:tc>
          <w:tcPr>
            <w:tcW w:w="1718" w:type="dxa"/>
            <w:tcBorders>
              <w:bottom w:val="single" w:sz="8" w:space="0" w:color="666666" w:themeColor="text1" w:themeTint="99"/>
            </w:tcBorders>
            <w:noWrap/>
            <w:hideMark/>
          </w:tcPr>
          <w:p w14:paraId="319A91C1"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70 </w:t>
            </w:r>
          </w:p>
        </w:tc>
      </w:tr>
      <w:tr w:rsidR="00A760CD" w:rsidRPr="00CD4EB3" w14:paraId="72B30513"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tcBorders>
              <w:top w:val="single" w:sz="8" w:space="0" w:color="666666" w:themeColor="text1" w:themeTint="99"/>
            </w:tcBorders>
            <w:shd w:val="clear" w:color="auto" w:fill="auto"/>
            <w:hideMark/>
          </w:tcPr>
          <w:p w14:paraId="65269680" w14:textId="77777777"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15 - 19 years female</w:t>
            </w:r>
          </w:p>
        </w:tc>
        <w:tc>
          <w:tcPr>
            <w:tcW w:w="2674" w:type="dxa"/>
            <w:tcBorders>
              <w:top w:val="single" w:sz="8" w:space="0" w:color="666666" w:themeColor="text1" w:themeTint="99"/>
            </w:tcBorders>
            <w:noWrap/>
            <w:hideMark/>
          </w:tcPr>
          <w:p w14:paraId="14689CD2" w14:textId="596844EE"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tcBorders>
              <w:top w:val="single" w:sz="8" w:space="0" w:color="666666" w:themeColor="text1" w:themeTint="99"/>
            </w:tcBorders>
            <w:noWrap/>
            <w:hideMark/>
          </w:tcPr>
          <w:p w14:paraId="0C54E27C"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528</w:t>
            </w:r>
          </w:p>
        </w:tc>
        <w:tc>
          <w:tcPr>
            <w:tcW w:w="1718" w:type="dxa"/>
            <w:tcBorders>
              <w:top w:val="single" w:sz="8" w:space="0" w:color="666666" w:themeColor="text1" w:themeTint="99"/>
            </w:tcBorders>
            <w:noWrap/>
            <w:hideMark/>
          </w:tcPr>
          <w:p w14:paraId="2F815962"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525</w:t>
            </w:r>
          </w:p>
        </w:tc>
        <w:tc>
          <w:tcPr>
            <w:tcW w:w="1718" w:type="dxa"/>
            <w:tcBorders>
              <w:top w:val="single" w:sz="8" w:space="0" w:color="666666" w:themeColor="text1" w:themeTint="99"/>
            </w:tcBorders>
            <w:noWrap/>
            <w:hideMark/>
          </w:tcPr>
          <w:p w14:paraId="104ED022"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568</w:t>
            </w:r>
          </w:p>
        </w:tc>
        <w:tc>
          <w:tcPr>
            <w:tcW w:w="1718" w:type="dxa"/>
            <w:tcBorders>
              <w:top w:val="single" w:sz="8" w:space="0" w:color="666666" w:themeColor="text1" w:themeTint="99"/>
            </w:tcBorders>
            <w:noWrap/>
            <w:hideMark/>
          </w:tcPr>
          <w:p w14:paraId="3A935F6D"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824</w:t>
            </w:r>
          </w:p>
        </w:tc>
        <w:tc>
          <w:tcPr>
            <w:tcW w:w="1718" w:type="dxa"/>
            <w:tcBorders>
              <w:top w:val="single" w:sz="8" w:space="0" w:color="666666" w:themeColor="text1" w:themeTint="99"/>
            </w:tcBorders>
            <w:noWrap/>
            <w:hideMark/>
          </w:tcPr>
          <w:p w14:paraId="42C09F7B"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1050</w:t>
            </w:r>
          </w:p>
        </w:tc>
      </w:tr>
      <w:tr w:rsidR="00A760CD" w:rsidRPr="00CD4EB3" w14:paraId="6BCDD438"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3F3CF47D" w14:textId="77777777" w:rsidR="00A760CD" w:rsidRPr="00E95468" w:rsidRDefault="00A760CD" w:rsidP="00A760CD">
            <w:pPr>
              <w:rPr>
                <w:rFonts w:eastAsia="Times New Roman" w:cs="Times New Roman"/>
                <w:color w:val="000000"/>
                <w:szCs w:val="24"/>
                <w:lang w:eastAsia="en-AU"/>
              </w:rPr>
            </w:pPr>
          </w:p>
        </w:tc>
        <w:tc>
          <w:tcPr>
            <w:tcW w:w="2674" w:type="dxa"/>
            <w:hideMark/>
          </w:tcPr>
          <w:p w14:paraId="207C33C8" w14:textId="1916CB80"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57DB475D"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1148</w:t>
            </w:r>
          </w:p>
        </w:tc>
        <w:tc>
          <w:tcPr>
            <w:tcW w:w="1718" w:type="dxa"/>
            <w:noWrap/>
            <w:hideMark/>
          </w:tcPr>
          <w:p w14:paraId="124D8E1C"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1141</w:t>
            </w:r>
          </w:p>
        </w:tc>
        <w:tc>
          <w:tcPr>
            <w:tcW w:w="1718" w:type="dxa"/>
            <w:noWrap/>
            <w:hideMark/>
          </w:tcPr>
          <w:p w14:paraId="44517B0C"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1235</w:t>
            </w:r>
          </w:p>
        </w:tc>
        <w:tc>
          <w:tcPr>
            <w:tcW w:w="1718" w:type="dxa"/>
            <w:noWrap/>
            <w:hideMark/>
          </w:tcPr>
          <w:p w14:paraId="04EA6204"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1791</w:t>
            </w:r>
          </w:p>
        </w:tc>
        <w:tc>
          <w:tcPr>
            <w:tcW w:w="1718" w:type="dxa"/>
            <w:noWrap/>
            <w:hideMark/>
          </w:tcPr>
          <w:p w14:paraId="2EBEE116"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2283</w:t>
            </w:r>
          </w:p>
        </w:tc>
      </w:tr>
      <w:tr w:rsidR="0094482F" w:rsidRPr="00CD4EB3" w14:paraId="4524E4CA"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613B3E82" w14:textId="77777777" w:rsidR="0094482F" w:rsidRPr="00E95468" w:rsidRDefault="0094482F" w:rsidP="00636298">
            <w:pPr>
              <w:rPr>
                <w:rFonts w:eastAsia="Times New Roman" w:cs="Times New Roman"/>
                <w:color w:val="000000"/>
                <w:szCs w:val="24"/>
                <w:lang w:eastAsia="en-AU"/>
              </w:rPr>
            </w:pPr>
          </w:p>
        </w:tc>
        <w:tc>
          <w:tcPr>
            <w:tcW w:w="2674" w:type="dxa"/>
            <w:hideMark/>
          </w:tcPr>
          <w:p w14:paraId="38D9DA18" w14:textId="1CC8C21C" w:rsidR="0094482F" w:rsidRPr="00E95468" w:rsidRDefault="0094482F" w:rsidP="0063629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18908E88"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1,591 </w:t>
            </w:r>
          </w:p>
        </w:tc>
        <w:tc>
          <w:tcPr>
            <w:tcW w:w="1718" w:type="dxa"/>
            <w:noWrap/>
            <w:hideMark/>
          </w:tcPr>
          <w:p w14:paraId="7CB8B9A4"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1,577 </w:t>
            </w:r>
          </w:p>
        </w:tc>
        <w:tc>
          <w:tcPr>
            <w:tcW w:w="1718" w:type="dxa"/>
            <w:noWrap/>
            <w:hideMark/>
          </w:tcPr>
          <w:p w14:paraId="55B6B84C"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1,702 </w:t>
            </w:r>
          </w:p>
        </w:tc>
        <w:tc>
          <w:tcPr>
            <w:tcW w:w="1718" w:type="dxa"/>
            <w:noWrap/>
            <w:hideMark/>
          </w:tcPr>
          <w:p w14:paraId="5DC90EDA"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2,486 </w:t>
            </w:r>
          </w:p>
        </w:tc>
        <w:tc>
          <w:tcPr>
            <w:tcW w:w="1718" w:type="dxa"/>
            <w:noWrap/>
            <w:hideMark/>
          </w:tcPr>
          <w:p w14:paraId="054BB9D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3,181 </w:t>
            </w:r>
          </w:p>
        </w:tc>
      </w:tr>
      <w:tr w:rsidR="00A760CD" w:rsidRPr="00CD4EB3" w14:paraId="08066C1E"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01B60E1E" w14:textId="77777777"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15 - 19 years male</w:t>
            </w:r>
          </w:p>
        </w:tc>
        <w:tc>
          <w:tcPr>
            <w:tcW w:w="2674" w:type="dxa"/>
            <w:noWrap/>
            <w:hideMark/>
          </w:tcPr>
          <w:p w14:paraId="404844B4" w14:textId="13B7839A"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2F8082E3"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131</w:t>
            </w:r>
          </w:p>
        </w:tc>
        <w:tc>
          <w:tcPr>
            <w:tcW w:w="1718" w:type="dxa"/>
            <w:noWrap/>
            <w:hideMark/>
          </w:tcPr>
          <w:p w14:paraId="702A129B"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134</w:t>
            </w:r>
          </w:p>
        </w:tc>
        <w:tc>
          <w:tcPr>
            <w:tcW w:w="1718" w:type="dxa"/>
            <w:noWrap/>
            <w:hideMark/>
          </w:tcPr>
          <w:p w14:paraId="1918C3D7"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134</w:t>
            </w:r>
          </w:p>
        </w:tc>
        <w:tc>
          <w:tcPr>
            <w:tcW w:w="1718" w:type="dxa"/>
            <w:noWrap/>
            <w:hideMark/>
          </w:tcPr>
          <w:p w14:paraId="661DC893"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142</w:t>
            </w:r>
          </w:p>
        </w:tc>
        <w:tc>
          <w:tcPr>
            <w:tcW w:w="1718" w:type="dxa"/>
            <w:noWrap/>
            <w:hideMark/>
          </w:tcPr>
          <w:p w14:paraId="1FA49575"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194</w:t>
            </w:r>
          </w:p>
        </w:tc>
      </w:tr>
      <w:tr w:rsidR="00A760CD" w:rsidRPr="00CD4EB3" w14:paraId="2ECA5DF1"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1F4D6ADD" w14:textId="77777777" w:rsidR="00A760CD" w:rsidRPr="00E95468" w:rsidRDefault="00A760CD" w:rsidP="00A760CD">
            <w:pPr>
              <w:rPr>
                <w:rFonts w:eastAsia="Times New Roman" w:cs="Times New Roman"/>
                <w:color w:val="000000"/>
                <w:szCs w:val="24"/>
                <w:lang w:eastAsia="en-AU"/>
              </w:rPr>
            </w:pPr>
          </w:p>
        </w:tc>
        <w:tc>
          <w:tcPr>
            <w:tcW w:w="2674" w:type="dxa"/>
            <w:hideMark/>
          </w:tcPr>
          <w:p w14:paraId="78096D88" w14:textId="78DDD923"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1CBC0507"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285</w:t>
            </w:r>
          </w:p>
        </w:tc>
        <w:tc>
          <w:tcPr>
            <w:tcW w:w="1718" w:type="dxa"/>
            <w:noWrap/>
            <w:hideMark/>
          </w:tcPr>
          <w:p w14:paraId="74199284"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291</w:t>
            </w:r>
          </w:p>
        </w:tc>
        <w:tc>
          <w:tcPr>
            <w:tcW w:w="1718" w:type="dxa"/>
            <w:noWrap/>
            <w:hideMark/>
          </w:tcPr>
          <w:p w14:paraId="1416BBE8"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291</w:t>
            </w:r>
          </w:p>
        </w:tc>
        <w:tc>
          <w:tcPr>
            <w:tcW w:w="1718" w:type="dxa"/>
            <w:noWrap/>
            <w:hideMark/>
          </w:tcPr>
          <w:p w14:paraId="473360C3"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309</w:t>
            </w:r>
          </w:p>
        </w:tc>
        <w:tc>
          <w:tcPr>
            <w:tcW w:w="1718" w:type="dxa"/>
            <w:noWrap/>
            <w:hideMark/>
          </w:tcPr>
          <w:p w14:paraId="1913FC7F"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422</w:t>
            </w:r>
          </w:p>
        </w:tc>
      </w:tr>
      <w:tr w:rsidR="0094482F" w:rsidRPr="00CD4EB3" w14:paraId="165F792F"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469FF390" w14:textId="77777777" w:rsidR="0094482F" w:rsidRPr="00E95468" w:rsidRDefault="0094482F" w:rsidP="00636298">
            <w:pPr>
              <w:rPr>
                <w:rFonts w:eastAsia="Times New Roman" w:cs="Times New Roman"/>
                <w:color w:val="000000"/>
                <w:szCs w:val="24"/>
                <w:lang w:eastAsia="en-AU"/>
              </w:rPr>
            </w:pPr>
          </w:p>
        </w:tc>
        <w:tc>
          <w:tcPr>
            <w:tcW w:w="2674" w:type="dxa"/>
            <w:hideMark/>
          </w:tcPr>
          <w:p w14:paraId="014FA618" w14:textId="04A4EC80" w:rsidR="0094482F" w:rsidRPr="00E95468" w:rsidRDefault="0094482F" w:rsidP="0063629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67A3A4D5"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375 </w:t>
            </w:r>
          </w:p>
        </w:tc>
        <w:tc>
          <w:tcPr>
            <w:tcW w:w="1718" w:type="dxa"/>
            <w:noWrap/>
            <w:hideMark/>
          </w:tcPr>
          <w:p w14:paraId="0BF76F7A"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381 </w:t>
            </w:r>
          </w:p>
        </w:tc>
        <w:tc>
          <w:tcPr>
            <w:tcW w:w="1718" w:type="dxa"/>
            <w:noWrap/>
            <w:hideMark/>
          </w:tcPr>
          <w:p w14:paraId="2E7C5012"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378 </w:t>
            </w:r>
          </w:p>
        </w:tc>
        <w:tc>
          <w:tcPr>
            <w:tcW w:w="1718" w:type="dxa"/>
            <w:noWrap/>
            <w:hideMark/>
          </w:tcPr>
          <w:p w14:paraId="72189794"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403 </w:t>
            </w:r>
          </w:p>
        </w:tc>
        <w:tc>
          <w:tcPr>
            <w:tcW w:w="1718" w:type="dxa"/>
            <w:noWrap/>
            <w:hideMark/>
          </w:tcPr>
          <w:p w14:paraId="347C0F30"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553 </w:t>
            </w:r>
          </w:p>
        </w:tc>
      </w:tr>
      <w:tr w:rsidR="00A760CD" w:rsidRPr="00CD4EB3" w14:paraId="38A3D504"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364DFD0E" w14:textId="77777777"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20 to 74 years female</w:t>
            </w:r>
          </w:p>
        </w:tc>
        <w:tc>
          <w:tcPr>
            <w:tcW w:w="2674" w:type="dxa"/>
            <w:noWrap/>
            <w:hideMark/>
          </w:tcPr>
          <w:p w14:paraId="68F1DD32" w14:textId="4666E7B3"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21BFC293"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859</w:t>
            </w:r>
          </w:p>
        </w:tc>
        <w:tc>
          <w:tcPr>
            <w:tcW w:w="1718" w:type="dxa"/>
            <w:noWrap/>
            <w:hideMark/>
          </w:tcPr>
          <w:p w14:paraId="54983B19"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846</w:t>
            </w:r>
          </w:p>
        </w:tc>
        <w:tc>
          <w:tcPr>
            <w:tcW w:w="1718" w:type="dxa"/>
            <w:noWrap/>
            <w:hideMark/>
          </w:tcPr>
          <w:p w14:paraId="6F2002AC"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884</w:t>
            </w:r>
          </w:p>
        </w:tc>
        <w:tc>
          <w:tcPr>
            <w:tcW w:w="1718" w:type="dxa"/>
            <w:noWrap/>
            <w:hideMark/>
          </w:tcPr>
          <w:p w14:paraId="3A138376"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1092</w:t>
            </w:r>
          </w:p>
        </w:tc>
        <w:tc>
          <w:tcPr>
            <w:tcW w:w="1718" w:type="dxa"/>
            <w:noWrap/>
            <w:hideMark/>
          </w:tcPr>
          <w:p w14:paraId="19A70CD4"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1123</w:t>
            </w:r>
          </w:p>
        </w:tc>
      </w:tr>
      <w:tr w:rsidR="00A760CD" w:rsidRPr="00CD4EB3" w14:paraId="71E6AB90"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46464F0A" w14:textId="77777777" w:rsidR="00A760CD" w:rsidRPr="00E95468" w:rsidRDefault="00A760CD" w:rsidP="00A760CD">
            <w:pPr>
              <w:rPr>
                <w:rFonts w:eastAsia="Times New Roman" w:cs="Times New Roman"/>
                <w:color w:val="000000"/>
                <w:szCs w:val="24"/>
                <w:lang w:eastAsia="en-AU"/>
              </w:rPr>
            </w:pPr>
          </w:p>
        </w:tc>
        <w:tc>
          <w:tcPr>
            <w:tcW w:w="2674" w:type="dxa"/>
            <w:hideMark/>
          </w:tcPr>
          <w:p w14:paraId="1253037C" w14:textId="75F71FFD"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15B96D8A"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1867</w:t>
            </w:r>
          </w:p>
        </w:tc>
        <w:tc>
          <w:tcPr>
            <w:tcW w:w="1718" w:type="dxa"/>
            <w:noWrap/>
            <w:hideMark/>
          </w:tcPr>
          <w:p w14:paraId="05ABF12C"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1839</w:t>
            </w:r>
          </w:p>
        </w:tc>
        <w:tc>
          <w:tcPr>
            <w:tcW w:w="1718" w:type="dxa"/>
            <w:noWrap/>
            <w:hideMark/>
          </w:tcPr>
          <w:p w14:paraId="304FD4A4"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1922</w:t>
            </w:r>
          </w:p>
        </w:tc>
        <w:tc>
          <w:tcPr>
            <w:tcW w:w="1718" w:type="dxa"/>
            <w:noWrap/>
            <w:hideMark/>
          </w:tcPr>
          <w:p w14:paraId="019D5F24"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2374</w:t>
            </w:r>
          </w:p>
        </w:tc>
        <w:tc>
          <w:tcPr>
            <w:tcW w:w="1718" w:type="dxa"/>
            <w:noWrap/>
            <w:hideMark/>
          </w:tcPr>
          <w:p w14:paraId="0D57871A"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2441</w:t>
            </w:r>
          </w:p>
        </w:tc>
      </w:tr>
      <w:tr w:rsidR="0094482F" w:rsidRPr="00CD4EB3" w14:paraId="100397E9"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65CBEA34" w14:textId="77777777" w:rsidR="0094482F" w:rsidRPr="00E95468" w:rsidRDefault="0094482F" w:rsidP="00636298">
            <w:pPr>
              <w:rPr>
                <w:rFonts w:eastAsia="Times New Roman" w:cs="Times New Roman"/>
                <w:color w:val="000000"/>
                <w:szCs w:val="24"/>
                <w:lang w:eastAsia="en-AU"/>
              </w:rPr>
            </w:pPr>
          </w:p>
        </w:tc>
        <w:tc>
          <w:tcPr>
            <w:tcW w:w="2674" w:type="dxa"/>
            <w:hideMark/>
          </w:tcPr>
          <w:p w14:paraId="5AE4B20B" w14:textId="2EFFD94F" w:rsidR="0094482F" w:rsidRPr="00E95468" w:rsidRDefault="0094482F" w:rsidP="0063629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128F321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220 </w:t>
            </w:r>
          </w:p>
        </w:tc>
        <w:tc>
          <w:tcPr>
            <w:tcW w:w="1718" w:type="dxa"/>
            <w:noWrap/>
            <w:hideMark/>
          </w:tcPr>
          <w:p w14:paraId="1A80FA31"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213 </w:t>
            </w:r>
          </w:p>
        </w:tc>
        <w:tc>
          <w:tcPr>
            <w:tcW w:w="1718" w:type="dxa"/>
            <w:noWrap/>
            <w:hideMark/>
          </w:tcPr>
          <w:p w14:paraId="610AE3DE"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219 </w:t>
            </w:r>
          </w:p>
        </w:tc>
        <w:tc>
          <w:tcPr>
            <w:tcW w:w="1718" w:type="dxa"/>
            <w:noWrap/>
            <w:hideMark/>
          </w:tcPr>
          <w:p w14:paraId="79D4B31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267 </w:t>
            </w:r>
          </w:p>
        </w:tc>
        <w:tc>
          <w:tcPr>
            <w:tcW w:w="1718" w:type="dxa"/>
            <w:noWrap/>
            <w:hideMark/>
          </w:tcPr>
          <w:p w14:paraId="6FE71AFF"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275 </w:t>
            </w:r>
          </w:p>
        </w:tc>
      </w:tr>
      <w:tr w:rsidR="00A760CD" w:rsidRPr="00CD4EB3" w14:paraId="265D12EB"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6D9D3D43" w14:textId="77777777"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20 to 74 years male</w:t>
            </w:r>
          </w:p>
        </w:tc>
        <w:tc>
          <w:tcPr>
            <w:tcW w:w="2674" w:type="dxa"/>
            <w:noWrap/>
            <w:hideMark/>
          </w:tcPr>
          <w:p w14:paraId="44441BDD" w14:textId="646B5010"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03EDD61D"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412</w:t>
            </w:r>
          </w:p>
        </w:tc>
        <w:tc>
          <w:tcPr>
            <w:tcW w:w="1718" w:type="dxa"/>
            <w:noWrap/>
            <w:hideMark/>
          </w:tcPr>
          <w:p w14:paraId="563BCE6E"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439</w:t>
            </w:r>
          </w:p>
        </w:tc>
        <w:tc>
          <w:tcPr>
            <w:tcW w:w="1718" w:type="dxa"/>
            <w:noWrap/>
            <w:hideMark/>
          </w:tcPr>
          <w:p w14:paraId="4F6B3F21"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442</w:t>
            </w:r>
          </w:p>
        </w:tc>
        <w:tc>
          <w:tcPr>
            <w:tcW w:w="1718" w:type="dxa"/>
            <w:noWrap/>
            <w:hideMark/>
          </w:tcPr>
          <w:p w14:paraId="6061C7C7"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543</w:t>
            </w:r>
          </w:p>
        </w:tc>
        <w:tc>
          <w:tcPr>
            <w:tcW w:w="1718" w:type="dxa"/>
            <w:noWrap/>
            <w:hideMark/>
          </w:tcPr>
          <w:p w14:paraId="223A01A0"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495</w:t>
            </w:r>
          </w:p>
        </w:tc>
      </w:tr>
      <w:tr w:rsidR="00A760CD" w:rsidRPr="00CD4EB3" w14:paraId="66439AA4"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61237BA6" w14:textId="77777777" w:rsidR="00A760CD" w:rsidRPr="00E95468" w:rsidRDefault="00A760CD" w:rsidP="00A760CD">
            <w:pPr>
              <w:rPr>
                <w:rFonts w:eastAsia="Times New Roman" w:cs="Times New Roman"/>
                <w:color w:val="000000"/>
                <w:szCs w:val="24"/>
                <w:lang w:eastAsia="en-AU"/>
              </w:rPr>
            </w:pPr>
          </w:p>
        </w:tc>
        <w:tc>
          <w:tcPr>
            <w:tcW w:w="2674" w:type="dxa"/>
            <w:hideMark/>
          </w:tcPr>
          <w:p w14:paraId="294B871E" w14:textId="75B1C775"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518B4E62"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896</w:t>
            </w:r>
          </w:p>
        </w:tc>
        <w:tc>
          <w:tcPr>
            <w:tcW w:w="1718" w:type="dxa"/>
            <w:noWrap/>
            <w:hideMark/>
          </w:tcPr>
          <w:p w14:paraId="684AE030"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954</w:t>
            </w:r>
          </w:p>
        </w:tc>
        <w:tc>
          <w:tcPr>
            <w:tcW w:w="1718" w:type="dxa"/>
            <w:noWrap/>
            <w:hideMark/>
          </w:tcPr>
          <w:p w14:paraId="1B87826F"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961</w:t>
            </w:r>
          </w:p>
        </w:tc>
        <w:tc>
          <w:tcPr>
            <w:tcW w:w="1718" w:type="dxa"/>
            <w:noWrap/>
            <w:hideMark/>
          </w:tcPr>
          <w:p w14:paraId="38A38C81"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1180</w:t>
            </w:r>
          </w:p>
        </w:tc>
        <w:tc>
          <w:tcPr>
            <w:tcW w:w="1718" w:type="dxa"/>
            <w:noWrap/>
            <w:hideMark/>
          </w:tcPr>
          <w:p w14:paraId="755202D5"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1076</w:t>
            </w:r>
          </w:p>
        </w:tc>
      </w:tr>
      <w:tr w:rsidR="0094482F" w:rsidRPr="00CD4EB3" w14:paraId="66A2CEC3"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21360BB3" w14:textId="77777777" w:rsidR="0094482F" w:rsidRPr="00E95468" w:rsidRDefault="0094482F" w:rsidP="00636298">
            <w:pPr>
              <w:rPr>
                <w:rFonts w:eastAsia="Times New Roman" w:cs="Times New Roman"/>
                <w:color w:val="000000"/>
                <w:szCs w:val="24"/>
                <w:lang w:eastAsia="en-AU"/>
              </w:rPr>
            </w:pPr>
          </w:p>
        </w:tc>
        <w:tc>
          <w:tcPr>
            <w:tcW w:w="2674" w:type="dxa"/>
            <w:hideMark/>
          </w:tcPr>
          <w:p w14:paraId="316B8BCC" w14:textId="4DBD3766" w:rsidR="0094482F" w:rsidRPr="00E95468" w:rsidRDefault="0094482F" w:rsidP="0063629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05DEECAD"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107 </w:t>
            </w:r>
          </w:p>
        </w:tc>
        <w:tc>
          <w:tcPr>
            <w:tcW w:w="1718" w:type="dxa"/>
            <w:noWrap/>
            <w:hideMark/>
          </w:tcPr>
          <w:p w14:paraId="542A5AF9"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113 </w:t>
            </w:r>
          </w:p>
        </w:tc>
        <w:tc>
          <w:tcPr>
            <w:tcW w:w="1718" w:type="dxa"/>
            <w:noWrap/>
            <w:hideMark/>
          </w:tcPr>
          <w:p w14:paraId="77F0F026"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112 </w:t>
            </w:r>
          </w:p>
        </w:tc>
        <w:tc>
          <w:tcPr>
            <w:tcW w:w="1718" w:type="dxa"/>
            <w:noWrap/>
            <w:hideMark/>
          </w:tcPr>
          <w:p w14:paraId="7139DF02"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136 </w:t>
            </w:r>
          </w:p>
        </w:tc>
        <w:tc>
          <w:tcPr>
            <w:tcW w:w="1718" w:type="dxa"/>
            <w:noWrap/>
            <w:hideMark/>
          </w:tcPr>
          <w:p w14:paraId="542D3DA5"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124 </w:t>
            </w:r>
          </w:p>
        </w:tc>
      </w:tr>
      <w:tr w:rsidR="00A760CD" w:rsidRPr="00CD4EB3" w14:paraId="4452F46E"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3435B3AA" w14:textId="0CFA4349"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&gt;75 years female</w:t>
            </w:r>
          </w:p>
        </w:tc>
        <w:tc>
          <w:tcPr>
            <w:tcW w:w="2674" w:type="dxa"/>
            <w:noWrap/>
            <w:hideMark/>
          </w:tcPr>
          <w:p w14:paraId="0B3A5C2D" w14:textId="5E28B193"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58EECE89"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7</w:t>
            </w:r>
          </w:p>
        </w:tc>
        <w:tc>
          <w:tcPr>
            <w:tcW w:w="1718" w:type="dxa"/>
            <w:noWrap/>
            <w:hideMark/>
          </w:tcPr>
          <w:p w14:paraId="5C7653B5"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14</w:t>
            </w:r>
          </w:p>
        </w:tc>
        <w:tc>
          <w:tcPr>
            <w:tcW w:w="1718" w:type="dxa"/>
            <w:noWrap/>
            <w:hideMark/>
          </w:tcPr>
          <w:p w14:paraId="42761CD9"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19</w:t>
            </w:r>
          </w:p>
        </w:tc>
        <w:tc>
          <w:tcPr>
            <w:tcW w:w="1718" w:type="dxa"/>
            <w:noWrap/>
            <w:hideMark/>
          </w:tcPr>
          <w:p w14:paraId="483D7F5B"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17</w:t>
            </w:r>
          </w:p>
        </w:tc>
        <w:tc>
          <w:tcPr>
            <w:tcW w:w="1718" w:type="dxa"/>
            <w:noWrap/>
            <w:hideMark/>
          </w:tcPr>
          <w:p w14:paraId="7A4BADAE"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30</w:t>
            </w:r>
          </w:p>
        </w:tc>
      </w:tr>
      <w:tr w:rsidR="00A760CD" w:rsidRPr="00CD4EB3" w14:paraId="632DCAAD"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40047025" w14:textId="77777777" w:rsidR="00A760CD" w:rsidRPr="00E95468" w:rsidRDefault="00A760CD" w:rsidP="00A760CD">
            <w:pPr>
              <w:rPr>
                <w:rFonts w:eastAsia="Times New Roman" w:cs="Times New Roman"/>
                <w:color w:val="000000"/>
                <w:szCs w:val="24"/>
                <w:lang w:eastAsia="en-AU"/>
              </w:rPr>
            </w:pPr>
          </w:p>
        </w:tc>
        <w:tc>
          <w:tcPr>
            <w:tcW w:w="2674" w:type="dxa"/>
            <w:hideMark/>
          </w:tcPr>
          <w:p w14:paraId="054F0327" w14:textId="3009412F"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43389C20"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15</w:t>
            </w:r>
          </w:p>
        </w:tc>
        <w:tc>
          <w:tcPr>
            <w:tcW w:w="1718" w:type="dxa"/>
            <w:noWrap/>
            <w:hideMark/>
          </w:tcPr>
          <w:p w14:paraId="6DCA50DD"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30</w:t>
            </w:r>
          </w:p>
        </w:tc>
        <w:tc>
          <w:tcPr>
            <w:tcW w:w="1718" w:type="dxa"/>
            <w:noWrap/>
            <w:hideMark/>
          </w:tcPr>
          <w:p w14:paraId="058D14F1"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41</w:t>
            </w:r>
          </w:p>
        </w:tc>
        <w:tc>
          <w:tcPr>
            <w:tcW w:w="1718" w:type="dxa"/>
            <w:noWrap/>
            <w:hideMark/>
          </w:tcPr>
          <w:p w14:paraId="10690F56"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37</w:t>
            </w:r>
          </w:p>
        </w:tc>
        <w:tc>
          <w:tcPr>
            <w:tcW w:w="1718" w:type="dxa"/>
            <w:noWrap/>
            <w:hideMark/>
          </w:tcPr>
          <w:p w14:paraId="297E090C"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65</w:t>
            </w:r>
          </w:p>
        </w:tc>
      </w:tr>
      <w:tr w:rsidR="0094482F" w:rsidRPr="00CD4EB3" w14:paraId="6C158E67"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22345A5F" w14:textId="77777777" w:rsidR="0094482F" w:rsidRPr="00E95468" w:rsidRDefault="0094482F" w:rsidP="00636298">
            <w:pPr>
              <w:rPr>
                <w:rFonts w:eastAsia="Times New Roman" w:cs="Times New Roman"/>
                <w:color w:val="000000"/>
                <w:szCs w:val="24"/>
                <w:lang w:eastAsia="en-AU"/>
              </w:rPr>
            </w:pPr>
          </w:p>
        </w:tc>
        <w:tc>
          <w:tcPr>
            <w:tcW w:w="2674" w:type="dxa"/>
            <w:hideMark/>
          </w:tcPr>
          <w:p w14:paraId="4D7BB3AC" w14:textId="684DACF4" w:rsidR="0094482F" w:rsidRPr="00E95468" w:rsidRDefault="0094482F" w:rsidP="00636298">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1DA89A10"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17 </w:t>
            </w:r>
          </w:p>
        </w:tc>
        <w:tc>
          <w:tcPr>
            <w:tcW w:w="1718" w:type="dxa"/>
            <w:noWrap/>
            <w:hideMark/>
          </w:tcPr>
          <w:p w14:paraId="682B23B6"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32 </w:t>
            </w:r>
          </w:p>
        </w:tc>
        <w:tc>
          <w:tcPr>
            <w:tcW w:w="1718" w:type="dxa"/>
            <w:noWrap/>
            <w:hideMark/>
          </w:tcPr>
          <w:p w14:paraId="5A05FD6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43 </w:t>
            </w:r>
          </w:p>
        </w:tc>
        <w:tc>
          <w:tcPr>
            <w:tcW w:w="1718" w:type="dxa"/>
            <w:noWrap/>
            <w:hideMark/>
          </w:tcPr>
          <w:p w14:paraId="32D6E45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37 </w:t>
            </w:r>
          </w:p>
        </w:tc>
        <w:tc>
          <w:tcPr>
            <w:tcW w:w="1718" w:type="dxa"/>
            <w:noWrap/>
            <w:hideMark/>
          </w:tcPr>
          <w:p w14:paraId="79026625" w14:textId="77777777" w:rsidR="0094482F" w:rsidRPr="00E95468" w:rsidRDefault="0094482F" w:rsidP="0063629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63 </w:t>
            </w:r>
          </w:p>
        </w:tc>
      </w:tr>
      <w:tr w:rsidR="00A760CD" w:rsidRPr="00CD4EB3" w14:paraId="3B5E15A7"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val="restart"/>
            <w:shd w:val="clear" w:color="auto" w:fill="auto"/>
            <w:hideMark/>
          </w:tcPr>
          <w:p w14:paraId="6314D4C5" w14:textId="77F401BC" w:rsidR="00A760CD" w:rsidRPr="00E95468" w:rsidRDefault="00A760CD" w:rsidP="00A760CD">
            <w:pPr>
              <w:rPr>
                <w:rFonts w:eastAsia="Times New Roman" w:cs="Times New Roman"/>
                <w:color w:val="000000"/>
                <w:szCs w:val="24"/>
                <w:lang w:eastAsia="en-AU"/>
              </w:rPr>
            </w:pPr>
            <w:r w:rsidRPr="00E95468">
              <w:rPr>
                <w:rFonts w:eastAsia="Times New Roman" w:cs="Times New Roman"/>
                <w:color w:val="000000"/>
                <w:szCs w:val="24"/>
                <w:lang w:eastAsia="en-AU"/>
              </w:rPr>
              <w:t>&gt;75 years male</w:t>
            </w:r>
          </w:p>
        </w:tc>
        <w:tc>
          <w:tcPr>
            <w:tcW w:w="2674" w:type="dxa"/>
            <w:noWrap/>
            <w:hideMark/>
          </w:tcPr>
          <w:p w14:paraId="31336F2C" w14:textId="4B9DB46D" w:rsidR="00A760CD" w:rsidRPr="00E95468" w:rsidRDefault="00A760CD" w:rsidP="00A760CD">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Total </w:t>
            </w:r>
            <w:r>
              <w:rPr>
                <w:rFonts w:eastAsia="Times New Roman" w:cs="Times New Roman"/>
                <w:color w:val="000000"/>
                <w:szCs w:val="24"/>
                <w:lang w:eastAsia="en-AU"/>
              </w:rPr>
              <w:t>reported (NSW)</w:t>
            </w:r>
          </w:p>
        </w:tc>
        <w:tc>
          <w:tcPr>
            <w:tcW w:w="1718" w:type="dxa"/>
            <w:noWrap/>
            <w:hideMark/>
          </w:tcPr>
          <w:p w14:paraId="1D3CAA27"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11</w:t>
            </w:r>
          </w:p>
        </w:tc>
        <w:tc>
          <w:tcPr>
            <w:tcW w:w="1718" w:type="dxa"/>
            <w:noWrap/>
            <w:hideMark/>
          </w:tcPr>
          <w:p w14:paraId="3B58525D"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9</w:t>
            </w:r>
          </w:p>
        </w:tc>
        <w:tc>
          <w:tcPr>
            <w:tcW w:w="1718" w:type="dxa"/>
            <w:noWrap/>
            <w:hideMark/>
          </w:tcPr>
          <w:p w14:paraId="465C9C77"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19</w:t>
            </w:r>
          </w:p>
        </w:tc>
        <w:tc>
          <w:tcPr>
            <w:tcW w:w="1718" w:type="dxa"/>
            <w:noWrap/>
            <w:hideMark/>
          </w:tcPr>
          <w:p w14:paraId="69EB6389"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13</w:t>
            </w:r>
          </w:p>
        </w:tc>
        <w:tc>
          <w:tcPr>
            <w:tcW w:w="1718" w:type="dxa"/>
            <w:noWrap/>
            <w:hideMark/>
          </w:tcPr>
          <w:p w14:paraId="0656649A" w14:textId="77777777" w:rsidR="00A760CD" w:rsidRPr="00E95468" w:rsidRDefault="00A760CD" w:rsidP="00A760C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19</w:t>
            </w:r>
          </w:p>
        </w:tc>
      </w:tr>
      <w:tr w:rsidR="00A760CD" w:rsidRPr="00CD4EB3" w14:paraId="0CE157CF" w14:textId="77777777" w:rsidTr="0094482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535CF717" w14:textId="77777777" w:rsidR="00A760CD" w:rsidRPr="00E95468" w:rsidRDefault="00A760CD" w:rsidP="00A760CD">
            <w:pPr>
              <w:rPr>
                <w:rFonts w:eastAsia="Times New Roman" w:cs="Times New Roman"/>
                <w:color w:val="000000"/>
                <w:szCs w:val="24"/>
                <w:lang w:eastAsia="en-AU"/>
              </w:rPr>
            </w:pPr>
          </w:p>
        </w:tc>
        <w:tc>
          <w:tcPr>
            <w:tcW w:w="2674" w:type="dxa"/>
            <w:hideMark/>
          </w:tcPr>
          <w:p w14:paraId="30800519" w14:textId="604E798B" w:rsidR="00A760CD" w:rsidRPr="00E95468" w:rsidRDefault="00A760CD" w:rsidP="00A760CD">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Total projected (Aus)</w:t>
            </w:r>
          </w:p>
        </w:tc>
        <w:tc>
          <w:tcPr>
            <w:tcW w:w="1718" w:type="dxa"/>
            <w:noWrap/>
            <w:hideMark/>
          </w:tcPr>
          <w:p w14:paraId="3A505E75"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24</w:t>
            </w:r>
          </w:p>
        </w:tc>
        <w:tc>
          <w:tcPr>
            <w:tcW w:w="1718" w:type="dxa"/>
            <w:noWrap/>
            <w:hideMark/>
          </w:tcPr>
          <w:p w14:paraId="38448832"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20</w:t>
            </w:r>
          </w:p>
        </w:tc>
        <w:tc>
          <w:tcPr>
            <w:tcW w:w="1718" w:type="dxa"/>
            <w:noWrap/>
            <w:hideMark/>
          </w:tcPr>
          <w:p w14:paraId="3829A9E6"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41</w:t>
            </w:r>
          </w:p>
        </w:tc>
        <w:tc>
          <w:tcPr>
            <w:tcW w:w="1718" w:type="dxa"/>
            <w:noWrap/>
            <w:hideMark/>
          </w:tcPr>
          <w:p w14:paraId="3167BE30"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28</w:t>
            </w:r>
          </w:p>
        </w:tc>
        <w:tc>
          <w:tcPr>
            <w:tcW w:w="1718" w:type="dxa"/>
            <w:noWrap/>
            <w:hideMark/>
          </w:tcPr>
          <w:p w14:paraId="73F804E9" w14:textId="77777777" w:rsidR="00A760CD" w:rsidRPr="00E95468" w:rsidRDefault="00A760CD" w:rsidP="00A760C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41</w:t>
            </w:r>
          </w:p>
        </w:tc>
      </w:tr>
      <w:tr w:rsidR="0094482F" w:rsidRPr="00CD4EB3" w14:paraId="3D354DBE" w14:textId="77777777" w:rsidTr="0094482F">
        <w:trPr>
          <w:trHeight w:val="284"/>
        </w:trPr>
        <w:tc>
          <w:tcPr>
            <w:cnfStyle w:val="001000000000" w:firstRow="0" w:lastRow="0" w:firstColumn="1" w:lastColumn="0" w:oddVBand="0" w:evenVBand="0" w:oddHBand="0" w:evenHBand="0" w:firstRowFirstColumn="0" w:firstRowLastColumn="0" w:lastRowFirstColumn="0" w:lastRowLastColumn="0"/>
            <w:tcW w:w="2694" w:type="dxa"/>
            <w:vMerge/>
            <w:shd w:val="clear" w:color="auto" w:fill="auto"/>
            <w:hideMark/>
          </w:tcPr>
          <w:p w14:paraId="58DD3866" w14:textId="77777777" w:rsidR="0094482F" w:rsidRPr="00E95468" w:rsidRDefault="0094482F" w:rsidP="00636298">
            <w:pPr>
              <w:rPr>
                <w:rFonts w:eastAsia="Times New Roman" w:cs="Times New Roman"/>
                <w:color w:val="000000"/>
                <w:szCs w:val="24"/>
                <w:lang w:eastAsia="en-AU"/>
              </w:rPr>
            </w:pPr>
          </w:p>
        </w:tc>
        <w:tc>
          <w:tcPr>
            <w:tcW w:w="2674" w:type="dxa"/>
            <w:hideMark/>
          </w:tcPr>
          <w:p w14:paraId="39C994AB" w14:textId="64987967" w:rsidR="0094482F" w:rsidRPr="00E95468" w:rsidRDefault="0094482F" w:rsidP="00636298">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Projected per million ppl</w:t>
            </w:r>
          </w:p>
        </w:tc>
        <w:tc>
          <w:tcPr>
            <w:tcW w:w="1718" w:type="dxa"/>
            <w:noWrap/>
            <w:hideMark/>
          </w:tcPr>
          <w:p w14:paraId="05594861"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33 </w:t>
            </w:r>
          </w:p>
        </w:tc>
        <w:tc>
          <w:tcPr>
            <w:tcW w:w="1718" w:type="dxa"/>
            <w:noWrap/>
            <w:hideMark/>
          </w:tcPr>
          <w:p w14:paraId="4D3A6610"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26 </w:t>
            </w:r>
          </w:p>
        </w:tc>
        <w:tc>
          <w:tcPr>
            <w:tcW w:w="1718" w:type="dxa"/>
            <w:noWrap/>
            <w:hideMark/>
          </w:tcPr>
          <w:p w14:paraId="546A4FD3"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54 </w:t>
            </w:r>
          </w:p>
        </w:tc>
        <w:tc>
          <w:tcPr>
            <w:tcW w:w="1718" w:type="dxa"/>
            <w:noWrap/>
            <w:hideMark/>
          </w:tcPr>
          <w:p w14:paraId="0D852D98"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35 </w:t>
            </w:r>
          </w:p>
        </w:tc>
        <w:tc>
          <w:tcPr>
            <w:tcW w:w="1718" w:type="dxa"/>
            <w:noWrap/>
            <w:hideMark/>
          </w:tcPr>
          <w:p w14:paraId="4932CED3" w14:textId="77777777" w:rsidR="0094482F" w:rsidRPr="00E95468" w:rsidRDefault="0094482F" w:rsidP="0063629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E95468">
              <w:rPr>
                <w:rFonts w:eastAsia="Times New Roman" w:cs="Times New Roman"/>
                <w:color w:val="000000"/>
                <w:szCs w:val="24"/>
                <w:lang w:eastAsia="en-AU"/>
              </w:rPr>
              <w:t xml:space="preserve"> 49 </w:t>
            </w:r>
          </w:p>
        </w:tc>
      </w:tr>
    </w:tbl>
    <w:p w14:paraId="7FFE9943" w14:textId="2BB51233" w:rsidR="00636298" w:rsidRDefault="00B75DDC" w:rsidP="00176301">
      <w:pPr>
        <w:pStyle w:val="Tablenote"/>
        <w:spacing w:before="240"/>
      </w:pPr>
      <w:r>
        <w:t>Da</w:t>
      </w:r>
      <w:r w:rsidR="000B554D">
        <w:t xml:space="preserve">ta provided in Appendix B was used to </w:t>
      </w:r>
      <w:r w:rsidR="00CE1BCB">
        <w:t>calculate</w:t>
      </w:r>
      <w:r w:rsidR="000B554D">
        <w:t xml:space="preserve"> the average number of all exposure calls received </w:t>
      </w:r>
      <w:r w:rsidR="00737329">
        <w:t>by all PICs between the years 2017-2021. Likewise</w:t>
      </w:r>
      <w:r w:rsidR="00CE1BCB">
        <w:t>,</w:t>
      </w:r>
      <w:r w:rsidR="00737329">
        <w:t xml:space="preserve"> </w:t>
      </w:r>
      <w:r w:rsidR="00CE1BCB">
        <w:t xml:space="preserve">an average of all exposure calls received by NSW PIC was </w:t>
      </w:r>
      <w:r w:rsidR="00522845">
        <w:t xml:space="preserve">calculated (2017-2021). </w:t>
      </w:r>
      <w:r w:rsidR="006C3BBA">
        <w:t>Taking the ratio</w:t>
      </w:r>
      <w:r w:rsidR="004138A5">
        <w:t xml:space="preserve"> of these,</w:t>
      </w:r>
      <w:r w:rsidR="00535DF3">
        <w:t xml:space="preserve"> </w:t>
      </w:r>
      <w:r w:rsidR="004138A5">
        <w:t>t</w:t>
      </w:r>
      <w:r w:rsidR="00522845">
        <w:t>he proportion of all calls received by NSW PIC</w:t>
      </w:r>
      <w:r w:rsidR="00176301">
        <w:t xml:space="preserve"> (</w:t>
      </w:r>
      <w:r w:rsidR="00176301">
        <w:rPr>
          <w:i/>
          <w:iCs/>
        </w:rPr>
        <w:t>Total reported (NSW)</w:t>
      </w:r>
      <w:r w:rsidR="00176301" w:rsidRPr="00176301">
        <w:t>)</w:t>
      </w:r>
      <w:r w:rsidR="00522845">
        <w:t xml:space="preserve"> was calculated to be 46%</w:t>
      </w:r>
      <w:r w:rsidR="0085470C">
        <w:t xml:space="preserve">, based on which </w:t>
      </w:r>
      <w:r w:rsidR="00E60C81">
        <w:t xml:space="preserve">the factor of </w:t>
      </w:r>
      <w:r w:rsidR="00D106F2">
        <w:t xml:space="preserve">1/0.46 was applied to </w:t>
      </w:r>
      <w:r w:rsidR="008F35E9">
        <w:t xml:space="preserve">extrapolate </w:t>
      </w:r>
      <w:r w:rsidR="00A760CD">
        <w:t>NSW numbers to national totals</w:t>
      </w:r>
      <w:r w:rsidR="00D106F2">
        <w:t xml:space="preserve"> </w:t>
      </w:r>
      <w:r w:rsidR="00A760CD">
        <w:t>(</w:t>
      </w:r>
      <w:r w:rsidR="00D106F2">
        <w:rPr>
          <w:i/>
          <w:iCs/>
        </w:rPr>
        <w:t>Total projected</w:t>
      </w:r>
      <w:r w:rsidR="00A760CD">
        <w:t>)</w:t>
      </w:r>
      <w:r w:rsidR="00E44B39">
        <w:t>.</w:t>
      </w:r>
      <w:r w:rsidR="00522845">
        <w:t xml:space="preserve"> </w:t>
      </w:r>
      <w:r w:rsidR="00880522">
        <w:t xml:space="preserve">Population data for each financial year was sourced through the ABS – </w:t>
      </w:r>
      <w:r w:rsidR="00880522">
        <w:rPr>
          <w:i/>
          <w:iCs/>
        </w:rPr>
        <w:t>Population- states and territories, Quarterly population by sex, by state and territory, from June 1981 onwards.</w:t>
      </w:r>
      <w:r w:rsidR="00880522">
        <w:t xml:space="preserve"> </w:t>
      </w:r>
      <w:r w:rsidR="00E807A3">
        <w:t xml:space="preserve">Note, ABS data was for financial years and NSW PIC data was calendar year. </w:t>
      </w:r>
      <w:r w:rsidR="00641741" w:rsidRPr="00F44D7F">
        <w:t>Total projected</w:t>
      </w:r>
      <w:r w:rsidR="006D52F3" w:rsidRPr="00F44D7F">
        <w:t xml:space="preserve"> figure</w:t>
      </w:r>
      <w:r w:rsidR="00641741" w:rsidRPr="00F44D7F">
        <w:t>s for Australia</w:t>
      </w:r>
      <w:r w:rsidR="006D52F3" w:rsidRPr="00F44D7F">
        <w:t xml:space="preserve"> </w:t>
      </w:r>
      <w:r w:rsidR="00641741" w:rsidRPr="00F44D7F">
        <w:t>were</w:t>
      </w:r>
      <w:r w:rsidR="006D52F3" w:rsidRPr="00F44D7F">
        <w:t xml:space="preserve"> then normalised </w:t>
      </w:r>
      <w:r w:rsidR="0084473F" w:rsidRPr="00F44D7F">
        <w:t>per million people</w:t>
      </w:r>
      <w:r w:rsidR="00641741" w:rsidRPr="00F44D7F">
        <w:t>.</w:t>
      </w:r>
    </w:p>
    <w:p w14:paraId="4C06ED20" w14:textId="2B655CCC" w:rsidR="00D01CF1" w:rsidRDefault="00636298" w:rsidP="009A2B10">
      <w:pPr>
        <w:pStyle w:val="Caption"/>
      </w:pPr>
      <w:bookmarkStart w:id="124" w:name="_Toc114560143"/>
      <w:r>
        <w:t xml:space="preserve">Table </w:t>
      </w:r>
      <w:r>
        <w:fldChar w:fldCharType="begin"/>
      </w:r>
      <w:r>
        <w:instrText>SEQ Table \* ARABIC</w:instrText>
      </w:r>
      <w:r>
        <w:fldChar w:fldCharType="separate"/>
      </w:r>
      <w:r w:rsidR="0091734E">
        <w:rPr>
          <w:noProof/>
        </w:rPr>
        <w:t>28</w:t>
      </w:r>
      <w:r>
        <w:fldChar w:fldCharType="end"/>
      </w:r>
      <w:r>
        <w:t xml:space="preserve">. </w:t>
      </w:r>
      <w:r w:rsidR="009A2B10">
        <w:t xml:space="preserve">AIHW </w:t>
      </w:r>
      <w:r w:rsidR="5720230A">
        <w:t xml:space="preserve">admissions </w:t>
      </w:r>
      <w:r w:rsidR="009A2B10">
        <w:t>data per unit of paracetamol sold</w:t>
      </w:r>
      <w:bookmarkEnd w:id="124"/>
    </w:p>
    <w:tbl>
      <w:tblPr>
        <w:tblStyle w:val="GridTable2"/>
        <w:tblW w:w="4976" w:type="pct"/>
        <w:tblLayout w:type="fixed"/>
        <w:tblLook w:val="04A0" w:firstRow="1" w:lastRow="0" w:firstColumn="1" w:lastColumn="0" w:noHBand="0" w:noVBand="1"/>
      </w:tblPr>
      <w:tblGrid>
        <w:gridCol w:w="2974"/>
        <w:gridCol w:w="3118"/>
        <w:gridCol w:w="2131"/>
        <w:gridCol w:w="1275"/>
        <w:gridCol w:w="1417"/>
        <w:gridCol w:w="1417"/>
        <w:gridCol w:w="1559"/>
      </w:tblGrid>
      <w:tr w:rsidR="003B29B2" w:rsidRPr="00CD4EB3" w14:paraId="09E8355B" w14:textId="77777777" w:rsidTr="4C22340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0" w:type="pct"/>
            <w:tcBorders>
              <w:left w:val="nil"/>
              <w:bottom w:val="nil"/>
            </w:tcBorders>
            <w:shd w:val="clear" w:color="auto" w:fill="595959" w:themeFill="text1" w:themeFillTint="A6"/>
            <w:noWrap/>
            <w:hideMark/>
          </w:tcPr>
          <w:p w14:paraId="6AB37373" w14:textId="5699DC53" w:rsidR="003B29B2" w:rsidRPr="003B29B2" w:rsidRDefault="00E370FB" w:rsidP="00CD4EB3">
            <w:pPr>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Hospital admission cause</w:t>
            </w:r>
          </w:p>
        </w:tc>
        <w:tc>
          <w:tcPr>
            <w:tcW w:w="1122" w:type="pct"/>
            <w:tcBorders>
              <w:bottom w:val="nil"/>
            </w:tcBorders>
            <w:shd w:val="clear" w:color="auto" w:fill="595959" w:themeFill="text1" w:themeFillTint="A6"/>
            <w:noWrap/>
            <w:hideMark/>
          </w:tcPr>
          <w:p w14:paraId="6C56E27A" w14:textId="0AEA5334" w:rsidR="003B29B2" w:rsidRPr="003B29B2" w:rsidRDefault="003B29B2" w:rsidP="00CD4EB3">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3B29B2">
              <w:rPr>
                <w:rFonts w:eastAsia="Times New Roman" w:cs="Times New Roman"/>
                <w:color w:val="FFFFFF" w:themeColor="background1"/>
                <w:szCs w:val="24"/>
                <w:lang w:eastAsia="en-AU"/>
              </w:rPr>
              <w:t>Measure</w:t>
            </w:r>
          </w:p>
        </w:tc>
        <w:tc>
          <w:tcPr>
            <w:tcW w:w="767" w:type="pct"/>
            <w:tcBorders>
              <w:bottom w:val="nil"/>
            </w:tcBorders>
            <w:shd w:val="clear" w:color="auto" w:fill="595959" w:themeFill="text1" w:themeFillTint="A6"/>
          </w:tcPr>
          <w:p w14:paraId="0160F2E0" w14:textId="62066FCF" w:rsidR="003B29B2" w:rsidRPr="003B29B2" w:rsidRDefault="00FF677D" w:rsidP="001B1AA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2015-16</w:t>
            </w:r>
          </w:p>
        </w:tc>
        <w:tc>
          <w:tcPr>
            <w:tcW w:w="459" w:type="pct"/>
            <w:tcBorders>
              <w:bottom w:val="nil"/>
            </w:tcBorders>
            <w:shd w:val="clear" w:color="auto" w:fill="595959" w:themeFill="text1" w:themeFillTint="A6"/>
            <w:noWrap/>
            <w:hideMark/>
          </w:tcPr>
          <w:p w14:paraId="7F5224A8" w14:textId="728BF531" w:rsidR="003B29B2" w:rsidRPr="003B29B2" w:rsidRDefault="00A10B77" w:rsidP="00A10B7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2016-17</w:t>
            </w:r>
          </w:p>
        </w:tc>
        <w:tc>
          <w:tcPr>
            <w:tcW w:w="510" w:type="pct"/>
            <w:tcBorders>
              <w:bottom w:val="nil"/>
            </w:tcBorders>
            <w:shd w:val="clear" w:color="auto" w:fill="595959" w:themeFill="text1" w:themeFillTint="A6"/>
            <w:noWrap/>
            <w:hideMark/>
          </w:tcPr>
          <w:p w14:paraId="0D554476" w14:textId="1D10BEBE" w:rsidR="003B29B2" w:rsidRPr="003B29B2" w:rsidRDefault="00A10B77" w:rsidP="00A10B7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2017-18</w:t>
            </w:r>
          </w:p>
        </w:tc>
        <w:tc>
          <w:tcPr>
            <w:tcW w:w="510" w:type="pct"/>
            <w:tcBorders>
              <w:bottom w:val="nil"/>
            </w:tcBorders>
            <w:shd w:val="clear" w:color="auto" w:fill="595959" w:themeFill="text1" w:themeFillTint="A6"/>
            <w:noWrap/>
            <w:hideMark/>
          </w:tcPr>
          <w:p w14:paraId="1B301273" w14:textId="383E7495" w:rsidR="003B29B2" w:rsidRPr="003B29B2" w:rsidRDefault="00A10B77" w:rsidP="00A10B7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2018-19</w:t>
            </w:r>
          </w:p>
        </w:tc>
        <w:tc>
          <w:tcPr>
            <w:tcW w:w="561" w:type="pct"/>
            <w:tcBorders>
              <w:bottom w:val="nil"/>
              <w:right w:val="nil"/>
            </w:tcBorders>
            <w:shd w:val="clear" w:color="auto" w:fill="595959" w:themeFill="text1" w:themeFillTint="A6"/>
            <w:noWrap/>
            <w:hideMark/>
          </w:tcPr>
          <w:p w14:paraId="1E40865E" w14:textId="3F837C7D" w:rsidR="003B29B2" w:rsidRPr="003B29B2" w:rsidRDefault="00A10B77" w:rsidP="00A10B77">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2019-20</w:t>
            </w:r>
          </w:p>
        </w:tc>
      </w:tr>
      <w:tr w:rsidR="002A5986" w:rsidRPr="00CD4EB3" w14:paraId="5E050136" w14:textId="77777777" w:rsidTr="4C2234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70" w:type="pct"/>
            <w:vMerge w:val="restart"/>
            <w:tcBorders>
              <w:top w:val="single" w:sz="4" w:space="0" w:color="auto"/>
              <w:right w:val="nil"/>
            </w:tcBorders>
            <w:shd w:val="clear" w:color="auto" w:fill="auto"/>
            <w:hideMark/>
          </w:tcPr>
          <w:p w14:paraId="4C5AE6B2" w14:textId="67A641AE" w:rsidR="002A5986" w:rsidRPr="003B29B2" w:rsidRDefault="002A5986" w:rsidP="002A5986">
            <w:pPr>
              <w:rPr>
                <w:rFonts w:eastAsia="Times New Roman" w:cs="Times New Roman"/>
                <w:color w:val="000000"/>
                <w:szCs w:val="24"/>
                <w:lang w:eastAsia="en-AU"/>
              </w:rPr>
            </w:pPr>
            <w:r w:rsidRPr="003B29B2">
              <w:rPr>
                <w:rFonts w:eastAsia="Times New Roman" w:cs="Times New Roman"/>
                <w:color w:val="000000"/>
                <w:szCs w:val="24"/>
                <w:lang w:eastAsia="en-AU"/>
              </w:rPr>
              <w:t xml:space="preserve">Paracetamol poisoning </w:t>
            </w:r>
          </w:p>
        </w:tc>
        <w:tc>
          <w:tcPr>
            <w:tcW w:w="1122" w:type="pct"/>
            <w:tcBorders>
              <w:top w:val="single" w:sz="4" w:space="0" w:color="auto"/>
              <w:left w:val="nil"/>
              <w:right w:val="nil"/>
            </w:tcBorders>
            <w:noWrap/>
            <w:hideMark/>
          </w:tcPr>
          <w:p w14:paraId="5651090A" w14:textId="61E72DE6" w:rsidR="002A5986" w:rsidRPr="003B29B2" w:rsidRDefault="002A5986" w:rsidP="002A598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Total number</w:t>
            </w:r>
          </w:p>
        </w:tc>
        <w:tc>
          <w:tcPr>
            <w:tcW w:w="767" w:type="pct"/>
            <w:tcBorders>
              <w:top w:val="single" w:sz="4" w:space="0" w:color="auto"/>
              <w:left w:val="nil"/>
              <w:right w:val="nil"/>
            </w:tcBorders>
            <w:noWrap/>
            <w:hideMark/>
          </w:tcPr>
          <w:p w14:paraId="7DD49E52"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11,122 </w:t>
            </w:r>
          </w:p>
        </w:tc>
        <w:tc>
          <w:tcPr>
            <w:tcW w:w="459" w:type="pct"/>
            <w:tcBorders>
              <w:top w:val="single" w:sz="4" w:space="0" w:color="auto"/>
              <w:left w:val="nil"/>
              <w:right w:val="nil"/>
            </w:tcBorders>
            <w:noWrap/>
            <w:hideMark/>
          </w:tcPr>
          <w:p w14:paraId="60CA99E3"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11,697 </w:t>
            </w:r>
          </w:p>
        </w:tc>
        <w:tc>
          <w:tcPr>
            <w:tcW w:w="510" w:type="pct"/>
            <w:tcBorders>
              <w:top w:val="single" w:sz="4" w:space="0" w:color="auto"/>
              <w:left w:val="nil"/>
              <w:right w:val="nil"/>
            </w:tcBorders>
            <w:noWrap/>
            <w:hideMark/>
          </w:tcPr>
          <w:p w14:paraId="577E7B18"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10,186 </w:t>
            </w:r>
          </w:p>
        </w:tc>
        <w:tc>
          <w:tcPr>
            <w:tcW w:w="510" w:type="pct"/>
            <w:tcBorders>
              <w:top w:val="single" w:sz="4" w:space="0" w:color="auto"/>
              <w:left w:val="nil"/>
              <w:right w:val="nil"/>
            </w:tcBorders>
            <w:noWrap/>
            <w:hideMark/>
          </w:tcPr>
          <w:p w14:paraId="2A453B8F"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9,327 </w:t>
            </w:r>
          </w:p>
        </w:tc>
        <w:tc>
          <w:tcPr>
            <w:tcW w:w="561" w:type="pct"/>
            <w:tcBorders>
              <w:top w:val="single" w:sz="4" w:space="0" w:color="auto"/>
              <w:left w:val="nil"/>
            </w:tcBorders>
            <w:noWrap/>
            <w:hideMark/>
          </w:tcPr>
          <w:p w14:paraId="3D0AAFBF"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8,723 </w:t>
            </w:r>
          </w:p>
        </w:tc>
      </w:tr>
      <w:tr w:rsidR="002A5986" w:rsidRPr="00CD4EB3" w14:paraId="107B2814" w14:textId="77777777" w:rsidTr="4C223402">
        <w:trPr>
          <w:trHeight w:val="354"/>
        </w:trPr>
        <w:tc>
          <w:tcPr>
            <w:cnfStyle w:val="001000000000" w:firstRow="0" w:lastRow="0" w:firstColumn="1" w:lastColumn="0" w:oddVBand="0" w:evenVBand="0" w:oddHBand="0" w:evenHBand="0" w:firstRowFirstColumn="0" w:firstRowLastColumn="0" w:lastRowFirstColumn="0" w:lastRowLastColumn="0"/>
            <w:tcW w:w="1070" w:type="pct"/>
            <w:vMerge/>
            <w:hideMark/>
          </w:tcPr>
          <w:p w14:paraId="010C51C2" w14:textId="77777777" w:rsidR="002A5986" w:rsidRPr="003B29B2" w:rsidRDefault="002A5986" w:rsidP="002A5986">
            <w:pPr>
              <w:rPr>
                <w:rFonts w:eastAsia="Times New Roman" w:cs="Times New Roman"/>
                <w:color w:val="000000"/>
                <w:szCs w:val="24"/>
                <w:lang w:eastAsia="en-AU"/>
              </w:rPr>
            </w:pPr>
          </w:p>
        </w:tc>
        <w:tc>
          <w:tcPr>
            <w:tcW w:w="1122" w:type="pct"/>
            <w:tcBorders>
              <w:top w:val="single" w:sz="2" w:space="0" w:color="666666"/>
              <w:left w:val="nil"/>
              <w:right w:val="nil"/>
            </w:tcBorders>
            <w:noWrap/>
            <w:hideMark/>
          </w:tcPr>
          <w:p w14:paraId="50A92A7C" w14:textId="18D76927" w:rsidR="002A5986" w:rsidRPr="003B29B2" w:rsidRDefault="002A5986" w:rsidP="002A598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Number per</w:t>
            </w:r>
            <w:r w:rsidRPr="003B29B2">
              <w:rPr>
                <w:rFonts w:eastAsia="Times New Roman" w:cs="Times New Roman"/>
                <w:color w:val="000000" w:themeColor="text1"/>
                <w:szCs w:val="24"/>
                <w:lang w:eastAsia="en-AU"/>
              </w:rPr>
              <w:t xml:space="preserve"> million units sold</w:t>
            </w:r>
          </w:p>
        </w:tc>
        <w:tc>
          <w:tcPr>
            <w:tcW w:w="767" w:type="pct"/>
            <w:tcBorders>
              <w:top w:val="single" w:sz="2" w:space="0" w:color="666666"/>
              <w:left w:val="nil"/>
              <w:right w:val="nil"/>
            </w:tcBorders>
            <w:noWrap/>
            <w:hideMark/>
          </w:tcPr>
          <w:p w14:paraId="04CFBAEE" w14:textId="5036AD1B"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n/a</w:t>
            </w:r>
          </w:p>
        </w:tc>
        <w:tc>
          <w:tcPr>
            <w:tcW w:w="459" w:type="pct"/>
            <w:tcBorders>
              <w:top w:val="single" w:sz="2" w:space="0" w:color="666666"/>
              <w:left w:val="nil"/>
              <w:right w:val="nil"/>
            </w:tcBorders>
            <w:noWrap/>
            <w:hideMark/>
          </w:tcPr>
          <w:p w14:paraId="30430046"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164 </w:t>
            </w:r>
          </w:p>
        </w:tc>
        <w:tc>
          <w:tcPr>
            <w:tcW w:w="510" w:type="pct"/>
            <w:tcBorders>
              <w:top w:val="single" w:sz="2" w:space="0" w:color="666666"/>
              <w:left w:val="nil"/>
              <w:right w:val="nil"/>
            </w:tcBorders>
            <w:noWrap/>
            <w:hideMark/>
          </w:tcPr>
          <w:p w14:paraId="156E3FAB"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152 </w:t>
            </w:r>
          </w:p>
        </w:tc>
        <w:tc>
          <w:tcPr>
            <w:tcW w:w="510" w:type="pct"/>
            <w:tcBorders>
              <w:top w:val="single" w:sz="2" w:space="0" w:color="666666"/>
              <w:left w:val="nil"/>
              <w:right w:val="nil"/>
            </w:tcBorders>
            <w:noWrap/>
            <w:hideMark/>
          </w:tcPr>
          <w:p w14:paraId="418D4C7A"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137 </w:t>
            </w:r>
          </w:p>
        </w:tc>
        <w:tc>
          <w:tcPr>
            <w:tcW w:w="561" w:type="pct"/>
            <w:tcBorders>
              <w:top w:val="single" w:sz="2" w:space="0" w:color="666666"/>
              <w:left w:val="nil"/>
            </w:tcBorders>
            <w:noWrap/>
            <w:hideMark/>
          </w:tcPr>
          <w:p w14:paraId="64BBB77D"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127 </w:t>
            </w:r>
          </w:p>
        </w:tc>
      </w:tr>
      <w:tr w:rsidR="002A5986" w:rsidRPr="00CD4EB3" w14:paraId="3499F30E" w14:textId="77777777" w:rsidTr="4C2234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70" w:type="pct"/>
            <w:vMerge w:val="restart"/>
            <w:tcBorders>
              <w:top w:val="single" w:sz="2" w:space="0" w:color="666666"/>
              <w:right w:val="nil"/>
            </w:tcBorders>
            <w:shd w:val="clear" w:color="auto" w:fill="auto"/>
            <w:hideMark/>
          </w:tcPr>
          <w:p w14:paraId="5FBD4FCB" w14:textId="7032A5C5" w:rsidR="002A5986" w:rsidRPr="003B29B2" w:rsidRDefault="002A5986" w:rsidP="002A5986">
            <w:pPr>
              <w:rPr>
                <w:rFonts w:eastAsia="Times New Roman" w:cs="Times New Roman"/>
                <w:color w:val="000000"/>
                <w:szCs w:val="24"/>
                <w:lang w:eastAsia="en-AU"/>
              </w:rPr>
            </w:pPr>
            <w:r w:rsidRPr="003B29B2">
              <w:rPr>
                <w:rFonts w:eastAsia="Times New Roman" w:cs="Times New Roman"/>
                <w:color w:val="000000"/>
                <w:szCs w:val="24"/>
                <w:lang w:eastAsia="en-AU"/>
              </w:rPr>
              <w:t xml:space="preserve">Paracetamol deliberate self-poisoning </w:t>
            </w:r>
          </w:p>
        </w:tc>
        <w:tc>
          <w:tcPr>
            <w:tcW w:w="1122" w:type="pct"/>
            <w:tcBorders>
              <w:top w:val="single" w:sz="2" w:space="0" w:color="666666"/>
              <w:left w:val="nil"/>
              <w:right w:val="nil"/>
            </w:tcBorders>
            <w:noWrap/>
            <w:hideMark/>
          </w:tcPr>
          <w:p w14:paraId="7CAB185A" w14:textId="131A0EDC" w:rsidR="002A5986" w:rsidRPr="003B29B2" w:rsidRDefault="002A5986" w:rsidP="002A598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Total number</w:t>
            </w:r>
          </w:p>
        </w:tc>
        <w:tc>
          <w:tcPr>
            <w:tcW w:w="767" w:type="pct"/>
            <w:tcBorders>
              <w:top w:val="single" w:sz="2" w:space="0" w:color="666666"/>
              <w:left w:val="nil"/>
              <w:right w:val="nil"/>
            </w:tcBorders>
            <w:noWrap/>
            <w:hideMark/>
          </w:tcPr>
          <w:p w14:paraId="4AD22D54"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8,748 </w:t>
            </w:r>
          </w:p>
        </w:tc>
        <w:tc>
          <w:tcPr>
            <w:tcW w:w="459" w:type="pct"/>
            <w:tcBorders>
              <w:top w:val="single" w:sz="2" w:space="0" w:color="666666"/>
              <w:left w:val="nil"/>
              <w:right w:val="nil"/>
            </w:tcBorders>
            <w:noWrap/>
            <w:hideMark/>
          </w:tcPr>
          <w:p w14:paraId="7C21DA6F"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9,381 </w:t>
            </w:r>
          </w:p>
        </w:tc>
        <w:tc>
          <w:tcPr>
            <w:tcW w:w="510" w:type="pct"/>
            <w:tcBorders>
              <w:top w:val="single" w:sz="2" w:space="0" w:color="666666"/>
              <w:left w:val="nil"/>
              <w:right w:val="nil"/>
            </w:tcBorders>
            <w:noWrap/>
            <w:hideMark/>
          </w:tcPr>
          <w:p w14:paraId="39C5DC3F"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8,078 </w:t>
            </w:r>
          </w:p>
        </w:tc>
        <w:tc>
          <w:tcPr>
            <w:tcW w:w="510" w:type="pct"/>
            <w:tcBorders>
              <w:top w:val="single" w:sz="2" w:space="0" w:color="666666"/>
              <w:left w:val="nil"/>
              <w:right w:val="nil"/>
            </w:tcBorders>
            <w:noWrap/>
            <w:hideMark/>
          </w:tcPr>
          <w:p w14:paraId="769F238B"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7,404 </w:t>
            </w:r>
          </w:p>
        </w:tc>
        <w:tc>
          <w:tcPr>
            <w:tcW w:w="561" w:type="pct"/>
            <w:tcBorders>
              <w:top w:val="single" w:sz="2" w:space="0" w:color="666666"/>
              <w:left w:val="nil"/>
            </w:tcBorders>
            <w:noWrap/>
            <w:hideMark/>
          </w:tcPr>
          <w:p w14:paraId="52237059"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6,918 </w:t>
            </w:r>
          </w:p>
        </w:tc>
      </w:tr>
      <w:tr w:rsidR="002A5986" w:rsidRPr="00CD4EB3" w14:paraId="16B41527" w14:textId="77777777" w:rsidTr="4C223402">
        <w:trPr>
          <w:trHeight w:val="300"/>
        </w:trPr>
        <w:tc>
          <w:tcPr>
            <w:cnfStyle w:val="001000000000" w:firstRow="0" w:lastRow="0" w:firstColumn="1" w:lastColumn="0" w:oddVBand="0" w:evenVBand="0" w:oddHBand="0" w:evenHBand="0" w:firstRowFirstColumn="0" w:firstRowLastColumn="0" w:lastRowFirstColumn="0" w:lastRowLastColumn="0"/>
            <w:tcW w:w="1070" w:type="pct"/>
            <w:vMerge/>
            <w:hideMark/>
          </w:tcPr>
          <w:p w14:paraId="110E2912" w14:textId="77777777" w:rsidR="002A5986" w:rsidRPr="003B29B2" w:rsidRDefault="002A5986" w:rsidP="002A5986">
            <w:pPr>
              <w:rPr>
                <w:rFonts w:eastAsia="Times New Roman" w:cs="Times New Roman"/>
                <w:color w:val="000000"/>
                <w:szCs w:val="24"/>
                <w:lang w:eastAsia="en-AU"/>
              </w:rPr>
            </w:pPr>
          </w:p>
        </w:tc>
        <w:tc>
          <w:tcPr>
            <w:tcW w:w="1122" w:type="pct"/>
            <w:tcBorders>
              <w:top w:val="single" w:sz="2" w:space="0" w:color="666666"/>
              <w:left w:val="nil"/>
              <w:right w:val="nil"/>
            </w:tcBorders>
            <w:noWrap/>
            <w:hideMark/>
          </w:tcPr>
          <w:p w14:paraId="674A47DE" w14:textId="1AE9C673" w:rsidR="002A5986" w:rsidRPr="003B29B2" w:rsidRDefault="002A5986" w:rsidP="002A598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Number per</w:t>
            </w:r>
            <w:r w:rsidRPr="003B29B2">
              <w:rPr>
                <w:rFonts w:eastAsia="Times New Roman" w:cs="Times New Roman"/>
                <w:color w:val="000000" w:themeColor="text1"/>
                <w:szCs w:val="24"/>
                <w:lang w:eastAsia="en-AU"/>
              </w:rPr>
              <w:t xml:space="preserve"> million units sold</w:t>
            </w:r>
          </w:p>
        </w:tc>
        <w:tc>
          <w:tcPr>
            <w:tcW w:w="767" w:type="pct"/>
            <w:tcBorders>
              <w:top w:val="single" w:sz="2" w:space="0" w:color="666666"/>
              <w:left w:val="nil"/>
              <w:right w:val="nil"/>
            </w:tcBorders>
            <w:noWrap/>
            <w:hideMark/>
          </w:tcPr>
          <w:p w14:paraId="27B3EF8F" w14:textId="5EED8C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n/a</w:t>
            </w:r>
          </w:p>
        </w:tc>
        <w:tc>
          <w:tcPr>
            <w:tcW w:w="459" w:type="pct"/>
            <w:tcBorders>
              <w:top w:val="single" w:sz="2" w:space="0" w:color="666666"/>
              <w:left w:val="nil"/>
              <w:right w:val="nil"/>
            </w:tcBorders>
            <w:noWrap/>
            <w:hideMark/>
          </w:tcPr>
          <w:p w14:paraId="3CFA079B" w14:textId="77777777" w:rsidR="002A5986" w:rsidRPr="003B29B2" w:rsidRDefault="002A5986" w:rsidP="4C22340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C223402">
              <w:rPr>
                <w:rFonts w:eastAsia="Times New Roman" w:cs="Times New Roman"/>
                <w:color w:val="000000" w:themeColor="text1"/>
                <w:lang w:eastAsia="en-AU"/>
              </w:rPr>
              <w:t xml:space="preserve">131 </w:t>
            </w:r>
          </w:p>
        </w:tc>
        <w:tc>
          <w:tcPr>
            <w:tcW w:w="510" w:type="pct"/>
            <w:tcBorders>
              <w:top w:val="single" w:sz="2" w:space="0" w:color="666666"/>
              <w:left w:val="nil"/>
              <w:right w:val="nil"/>
            </w:tcBorders>
            <w:noWrap/>
            <w:hideMark/>
          </w:tcPr>
          <w:p w14:paraId="5F02AA29"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121 </w:t>
            </w:r>
          </w:p>
        </w:tc>
        <w:tc>
          <w:tcPr>
            <w:tcW w:w="510" w:type="pct"/>
            <w:tcBorders>
              <w:top w:val="single" w:sz="2" w:space="0" w:color="666666"/>
              <w:left w:val="nil"/>
              <w:right w:val="nil"/>
            </w:tcBorders>
            <w:noWrap/>
            <w:hideMark/>
          </w:tcPr>
          <w:p w14:paraId="0446D378"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108 </w:t>
            </w:r>
          </w:p>
        </w:tc>
        <w:tc>
          <w:tcPr>
            <w:tcW w:w="561" w:type="pct"/>
            <w:tcBorders>
              <w:top w:val="single" w:sz="2" w:space="0" w:color="666666"/>
              <w:left w:val="nil"/>
            </w:tcBorders>
            <w:noWrap/>
            <w:hideMark/>
          </w:tcPr>
          <w:p w14:paraId="2C2B5DA4" w14:textId="77777777" w:rsidR="002A5986" w:rsidRPr="003B29B2" w:rsidRDefault="002A5986" w:rsidP="4C22340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C223402">
              <w:rPr>
                <w:rFonts w:eastAsia="Times New Roman" w:cs="Times New Roman"/>
                <w:color w:val="000000" w:themeColor="text1"/>
                <w:lang w:eastAsia="en-AU"/>
              </w:rPr>
              <w:t xml:space="preserve"> 101 </w:t>
            </w:r>
          </w:p>
        </w:tc>
      </w:tr>
      <w:tr w:rsidR="002A5986" w:rsidRPr="00CD4EB3" w14:paraId="625FB77B" w14:textId="77777777" w:rsidTr="4C2234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70" w:type="pct"/>
            <w:vMerge w:val="restart"/>
            <w:tcBorders>
              <w:top w:val="single" w:sz="2" w:space="0" w:color="666666"/>
              <w:right w:val="nil"/>
            </w:tcBorders>
            <w:shd w:val="clear" w:color="auto" w:fill="auto"/>
            <w:hideMark/>
          </w:tcPr>
          <w:p w14:paraId="159C31F7" w14:textId="2C0700E1" w:rsidR="002A5986" w:rsidRPr="003B29B2" w:rsidRDefault="00E370FB" w:rsidP="002A5986">
            <w:pPr>
              <w:rPr>
                <w:rFonts w:eastAsia="Times New Roman" w:cs="Times New Roman"/>
                <w:color w:val="000000"/>
                <w:szCs w:val="24"/>
                <w:lang w:eastAsia="en-AU"/>
              </w:rPr>
            </w:pPr>
            <w:r w:rsidRPr="007D17BD">
              <w:rPr>
                <w:rFonts w:eastAsia="Times New Roman" w:cs="Times New Roman"/>
                <w:color w:val="000000"/>
                <w:szCs w:val="24"/>
                <w:lang w:eastAsia="en-AU"/>
              </w:rPr>
              <w:t>Paracetamol poisoning with liver injury</w:t>
            </w:r>
          </w:p>
        </w:tc>
        <w:tc>
          <w:tcPr>
            <w:tcW w:w="1122" w:type="pct"/>
            <w:tcBorders>
              <w:top w:val="single" w:sz="2" w:space="0" w:color="666666"/>
              <w:left w:val="nil"/>
              <w:right w:val="nil"/>
            </w:tcBorders>
            <w:noWrap/>
            <w:hideMark/>
          </w:tcPr>
          <w:p w14:paraId="24359E6F" w14:textId="48DB9438" w:rsidR="002A5986" w:rsidRPr="003B29B2" w:rsidRDefault="002A5986" w:rsidP="002A598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Total number</w:t>
            </w:r>
          </w:p>
        </w:tc>
        <w:tc>
          <w:tcPr>
            <w:tcW w:w="767" w:type="pct"/>
            <w:tcBorders>
              <w:top w:val="single" w:sz="2" w:space="0" w:color="666666"/>
              <w:left w:val="nil"/>
              <w:right w:val="nil"/>
            </w:tcBorders>
            <w:noWrap/>
            <w:hideMark/>
          </w:tcPr>
          <w:p w14:paraId="380BC9AA"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220</w:t>
            </w:r>
          </w:p>
        </w:tc>
        <w:tc>
          <w:tcPr>
            <w:tcW w:w="459" w:type="pct"/>
            <w:tcBorders>
              <w:top w:val="single" w:sz="2" w:space="0" w:color="666666"/>
              <w:left w:val="nil"/>
              <w:right w:val="nil"/>
            </w:tcBorders>
            <w:noWrap/>
            <w:hideMark/>
          </w:tcPr>
          <w:p w14:paraId="37444138"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235</w:t>
            </w:r>
          </w:p>
        </w:tc>
        <w:tc>
          <w:tcPr>
            <w:tcW w:w="510" w:type="pct"/>
            <w:tcBorders>
              <w:top w:val="single" w:sz="2" w:space="0" w:color="666666"/>
              <w:left w:val="nil"/>
              <w:right w:val="nil"/>
            </w:tcBorders>
            <w:noWrap/>
            <w:hideMark/>
          </w:tcPr>
          <w:p w14:paraId="5086DF9A"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224</w:t>
            </w:r>
          </w:p>
        </w:tc>
        <w:tc>
          <w:tcPr>
            <w:tcW w:w="510" w:type="pct"/>
            <w:tcBorders>
              <w:top w:val="single" w:sz="2" w:space="0" w:color="666666"/>
              <w:left w:val="nil"/>
              <w:right w:val="nil"/>
            </w:tcBorders>
            <w:noWrap/>
            <w:hideMark/>
          </w:tcPr>
          <w:p w14:paraId="613D041D"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204</w:t>
            </w:r>
          </w:p>
        </w:tc>
        <w:tc>
          <w:tcPr>
            <w:tcW w:w="561" w:type="pct"/>
            <w:tcBorders>
              <w:top w:val="single" w:sz="2" w:space="0" w:color="666666"/>
              <w:left w:val="nil"/>
            </w:tcBorders>
            <w:noWrap/>
            <w:hideMark/>
          </w:tcPr>
          <w:p w14:paraId="7CD3BF52"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199</w:t>
            </w:r>
          </w:p>
        </w:tc>
      </w:tr>
      <w:tr w:rsidR="002A5986" w:rsidRPr="00CD4EB3" w14:paraId="0C100501" w14:textId="77777777" w:rsidTr="4C223402">
        <w:trPr>
          <w:trHeight w:val="300"/>
        </w:trPr>
        <w:tc>
          <w:tcPr>
            <w:cnfStyle w:val="001000000000" w:firstRow="0" w:lastRow="0" w:firstColumn="1" w:lastColumn="0" w:oddVBand="0" w:evenVBand="0" w:oddHBand="0" w:evenHBand="0" w:firstRowFirstColumn="0" w:firstRowLastColumn="0" w:lastRowFirstColumn="0" w:lastRowLastColumn="0"/>
            <w:tcW w:w="1070" w:type="pct"/>
            <w:vMerge/>
            <w:hideMark/>
          </w:tcPr>
          <w:p w14:paraId="0D0ECBEB" w14:textId="77777777" w:rsidR="002A5986" w:rsidRPr="003B29B2" w:rsidRDefault="002A5986" w:rsidP="002A5986">
            <w:pPr>
              <w:rPr>
                <w:rFonts w:eastAsia="Times New Roman" w:cs="Times New Roman"/>
                <w:color w:val="000000"/>
                <w:szCs w:val="24"/>
                <w:lang w:eastAsia="en-AU"/>
              </w:rPr>
            </w:pPr>
          </w:p>
        </w:tc>
        <w:tc>
          <w:tcPr>
            <w:tcW w:w="1122" w:type="pct"/>
            <w:tcBorders>
              <w:top w:val="single" w:sz="2" w:space="0" w:color="666666"/>
              <w:left w:val="nil"/>
              <w:right w:val="nil"/>
            </w:tcBorders>
            <w:noWrap/>
            <w:hideMark/>
          </w:tcPr>
          <w:p w14:paraId="0BB1AEDF" w14:textId="156EF5FB" w:rsidR="002A5986" w:rsidRPr="003B29B2" w:rsidRDefault="002A5986" w:rsidP="002A598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Number per</w:t>
            </w:r>
            <w:r w:rsidRPr="003B29B2">
              <w:rPr>
                <w:rFonts w:eastAsia="Times New Roman" w:cs="Times New Roman"/>
                <w:color w:val="000000" w:themeColor="text1"/>
                <w:szCs w:val="24"/>
                <w:lang w:eastAsia="en-AU"/>
              </w:rPr>
              <w:t xml:space="preserve"> million units sold</w:t>
            </w:r>
            <w:r w:rsidR="00010D45">
              <w:rPr>
                <w:rFonts w:eastAsia="Times New Roman" w:cs="Times New Roman"/>
                <w:color w:val="000000"/>
                <w:szCs w:val="24"/>
                <w:lang w:eastAsia="en-AU"/>
              </w:rPr>
              <w:t xml:space="preserve">  </w:t>
            </w:r>
          </w:p>
        </w:tc>
        <w:tc>
          <w:tcPr>
            <w:tcW w:w="767" w:type="pct"/>
            <w:tcBorders>
              <w:top w:val="single" w:sz="2" w:space="0" w:color="666666"/>
              <w:left w:val="nil"/>
              <w:right w:val="nil"/>
            </w:tcBorders>
            <w:noWrap/>
            <w:hideMark/>
          </w:tcPr>
          <w:p w14:paraId="3A8E52D7" w14:textId="628386E3"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n/a</w:t>
            </w:r>
          </w:p>
        </w:tc>
        <w:tc>
          <w:tcPr>
            <w:tcW w:w="459" w:type="pct"/>
            <w:tcBorders>
              <w:top w:val="single" w:sz="2" w:space="0" w:color="666666"/>
              <w:left w:val="nil"/>
              <w:right w:val="nil"/>
            </w:tcBorders>
            <w:noWrap/>
            <w:hideMark/>
          </w:tcPr>
          <w:p w14:paraId="010CD3EE"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3</w:t>
            </w:r>
          </w:p>
        </w:tc>
        <w:tc>
          <w:tcPr>
            <w:tcW w:w="510" w:type="pct"/>
            <w:tcBorders>
              <w:top w:val="single" w:sz="2" w:space="0" w:color="666666"/>
              <w:left w:val="nil"/>
              <w:right w:val="nil"/>
            </w:tcBorders>
            <w:noWrap/>
            <w:hideMark/>
          </w:tcPr>
          <w:p w14:paraId="642B126C"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3</w:t>
            </w:r>
          </w:p>
        </w:tc>
        <w:tc>
          <w:tcPr>
            <w:tcW w:w="510" w:type="pct"/>
            <w:tcBorders>
              <w:top w:val="single" w:sz="2" w:space="0" w:color="666666"/>
              <w:left w:val="nil"/>
              <w:right w:val="nil"/>
            </w:tcBorders>
            <w:noWrap/>
            <w:hideMark/>
          </w:tcPr>
          <w:p w14:paraId="636EA594"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3</w:t>
            </w:r>
          </w:p>
        </w:tc>
        <w:tc>
          <w:tcPr>
            <w:tcW w:w="561" w:type="pct"/>
            <w:tcBorders>
              <w:top w:val="single" w:sz="2" w:space="0" w:color="666666"/>
              <w:left w:val="nil"/>
            </w:tcBorders>
            <w:noWrap/>
            <w:hideMark/>
          </w:tcPr>
          <w:p w14:paraId="26D31D19"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3</w:t>
            </w:r>
          </w:p>
        </w:tc>
      </w:tr>
      <w:tr w:rsidR="002A5986" w:rsidRPr="00CD4EB3" w14:paraId="43C8BBE2" w14:textId="77777777" w:rsidTr="4C22340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70" w:type="pct"/>
            <w:vMerge w:val="restart"/>
            <w:tcBorders>
              <w:top w:val="single" w:sz="2" w:space="0" w:color="666666"/>
              <w:right w:val="nil"/>
            </w:tcBorders>
            <w:shd w:val="clear" w:color="auto" w:fill="auto"/>
            <w:hideMark/>
          </w:tcPr>
          <w:p w14:paraId="5D9C9E53" w14:textId="29BFFCED" w:rsidR="002A5986" w:rsidRPr="003B29B2" w:rsidRDefault="00CA0BF3" w:rsidP="002A5986">
            <w:pPr>
              <w:rPr>
                <w:rFonts w:eastAsia="Times New Roman" w:cs="Times New Roman"/>
                <w:color w:val="000000"/>
                <w:szCs w:val="24"/>
                <w:lang w:eastAsia="en-AU"/>
              </w:rPr>
            </w:pPr>
            <w:r>
              <w:rPr>
                <w:rFonts w:eastAsia="Times New Roman" w:cs="Times New Roman"/>
                <w:color w:val="000000"/>
                <w:szCs w:val="24"/>
                <w:lang w:eastAsia="en-AU"/>
              </w:rPr>
              <w:t>‘</w:t>
            </w:r>
            <w:r w:rsidR="002A5986" w:rsidRPr="003B29B2">
              <w:rPr>
                <w:rFonts w:eastAsia="Times New Roman" w:cs="Times New Roman"/>
                <w:color w:val="000000"/>
                <w:szCs w:val="24"/>
                <w:lang w:eastAsia="en-AU"/>
              </w:rPr>
              <w:t>Other NSAID' poisoning</w:t>
            </w:r>
          </w:p>
        </w:tc>
        <w:tc>
          <w:tcPr>
            <w:tcW w:w="1122" w:type="pct"/>
            <w:tcBorders>
              <w:top w:val="single" w:sz="2" w:space="0" w:color="666666"/>
              <w:left w:val="nil"/>
              <w:right w:val="nil"/>
            </w:tcBorders>
            <w:noWrap/>
            <w:hideMark/>
          </w:tcPr>
          <w:p w14:paraId="5C72C160" w14:textId="68F40224" w:rsidR="002A5986" w:rsidRPr="003B29B2" w:rsidRDefault="002A5986" w:rsidP="002A5986">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Total number</w:t>
            </w:r>
          </w:p>
        </w:tc>
        <w:tc>
          <w:tcPr>
            <w:tcW w:w="767" w:type="pct"/>
            <w:tcBorders>
              <w:top w:val="single" w:sz="2" w:space="0" w:color="666666"/>
              <w:left w:val="nil"/>
              <w:right w:val="nil"/>
            </w:tcBorders>
            <w:noWrap/>
            <w:hideMark/>
          </w:tcPr>
          <w:p w14:paraId="397156F1"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1,694 </w:t>
            </w:r>
          </w:p>
        </w:tc>
        <w:tc>
          <w:tcPr>
            <w:tcW w:w="459" w:type="pct"/>
            <w:tcBorders>
              <w:top w:val="single" w:sz="2" w:space="0" w:color="666666"/>
              <w:left w:val="nil"/>
              <w:right w:val="nil"/>
            </w:tcBorders>
            <w:noWrap/>
            <w:hideMark/>
          </w:tcPr>
          <w:p w14:paraId="4C2137F0"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1,847 </w:t>
            </w:r>
          </w:p>
        </w:tc>
        <w:tc>
          <w:tcPr>
            <w:tcW w:w="510" w:type="pct"/>
            <w:tcBorders>
              <w:top w:val="single" w:sz="2" w:space="0" w:color="666666"/>
              <w:left w:val="nil"/>
              <w:right w:val="nil"/>
            </w:tcBorders>
            <w:noWrap/>
            <w:hideMark/>
          </w:tcPr>
          <w:p w14:paraId="316BCA9B"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1,682 </w:t>
            </w:r>
          </w:p>
        </w:tc>
        <w:tc>
          <w:tcPr>
            <w:tcW w:w="510" w:type="pct"/>
            <w:tcBorders>
              <w:top w:val="single" w:sz="2" w:space="0" w:color="666666"/>
              <w:left w:val="nil"/>
              <w:right w:val="nil"/>
            </w:tcBorders>
            <w:noWrap/>
            <w:hideMark/>
          </w:tcPr>
          <w:p w14:paraId="0F485CAD"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1,680 </w:t>
            </w:r>
          </w:p>
        </w:tc>
        <w:tc>
          <w:tcPr>
            <w:tcW w:w="561" w:type="pct"/>
            <w:tcBorders>
              <w:top w:val="single" w:sz="2" w:space="0" w:color="666666"/>
              <w:left w:val="nil"/>
            </w:tcBorders>
            <w:noWrap/>
            <w:hideMark/>
          </w:tcPr>
          <w:p w14:paraId="66180D72" w14:textId="77777777" w:rsidR="002A5986" w:rsidRPr="003B29B2" w:rsidRDefault="002A5986" w:rsidP="002A598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1,555 </w:t>
            </w:r>
          </w:p>
        </w:tc>
      </w:tr>
      <w:tr w:rsidR="002A5986" w:rsidRPr="00CD4EB3" w14:paraId="29E27C35" w14:textId="77777777" w:rsidTr="4C223402">
        <w:trPr>
          <w:trHeight w:val="300"/>
        </w:trPr>
        <w:tc>
          <w:tcPr>
            <w:cnfStyle w:val="001000000000" w:firstRow="0" w:lastRow="0" w:firstColumn="1" w:lastColumn="0" w:oddVBand="0" w:evenVBand="0" w:oddHBand="0" w:evenHBand="0" w:firstRowFirstColumn="0" w:firstRowLastColumn="0" w:lastRowFirstColumn="0" w:lastRowLastColumn="0"/>
            <w:tcW w:w="1070" w:type="pct"/>
            <w:vMerge/>
            <w:hideMark/>
          </w:tcPr>
          <w:p w14:paraId="06DCB568" w14:textId="77777777" w:rsidR="002A5986" w:rsidRPr="003B29B2" w:rsidRDefault="002A5986" w:rsidP="002A5986">
            <w:pPr>
              <w:rPr>
                <w:rFonts w:eastAsia="Times New Roman" w:cs="Times New Roman"/>
                <w:color w:val="000000"/>
                <w:szCs w:val="24"/>
                <w:lang w:eastAsia="en-AU"/>
              </w:rPr>
            </w:pPr>
          </w:p>
        </w:tc>
        <w:tc>
          <w:tcPr>
            <w:tcW w:w="1122" w:type="pct"/>
            <w:tcBorders>
              <w:top w:val="single" w:sz="2" w:space="0" w:color="666666"/>
              <w:left w:val="nil"/>
              <w:right w:val="nil"/>
            </w:tcBorders>
            <w:noWrap/>
            <w:hideMark/>
          </w:tcPr>
          <w:p w14:paraId="5C280443" w14:textId="5CDF6D9B" w:rsidR="002A5986" w:rsidRPr="003B29B2" w:rsidRDefault="002A5986" w:rsidP="002A5986">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themeColor="text1"/>
                <w:szCs w:val="24"/>
                <w:lang w:eastAsia="en-AU"/>
              </w:rPr>
              <w:t>Number per</w:t>
            </w:r>
            <w:r w:rsidRPr="003B29B2">
              <w:rPr>
                <w:rFonts w:eastAsia="Times New Roman" w:cs="Times New Roman"/>
                <w:color w:val="000000" w:themeColor="text1"/>
                <w:szCs w:val="24"/>
                <w:lang w:eastAsia="en-AU"/>
              </w:rPr>
              <w:t xml:space="preserve"> million units sold</w:t>
            </w:r>
          </w:p>
        </w:tc>
        <w:tc>
          <w:tcPr>
            <w:tcW w:w="767" w:type="pct"/>
            <w:tcBorders>
              <w:top w:val="single" w:sz="2" w:space="0" w:color="666666"/>
              <w:left w:val="nil"/>
              <w:right w:val="nil"/>
            </w:tcBorders>
            <w:noWrap/>
            <w:hideMark/>
          </w:tcPr>
          <w:p w14:paraId="06386200" w14:textId="5FEE9F5B"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n/a</w:t>
            </w:r>
          </w:p>
        </w:tc>
        <w:tc>
          <w:tcPr>
            <w:tcW w:w="459" w:type="pct"/>
            <w:tcBorders>
              <w:top w:val="single" w:sz="2" w:space="0" w:color="666666"/>
              <w:left w:val="nil"/>
              <w:right w:val="nil"/>
            </w:tcBorders>
            <w:noWrap/>
            <w:hideMark/>
          </w:tcPr>
          <w:p w14:paraId="3C143D71"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46 </w:t>
            </w:r>
          </w:p>
        </w:tc>
        <w:tc>
          <w:tcPr>
            <w:tcW w:w="510" w:type="pct"/>
            <w:tcBorders>
              <w:top w:val="single" w:sz="2" w:space="0" w:color="666666"/>
              <w:left w:val="nil"/>
              <w:right w:val="nil"/>
            </w:tcBorders>
            <w:noWrap/>
            <w:hideMark/>
          </w:tcPr>
          <w:p w14:paraId="6F85EEAA"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40 </w:t>
            </w:r>
          </w:p>
        </w:tc>
        <w:tc>
          <w:tcPr>
            <w:tcW w:w="510" w:type="pct"/>
            <w:tcBorders>
              <w:top w:val="single" w:sz="2" w:space="0" w:color="666666"/>
              <w:left w:val="nil"/>
              <w:right w:val="nil"/>
            </w:tcBorders>
            <w:noWrap/>
            <w:hideMark/>
          </w:tcPr>
          <w:p w14:paraId="0021EF11"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38 </w:t>
            </w:r>
          </w:p>
        </w:tc>
        <w:tc>
          <w:tcPr>
            <w:tcW w:w="561" w:type="pct"/>
            <w:tcBorders>
              <w:top w:val="single" w:sz="2" w:space="0" w:color="666666"/>
              <w:left w:val="nil"/>
            </w:tcBorders>
            <w:noWrap/>
            <w:hideMark/>
          </w:tcPr>
          <w:p w14:paraId="30DD03AB" w14:textId="77777777" w:rsidR="002A5986" w:rsidRPr="003B29B2" w:rsidRDefault="002A5986" w:rsidP="002A598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3B29B2">
              <w:rPr>
                <w:rFonts w:eastAsia="Times New Roman" w:cs="Times New Roman"/>
                <w:color w:val="000000"/>
                <w:szCs w:val="24"/>
                <w:lang w:eastAsia="en-AU"/>
              </w:rPr>
              <w:t xml:space="preserve"> 34 </w:t>
            </w:r>
          </w:p>
        </w:tc>
      </w:tr>
    </w:tbl>
    <w:p w14:paraId="27E5AC07" w14:textId="6B484663" w:rsidR="00CD4EB3" w:rsidRDefault="00CA5C47" w:rsidP="00CA5C47">
      <w:pPr>
        <w:pStyle w:val="Tablenote"/>
      </w:pPr>
      <w:r w:rsidRPr="00CA5C47">
        <w:t>Note: Sales data is per calendar year and AIHW data is per financial year. For example, AIHW data for financial year 2016-17 is normal</w:t>
      </w:r>
      <w:r w:rsidR="00A10B77">
        <w:t>i</w:t>
      </w:r>
      <w:r w:rsidRPr="00CA5C47">
        <w:t>sed for calendar year 2017 sales data.</w:t>
      </w:r>
      <w:r w:rsidR="002A5986">
        <w:t xml:space="preserve"> </w:t>
      </w:r>
      <w:r w:rsidR="00407E7F">
        <w:t xml:space="preserve">n/a = not available due to unavailability of sales data. </w:t>
      </w:r>
    </w:p>
    <w:p w14:paraId="2F213BE8" w14:textId="2FDDD28A" w:rsidR="00D01CF1" w:rsidRDefault="008541A5" w:rsidP="008F4FCB">
      <w:pPr>
        <w:pStyle w:val="Caption"/>
        <w:keepNext/>
      </w:pPr>
      <w:bookmarkStart w:id="125" w:name="_Toc114560144"/>
      <w:r>
        <w:t xml:space="preserve">Table </w:t>
      </w:r>
      <w:r>
        <w:fldChar w:fldCharType="begin"/>
      </w:r>
      <w:r>
        <w:instrText>SEQ Table \* ARABIC</w:instrText>
      </w:r>
      <w:r>
        <w:fldChar w:fldCharType="separate"/>
      </w:r>
      <w:r w:rsidR="0091734E">
        <w:rPr>
          <w:noProof/>
        </w:rPr>
        <w:t>29</w:t>
      </w:r>
      <w:r>
        <w:fldChar w:fldCharType="end"/>
      </w:r>
      <w:r w:rsidRPr="0091560A">
        <w:t xml:space="preserve">. </w:t>
      </w:r>
      <w:r w:rsidR="00D01CF1">
        <w:t xml:space="preserve">NCIS data per </w:t>
      </w:r>
      <w:r>
        <w:t>unit of paracetamol sold</w:t>
      </w:r>
      <w:bookmarkEnd w:id="125"/>
    </w:p>
    <w:tbl>
      <w:tblPr>
        <w:tblStyle w:val="ListTable2"/>
        <w:tblW w:w="3199" w:type="pct"/>
        <w:tblLayout w:type="fixed"/>
        <w:tblLook w:val="04A0" w:firstRow="1" w:lastRow="0" w:firstColumn="1" w:lastColumn="0" w:noHBand="0" w:noVBand="1"/>
      </w:tblPr>
      <w:tblGrid>
        <w:gridCol w:w="3828"/>
        <w:gridCol w:w="3826"/>
        <w:gridCol w:w="1276"/>
      </w:tblGrid>
      <w:tr w:rsidR="00AA3362" w:rsidRPr="00AA3362" w14:paraId="67706565" w14:textId="77777777" w:rsidTr="00497A30">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9" w:type="dxa"/>
            <w:shd w:val="clear" w:color="auto" w:fill="595959" w:themeFill="text1" w:themeFillTint="A6"/>
          </w:tcPr>
          <w:p w14:paraId="291C3DA1" w14:textId="182B54E9" w:rsidR="00AA3362" w:rsidRPr="00AA3362" w:rsidRDefault="00AA3362" w:rsidP="00183989">
            <w:pPr>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Event</w:t>
            </w:r>
          </w:p>
        </w:tc>
        <w:tc>
          <w:tcPr>
            <w:tcW w:w="3826" w:type="dxa"/>
            <w:shd w:val="clear" w:color="auto" w:fill="595959" w:themeFill="text1" w:themeFillTint="A6"/>
            <w:noWrap/>
          </w:tcPr>
          <w:p w14:paraId="3B7523A1" w14:textId="48AF0104" w:rsidR="00AA3362" w:rsidRPr="00AA3362" w:rsidRDefault="00AA3362" w:rsidP="0018398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Measure</w:t>
            </w:r>
          </w:p>
        </w:tc>
        <w:tc>
          <w:tcPr>
            <w:tcW w:w="1276" w:type="dxa"/>
            <w:shd w:val="clear" w:color="auto" w:fill="595959" w:themeFill="text1" w:themeFillTint="A6"/>
            <w:noWrap/>
          </w:tcPr>
          <w:p w14:paraId="17E49EAC" w14:textId="16DAD78F" w:rsidR="00AA3362" w:rsidRPr="00AA3362" w:rsidRDefault="00AA3362" w:rsidP="425395FE">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lang w:eastAsia="en-AU"/>
              </w:rPr>
            </w:pPr>
            <w:r w:rsidRPr="425395FE">
              <w:rPr>
                <w:rFonts w:eastAsia="Times New Roman" w:cs="Times New Roman"/>
                <w:color w:val="FFFFFF" w:themeColor="background1"/>
                <w:lang w:eastAsia="en-AU"/>
              </w:rPr>
              <w:t>20</w:t>
            </w:r>
            <w:r w:rsidR="09C194F6" w:rsidRPr="425395FE">
              <w:rPr>
                <w:rFonts w:eastAsia="Times New Roman" w:cs="Times New Roman"/>
                <w:color w:val="FFFFFF" w:themeColor="background1"/>
                <w:lang w:eastAsia="en-AU"/>
              </w:rPr>
              <w:t>08</w:t>
            </w:r>
            <w:r w:rsidRPr="425395FE">
              <w:rPr>
                <w:rFonts w:eastAsia="Times New Roman" w:cs="Times New Roman"/>
                <w:color w:val="FFFFFF" w:themeColor="background1"/>
                <w:lang w:eastAsia="en-AU"/>
              </w:rPr>
              <w:t>-2020</w:t>
            </w:r>
          </w:p>
        </w:tc>
      </w:tr>
      <w:tr w:rsidR="00AA3362" w:rsidRPr="00183989" w14:paraId="574ADE77" w14:textId="77777777" w:rsidTr="00497A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9" w:type="dxa"/>
            <w:vMerge w:val="restart"/>
            <w:shd w:val="clear" w:color="auto" w:fill="auto"/>
            <w:hideMark/>
          </w:tcPr>
          <w:p w14:paraId="23B14F7F" w14:textId="77777777" w:rsidR="00AA3362" w:rsidRPr="00AA3362" w:rsidRDefault="00AA3362" w:rsidP="00183989">
            <w:pPr>
              <w:rPr>
                <w:rFonts w:eastAsia="Times New Roman" w:cs="Times New Roman"/>
                <w:color w:val="000000"/>
                <w:szCs w:val="24"/>
                <w:lang w:eastAsia="en-AU"/>
              </w:rPr>
            </w:pPr>
            <w:r w:rsidRPr="00AA3362">
              <w:rPr>
                <w:rFonts w:eastAsia="Times New Roman" w:cs="Times New Roman"/>
                <w:color w:val="000000"/>
                <w:szCs w:val="24"/>
                <w:lang w:eastAsia="en-AU"/>
              </w:rPr>
              <w:t>Paracetamol poisoning deaths</w:t>
            </w:r>
          </w:p>
        </w:tc>
        <w:tc>
          <w:tcPr>
            <w:tcW w:w="3826" w:type="dxa"/>
            <w:noWrap/>
            <w:hideMark/>
          </w:tcPr>
          <w:p w14:paraId="64438F5B" w14:textId="36578D98" w:rsidR="00AA3362" w:rsidRPr="00AA3362" w:rsidRDefault="00AA3362" w:rsidP="425395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Total</w:t>
            </w:r>
            <w:r w:rsidR="007D3D1C">
              <w:rPr>
                <w:rFonts w:eastAsia="Times New Roman" w:cs="Times New Roman"/>
                <w:color w:val="000000" w:themeColor="text1"/>
                <w:lang w:eastAsia="en-AU"/>
              </w:rPr>
              <w:t xml:space="preserve"> </w:t>
            </w:r>
            <w:r w:rsidR="4A72C374" w:rsidRPr="425395FE">
              <w:rPr>
                <w:rFonts w:eastAsia="Times New Roman" w:cs="Times New Roman"/>
                <w:color w:val="000000" w:themeColor="text1"/>
                <w:lang w:eastAsia="en-AU"/>
              </w:rPr>
              <w:t xml:space="preserve">average </w:t>
            </w:r>
            <w:r w:rsidR="1E6D375C" w:rsidRPr="425395FE">
              <w:rPr>
                <w:rFonts w:eastAsia="Times New Roman" w:cs="Times New Roman"/>
                <w:color w:val="000000" w:themeColor="text1"/>
                <w:lang w:eastAsia="en-AU"/>
              </w:rPr>
              <w:t xml:space="preserve">yearly </w:t>
            </w:r>
            <w:r w:rsidRPr="425395FE">
              <w:rPr>
                <w:rFonts w:eastAsia="Times New Roman" w:cs="Times New Roman"/>
                <w:color w:val="000000" w:themeColor="text1"/>
                <w:lang w:eastAsia="en-AU"/>
              </w:rPr>
              <w:t>number</w:t>
            </w:r>
          </w:p>
        </w:tc>
        <w:tc>
          <w:tcPr>
            <w:tcW w:w="1276" w:type="dxa"/>
            <w:noWrap/>
            <w:hideMark/>
          </w:tcPr>
          <w:p w14:paraId="0EDF7632" w14:textId="3F89DC78" w:rsidR="00AA3362" w:rsidRPr="00AA3362" w:rsidRDefault="5D93B31D" w:rsidP="00497A30">
            <w:pPr>
              <w:spacing w:line="259" w:lineRule="auto"/>
              <w:jc w:val="right"/>
              <w:cnfStyle w:val="000000100000" w:firstRow="0" w:lastRow="0" w:firstColumn="0" w:lastColumn="0" w:oddVBand="0" w:evenVBand="0" w:oddHBand="1" w:evenHBand="0" w:firstRowFirstColumn="0" w:firstRowLastColumn="0" w:lastRowFirstColumn="0" w:lastRowLastColumn="0"/>
              <w:rPr>
                <w:rFonts w:eastAsia="Calibri" w:cs="Arial"/>
                <w:szCs w:val="24"/>
              </w:rPr>
            </w:pPr>
            <w:r w:rsidRPr="425395FE">
              <w:rPr>
                <w:rFonts w:eastAsia="Times New Roman" w:cs="Times New Roman"/>
                <w:color w:val="000000" w:themeColor="text1"/>
                <w:lang w:eastAsia="en-AU"/>
              </w:rPr>
              <w:t>50</w:t>
            </w:r>
          </w:p>
        </w:tc>
      </w:tr>
      <w:tr w:rsidR="00AA3362" w:rsidRPr="00183989" w14:paraId="26E8F1B5" w14:textId="77777777" w:rsidTr="00497A30">
        <w:trPr>
          <w:trHeight w:val="300"/>
        </w:trPr>
        <w:tc>
          <w:tcPr>
            <w:cnfStyle w:val="001000000000" w:firstRow="0" w:lastRow="0" w:firstColumn="1" w:lastColumn="0" w:oddVBand="0" w:evenVBand="0" w:oddHBand="0" w:evenHBand="0" w:firstRowFirstColumn="0" w:firstRowLastColumn="0" w:lastRowFirstColumn="0" w:lastRowLastColumn="0"/>
            <w:tcW w:w="3829" w:type="dxa"/>
            <w:vMerge/>
            <w:hideMark/>
          </w:tcPr>
          <w:p w14:paraId="6E456913" w14:textId="77777777" w:rsidR="00AA3362" w:rsidRPr="00AA3362" w:rsidRDefault="00AA3362" w:rsidP="00183989">
            <w:pPr>
              <w:rPr>
                <w:rFonts w:eastAsia="Times New Roman" w:cs="Times New Roman"/>
                <w:color w:val="000000"/>
                <w:szCs w:val="24"/>
                <w:lang w:eastAsia="en-AU"/>
              </w:rPr>
            </w:pPr>
          </w:p>
        </w:tc>
        <w:tc>
          <w:tcPr>
            <w:tcW w:w="3826" w:type="dxa"/>
            <w:noWrap/>
            <w:hideMark/>
          </w:tcPr>
          <w:p w14:paraId="77DCE2AE" w14:textId="32A29F3B" w:rsidR="00AA3362" w:rsidRPr="00AA3362" w:rsidRDefault="000707A1" w:rsidP="00183989">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w:t>
            </w:r>
            <w:r w:rsidR="007D3D1C">
              <w:rPr>
                <w:rFonts w:eastAsia="Times New Roman" w:cs="Times New Roman"/>
                <w:color w:val="000000"/>
                <w:szCs w:val="24"/>
                <w:lang w:eastAsia="en-AU"/>
              </w:rPr>
              <w:t>umber</w:t>
            </w:r>
            <w:r w:rsidR="007D3D1C" w:rsidRPr="00AA3362">
              <w:rPr>
                <w:rFonts w:eastAsia="Times New Roman" w:cs="Times New Roman"/>
                <w:color w:val="000000"/>
                <w:szCs w:val="24"/>
                <w:lang w:eastAsia="en-AU"/>
              </w:rPr>
              <w:t xml:space="preserve"> </w:t>
            </w:r>
            <w:r w:rsidR="00B342D6">
              <w:rPr>
                <w:rFonts w:eastAsia="Times New Roman" w:cs="Times New Roman"/>
                <w:color w:val="000000"/>
                <w:szCs w:val="24"/>
                <w:lang w:eastAsia="en-AU"/>
              </w:rPr>
              <w:t>per</w:t>
            </w:r>
            <w:r w:rsidR="00183989" w:rsidRPr="00AA3362">
              <w:rPr>
                <w:rFonts w:eastAsia="Times New Roman" w:cs="Times New Roman"/>
                <w:color w:val="000000"/>
                <w:szCs w:val="24"/>
                <w:lang w:eastAsia="en-AU"/>
              </w:rPr>
              <w:t xml:space="preserve"> </w:t>
            </w:r>
            <w:r w:rsidR="00AA3362" w:rsidRPr="00AA3362">
              <w:rPr>
                <w:rFonts w:eastAsia="Times New Roman" w:cs="Times New Roman"/>
                <w:color w:val="000000"/>
                <w:szCs w:val="24"/>
                <w:lang w:eastAsia="en-AU"/>
              </w:rPr>
              <w:t>million units sold</w:t>
            </w:r>
          </w:p>
        </w:tc>
        <w:tc>
          <w:tcPr>
            <w:tcW w:w="1276" w:type="dxa"/>
            <w:noWrap/>
            <w:hideMark/>
          </w:tcPr>
          <w:p w14:paraId="6FF112E3" w14:textId="1A174CB6" w:rsidR="00AA3362" w:rsidRPr="00AA3362" w:rsidRDefault="00AA3362" w:rsidP="425395F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0.</w:t>
            </w:r>
            <w:r w:rsidR="215EF16E" w:rsidRPr="425395FE">
              <w:rPr>
                <w:rFonts w:eastAsia="Times New Roman" w:cs="Times New Roman"/>
                <w:color w:val="000000" w:themeColor="text1"/>
                <w:lang w:eastAsia="en-AU"/>
              </w:rPr>
              <w:t>73</w:t>
            </w:r>
          </w:p>
        </w:tc>
      </w:tr>
      <w:tr w:rsidR="00AA3362" w:rsidRPr="00183989" w14:paraId="313ED4EA" w14:textId="77777777" w:rsidTr="00497A3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829" w:type="dxa"/>
            <w:vMerge w:val="restart"/>
            <w:shd w:val="clear" w:color="auto" w:fill="auto"/>
            <w:hideMark/>
          </w:tcPr>
          <w:p w14:paraId="518D7AD4" w14:textId="12451143" w:rsidR="00AA3362" w:rsidRPr="00AA3362" w:rsidRDefault="00AF5159" w:rsidP="00183989">
            <w:pPr>
              <w:rPr>
                <w:rFonts w:eastAsia="Times New Roman" w:cs="Times New Roman"/>
                <w:color w:val="000000"/>
                <w:szCs w:val="24"/>
                <w:lang w:eastAsia="en-AU"/>
              </w:rPr>
            </w:pPr>
            <w:r w:rsidRPr="007D17BD">
              <w:rPr>
                <w:rFonts w:eastAsia="Times New Roman" w:cs="Times New Roman"/>
                <w:color w:val="000000"/>
                <w:szCs w:val="24"/>
                <w:lang w:eastAsia="en-AU"/>
              </w:rPr>
              <w:t>Paracetamol poisoning deaths with liver injury</w:t>
            </w:r>
            <w:r>
              <w:rPr>
                <w:rFonts w:eastAsia="Times New Roman" w:cs="Times New Roman"/>
                <w:color w:val="000000"/>
                <w:szCs w:val="24"/>
                <w:lang w:eastAsia="en-AU"/>
              </w:rPr>
              <w:t xml:space="preserve"> (probable cause based on case review)</w:t>
            </w:r>
          </w:p>
        </w:tc>
        <w:tc>
          <w:tcPr>
            <w:tcW w:w="3826" w:type="dxa"/>
            <w:noWrap/>
            <w:hideMark/>
          </w:tcPr>
          <w:p w14:paraId="3BADFB32" w14:textId="1207D2CA" w:rsidR="00AA3362" w:rsidRPr="00AA3362" w:rsidRDefault="00AA3362" w:rsidP="425395FE">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Total</w:t>
            </w:r>
            <w:r w:rsidR="007D3D1C">
              <w:rPr>
                <w:rFonts w:eastAsia="Times New Roman" w:cs="Times New Roman"/>
                <w:color w:val="000000" w:themeColor="text1"/>
                <w:lang w:eastAsia="en-AU"/>
              </w:rPr>
              <w:t xml:space="preserve"> </w:t>
            </w:r>
            <w:r w:rsidR="2981D7A4" w:rsidRPr="425395FE">
              <w:rPr>
                <w:rFonts w:eastAsia="Times New Roman" w:cs="Times New Roman"/>
                <w:color w:val="000000" w:themeColor="text1"/>
                <w:lang w:eastAsia="en-AU"/>
              </w:rPr>
              <w:t xml:space="preserve">average </w:t>
            </w:r>
            <w:r w:rsidR="5C9BEA3C" w:rsidRPr="425395FE">
              <w:rPr>
                <w:rFonts w:eastAsia="Times New Roman" w:cs="Times New Roman"/>
                <w:color w:val="000000" w:themeColor="text1"/>
                <w:lang w:eastAsia="en-AU"/>
              </w:rPr>
              <w:t xml:space="preserve">yearly </w:t>
            </w:r>
            <w:r w:rsidR="4AF2F546" w:rsidRPr="425395FE">
              <w:rPr>
                <w:rFonts w:eastAsia="Times New Roman" w:cs="Times New Roman"/>
                <w:color w:val="000000" w:themeColor="text1"/>
                <w:lang w:eastAsia="en-AU"/>
              </w:rPr>
              <w:t>number</w:t>
            </w:r>
          </w:p>
        </w:tc>
        <w:tc>
          <w:tcPr>
            <w:tcW w:w="1276" w:type="dxa"/>
            <w:noWrap/>
            <w:hideMark/>
          </w:tcPr>
          <w:p w14:paraId="1C8A8163" w14:textId="76B3A47F" w:rsidR="00AA3362" w:rsidRPr="00AA3362" w:rsidRDefault="253698E7" w:rsidP="425395F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20</w:t>
            </w:r>
          </w:p>
        </w:tc>
      </w:tr>
      <w:tr w:rsidR="00AA3362" w:rsidRPr="00183989" w14:paraId="150233C8" w14:textId="77777777" w:rsidTr="00497A30">
        <w:trPr>
          <w:trHeight w:val="300"/>
        </w:trPr>
        <w:tc>
          <w:tcPr>
            <w:cnfStyle w:val="001000000000" w:firstRow="0" w:lastRow="0" w:firstColumn="1" w:lastColumn="0" w:oddVBand="0" w:evenVBand="0" w:oddHBand="0" w:evenHBand="0" w:firstRowFirstColumn="0" w:firstRowLastColumn="0" w:lastRowFirstColumn="0" w:lastRowLastColumn="0"/>
            <w:tcW w:w="3829" w:type="dxa"/>
            <w:vMerge/>
            <w:hideMark/>
          </w:tcPr>
          <w:p w14:paraId="527AF2E4" w14:textId="77777777" w:rsidR="00AA3362" w:rsidRPr="00AA3362" w:rsidRDefault="00AA3362" w:rsidP="00AA3362">
            <w:pPr>
              <w:rPr>
                <w:rFonts w:eastAsia="Times New Roman" w:cs="Times New Roman"/>
                <w:color w:val="000000"/>
                <w:szCs w:val="24"/>
                <w:lang w:eastAsia="en-AU"/>
              </w:rPr>
            </w:pPr>
          </w:p>
        </w:tc>
        <w:tc>
          <w:tcPr>
            <w:tcW w:w="3826" w:type="dxa"/>
            <w:noWrap/>
            <w:hideMark/>
          </w:tcPr>
          <w:p w14:paraId="51C50585" w14:textId="64BA925F" w:rsidR="00AA3362" w:rsidRPr="00AA3362" w:rsidRDefault="000707A1" w:rsidP="00AA336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w:t>
            </w:r>
            <w:r w:rsidR="00B342D6">
              <w:rPr>
                <w:rFonts w:eastAsia="Times New Roman" w:cs="Times New Roman"/>
                <w:color w:val="000000"/>
                <w:szCs w:val="24"/>
                <w:lang w:eastAsia="en-AU"/>
              </w:rPr>
              <w:t>umber per million units sold</w:t>
            </w:r>
          </w:p>
        </w:tc>
        <w:tc>
          <w:tcPr>
            <w:tcW w:w="1276" w:type="dxa"/>
            <w:noWrap/>
            <w:hideMark/>
          </w:tcPr>
          <w:p w14:paraId="0E71A05A" w14:textId="3F1F4477" w:rsidR="00AA3362" w:rsidRPr="00AA3362" w:rsidRDefault="00AA3362" w:rsidP="425395F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n-AU"/>
              </w:rPr>
            </w:pPr>
            <w:r w:rsidRPr="425395FE">
              <w:rPr>
                <w:rFonts w:eastAsia="Times New Roman" w:cs="Times New Roman"/>
                <w:color w:val="000000" w:themeColor="text1"/>
                <w:lang w:eastAsia="en-AU"/>
              </w:rPr>
              <w:t>0.</w:t>
            </w:r>
            <w:r w:rsidR="683F2EA0" w:rsidRPr="425395FE">
              <w:rPr>
                <w:rFonts w:eastAsia="Times New Roman" w:cs="Times New Roman"/>
                <w:color w:val="000000" w:themeColor="text1"/>
                <w:lang w:eastAsia="en-AU"/>
              </w:rPr>
              <w:t>29</w:t>
            </w:r>
          </w:p>
        </w:tc>
      </w:tr>
    </w:tbl>
    <w:p w14:paraId="2C1639E6" w14:textId="3952527B" w:rsidR="00424DA3" w:rsidRDefault="00424DA3" w:rsidP="00424DA3">
      <w:pPr>
        <w:pStyle w:val="Tablenote"/>
      </w:pPr>
    </w:p>
    <w:p w14:paraId="184D9468" w14:textId="39EFC58E" w:rsidR="00D01CF1" w:rsidRPr="00673125" w:rsidRDefault="00AA3362" w:rsidP="00AA3362">
      <w:pPr>
        <w:pStyle w:val="Caption"/>
      </w:pPr>
      <w:bookmarkStart w:id="126" w:name="_Toc114560145"/>
      <w:r>
        <w:t xml:space="preserve">Table </w:t>
      </w:r>
      <w:r>
        <w:fldChar w:fldCharType="begin"/>
      </w:r>
      <w:r>
        <w:instrText>SEQ Table \* ARABIC</w:instrText>
      </w:r>
      <w:r>
        <w:fldChar w:fldCharType="separate"/>
      </w:r>
      <w:r w:rsidR="0091734E">
        <w:rPr>
          <w:noProof/>
        </w:rPr>
        <w:t>30</w:t>
      </w:r>
      <w:r>
        <w:fldChar w:fldCharType="end"/>
      </w:r>
      <w:r w:rsidRPr="0091560A">
        <w:t xml:space="preserve">. </w:t>
      </w:r>
      <w:r w:rsidR="00D01CF1">
        <w:t>Combined PICs data per unit</w:t>
      </w:r>
      <w:r w:rsidR="00EF0357">
        <w:t xml:space="preserve"> of paracetamol</w:t>
      </w:r>
      <w:r w:rsidR="00D01CF1">
        <w:t xml:space="preserve"> sold</w:t>
      </w:r>
      <w:bookmarkEnd w:id="126"/>
    </w:p>
    <w:tbl>
      <w:tblPr>
        <w:tblStyle w:val="GridTable2"/>
        <w:tblW w:w="5000" w:type="pct"/>
        <w:tblLayout w:type="fixed"/>
        <w:tblLook w:val="04A0" w:firstRow="1" w:lastRow="0" w:firstColumn="1" w:lastColumn="0" w:noHBand="0" w:noVBand="1"/>
      </w:tblPr>
      <w:tblGrid>
        <w:gridCol w:w="3119"/>
        <w:gridCol w:w="3251"/>
        <w:gridCol w:w="1517"/>
        <w:gridCol w:w="1518"/>
        <w:gridCol w:w="1517"/>
        <w:gridCol w:w="1518"/>
        <w:gridCol w:w="1518"/>
      </w:tblGrid>
      <w:tr w:rsidR="00AB771A" w:rsidRPr="00183989" w14:paraId="04C7BDD9" w14:textId="77777777" w:rsidTr="00170EC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left w:val="nil"/>
              <w:bottom w:val="single" w:sz="2" w:space="0" w:color="666666" w:themeColor="text1" w:themeTint="99"/>
            </w:tcBorders>
            <w:shd w:val="clear" w:color="auto" w:fill="595959" w:themeFill="text1" w:themeFillTint="A6"/>
            <w:noWrap/>
            <w:hideMark/>
          </w:tcPr>
          <w:p w14:paraId="33C892FA" w14:textId="313A8128" w:rsidR="00AB771A" w:rsidRPr="00AA3362" w:rsidRDefault="00AB771A" w:rsidP="00183989">
            <w:pPr>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Exposure type</w:t>
            </w:r>
          </w:p>
        </w:tc>
        <w:tc>
          <w:tcPr>
            <w:tcW w:w="3251" w:type="dxa"/>
            <w:tcBorders>
              <w:bottom w:val="single" w:sz="2" w:space="0" w:color="666666" w:themeColor="text1" w:themeTint="99"/>
            </w:tcBorders>
            <w:shd w:val="clear" w:color="auto" w:fill="595959" w:themeFill="text1" w:themeFillTint="A6"/>
            <w:noWrap/>
            <w:hideMark/>
          </w:tcPr>
          <w:p w14:paraId="30BB40F6" w14:textId="1BEFDAEF" w:rsidR="00AB771A" w:rsidRPr="00AA3362" w:rsidRDefault="00AB771A" w:rsidP="0018398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Pr>
                <w:rFonts w:eastAsia="Times New Roman" w:cs="Times New Roman"/>
                <w:color w:val="FFFFFF" w:themeColor="background1"/>
                <w:szCs w:val="24"/>
                <w:lang w:eastAsia="en-AU"/>
              </w:rPr>
              <w:t>Measure</w:t>
            </w:r>
          </w:p>
        </w:tc>
        <w:tc>
          <w:tcPr>
            <w:tcW w:w="1517" w:type="dxa"/>
            <w:tcBorders>
              <w:bottom w:val="single" w:sz="2" w:space="0" w:color="666666" w:themeColor="text1" w:themeTint="99"/>
            </w:tcBorders>
            <w:shd w:val="clear" w:color="auto" w:fill="595959" w:themeFill="text1" w:themeFillTint="A6"/>
            <w:noWrap/>
            <w:hideMark/>
          </w:tcPr>
          <w:p w14:paraId="1AB7E36E" w14:textId="77777777" w:rsidR="00AB771A" w:rsidRPr="00AA3362" w:rsidRDefault="00AB771A" w:rsidP="0018398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2017</w:t>
            </w:r>
          </w:p>
        </w:tc>
        <w:tc>
          <w:tcPr>
            <w:tcW w:w="1518" w:type="dxa"/>
            <w:tcBorders>
              <w:bottom w:val="single" w:sz="2" w:space="0" w:color="666666" w:themeColor="text1" w:themeTint="99"/>
            </w:tcBorders>
            <w:shd w:val="clear" w:color="auto" w:fill="595959" w:themeFill="text1" w:themeFillTint="A6"/>
            <w:noWrap/>
            <w:hideMark/>
          </w:tcPr>
          <w:p w14:paraId="1B9CA012" w14:textId="77777777" w:rsidR="00AB771A" w:rsidRPr="00AA3362" w:rsidRDefault="00AB771A" w:rsidP="0018398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2018</w:t>
            </w:r>
          </w:p>
        </w:tc>
        <w:tc>
          <w:tcPr>
            <w:tcW w:w="1517" w:type="dxa"/>
            <w:tcBorders>
              <w:bottom w:val="single" w:sz="2" w:space="0" w:color="666666" w:themeColor="text1" w:themeTint="99"/>
            </w:tcBorders>
            <w:shd w:val="clear" w:color="auto" w:fill="595959" w:themeFill="text1" w:themeFillTint="A6"/>
            <w:noWrap/>
            <w:hideMark/>
          </w:tcPr>
          <w:p w14:paraId="62B5935A" w14:textId="77777777" w:rsidR="00AB771A" w:rsidRPr="00AA3362" w:rsidRDefault="00AB771A" w:rsidP="0018398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2019</w:t>
            </w:r>
          </w:p>
        </w:tc>
        <w:tc>
          <w:tcPr>
            <w:tcW w:w="1518" w:type="dxa"/>
            <w:tcBorders>
              <w:bottom w:val="single" w:sz="2" w:space="0" w:color="666666" w:themeColor="text1" w:themeTint="99"/>
            </w:tcBorders>
            <w:shd w:val="clear" w:color="auto" w:fill="595959" w:themeFill="text1" w:themeFillTint="A6"/>
            <w:noWrap/>
            <w:hideMark/>
          </w:tcPr>
          <w:p w14:paraId="6AE2C21A" w14:textId="77777777" w:rsidR="00AB771A" w:rsidRPr="00AA3362" w:rsidRDefault="00AB771A" w:rsidP="0018398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2020</w:t>
            </w:r>
          </w:p>
        </w:tc>
        <w:tc>
          <w:tcPr>
            <w:tcW w:w="1518" w:type="dxa"/>
            <w:tcBorders>
              <w:bottom w:val="single" w:sz="2" w:space="0" w:color="666666" w:themeColor="text1" w:themeTint="99"/>
            </w:tcBorders>
            <w:shd w:val="clear" w:color="auto" w:fill="595959" w:themeFill="text1" w:themeFillTint="A6"/>
            <w:noWrap/>
            <w:hideMark/>
          </w:tcPr>
          <w:p w14:paraId="183D5A8E" w14:textId="77777777" w:rsidR="00AB771A" w:rsidRPr="00AA3362" w:rsidRDefault="00AB771A" w:rsidP="0018398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Cs w:val="24"/>
                <w:lang w:eastAsia="en-AU"/>
              </w:rPr>
            </w:pPr>
            <w:r w:rsidRPr="00AA3362">
              <w:rPr>
                <w:rFonts w:eastAsia="Times New Roman" w:cs="Times New Roman"/>
                <w:color w:val="FFFFFF" w:themeColor="background1"/>
                <w:szCs w:val="24"/>
                <w:lang w:eastAsia="en-AU"/>
              </w:rPr>
              <w:t>2021</w:t>
            </w:r>
          </w:p>
        </w:tc>
      </w:tr>
      <w:tr w:rsidR="00AA3362" w:rsidRPr="00183989" w14:paraId="5CD2C312" w14:textId="77777777" w:rsidTr="00170E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nil"/>
            </w:tcBorders>
            <w:shd w:val="clear" w:color="auto" w:fill="auto"/>
            <w:hideMark/>
          </w:tcPr>
          <w:p w14:paraId="6B16C60A" w14:textId="0226A1EC" w:rsidR="00AA3362" w:rsidRPr="00AA3362" w:rsidRDefault="00AA3362" w:rsidP="00AA3362">
            <w:pPr>
              <w:rPr>
                <w:rFonts w:eastAsia="Times New Roman" w:cs="Times New Roman"/>
                <w:color w:val="000000"/>
                <w:szCs w:val="24"/>
                <w:lang w:eastAsia="en-AU"/>
              </w:rPr>
            </w:pPr>
            <w:r w:rsidRPr="00AA3362">
              <w:rPr>
                <w:rFonts w:eastAsia="Times New Roman" w:cs="Times New Roman"/>
                <w:color w:val="000000"/>
                <w:szCs w:val="24"/>
                <w:lang w:eastAsia="en-AU"/>
              </w:rPr>
              <w:t xml:space="preserve">Paracetamol </w:t>
            </w:r>
          </w:p>
        </w:tc>
        <w:tc>
          <w:tcPr>
            <w:tcW w:w="3251" w:type="dxa"/>
            <w:tcBorders>
              <w:left w:val="nil"/>
              <w:right w:val="nil"/>
            </w:tcBorders>
            <w:noWrap/>
            <w:hideMark/>
          </w:tcPr>
          <w:p w14:paraId="63B85D59" w14:textId="4EFF0566" w:rsidR="00AA3362" w:rsidRPr="00AA3362" w:rsidRDefault="00AA3362" w:rsidP="00AA33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Total </w:t>
            </w:r>
            <w:r>
              <w:rPr>
                <w:rFonts w:eastAsia="Times New Roman" w:cs="Times New Roman"/>
                <w:color w:val="000000"/>
                <w:szCs w:val="24"/>
                <w:lang w:eastAsia="en-AU"/>
              </w:rPr>
              <w:t>number</w:t>
            </w:r>
          </w:p>
        </w:tc>
        <w:tc>
          <w:tcPr>
            <w:tcW w:w="1517" w:type="dxa"/>
            <w:tcBorders>
              <w:left w:val="nil"/>
              <w:right w:val="nil"/>
            </w:tcBorders>
            <w:noWrap/>
            <w:hideMark/>
          </w:tcPr>
          <w:p w14:paraId="32E218F1"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16,573 </w:t>
            </w:r>
          </w:p>
        </w:tc>
        <w:tc>
          <w:tcPr>
            <w:tcW w:w="1518" w:type="dxa"/>
            <w:tcBorders>
              <w:left w:val="nil"/>
              <w:right w:val="nil"/>
            </w:tcBorders>
            <w:noWrap/>
            <w:hideMark/>
          </w:tcPr>
          <w:p w14:paraId="26E3A7D3"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15,406 </w:t>
            </w:r>
          </w:p>
        </w:tc>
        <w:tc>
          <w:tcPr>
            <w:tcW w:w="1517" w:type="dxa"/>
            <w:tcBorders>
              <w:left w:val="nil"/>
              <w:right w:val="nil"/>
            </w:tcBorders>
            <w:noWrap/>
            <w:hideMark/>
          </w:tcPr>
          <w:p w14:paraId="06AA0E11"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16,779 </w:t>
            </w:r>
          </w:p>
        </w:tc>
        <w:tc>
          <w:tcPr>
            <w:tcW w:w="1518" w:type="dxa"/>
            <w:tcBorders>
              <w:left w:val="nil"/>
              <w:right w:val="nil"/>
            </w:tcBorders>
            <w:noWrap/>
            <w:hideMark/>
          </w:tcPr>
          <w:p w14:paraId="44EA4F6F"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16,343 </w:t>
            </w:r>
          </w:p>
        </w:tc>
        <w:tc>
          <w:tcPr>
            <w:tcW w:w="1518" w:type="dxa"/>
            <w:tcBorders>
              <w:left w:val="nil"/>
            </w:tcBorders>
            <w:noWrap/>
            <w:hideMark/>
          </w:tcPr>
          <w:p w14:paraId="6BF62412"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18,296 </w:t>
            </w:r>
          </w:p>
        </w:tc>
      </w:tr>
      <w:tr w:rsidR="00AA3362" w:rsidRPr="00183989" w14:paraId="1AF5D990" w14:textId="77777777" w:rsidTr="00170ECD">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nil"/>
            </w:tcBorders>
            <w:shd w:val="clear" w:color="auto" w:fill="auto"/>
            <w:hideMark/>
          </w:tcPr>
          <w:p w14:paraId="1C925F2F" w14:textId="77777777" w:rsidR="00AA3362" w:rsidRPr="00AA3362" w:rsidRDefault="00AA3362" w:rsidP="00AA3362">
            <w:pPr>
              <w:rPr>
                <w:rFonts w:eastAsia="Times New Roman" w:cs="Times New Roman"/>
                <w:color w:val="000000"/>
                <w:szCs w:val="24"/>
                <w:lang w:eastAsia="en-AU"/>
              </w:rPr>
            </w:pPr>
          </w:p>
        </w:tc>
        <w:tc>
          <w:tcPr>
            <w:tcW w:w="3251" w:type="dxa"/>
            <w:tcBorders>
              <w:left w:val="nil"/>
              <w:right w:val="nil"/>
            </w:tcBorders>
            <w:noWrap/>
            <w:hideMark/>
          </w:tcPr>
          <w:p w14:paraId="365A5927" w14:textId="71FF2184" w:rsidR="00AA3362" w:rsidRPr="00AA3362" w:rsidRDefault="00AA3362" w:rsidP="00AA336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Number</w:t>
            </w:r>
            <w:r w:rsidRPr="00AA3362">
              <w:rPr>
                <w:rFonts w:eastAsia="Times New Roman" w:cs="Times New Roman"/>
                <w:color w:val="000000"/>
                <w:szCs w:val="24"/>
                <w:lang w:eastAsia="en-AU"/>
              </w:rPr>
              <w:t xml:space="preserve"> </w:t>
            </w:r>
            <w:r w:rsidR="00170ECD">
              <w:rPr>
                <w:rFonts w:eastAsia="Times New Roman" w:cs="Times New Roman"/>
                <w:color w:val="000000"/>
                <w:szCs w:val="24"/>
                <w:lang w:eastAsia="en-AU"/>
              </w:rPr>
              <w:t xml:space="preserve">per </w:t>
            </w:r>
            <w:r w:rsidRPr="00AA3362">
              <w:rPr>
                <w:rFonts w:eastAsia="Times New Roman" w:cs="Times New Roman"/>
                <w:color w:val="000000"/>
                <w:szCs w:val="24"/>
                <w:lang w:eastAsia="en-AU"/>
              </w:rPr>
              <w:t>million units sold</w:t>
            </w:r>
          </w:p>
        </w:tc>
        <w:tc>
          <w:tcPr>
            <w:tcW w:w="1517" w:type="dxa"/>
            <w:tcBorders>
              <w:left w:val="nil"/>
              <w:right w:val="nil"/>
            </w:tcBorders>
            <w:noWrap/>
            <w:hideMark/>
          </w:tcPr>
          <w:p w14:paraId="431B0728"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232 </w:t>
            </w:r>
          </w:p>
        </w:tc>
        <w:tc>
          <w:tcPr>
            <w:tcW w:w="1518" w:type="dxa"/>
            <w:tcBorders>
              <w:left w:val="nil"/>
              <w:right w:val="nil"/>
            </w:tcBorders>
            <w:noWrap/>
            <w:hideMark/>
          </w:tcPr>
          <w:p w14:paraId="7EEE6923"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230 </w:t>
            </w:r>
          </w:p>
        </w:tc>
        <w:tc>
          <w:tcPr>
            <w:tcW w:w="1517" w:type="dxa"/>
            <w:tcBorders>
              <w:left w:val="nil"/>
              <w:right w:val="nil"/>
            </w:tcBorders>
            <w:noWrap/>
            <w:hideMark/>
          </w:tcPr>
          <w:p w14:paraId="1B445B3A"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246 </w:t>
            </w:r>
          </w:p>
        </w:tc>
        <w:tc>
          <w:tcPr>
            <w:tcW w:w="1518" w:type="dxa"/>
            <w:tcBorders>
              <w:left w:val="nil"/>
              <w:right w:val="nil"/>
            </w:tcBorders>
            <w:noWrap/>
            <w:hideMark/>
          </w:tcPr>
          <w:p w14:paraId="286C8F1F"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239 </w:t>
            </w:r>
          </w:p>
        </w:tc>
        <w:tc>
          <w:tcPr>
            <w:tcW w:w="1518" w:type="dxa"/>
            <w:tcBorders>
              <w:left w:val="nil"/>
            </w:tcBorders>
            <w:noWrap/>
            <w:hideMark/>
          </w:tcPr>
          <w:p w14:paraId="67BB63F0"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260 </w:t>
            </w:r>
          </w:p>
        </w:tc>
      </w:tr>
      <w:tr w:rsidR="00AA3362" w:rsidRPr="00183989" w14:paraId="6BBC8584" w14:textId="77777777" w:rsidTr="00170EC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19" w:type="dxa"/>
            <w:vMerge w:val="restart"/>
            <w:tcBorders>
              <w:right w:val="nil"/>
            </w:tcBorders>
            <w:shd w:val="clear" w:color="auto" w:fill="auto"/>
            <w:hideMark/>
          </w:tcPr>
          <w:p w14:paraId="64A827F3" w14:textId="1F1E9C73" w:rsidR="00AA3362" w:rsidRPr="00AA3362" w:rsidRDefault="00AA3362" w:rsidP="00AA3362">
            <w:pPr>
              <w:rPr>
                <w:rFonts w:eastAsia="Times New Roman" w:cs="Times New Roman"/>
                <w:color w:val="000000"/>
                <w:szCs w:val="24"/>
                <w:lang w:eastAsia="en-AU"/>
              </w:rPr>
            </w:pPr>
            <w:r w:rsidRPr="00AA3362">
              <w:rPr>
                <w:rFonts w:eastAsia="Times New Roman" w:cs="Times New Roman"/>
                <w:color w:val="000000"/>
                <w:szCs w:val="24"/>
                <w:lang w:eastAsia="en-AU"/>
              </w:rPr>
              <w:t xml:space="preserve">Paracetamol deliberate </w:t>
            </w:r>
          </w:p>
        </w:tc>
        <w:tc>
          <w:tcPr>
            <w:tcW w:w="3251" w:type="dxa"/>
            <w:tcBorders>
              <w:left w:val="nil"/>
              <w:right w:val="nil"/>
            </w:tcBorders>
            <w:noWrap/>
            <w:hideMark/>
          </w:tcPr>
          <w:p w14:paraId="22118FCA" w14:textId="20D65471" w:rsidR="00AA3362" w:rsidRPr="00AA3362" w:rsidRDefault="00AA3362" w:rsidP="00AA3362">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Total </w:t>
            </w:r>
            <w:r>
              <w:rPr>
                <w:rFonts w:eastAsia="Times New Roman" w:cs="Times New Roman"/>
                <w:color w:val="000000"/>
                <w:szCs w:val="24"/>
                <w:lang w:eastAsia="en-AU"/>
              </w:rPr>
              <w:t>number</w:t>
            </w:r>
          </w:p>
        </w:tc>
        <w:tc>
          <w:tcPr>
            <w:tcW w:w="1517" w:type="dxa"/>
            <w:tcBorders>
              <w:left w:val="nil"/>
              <w:right w:val="nil"/>
            </w:tcBorders>
            <w:noWrap/>
            <w:hideMark/>
          </w:tcPr>
          <w:p w14:paraId="16C5EB30"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5,910 </w:t>
            </w:r>
          </w:p>
        </w:tc>
        <w:tc>
          <w:tcPr>
            <w:tcW w:w="1518" w:type="dxa"/>
            <w:tcBorders>
              <w:left w:val="nil"/>
              <w:right w:val="nil"/>
            </w:tcBorders>
            <w:noWrap/>
            <w:hideMark/>
          </w:tcPr>
          <w:p w14:paraId="41DC49C2"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5,462 </w:t>
            </w:r>
          </w:p>
        </w:tc>
        <w:tc>
          <w:tcPr>
            <w:tcW w:w="1517" w:type="dxa"/>
            <w:tcBorders>
              <w:left w:val="nil"/>
              <w:right w:val="nil"/>
            </w:tcBorders>
            <w:noWrap/>
            <w:hideMark/>
          </w:tcPr>
          <w:p w14:paraId="3B066F98"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5,767 </w:t>
            </w:r>
          </w:p>
        </w:tc>
        <w:tc>
          <w:tcPr>
            <w:tcW w:w="1518" w:type="dxa"/>
            <w:tcBorders>
              <w:left w:val="nil"/>
              <w:right w:val="nil"/>
            </w:tcBorders>
            <w:noWrap/>
            <w:hideMark/>
          </w:tcPr>
          <w:p w14:paraId="00F3E514"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6,629 </w:t>
            </w:r>
          </w:p>
        </w:tc>
        <w:tc>
          <w:tcPr>
            <w:tcW w:w="1518" w:type="dxa"/>
            <w:tcBorders>
              <w:left w:val="nil"/>
            </w:tcBorders>
            <w:noWrap/>
            <w:hideMark/>
          </w:tcPr>
          <w:p w14:paraId="27A7CEFD" w14:textId="77777777" w:rsidR="00AA3362" w:rsidRPr="00AA3362" w:rsidRDefault="00AA3362" w:rsidP="00AA3362">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7,729 </w:t>
            </w:r>
          </w:p>
        </w:tc>
      </w:tr>
      <w:tr w:rsidR="00AA3362" w:rsidRPr="00183989" w14:paraId="560A20E8" w14:textId="77777777" w:rsidTr="00170ECD">
        <w:trPr>
          <w:trHeight w:val="300"/>
        </w:trPr>
        <w:tc>
          <w:tcPr>
            <w:cnfStyle w:val="001000000000" w:firstRow="0" w:lastRow="0" w:firstColumn="1" w:lastColumn="0" w:oddVBand="0" w:evenVBand="0" w:oddHBand="0" w:evenHBand="0" w:firstRowFirstColumn="0" w:firstRowLastColumn="0" w:lastRowFirstColumn="0" w:lastRowLastColumn="0"/>
            <w:tcW w:w="3119" w:type="dxa"/>
            <w:vMerge/>
            <w:tcBorders>
              <w:right w:val="nil"/>
            </w:tcBorders>
            <w:shd w:val="clear" w:color="auto" w:fill="auto"/>
            <w:hideMark/>
          </w:tcPr>
          <w:p w14:paraId="3A5B1AD8" w14:textId="77777777" w:rsidR="00AA3362" w:rsidRPr="00AA3362" w:rsidRDefault="00AA3362" w:rsidP="00AA3362">
            <w:pPr>
              <w:rPr>
                <w:rFonts w:eastAsia="Times New Roman" w:cs="Times New Roman"/>
                <w:color w:val="000000"/>
                <w:szCs w:val="24"/>
                <w:lang w:eastAsia="en-AU"/>
              </w:rPr>
            </w:pPr>
          </w:p>
        </w:tc>
        <w:tc>
          <w:tcPr>
            <w:tcW w:w="3251" w:type="dxa"/>
            <w:tcBorders>
              <w:left w:val="nil"/>
              <w:right w:val="nil"/>
            </w:tcBorders>
            <w:noWrap/>
            <w:hideMark/>
          </w:tcPr>
          <w:p w14:paraId="54219254" w14:textId="007E947C" w:rsidR="00AA3362" w:rsidRPr="00AA3362" w:rsidRDefault="00AA3362" w:rsidP="00AA3362">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Pr>
                <w:rFonts w:eastAsia="Times New Roman" w:cs="Times New Roman"/>
                <w:color w:val="000000"/>
                <w:szCs w:val="24"/>
                <w:lang w:eastAsia="en-AU"/>
              </w:rPr>
              <w:t>Number</w:t>
            </w:r>
            <w:r w:rsidRPr="00AA3362">
              <w:rPr>
                <w:rFonts w:eastAsia="Times New Roman" w:cs="Times New Roman"/>
                <w:color w:val="000000"/>
                <w:szCs w:val="24"/>
                <w:lang w:eastAsia="en-AU"/>
              </w:rPr>
              <w:t xml:space="preserve"> </w:t>
            </w:r>
            <w:r w:rsidR="00170ECD">
              <w:rPr>
                <w:rFonts w:eastAsia="Times New Roman" w:cs="Times New Roman"/>
                <w:color w:val="000000"/>
                <w:szCs w:val="24"/>
                <w:lang w:eastAsia="en-AU"/>
              </w:rPr>
              <w:t xml:space="preserve">per </w:t>
            </w:r>
            <w:r w:rsidRPr="00AA3362">
              <w:rPr>
                <w:rFonts w:eastAsia="Times New Roman" w:cs="Times New Roman"/>
                <w:color w:val="000000"/>
                <w:szCs w:val="24"/>
                <w:lang w:eastAsia="en-AU"/>
              </w:rPr>
              <w:t>million units sold</w:t>
            </w:r>
          </w:p>
        </w:tc>
        <w:tc>
          <w:tcPr>
            <w:tcW w:w="1517" w:type="dxa"/>
            <w:tcBorders>
              <w:left w:val="nil"/>
              <w:right w:val="nil"/>
            </w:tcBorders>
            <w:noWrap/>
            <w:hideMark/>
          </w:tcPr>
          <w:p w14:paraId="26F793C2"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83 </w:t>
            </w:r>
          </w:p>
        </w:tc>
        <w:tc>
          <w:tcPr>
            <w:tcW w:w="1518" w:type="dxa"/>
            <w:tcBorders>
              <w:left w:val="nil"/>
              <w:right w:val="nil"/>
            </w:tcBorders>
            <w:noWrap/>
            <w:hideMark/>
          </w:tcPr>
          <w:p w14:paraId="02EC3AE5"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82 </w:t>
            </w:r>
          </w:p>
        </w:tc>
        <w:tc>
          <w:tcPr>
            <w:tcW w:w="1517" w:type="dxa"/>
            <w:tcBorders>
              <w:left w:val="nil"/>
              <w:right w:val="nil"/>
            </w:tcBorders>
            <w:noWrap/>
            <w:hideMark/>
          </w:tcPr>
          <w:p w14:paraId="3B9C0642"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84 </w:t>
            </w:r>
          </w:p>
        </w:tc>
        <w:tc>
          <w:tcPr>
            <w:tcW w:w="1518" w:type="dxa"/>
            <w:tcBorders>
              <w:left w:val="nil"/>
              <w:right w:val="nil"/>
            </w:tcBorders>
            <w:noWrap/>
            <w:hideMark/>
          </w:tcPr>
          <w:p w14:paraId="6BA8EC1E"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97 </w:t>
            </w:r>
          </w:p>
        </w:tc>
        <w:tc>
          <w:tcPr>
            <w:tcW w:w="1518" w:type="dxa"/>
            <w:tcBorders>
              <w:left w:val="nil"/>
            </w:tcBorders>
            <w:noWrap/>
            <w:hideMark/>
          </w:tcPr>
          <w:p w14:paraId="4A771915" w14:textId="77777777" w:rsidR="00AA3362" w:rsidRPr="00AA3362" w:rsidRDefault="00AA3362" w:rsidP="00AA3362">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lang w:eastAsia="en-AU"/>
              </w:rPr>
            </w:pPr>
            <w:r w:rsidRPr="00AA3362">
              <w:rPr>
                <w:rFonts w:eastAsia="Times New Roman" w:cs="Times New Roman"/>
                <w:color w:val="000000"/>
                <w:szCs w:val="24"/>
                <w:lang w:eastAsia="en-AU"/>
              </w:rPr>
              <w:t xml:space="preserve"> 110 </w:t>
            </w:r>
          </w:p>
        </w:tc>
      </w:tr>
    </w:tbl>
    <w:p w14:paraId="6239AB8B" w14:textId="06C4CC42" w:rsidR="000317C8" w:rsidRDefault="000317C8" w:rsidP="003E2489">
      <w:pPr>
        <w:pStyle w:val="Tablenote"/>
        <w:sectPr w:rsidR="000317C8" w:rsidSect="00531849">
          <w:headerReference w:type="default" r:id="rId62"/>
          <w:footerReference w:type="default" r:id="rId63"/>
          <w:pgSz w:w="16838" w:h="11906" w:orient="landscape"/>
          <w:pgMar w:top="1440" w:right="1440" w:bottom="1440" w:left="1440" w:header="709" w:footer="709" w:gutter="0"/>
          <w:cols w:space="708"/>
          <w:docGrid w:linePitch="360"/>
        </w:sectPr>
      </w:pPr>
    </w:p>
    <w:p w14:paraId="6F5EFA5F" w14:textId="2D65DF31" w:rsidR="00AF42B7" w:rsidRDefault="00456CFB" w:rsidP="00456CFB">
      <w:pPr>
        <w:pStyle w:val="Heading2"/>
        <w:rPr>
          <w:lang w:val="en-US"/>
        </w:rPr>
      </w:pPr>
      <w:bookmarkStart w:id="127" w:name="_Toc112843926"/>
      <w:r>
        <w:rPr>
          <w:lang w:val="en-US"/>
        </w:rPr>
        <w:t>2.</w:t>
      </w:r>
      <w:r w:rsidR="003836A2">
        <w:rPr>
          <w:lang w:val="en-US"/>
        </w:rPr>
        <w:t>7</w:t>
      </w:r>
      <w:r w:rsidR="001F3E71">
        <w:rPr>
          <w:lang w:val="en-US"/>
        </w:rPr>
        <w:t xml:space="preserve"> </w:t>
      </w:r>
      <w:r>
        <w:rPr>
          <w:lang w:val="en-US"/>
        </w:rPr>
        <w:t xml:space="preserve"> </w:t>
      </w:r>
      <w:r w:rsidR="00AF42B7">
        <w:rPr>
          <w:lang w:val="en-US"/>
        </w:rPr>
        <w:t>Summary</w:t>
      </w:r>
      <w:r w:rsidR="00E93969">
        <w:rPr>
          <w:lang w:val="en-US"/>
        </w:rPr>
        <w:t xml:space="preserve"> and c</w:t>
      </w:r>
      <w:r w:rsidR="00AF42B7">
        <w:rPr>
          <w:lang w:val="en-US"/>
        </w:rPr>
        <w:t>onclusions o</w:t>
      </w:r>
      <w:r w:rsidR="00E93969">
        <w:rPr>
          <w:lang w:val="en-US"/>
        </w:rPr>
        <w:t>n</w:t>
      </w:r>
      <w:r w:rsidR="00AF42B7">
        <w:rPr>
          <w:lang w:val="en-US"/>
        </w:rPr>
        <w:t xml:space="preserve"> Australian data on paracetamol poisoning</w:t>
      </w:r>
      <w:bookmarkEnd w:id="127"/>
    </w:p>
    <w:p w14:paraId="29B802E1" w14:textId="50C39C39" w:rsidR="00AF42B7" w:rsidRDefault="00AF42B7" w:rsidP="00AF42B7">
      <w:pPr>
        <w:rPr>
          <w:lang w:val="en-US"/>
        </w:rPr>
      </w:pPr>
      <w:r>
        <w:rPr>
          <w:lang w:val="en-US"/>
        </w:rPr>
        <w:t xml:space="preserve">There are increasing rates of paracetamol poisoning in </w:t>
      </w:r>
      <w:r w:rsidR="00B90141">
        <w:rPr>
          <w:lang w:val="en-US"/>
        </w:rPr>
        <w:t xml:space="preserve">the </w:t>
      </w:r>
      <w:r>
        <w:rPr>
          <w:lang w:val="en-US"/>
        </w:rPr>
        <w:t>last decade. Predominantly this increase is in intentional self-poisoning in children and adolescents, and females in particular. This increase may have further accelerated during COVID years (but only the PIC data is available in the last two years).</w:t>
      </w:r>
    </w:p>
    <w:p w14:paraId="135328AA" w14:textId="7B4D0634" w:rsidR="00AF42B7" w:rsidRDefault="00AF42B7" w:rsidP="00AF42B7">
      <w:pPr>
        <w:rPr>
          <w:lang w:val="en-US"/>
        </w:rPr>
      </w:pPr>
      <w:r>
        <w:rPr>
          <w:lang w:val="en-US"/>
        </w:rPr>
        <w:t>This is in the setting of a large increase in all self-poisonings in children/adolescents, which roughly doubled over the decade up to 2018. Paracetamol is taken in around 50% of these events and this proportion has not substantially changed in the last decade.</w:t>
      </w:r>
    </w:p>
    <w:p w14:paraId="784BBAB3" w14:textId="2D0CD1E3" w:rsidR="00AF42B7" w:rsidRDefault="00AF42B7" w:rsidP="00AF42B7">
      <w:pPr>
        <w:rPr>
          <w:lang w:val="en-US"/>
        </w:rPr>
      </w:pPr>
      <w:r>
        <w:rPr>
          <w:lang w:val="en-US"/>
        </w:rPr>
        <w:t xml:space="preserve">The majority of paracetamol self-poisonings in all age groups are impulsive but with suicidal intent. It is common for these individuals to have repeated episodes of self-harm. Depression, anxiety, PTSD, borderline personality disorder and ADHD were the top 5 psychiatric diagnoses recorded in all age groups. </w:t>
      </w:r>
    </w:p>
    <w:p w14:paraId="0C466708" w14:textId="5FDCB25A" w:rsidR="00AF42B7" w:rsidRDefault="00AF42B7" w:rsidP="00AF42B7">
      <w:pPr>
        <w:rPr>
          <w:lang w:val="en-US"/>
        </w:rPr>
      </w:pPr>
      <w:r>
        <w:rPr>
          <w:lang w:val="en-US"/>
        </w:rPr>
        <w:t>Over half the time, the paracetamol taken was present in the home. Only around 10% reported recently purchasing paracetamol (usually on that day); 1 or 2 packs were purchased.</w:t>
      </w:r>
    </w:p>
    <w:p w14:paraId="03EB5715" w14:textId="30B30C13" w:rsidR="00AF42B7" w:rsidRDefault="00AF42B7" w:rsidP="00AF42B7">
      <w:pPr>
        <w:rPr>
          <w:lang w:val="en-US"/>
        </w:rPr>
      </w:pPr>
      <w:r>
        <w:rPr>
          <w:lang w:val="en-US"/>
        </w:rPr>
        <w:t xml:space="preserve">The pack size ingested most commonly and in roughly equal proportions were 20/24s and 96/100s. At least 25-30% of ingestions were of unscheduled products. </w:t>
      </w:r>
    </w:p>
    <w:p w14:paraId="76786471" w14:textId="77777777" w:rsidR="00AF42B7" w:rsidRDefault="00AF42B7" w:rsidP="00AF42B7">
      <w:pPr>
        <w:rPr>
          <w:lang w:val="en-US"/>
        </w:rPr>
      </w:pPr>
      <w:r>
        <w:rPr>
          <w:lang w:val="en-US"/>
        </w:rPr>
        <w:t>Sales of paracetamol are predominantly of these pack sizes – and are roughly equal in number of packs sold, but therefore the larger packs account for a much larger proportion of total grams sold.</w:t>
      </w:r>
    </w:p>
    <w:p w14:paraId="03B23C83" w14:textId="77777777" w:rsidR="00AF42B7" w:rsidRDefault="00AF42B7" w:rsidP="00AF42B7">
      <w:pPr>
        <w:rPr>
          <w:lang w:val="en-US"/>
        </w:rPr>
      </w:pPr>
      <w:r>
        <w:rPr>
          <w:lang w:val="en-US"/>
        </w:rPr>
        <w:t xml:space="preserve">The codeine prescription only (S4) restriction was followed by a large reduction in paracetamol combination product ingestions (and also reduced ibuprofen and codeine ingestions).  </w:t>
      </w:r>
    </w:p>
    <w:p w14:paraId="67C831FF" w14:textId="77777777" w:rsidR="00AF42B7" w:rsidRDefault="00AF42B7" w:rsidP="00AF42B7">
      <w:pPr>
        <w:rPr>
          <w:lang w:val="en-US"/>
        </w:rPr>
      </w:pPr>
      <w:r>
        <w:rPr>
          <w:lang w:val="en-US"/>
        </w:rPr>
        <w:t>The MR paracetamol pharmacist only (S3) restriction was not followed by any substantial change in events.</w:t>
      </w:r>
    </w:p>
    <w:p w14:paraId="0632FDA0" w14:textId="2357D09B" w:rsidR="00AF42B7" w:rsidRDefault="00AF42B7" w:rsidP="00AF42B7">
      <w:pPr>
        <w:rPr>
          <w:lang w:val="en-US"/>
        </w:rPr>
      </w:pPr>
      <w:r>
        <w:rPr>
          <w:lang w:val="en-US"/>
        </w:rPr>
        <w:t>Paracetamol poisoning may cause severe liver injury (2-5%) and death (0.2-0.5%), despite current treatments usually being effective. These severe outcomes appear to be less likely in young people overall. The risk factors of high doses, and MR paracetamol ingestion appear in much the same proportion in ingestions in recent years, indicating the average severity of paracetamol poisoning is probably not increasing greatly.</w:t>
      </w:r>
    </w:p>
    <w:p w14:paraId="69DD9C6A" w14:textId="77777777" w:rsidR="00C20C4F" w:rsidRDefault="00C20C4F" w:rsidP="005607DB">
      <w:r>
        <w:br w:type="page"/>
      </w:r>
    </w:p>
    <w:p w14:paraId="42B90E14" w14:textId="32971A6D" w:rsidR="005D2401" w:rsidRDefault="00B96031" w:rsidP="00C20C4F">
      <w:pPr>
        <w:pStyle w:val="Heading1"/>
        <w:rPr>
          <w:lang w:val="en-US"/>
        </w:rPr>
      </w:pPr>
      <w:bookmarkStart w:id="128" w:name="_Toc112843927"/>
      <w:r>
        <w:t>3.</w:t>
      </w:r>
      <w:r w:rsidR="00AE33C0">
        <w:t xml:space="preserve"> </w:t>
      </w:r>
      <w:r w:rsidR="005D2401" w:rsidRPr="00923E34">
        <w:t>International</w:t>
      </w:r>
      <w:r w:rsidR="005D2401">
        <w:rPr>
          <w:lang w:val="en-US"/>
        </w:rPr>
        <w:t xml:space="preserve"> comparisons of scheduling and paracetamol poisoning</w:t>
      </w:r>
      <w:bookmarkEnd w:id="128"/>
      <w:r w:rsidR="005D2401">
        <w:rPr>
          <w:lang w:val="en-US"/>
        </w:rPr>
        <w:t xml:space="preserve"> </w:t>
      </w:r>
    </w:p>
    <w:p w14:paraId="2D4CF6C2" w14:textId="49E3437C" w:rsidR="00AF42B7" w:rsidRDefault="00AF42B7" w:rsidP="00AF42B7">
      <w:pPr>
        <w:rPr>
          <w:lang w:val="en-US"/>
        </w:rPr>
      </w:pPr>
      <w:r>
        <w:rPr>
          <w:lang w:val="en-US"/>
        </w:rPr>
        <w:t xml:space="preserve">Paracetamol is very commonly taken in self-poisoning in many countries. Cross-sectional international comparisons based around the current </w:t>
      </w:r>
      <w:r w:rsidR="001B004F">
        <w:rPr>
          <w:lang w:val="en-US"/>
        </w:rPr>
        <w:t>‘</w:t>
      </w:r>
      <w:r>
        <w:rPr>
          <w:lang w:val="en-US"/>
        </w:rPr>
        <w:t>scheduling</w:t>
      </w:r>
      <w:r w:rsidR="001B004F">
        <w:rPr>
          <w:lang w:val="en-US"/>
        </w:rPr>
        <w:t>’</w:t>
      </w:r>
      <w:r w:rsidR="000F5AD6">
        <w:rPr>
          <w:rStyle w:val="FootnoteReference"/>
          <w:lang w:val="en-US"/>
        </w:rPr>
        <w:footnoteReference w:id="2"/>
      </w:r>
      <w:r>
        <w:rPr>
          <w:lang w:val="en-US"/>
        </w:rPr>
        <w:t xml:space="preserve"> of paracetamol are not informative, as the countries with the largest burden of disease are generally those that have introduced the tighter restrictions. Generally, the data is not sufficiently detailed to determine if the size of the overdoses, or the proportion of poisonings resulting in liver injury and death are less in those countries with tighter restrictions.</w:t>
      </w:r>
    </w:p>
    <w:p w14:paraId="2360D50F" w14:textId="102571A7" w:rsidR="00C57833" w:rsidRPr="0091560A" w:rsidRDefault="00D654B6" w:rsidP="00C57833">
      <w:pPr>
        <w:rPr>
          <w:rFonts w:cs="Times New Roman"/>
        </w:rPr>
      </w:pPr>
      <w:r>
        <w:rPr>
          <w:lang w:val="en-US"/>
        </w:rPr>
        <w:t>The scheduling of paracetamol varies considerabl</w:t>
      </w:r>
      <w:r w:rsidR="000123E8">
        <w:rPr>
          <w:lang w:val="en-US"/>
        </w:rPr>
        <w:t>y</w:t>
      </w:r>
      <w:r>
        <w:rPr>
          <w:lang w:val="en-US"/>
        </w:rPr>
        <w:t xml:space="preserve"> within OECD countries</w:t>
      </w:r>
      <w:r w:rsidR="00F76D53">
        <w:rPr>
          <w:lang w:val="en-US"/>
        </w:rPr>
        <w:t xml:space="preserve">, with respect to availability </w:t>
      </w:r>
      <w:r w:rsidR="00174D2C">
        <w:rPr>
          <w:lang w:val="en-US"/>
        </w:rPr>
        <w:t xml:space="preserve">of </w:t>
      </w:r>
      <w:r w:rsidR="00280C06">
        <w:rPr>
          <w:lang w:val="en-US"/>
        </w:rPr>
        <w:t xml:space="preserve">IR and </w:t>
      </w:r>
      <w:r w:rsidR="00174D2C">
        <w:rPr>
          <w:lang w:val="en-US"/>
        </w:rPr>
        <w:t xml:space="preserve">MR paracetamol, </w:t>
      </w:r>
      <w:r w:rsidR="000B4575">
        <w:rPr>
          <w:lang w:val="en-US"/>
        </w:rPr>
        <w:t xml:space="preserve">sales of paracetamol </w:t>
      </w:r>
      <w:r w:rsidR="00F76D53">
        <w:rPr>
          <w:lang w:val="en-US"/>
        </w:rPr>
        <w:t xml:space="preserve">outside </w:t>
      </w:r>
      <w:r w:rsidR="00174D2C">
        <w:rPr>
          <w:lang w:val="en-US"/>
        </w:rPr>
        <w:t>of pharmacies</w:t>
      </w:r>
      <w:r w:rsidR="000B4575">
        <w:rPr>
          <w:lang w:val="en-US"/>
        </w:rPr>
        <w:t>,</w:t>
      </w:r>
      <w:r w:rsidR="00174D2C">
        <w:rPr>
          <w:lang w:val="en-US"/>
        </w:rPr>
        <w:t xml:space="preserve"> and </w:t>
      </w:r>
      <w:r w:rsidR="00F76D53">
        <w:rPr>
          <w:lang w:val="en-US"/>
        </w:rPr>
        <w:t xml:space="preserve">the </w:t>
      </w:r>
      <w:r w:rsidR="000B4575">
        <w:rPr>
          <w:lang w:val="en-US"/>
        </w:rPr>
        <w:t xml:space="preserve">maximum </w:t>
      </w:r>
      <w:r w:rsidR="00F76D53">
        <w:rPr>
          <w:lang w:val="en-US"/>
        </w:rPr>
        <w:t>pack sizes a</w:t>
      </w:r>
      <w:r w:rsidR="00174D2C">
        <w:rPr>
          <w:lang w:val="en-US"/>
        </w:rPr>
        <w:t>vailable</w:t>
      </w:r>
      <w:r w:rsidR="007A42C3">
        <w:rPr>
          <w:lang w:val="en-US"/>
        </w:rPr>
        <w:t xml:space="preserve"> (Figure 39).</w:t>
      </w:r>
      <w:r w:rsidR="0098471F">
        <w:rPr>
          <w:lang w:val="en-US"/>
        </w:rPr>
        <w:t xml:space="preserve"> The schedules below are approximate equivalents </w:t>
      </w:r>
      <w:r w:rsidR="00AA0DA5">
        <w:rPr>
          <w:lang w:val="en-US"/>
        </w:rPr>
        <w:t xml:space="preserve">of Australian schedules (see Appendix E </w:t>
      </w:r>
      <w:r w:rsidR="000B345F">
        <w:rPr>
          <w:lang w:val="en-US"/>
        </w:rPr>
        <w:t xml:space="preserve">for </w:t>
      </w:r>
      <w:r w:rsidR="008956E0">
        <w:rPr>
          <w:lang w:val="en-US"/>
        </w:rPr>
        <w:t xml:space="preserve">further </w:t>
      </w:r>
      <w:r w:rsidR="000B345F">
        <w:rPr>
          <w:lang w:val="en-US"/>
        </w:rPr>
        <w:t>details</w:t>
      </w:r>
      <w:r w:rsidR="007A42C3">
        <w:rPr>
          <w:lang w:val="en-US"/>
        </w:rPr>
        <w:t>).</w:t>
      </w:r>
    </w:p>
    <w:p w14:paraId="54DA556C" w14:textId="27496619" w:rsidR="00C57833" w:rsidRDefault="00C57833" w:rsidP="00B549C4"/>
    <w:tbl>
      <w:tblPr>
        <w:tblW w:w="9072" w:type="dxa"/>
        <w:tblLayout w:type="fixed"/>
        <w:tblCellMar>
          <w:left w:w="0" w:type="dxa"/>
          <w:right w:w="0" w:type="dxa"/>
        </w:tblCellMar>
        <w:tblLook w:val="04A0" w:firstRow="1" w:lastRow="0" w:firstColumn="1" w:lastColumn="0" w:noHBand="0" w:noVBand="1"/>
      </w:tblPr>
      <w:tblGrid>
        <w:gridCol w:w="1242"/>
        <w:gridCol w:w="518"/>
        <w:gridCol w:w="518"/>
        <w:gridCol w:w="517"/>
        <w:gridCol w:w="517"/>
        <w:gridCol w:w="517"/>
        <w:gridCol w:w="517"/>
        <w:gridCol w:w="517"/>
        <w:gridCol w:w="517"/>
        <w:gridCol w:w="616"/>
        <w:gridCol w:w="630"/>
        <w:gridCol w:w="397"/>
        <w:gridCol w:w="397"/>
        <w:gridCol w:w="1652"/>
      </w:tblGrid>
      <w:tr w:rsidR="00CA6B03" w14:paraId="66BA78E2" w14:textId="77777777" w:rsidTr="00CA6B03">
        <w:trPr>
          <w:trHeight w:val="158"/>
        </w:trPr>
        <w:tc>
          <w:tcPr>
            <w:tcW w:w="1242" w:type="dxa"/>
            <w:noWrap/>
            <w:tcMar>
              <w:top w:w="0" w:type="dxa"/>
              <w:left w:w="108" w:type="dxa"/>
              <w:bottom w:w="0" w:type="dxa"/>
              <w:right w:w="108" w:type="dxa"/>
            </w:tcMar>
            <w:vAlign w:val="bottom"/>
            <w:hideMark/>
          </w:tcPr>
          <w:p w14:paraId="4B67E021" w14:textId="77777777" w:rsidR="00CA6B03" w:rsidRDefault="00CA6B03">
            <w:pPr>
              <w:rPr>
                <w:color w:val="000000"/>
                <w:sz w:val="22"/>
              </w:rPr>
            </w:pPr>
            <w:r>
              <w:rPr>
                <w:color w:val="000000"/>
                <w:sz w:val="22"/>
              </w:rPr>
              <w:t>Australia</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6B0E38CA"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1BA57F51"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712097D"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4A02C9B1"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68005780"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7029BF49"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0C9C420B"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619E5079"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11821FCE"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4472C4" w:themeFill="accent1"/>
            <w:noWrap/>
            <w:tcMar>
              <w:top w:w="0" w:type="dxa"/>
              <w:left w:w="108" w:type="dxa"/>
              <w:bottom w:w="0" w:type="dxa"/>
              <w:right w:w="108" w:type="dxa"/>
            </w:tcMar>
            <w:vAlign w:val="bottom"/>
            <w:hideMark/>
          </w:tcPr>
          <w:p w14:paraId="480AE040"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6449DCDA" w14:textId="77777777" w:rsidR="00CA6B03" w:rsidRDefault="00CA6B03">
            <w:pPr>
              <w:rPr>
                <w:color w:val="000000"/>
                <w:sz w:val="22"/>
              </w:rPr>
            </w:pPr>
            <w:r>
              <w:rPr>
                <w:color w:val="000000"/>
                <w:sz w:val="22"/>
              </w:rPr>
              <w:t> </w:t>
            </w:r>
          </w:p>
        </w:tc>
        <w:tc>
          <w:tcPr>
            <w:tcW w:w="397" w:type="dxa"/>
            <w:tcBorders>
              <w:top w:val="single" w:sz="8" w:space="0" w:color="auto"/>
              <w:left w:val="single" w:sz="8" w:space="0" w:color="auto"/>
              <w:bottom w:val="single" w:sz="8" w:space="0" w:color="auto"/>
              <w:right w:val="single" w:sz="8" w:space="0" w:color="auto"/>
            </w:tcBorders>
            <w:shd w:val="clear" w:color="auto" w:fill="000000" w:themeFill="text1"/>
            <w:noWrap/>
            <w:tcMar>
              <w:top w:w="0" w:type="dxa"/>
              <w:left w:w="108" w:type="dxa"/>
              <w:bottom w:w="0" w:type="dxa"/>
              <w:right w:w="108" w:type="dxa"/>
            </w:tcMar>
            <w:vAlign w:val="bottom"/>
            <w:hideMark/>
          </w:tcPr>
          <w:p w14:paraId="00AA7CBA"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277FA3C5" w14:textId="77777777" w:rsidR="00CA6B03" w:rsidRDefault="00CA6B03">
            <w:pPr>
              <w:rPr>
                <w:color w:val="000000"/>
                <w:sz w:val="22"/>
              </w:rPr>
            </w:pPr>
            <w:r>
              <w:rPr>
                <w:color w:val="000000"/>
                <w:sz w:val="22"/>
              </w:rPr>
              <w:t>Not available</w:t>
            </w:r>
          </w:p>
        </w:tc>
      </w:tr>
      <w:tr w:rsidR="00CA6B03" w14:paraId="5F4F5CEF" w14:textId="77777777" w:rsidTr="00CA6B03">
        <w:trPr>
          <w:trHeight w:val="158"/>
        </w:trPr>
        <w:tc>
          <w:tcPr>
            <w:tcW w:w="1242" w:type="dxa"/>
            <w:noWrap/>
            <w:tcMar>
              <w:top w:w="0" w:type="dxa"/>
              <w:left w:w="108" w:type="dxa"/>
              <w:bottom w:w="0" w:type="dxa"/>
              <w:right w:w="108" w:type="dxa"/>
            </w:tcMar>
            <w:vAlign w:val="bottom"/>
            <w:hideMark/>
          </w:tcPr>
          <w:p w14:paraId="1ABC63E9" w14:textId="77777777" w:rsidR="00CA6B03" w:rsidRDefault="00CA6B03">
            <w:pPr>
              <w:rPr>
                <w:color w:val="000000"/>
                <w:sz w:val="22"/>
              </w:rPr>
            </w:pPr>
            <w:r>
              <w:rPr>
                <w:color w:val="000000"/>
                <w:sz w:val="22"/>
              </w:rPr>
              <w:t>Canada</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851AFB8"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00CF0A07"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21C05C67"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6BA59530"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A593980"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5BFFCAAD"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7F0F2D41"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044811B9"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FFFF00"/>
            <w:noWrap/>
            <w:tcMar>
              <w:top w:w="0" w:type="dxa"/>
              <w:left w:w="108" w:type="dxa"/>
              <w:bottom w:w="0" w:type="dxa"/>
              <w:right w:w="108" w:type="dxa"/>
            </w:tcMar>
            <w:vAlign w:val="bottom"/>
            <w:hideMark/>
          </w:tcPr>
          <w:p w14:paraId="5BDCAA77" w14:textId="77777777" w:rsidR="00CA6B03" w:rsidRDefault="00CA6B03">
            <w:pPr>
              <w:rPr>
                <w:color w:val="000000"/>
                <w:sz w:val="22"/>
              </w:rPr>
            </w:pPr>
          </w:p>
        </w:tc>
        <w:tc>
          <w:tcPr>
            <w:tcW w:w="630" w:type="dxa"/>
            <w:tcBorders>
              <w:top w:val="single" w:sz="4" w:space="0" w:color="auto"/>
              <w:left w:val="single" w:sz="4" w:space="0" w:color="auto"/>
              <w:bottom w:val="single" w:sz="4" w:space="0" w:color="auto"/>
            </w:tcBorders>
            <w:shd w:val="clear" w:color="auto" w:fill="FFFF00"/>
            <w:noWrap/>
            <w:tcMar>
              <w:top w:w="0" w:type="dxa"/>
              <w:left w:w="108" w:type="dxa"/>
              <w:bottom w:w="0" w:type="dxa"/>
              <w:right w:w="108" w:type="dxa"/>
            </w:tcMar>
            <w:vAlign w:val="bottom"/>
            <w:hideMark/>
          </w:tcPr>
          <w:p w14:paraId="3B848347" w14:textId="77777777" w:rsidR="00CA6B03" w:rsidRDefault="00CA6B03">
            <w:pPr>
              <w:rPr>
                <w:rFonts w:ascii="Calibri" w:hAnsi="Calibri" w:cs="Calibri"/>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65AD11C8"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B902170"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235FA23A" w14:textId="77777777" w:rsidR="00CA6B03" w:rsidRDefault="00CA6B03">
            <w:pPr>
              <w:rPr>
                <w:color w:val="000000"/>
                <w:sz w:val="22"/>
              </w:rPr>
            </w:pPr>
            <w:r>
              <w:rPr>
                <w:color w:val="000000"/>
                <w:sz w:val="22"/>
              </w:rPr>
              <w:t>Unknown</w:t>
            </w:r>
          </w:p>
        </w:tc>
      </w:tr>
      <w:tr w:rsidR="00CA6B03" w14:paraId="38C36D0A" w14:textId="77777777" w:rsidTr="00CA6B03">
        <w:trPr>
          <w:trHeight w:val="158"/>
        </w:trPr>
        <w:tc>
          <w:tcPr>
            <w:tcW w:w="1242" w:type="dxa"/>
            <w:noWrap/>
            <w:tcMar>
              <w:top w:w="0" w:type="dxa"/>
              <w:left w:w="108" w:type="dxa"/>
              <w:bottom w:w="0" w:type="dxa"/>
              <w:right w:w="108" w:type="dxa"/>
            </w:tcMar>
            <w:vAlign w:val="bottom"/>
            <w:hideMark/>
          </w:tcPr>
          <w:p w14:paraId="02AD188A" w14:textId="77777777" w:rsidR="00CA6B03" w:rsidRDefault="00CA6B03">
            <w:pPr>
              <w:rPr>
                <w:rFonts w:ascii="Calibri" w:hAnsi="Calibri" w:cs="Calibri"/>
                <w:color w:val="000000"/>
                <w:sz w:val="22"/>
              </w:rPr>
            </w:pPr>
            <w:r>
              <w:rPr>
                <w:color w:val="000000"/>
                <w:sz w:val="22"/>
              </w:rPr>
              <w:t>Ireland</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5932632"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FCE4D6"/>
            <w:noWrap/>
            <w:tcMar>
              <w:top w:w="0" w:type="dxa"/>
              <w:left w:w="108" w:type="dxa"/>
              <w:bottom w:w="0" w:type="dxa"/>
              <w:right w:w="108" w:type="dxa"/>
            </w:tcMar>
            <w:vAlign w:val="bottom"/>
            <w:hideMark/>
          </w:tcPr>
          <w:p w14:paraId="392D319F"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CE4D6"/>
            <w:noWrap/>
            <w:tcMar>
              <w:top w:w="0" w:type="dxa"/>
              <w:left w:w="108" w:type="dxa"/>
              <w:bottom w:w="0" w:type="dxa"/>
              <w:right w:w="108" w:type="dxa"/>
            </w:tcMar>
            <w:vAlign w:val="bottom"/>
            <w:hideMark/>
          </w:tcPr>
          <w:p w14:paraId="15D568FF"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CE4D6"/>
            <w:noWrap/>
            <w:tcMar>
              <w:top w:w="0" w:type="dxa"/>
              <w:left w:w="108" w:type="dxa"/>
              <w:bottom w:w="0" w:type="dxa"/>
              <w:right w:w="108" w:type="dxa"/>
            </w:tcMar>
            <w:vAlign w:val="bottom"/>
            <w:hideMark/>
          </w:tcPr>
          <w:p w14:paraId="3729B602"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56384D7B"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490150F5"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bottom"/>
            <w:hideMark/>
          </w:tcPr>
          <w:p w14:paraId="528BA8B6"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bottom"/>
            <w:hideMark/>
          </w:tcPr>
          <w:p w14:paraId="52D42290"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FCE4D6"/>
            <w:noWrap/>
            <w:tcMar>
              <w:top w:w="0" w:type="dxa"/>
              <w:left w:w="108" w:type="dxa"/>
              <w:bottom w:w="0" w:type="dxa"/>
              <w:right w:w="108" w:type="dxa"/>
            </w:tcMar>
            <w:vAlign w:val="bottom"/>
            <w:hideMark/>
          </w:tcPr>
          <w:p w14:paraId="2F3EBCFD"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4472C4" w:themeFill="accent1"/>
            <w:noWrap/>
            <w:tcMar>
              <w:top w:w="0" w:type="dxa"/>
              <w:left w:w="108" w:type="dxa"/>
              <w:bottom w:w="0" w:type="dxa"/>
              <w:right w:w="108" w:type="dxa"/>
            </w:tcMar>
            <w:vAlign w:val="bottom"/>
            <w:hideMark/>
          </w:tcPr>
          <w:p w14:paraId="14E5051D"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3101DCCA"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4472C4" w:themeFill="accent1"/>
            <w:noWrap/>
            <w:tcMar>
              <w:top w:w="0" w:type="dxa"/>
              <w:left w:w="108" w:type="dxa"/>
              <w:bottom w:w="0" w:type="dxa"/>
              <w:right w:w="108" w:type="dxa"/>
            </w:tcMar>
            <w:vAlign w:val="bottom"/>
            <w:hideMark/>
          </w:tcPr>
          <w:p w14:paraId="2F7FEE27"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59E00D8E" w14:textId="77777777" w:rsidR="00CA6B03" w:rsidRDefault="00CA6B03">
            <w:pPr>
              <w:rPr>
                <w:color w:val="000000"/>
                <w:sz w:val="22"/>
              </w:rPr>
            </w:pPr>
            <w:r>
              <w:rPr>
                <w:color w:val="000000"/>
                <w:sz w:val="22"/>
              </w:rPr>
              <w:t>S4</w:t>
            </w:r>
          </w:p>
        </w:tc>
      </w:tr>
      <w:tr w:rsidR="00CA6B03" w14:paraId="17296C1F" w14:textId="77777777" w:rsidTr="00CA6B03">
        <w:trPr>
          <w:trHeight w:val="158"/>
        </w:trPr>
        <w:tc>
          <w:tcPr>
            <w:tcW w:w="1242" w:type="dxa"/>
            <w:noWrap/>
            <w:tcMar>
              <w:top w:w="0" w:type="dxa"/>
              <w:left w:w="108" w:type="dxa"/>
              <w:bottom w:w="0" w:type="dxa"/>
              <w:right w:w="108" w:type="dxa"/>
            </w:tcMar>
            <w:vAlign w:val="bottom"/>
            <w:hideMark/>
          </w:tcPr>
          <w:p w14:paraId="3C3AFC10" w14:textId="35EFFD2E" w:rsidR="00CA6B03" w:rsidRDefault="00CA6B03">
            <w:pPr>
              <w:rPr>
                <w:rFonts w:ascii="Calibri" w:hAnsi="Calibri" w:cs="Calibri"/>
                <w:color w:val="000000"/>
                <w:sz w:val="22"/>
              </w:rPr>
            </w:pPr>
            <w:r>
              <w:rPr>
                <w:color w:val="000000"/>
                <w:sz w:val="22"/>
              </w:rPr>
              <w:t>NZ</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DE4CD13"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0D9C34E3"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CA599EB"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380EA1B7"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245EBF0D"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FFC000" w:themeFill="accent4"/>
            <w:noWrap/>
            <w:tcMar>
              <w:top w:w="0" w:type="dxa"/>
              <w:left w:w="108" w:type="dxa"/>
              <w:bottom w:w="0" w:type="dxa"/>
              <w:right w:w="108" w:type="dxa"/>
            </w:tcMar>
            <w:vAlign w:val="bottom"/>
            <w:hideMark/>
          </w:tcPr>
          <w:p w14:paraId="61D419D5"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20EFDE7E"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2D3740A5"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3BB7CE9C"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4472C4" w:themeFill="accent1"/>
            <w:noWrap/>
            <w:tcMar>
              <w:top w:w="0" w:type="dxa"/>
              <w:left w:w="108" w:type="dxa"/>
              <w:bottom w:w="0" w:type="dxa"/>
              <w:right w:w="108" w:type="dxa"/>
            </w:tcMar>
            <w:vAlign w:val="bottom"/>
            <w:hideMark/>
          </w:tcPr>
          <w:p w14:paraId="157E1A41"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21C1F274"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ED7D31" w:themeFill="accent2"/>
            <w:noWrap/>
            <w:tcMar>
              <w:top w:w="0" w:type="dxa"/>
              <w:left w:w="108" w:type="dxa"/>
              <w:bottom w:w="0" w:type="dxa"/>
              <w:right w:w="108" w:type="dxa"/>
            </w:tcMar>
            <w:vAlign w:val="bottom"/>
            <w:hideMark/>
          </w:tcPr>
          <w:p w14:paraId="287F0084"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2B43A085" w14:textId="77777777" w:rsidR="00CA6B03" w:rsidRDefault="00CA6B03">
            <w:pPr>
              <w:rPr>
                <w:color w:val="000000"/>
                <w:sz w:val="22"/>
              </w:rPr>
            </w:pPr>
            <w:r>
              <w:rPr>
                <w:color w:val="000000"/>
                <w:sz w:val="22"/>
              </w:rPr>
              <w:t>S3</w:t>
            </w:r>
          </w:p>
        </w:tc>
      </w:tr>
      <w:tr w:rsidR="00CA6B03" w14:paraId="61FC68EA" w14:textId="77777777" w:rsidTr="00CA6B03">
        <w:trPr>
          <w:trHeight w:val="361"/>
        </w:trPr>
        <w:tc>
          <w:tcPr>
            <w:tcW w:w="1242" w:type="dxa"/>
            <w:noWrap/>
            <w:tcMar>
              <w:top w:w="0" w:type="dxa"/>
              <w:left w:w="108" w:type="dxa"/>
              <w:bottom w:w="0" w:type="dxa"/>
              <w:right w:w="108" w:type="dxa"/>
            </w:tcMar>
            <w:vAlign w:val="bottom"/>
            <w:hideMark/>
          </w:tcPr>
          <w:p w14:paraId="2B25A91F" w14:textId="77777777" w:rsidR="00CA6B03" w:rsidRDefault="00CA6B03">
            <w:pPr>
              <w:rPr>
                <w:rFonts w:ascii="Calibri" w:hAnsi="Calibri" w:cs="Calibri"/>
                <w:color w:val="000000"/>
                <w:sz w:val="22"/>
              </w:rPr>
            </w:pPr>
            <w:r>
              <w:rPr>
                <w:color w:val="000000"/>
                <w:sz w:val="22"/>
              </w:rPr>
              <w:t>Singapore</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5ED5C527"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9F96087"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7EF90271"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1DF9C5E"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6A7E8A9A"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13982897"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F59D8E2"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44E24080"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36D145A4"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ED7D31" w:themeFill="accent2"/>
            <w:noWrap/>
            <w:tcMar>
              <w:top w:w="0" w:type="dxa"/>
              <w:left w:w="108" w:type="dxa"/>
              <w:bottom w:w="0" w:type="dxa"/>
              <w:right w:w="108" w:type="dxa"/>
            </w:tcMar>
            <w:vAlign w:val="bottom"/>
            <w:hideMark/>
          </w:tcPr>
          <w:p w14:paraId="156987F0"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0C90B01F"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FCE4D6"/>
            <w:noWrap/>
            <w:tcMar>
              <w:top w:w="0" w:type="dxa"/>
              <w:left w:w="108" w:type="dxa"/>
              <w:bottom w:w="0" w:type="dxa"/>
              <w:right w:w="108" w:type="dxa"/>
            </w:tcMar>
            <w:vAlign w:val="bottom"/>
            <w:hideMark/>
          </w:tcPr>
          <w:p w14:paraId="25C15600"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050D1572" w14:textId="77777777" w:rsidR="00CA6B03" w:rsidRDefault="00CA6B03">
            <w:pPr>
              <w:rPr>
                <w:i/>
                <w:iCs/>
                <w:color w:val="000000"/>
                <w:sz w:val="22"/>
              </w:rPr>
            </w:pPr>
            <w:r>
              <w:rPr>
                <w:i/>
                <w:iCs/>
                <w:color w:val="000000"/>
                <w:sz w:val="22"/>
              </w:rPr>
              <w:t>Between S2/S3</w:t>
            </w:r>
          </w:p>
        </w:tc>
      </w:tr>
      <w:tr w:rsidR="00CA6B03" w14:paraId="1AC7BAEB" w14:textId="77777777" w:rsidTr="00CA6B03">
        <w:trPr>
          <w:trHeight w:val="158"/>
        </w:trPr>
        <w:tc>
          <w:tcPr>
            <w:tcW w:w="1242" w:type="dxa"/>
            <w:noWrap/>
            <w:tcMar>
              <w:top w:w="0" w:type="dxa"/>
              <w:left w:w="108" w:type="dxa"/>
              <w:bottom w:w="0" w:type="dxa"/>
              <w:right w:w="108" w:type="dxa"/>
            </w:tcMar>
            <w:vAlign w:val="bottom"/>
            <w:hideMark/>
          </w:tcPr>
          <w:p w14:paraId="2B51C32F" w14:textId="2BA7DA3D" w:rsidR="00CA6B03" w:rsidRDefault="00CA6B03">
            <w:pPr>
              <w:rPr>
                <w:color w:val="000000"/>
                <w:sz w:val="22"/>
              </w:rPr>
            </w:pPr>
            <w:r>
              <w:rPr>
                <w:color w:val="000000"/>
                <w:sz w:val="22"/>
              </w:rPr>
              <w:t>UK</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7AB9A44F"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EE15A6B"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66568E1D"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2196E72C"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352F4765"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71D2C14F"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bottom"/>
            <w:hideMark/>
          </w:tcPr>
          <w:p w14:paraId="3D4EE8D0"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0000" w:themeFill="text1"/>
            <w:noWrap/>
            <w:tcMar>
              <w:top w:w="0" w:type="dxa"/>
              <w:left w:w="108" w:type="dxa"/>
              <w:bottom w:w="0" w:type="dxa"/>
              <w:right w:w="108" w:type="dxa"/>
            </w:tcMar>
            <w:vAlign w:val="bottom"/>
            <w:hideMark/>
          </w:tcPr>
          <w:p w14:paraId="174649CF"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ED7D31" w:themeFill="accent2"/>
            <w:noWrap/>
            <w:tcMar>
              <w:top w:w="0" w:type="dxa"/>
              <w:left w:w="108" w:type="dxa"/>
              <w:bottom w:w="0" w:type="dxa"/>
              <w:right w:w="108" w:type="dxa"/>
            </w:tcMar>
            <w:vAlign w:val="bottom"/>
            <w:hideMark/>
          </w:tcPr>
          <w:p w14:paraId="7E8A404B"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4472C4" w:themeFill="accent1"/>
            <w:noWrap/>
            <w:tcMar>
              <w:top w:w="0" w:type="dxa"/>
              <w:left w:w="108" w:type="dxa"/>
              <w:bottom w:w="0" w:type="dxa"/>
              <w:right w:w="108" w:type="dxa"/>
            </w:tcMar>
            <w:vAlign w:val="bottom"/>
            <w:hideMark/>
          </w:tcPr>
          <w:p w14:paraId="18D182FF"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389B2CF4"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FFC000" w:themeFill="accent4"/>
            <w:noWrap/>
            <w:tcMar>
              <w:top w:w="0" w:type="dxa"/>
              <w:left w:w="108" w:type="dxa"/>
              <w:bottom w:w="0" w:type="dxa"/>
              <w:right w:w="108" w:type="dxa"/>
            </w:tcMar>
            <w:vAlign w:val="bottom"/>
            <w:hideMark/>
          </w:tcPr>
          <w:p w14:paraId="34186EF3"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28651FBE" w14:textId="77777777" w:rsidR="00CA6B03" w:rsidRDefault="00CA6B03">
            <w:pPr>
              <w:rPr>
                <w:color w:val="000000"/>
                <w:sz w:val="22"/>
              </w:rPr>
            </w:pPr>
            <w:r>
              <w:rPr>
                <w:color w:val="000000"/>
                <w:sz w:val="22"/>
              </w:rPr>
              <w:t>S2</w:t>
            </w:r>
          </w:p>
        </w:tc>
      </w:tr>
      <w:tr w:rsidR="00CA6B03" w14:paraId="55572254" w14:textId="77777777" w:rsidTr="00CA6B03">
        <w:trPr>
          <w:trHeight w:val="158"/>
        </w:trPr>
        <w:tc>
          <w:tcPr>
            <w:tcW w:w="1242" w:type="dxa"/>
            <w:noWrap/>
            <w:tcMar>
              <w:top w:w="0" w:type="dxa"/>
              <w:left w:w="108" w:type="dxa"/>
              <w:bottom w:w="0" w:type="dxa"/>
              <w:right w:w="108" w:type="dxa"/>
            </w:tcMar>
            <w:vAlign w:val="bottom"/>
            <w:hideMark/>
          </w:tcPr>
          <w:p w14:paraId="7B5A86CF" w14:textId="77777777" w:rsidR="00CA6B03" w:rsidRDefault="00CA6B03">
            <w:pPr>
              <w:rPr>
                <w:rFonts w:ascii="Calibri" w:hAnsi="Calibri" w:cs="Calibri"/>
                <w:color w:val="000000"/>
                <w:sz w:val="22"/>
              </w:rPr>
            </w:pPr>
            <w:r>
              <w:rPr>
                <w:color w:val="000000"/>
                <w:sz w:val="22"/>
              </w:rPr>
              <w:t>USA</w:t>
            </w:r>
          </w:p>
        </w:tc>
        <w:tc>
          <w:tcPr>
            <w:tcW w:w="518" w:type="dxa"/>
            <w:tcBorders>
              <w:top w:val="single" w:sz="4" w:space="0" w:color="auto"/>
              <w:left w:val="single" w:sz="8"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5AF2B14D" w14:textId="77777777" w:rsidR="00CA6B03" w:rsidRPr="00644D11" w:rsidRDefault="00CA6B03">
            <w:pPr>
              <w:rPr>
                <w:color w:val="000000"/>
                <w:sz w:val="18"/>
                <w:szCs w:val="18"/>
              </w:rPr>
            </w:pPr>
            <w:r w:rsidRPr="00644D11">
              <w:rPr>
                <w:color w:val="000000"/>
                <w:sz w:val="18"/>
                <w:szCs w:val="18"/>
              </w:rPr>
              <w:t> </w:t>
            </w:r>
          </w:p>
        </w:tc>
        <w:tc>
          <w:tcPr>
            <w:tcW w:w="518"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2B88CBCA"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39FEBEAD"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7CE5D8D2"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18BBF8A9"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7E3F3558"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59EE7BE2" w14:textId="77777777" w:rsidR="00CA6B03" w:rsidRPr="00644D11" w:rsidRDefault="00CA6B03">
            <w:pPr>
              <w:rPr>
                <w:color w:val="000000"/>
                <w:sz w:val="18"/>
                <w:szCs w:val="18"/>
              </w:rPr>
            </w:pPr>
            <w:r w:rsidRPr="00644D11">
              <w:rPr>
                <w:color w:val="000000"/>
                <w:sz w:val="18"/>
                <w:szCs w:val="18"/>
              </w:rPr>
              <w:t> </w:t>
            </w:r>
          </w:p>
        </w:tc>
        <w:tc>
          <w:tcPr>
            <w:tcW w:w="517" w:type="dxa"/>
            <w:tcBorders>
              <w:top w:val="single" w:sz="4" w:space="0" w:color="auto"/>
              <w:left w:val="single" w:sz="4" w:space="0" w:color="auto"/>
              <w:bottom w:val="single" w:sz="4" w:space="0" w:color="auto"/>
              <w:right w:val="single" w:sz="4" w:space="0" w:color="auto"/>
            </w:tcBorders>
            <w:shd w:val="clear" w:color="auto" w:fill="00B050"/>
            <w:noWrap/>
            <w:tcMar>
              <w:top w:w="0" w:type="dxa"/>
              <w:left w:w="108" w:type="dxa"/>
              <w:bottom w:w="0" w:type="dxa"/>
              <w:right w:w="108" w:type="dxa"/>
            </w:tcMar>
            <w:vAlign w:val="bottom"/>
            <w:hideMark/>
          </w:tcPr>
          <w:p w14:paraId="2D138450" w14:textId="77777777" w:rsidR="00CA6B03" w:rsidRPr="00644D11" w:rsidRDefault="00CA6B03">
            <w:pPr>
              <w:rPr>
                <w:color w:val="000000"/>
                <w:sz w:val="18"/>
                <w:szCs w:val="18"/>
              </w:rPr>
            </w:pPr>
            <w:r w:rsidRPr="00644D11">
              <w:rPr>
                <w:color w:val="000000"/>
                <w:sz w:val="18"/>
                <w:szCs w:val="18"/>
              </w:rPr>
              <w:t> </w:t>
            </w:r>
          </w:p>
        </w:tc>
        <w:tc>
          <w:tcPr>
            <w:tcW w:w="616" w:type="dxa"/>
            <w:tcBorders>
              <w:top w:val="single" w:sz="4" w:space="0" w:color="auto"/>
              <w:left w:val="single" w:sz="4" w:space="0" w:color="auto"/>
              <w:bottom w:val="single" w:sz="4" w:space="0" w:color="auto"/>
              <w:right w:val="single" w:sz="4" w:space="0" w:color="auto"/>
            </w:tcBorders>
            <w:shd w:val="clear" w:color="auto" w:fill="4472C4" w:themeFill="accent1"/>
            <w:noWrap/>
            <w:tcMar>
              <w:top w:w="0" w:type="dxa"/>
              <w:left w:w="108" w:type="dxa"/>
              <w:bottom w:w="0" w:type="dxa"/>
              <w:right w:w="108" w:type="dxa"/>
            </w:tcMar>
            <w:vAlign w:val="bottom"/>
            <w:hideMark/>
          </w:tcPr>
          <w:p w14:paraId="60C7CA86" w14:textId="77777777" w:rsidR="00CA6B03" w:rsidRDefault="00CA6B03">
            <w:pPr>
              <w:rPr>
                <w:color w:val="000000"/>
                <w:sz w:val="22"/>
              </w:rPr>
            </w:pPr>
            <w:r>
              <w:rPr>
                <w:color w:val="000000"/>
                <w:sz w:val="22"/>
              </w:rPr>
              <w:t> </w:t>
            </w:r>
          </w:p>
        </w:tc>
        <w:tc>
          <w:tcPr>
            <w:tcW w:w="630" w:type="dxa"/>
            <w:tcBorders>
              <w:top w:val="single" w:sz="4" w:space="0" w:color="auto"/>
              <w:left w:val="single" w:sz="4" w:space="0" w:color="auto"/>
              <w:bottom w:val="single" w:sz="4" w:space="0" w:color="auto"/>
            </w:tcBorders>
            <w:shd w:val="clear" w:color="auto" w:fill="4472C4" w:themeFill="accent1"/>
            <w:noWrap/>
            <w:tcMar>
              <w:top w:w="0" w:type="dxa"/>
              <w:left w:w="108" w:type="dxa"/>
              <w:bottom w:w="0" w:type="dxa"/>
              <w:right w:w="108" w:type="dxa"/>
            </w:tcMar>
            <w:vAlign w:val="bottom"/>
            <w:hideMark/>
          </w:tcPr>
          <w:p w14:paraId="6BB1723C" w14:textId="77777777" w:rsidR="00CA6B03" w:rsidRDefault="00CA6B03">
            <w:pPr>
              <w:rPr>
                <w:color w:val="000000"/>
                <w:sz w:val="22"/>
              </w:rPr>
            </w:pPr>
            <w:r>
              <w:rPr>
                <w:color w:val="000000"/>
                <w:sz w:val="22"/>
              </w:rPr>
              <w:t> </w:t>
            </w:r>
          </w:p>
        </w:tc>
        <w:tc>
          <w:tcPr>
            <w:tcW w:w="397" w:type="dxa"/>
            <w:tcBorders>
              <w:top w:val="nil"/>
              <w:left w:val="single" w:sz="8" w:space="0" w:color="auto"/>
              <w:bottom w:val="nil"/>
              <w:right w:val="nil"/>
            </w:tcBorders>
            <w:noWrap/>
            <w:tcMar>
              <w:top w:w="0" w:type="dxa"/>
              <w:left w:w="108" w:type="dxa"/>
              <w:bottom w:w="0" w:type="dxa"/>
              <w:right w:w="108" w:type="dxa"/>
            </w:tcMar>
            <w:vAlign w:val="bottom"/>
            <w:hideMark/>
          </w:tcPr>
          <w:p w14:paraId="117855CB" w14:textId="77777777" w:rsidR="00CA6B03" w:rsidRDefault="00CA6B03">
            <w:pPr>
              <w:rPr>
                <w:color w:val="000000"/>
                <w:sz w:val="22"/>
              </w:rPr>
            </w:pPr>
            <w:r>
              <w:rPr>
                <w:color w:val="000000"/>
                <w:sz w:val="22"/>
              </w:rPr>
              <w:t> </w:t>
            </w:r>
          </w:p>
        </w:tc>
        <w:tc>
          <w:tcPr>
            <w:tcW w:w="397" w:type="dxa"/>
            <w:tcBorders>
              <w:top w:val="nil"/>
              <w:left w:val="single" w:sz="8" w:space="0" w:color="auto"/>
              <w:bottom w:val="single" w:sz="8" w:space="0" w:color="auto"/>
              <w:right w:val="single" w:sz="8" w:space="0" w:color="auto"/>
            </w:tcBorders>
            <w:shd w:val="clear" w:color="auto" w:fill="00B050"/>
            <w:noWrap/>
            <w:tcMar>
              <w:top w:w="0" w:type="dxa"/>
              <w:left w:w="108" w:type="dxa"/>
              <w:bottom w:w="0" w:type="dxa"/>
              <w:right w:w="108" w:type="dxa"/>
            </w:tcMar>
            <w:vAlign w:val="bottom"/>
            <w:hideMark/>
          </w:tcPr>
          <w:p w14:paraId="50801919" w14:textId="77777777" w:rsidR="00CA6B03" w:rsidRDefault="00CA6B03">
            <w:pPr>
              <w:rPr>
                <w:color w:val="000000"/>
                <w:sz w:val="22"/>
              </w:rPr>
            </w:pPr>
            <w:r>
              <w:rPr>
                <w:color w:val="000000"/>
                <w:sz w:val="22"/>
              </w:rPr>
              <w:t> </w:t>
            </w:r>
          </w:p>
        </w:tc>
        <w:tc>
          <w:tcPr>
            <w:tcW w:w="1652" w:type="dxa"/>
            <w:noWrap/>
            <w:tcMar>
              <w:top w:w="0" w:type="dxa"/>
              <w:left w:w="108" w:type="dxa"/>
              <w:bottom w:w="0" w:type="dxa"/>
              <w:right w:w="108" w:type="dxa"/>
            </w:tcMar>
            <w:vAlign w:val="bottom"/>
            <w:hideMark/>
          </w:tcPr>
          <w:p w14:paraId="5D4FB171" w14:textId="77777777" w:rsidR="00CA6B03" w:rsidRDefault="00CA6B03">
            <w:pPr>
              <w:rPr>
                <w:color w:val="000000"/>
                <w:sz w:val="22"/>
              </w:rPr>
            </w:pPr>
            <w:r>
              <w:rPr>
                <w:color w:val="000000"/>
                <w:sz w:val="22"/>
              </w:rPr>
              <w:t>Unscheduled</w:t>
            </w:r>
          </w:p>
        </w:tc>
      </w:tr>
      <w:tr w:rsidR="00CA6B03" w14:paraId="2DA11EDB" w14:textId="77777777" w:rsidTr="00CA6B03">
        <w:trPr>
          <w:trHeight w:val="158"/>
        </w:trPr>
        <w:tc>
          <w:tcPr>
            <w:tcW w:w="1242" w:type="dxa"/>
            <w:noWrap/>
            <w:tcMar>
              <w:top w:w="0" w:type="dxa"/>
              <w:left w:w="108" w:type="dxa"/>
              <w:bottom w:w="0" w:type="dxa"/>
              <w:right w:w="108" w:type="dxa"/>
            </w:tcMar>
            <w:vAlign w:val="bottom"/>
            <w:hideMark/>
          </w:tcPr>
          <w:p w14:paraId="0ACCC809" w14:textId="023DA635" w:rsidR="00CA6B03" w:rsidRDefault="00CA6B03">
            <w:pPr>
              <w:rPr>
                <w:color w:val="000000"/>
                <w:sz w:val="22"/>
              </w:rPr>
            </w:pPr>
            <w:r>
              <w:rPr>
                <w:color w:val="000000"/>
                <w:sz w:val="22"/>
              </w:rPr>
              <w:t>Pack size</w:t>
            </w:r>
          </w:p>
        </w:tc>
        <w:tc>
          <w:tcPr>
            <w:tcW w:w="518" w:type="dxa"/>
            <w:tcBorders>
              <w:top w:val="single" w:sz="4" w:space="0" w:color="auto"/>
              <w:left w:val="single" w:sz="8" w:space="0" w:color="auto"/>
              <w:bottom w:val="single" w:sz="4" w:space="0" w:color="auto"/>
              <w:right w:val="single" w:sz="4" w:space="0" w:color="auto"/>
            </w:tcBorders>
            <w:noWrap/>
            <w:tcMar>
              <w:top w:w="0" w:type="dxa"/>
              <w:left w:w="108" w:type="dxa"/>
              <w:bottom w:w="0" w:type="dxa"/>
              <w:right w:w="108" w:type="dxa"/>
            </w:tcMar>
            <w:vAlign w:val="bottom"/>
            <w:hideMark/>
          </w:tcPr>
          <w:p w14:paraId="6D22BABD" w14:textId="77777777" w:rsidR="00CA6B03" w:rsidRPr="00644D11" w:rsidRDefault="00CA6B03">
            <w:pPr>
              <w:jc w:val="center"/>
              <w:rPr>
                <w:rFonts w:ascii="Calibri" w:hAnsi="Calibri" w:cs="Calibri"/>
                <w:b/>
                <w:color w:val="000000"/>
                <w:sz w:val="18"/>
                <w:szCs w:val="18"/>
              </w:rPr>
            </w:pPr>
            <w:r w:rsidRPr="00644D11">
              <w:rPr>
                <w:b/>
                <w:color w:val="000000"/>
                <w:sz w:val="18"/>
                <w:szCs w:val="18"/>
              </w:rPr>
              <w:t>12</w:t>
            </w:r>
          </w:p>
        </w:tc>
        <w:tc>
          <w:tcPr>
            <w:tcW w:w="518"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862CAB6" w14:textId="77777777" w:rsidR="00CA6B03" w:rsidRPr="00644D11" w:rsidRDefault="00CA6B03">
            <w:pPr>
              <w:jc w:val="center"/>
              <w:rPr>
                <w:b/>
                <w:color w:val="000000"/>
                <w:sz w:val="18"/>
                <w:szCs w:val="18"/>
              </w:rPr>
            </w:pPr>
            <w:r w:rsidRPr="00644D11">
              <w:rPr>
                <w:b/>
                <w:color w:val="000000"/>
                <w:sz w:val="18"/>
                <w:szCs w:val="18"/>
              </w:rPr>
              <w:t>16</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3107913E" w14:textId="77777777" w:rsidR="00CA6B03" w:rsidRPr="00644D11" w:rsidRDefault="00CA6B03">
            <w:pPr>
              <w:jc w:val="center"/>
              <w:rPr>
                <w:b/>
                <w:color w:val="000000"/>
                <w:sz w:val="18"/>
                <w:szCs w:val="18"/>
              </w:rPr>
            </w:pPr>
            <w:r w:rsidRPr="00644D11">
              <w:rPr>
                <w:b/>
                <w:color w:val="000000"/>
                <w:sz w:val="18"/>
                <w:szCs w:val="18"/>
              </w:rPr>
              <w:t>20</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0A5BCB4C" w14:textId="77777777" w:rsidR="00CA6B03" w:rsidRPr="00644D11" w:rsidRDefault="00CA6B03">
            <w:pPr>
              <w:jc w:val="center"/>
              <w:rPr>
                <w:b/>
                <w:color w:val="000000"/>
                <w:sz w:val="18"/>
                <w:szCs w:val="18"/>
              </w:rPr>
            </w:pPr>
            <w:r w:rsidRPr="00644D11">
              <w:rPr>
                <w:b/>
                <w:color w:val="000000"/>
                <w:sz w:val="18"/>
                <w:szCs w:val="18"/>
              </w:rPr>
              <w:t>24</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E92D8EE" w14:textId="77777777" w:rsidR="00CA6B03" w:rsidRPr="00644D11" w:rsidRDefault="00CA6B03">
            <w:pPr>
              <w:jc w:val="center"/>
              <w:rPr>
                <w:b/>
                <w:color w:val="000000"/>
                <w:sz w:val="18"/>
                <w:szCs w:val="18"/>
              </w:rPr>
            </w:pPr>
            <w:r w:rsidRPr="00644D11">
              <w:rPr>
                <w:b/>
                <w:color w:val="000000"/>
                <w:sz w:val="18"/>
                <w:szCs w:val="18"/>
              </w:rPr>
              <w:t>48</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629916BF" w14:textId="77777777" w:rsidR="00CA6B03" w:rsidRPr="00644D11" w:rsidRDefault="00CA6B03">
            <w:pPr>
              <w:jc w:val="center"/>
              <w:rPr>
                <w:b/>
                <w:color w:val="000000"/>
                <w:sz w:val="18"/>
                <w:szCs w:val="18"/>
              </w:rPr>
            </w:pPr>
            <w:r w:rsidRPr="00644D11">
              <w:rPr>
                <w:b/>
                <w:color w:val="000000"/>
                <w:sz w:val="18"/>
                <w:szCs w:val="18"/>
              </w:rPr>
              <w:t>100</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60A99FF" w14:textId="77777777" w:rsidR="00CA6B03" w:rsidRPr="00644D11" w:rsidRDefault="00CA6B03">
            <w:pPr>
              <w:jc w:val="center"/>
              <w:rPr>
                <w:b/>
                <w:color w:val="000000"/>
                <w:sz w:val="18"/>
                <w:szCs w:val="18"/>
              </w:rPr>
            </w:pPr>
            <w:r w:rsidRPr="00644D11">
              <w:rPr>
                <w:b/>
                <w:color w:val="000000"/>
                <w:sz w:val="18"/>
                <w:szCs w:val="18"/>
              </w:rPr>
              <w:t>MR 50</w:t>
            </w:r>
          </w:p>
        </w:tc>
        <w:tc>
          <w:tcPr>
            <w:tcW w:w="517"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7FC281BB" w14:textId="77777777" w:rsidR="00CA6B03" w:rsidRPr="00644D11" w:rsidRDefault="00CA6B03">
            <w:pPr>
              <w:jc w:val="center"/>
              <w:rPr>
                <w:b/>
                <w:color w:val="000000"/>
                <w:sz w:val="18"/>
                <w:szCs w:val="18"/>
              </w:rPr>
            </w:pPr>
            <w:r w:rsidRPr="00644D11">
              <w:rPr>
                <w:b/>
                <w:color w:val="000000"/>
                <w:sz w:val="18"/>
                <w:szCs w:val="18"/>
              </w:rPr>
              <w:t>MR 96</w:t>
            </w:r>
          </w:p>
        </w:tc>
        <w:tc>
          <w:tcPr>
            <w:tcW w:w="1246" w:type="dxa"/>
            <w:gridSpan w:val="2"/>
            <w:tcBorders>
              <w:top w:val="single" w:sz="4" w:space="0" w:color="auto"/>
              <w:left w:val="single" w:sz="4" w:space="0" w:color="auto"/>
              <w:bottom w:val="single" w:sz="4" w:space="0" w:color="auto"/>
              <w:right w:val="single" w:sz="8" w:space="0" w:color="000000" w:themeColor="text1"/>
            </w:tcBorders>
            <w:noWrap/>
            <w:tcMar>
              <w:top w:w="0" w:type="dxa"/>
              <w:left w:w="108" w:type="dxa"/>
              <w:bottom w:w="0" w:type="dxa"/>
              <w:right w:w="108" w:type="dxa"/>
            </w:tcMar>
            <w:vAlign w:val="bottom"/>
            <w:hideMark/>
          </w:tcPr>
          <w:p w14:paraId="63F7E8AE" w14:textId="77777777" w:rsidR="00CA6B03" w:rsidRDefault="00CA6B03">
            <w:pPr>
              <w:jc w:val="center"/>
              <w:rPr>
                <w:b/>
                <w:bCs/>
                <w:color w:val="000000"/>
                <w:sz w:val="22"/>
              </w:rPr>
            </w:pPr>
            <w:r>
              <w:rPr>
                <w:b/>
                <w:bCs/>
                <w:color w:val="000000"/>
                <w:sz w:val="22"/>
              </w:rPr>
              <w:t>Codeine*</w:t>
            </w:r>
          </w:p>
        </w:tc>
        <w:tc>
          <w:tcPr>
            <w:tcW w:w="397" w:type="dxa"/>
            <w:noWrap/>
            <w:tcMar>
              <w:top w:w="0" w:type="dxa"/>
              <w:left w:w="108" w:type="dxa"/>
              <w:bottom w:w="0" w:type="dxa"/>
              <w:right w:w="108" w:type="dxa"/>
            </w:tcMar>
            <w:vAlign w:val="bottom"/>
            <w:hideMark/>
          </w:tcPr>
          <w:p w14:paraId="38A63DE4" w14:textId="77777777" w:rsidR="00CA6B03" w:rsidRDefault="00CA6B03">
            <w:pPr>
              <w:rPr>
                <w:color w:val="000000"/>
                <w:sz w:val="22"/>
              </w:rPr>
            </w:pPr>
            <w:r>
              <w:rPr>
                <w:color w:val="000000"/>
                <w:sz w:val="22"/>
              </w:rPr>
              <w:t> </w:t>
            </w:r>
          </w:p>
        </w:tc>
        <w:tc>
          <w:tcPr>
            <w:tcW w:w="397" w:type="dxa"/>
            <w:noWrap/>
            <w:tcMar>
              <w:top w:w="0" w:type="dxa"/>
              <w:left w:w="108" w:type="dxa"/>
              <w:bottom w:w="0" w:type="dxa"/>
              <w:right w:w="108" w:type="dxa"/>
            </w:tcMar>
            <w:vAlign w:val="bottom"/>
            <w:hideMark/>
          </w:tcPr>
          <w:p w14:paraId="5CA13622" w14:textId="77777777" w:rsidR="00CA6B03" w:rsidRDefault="00CA6B03">
            <w:pPr>
              <w:rPr>
                <w:color w:val="000000"/>
                <w:sz w:val="22"/>
              </w:rPr>
            </w:pPr>
          </w:p>
        </w:tc>
        <w:tc>
          <w:tcPr>
            <w:tcW w:w="1652" w:type="dxa"/>
            <w:noWrap/>
            <w:tcMar>
              <w:top w:w="0" w:type="dxa"/>
              <w:left w:w="108" w:type="dxa"/>
              <w:bottom w:w="0" w:type="dxa"/>
              <w:right w:w="108" w:type="dxa"/>
            </w:tcMar>
            <w:vAlign w:val="bottom"/>
            <w:hideMark/>
          </w:tcPr>
          <w:p w14:paraId="2FA69C2E" w14:textId="77777777" w:rsidR="00CA6B03" w:rsidRDefault="00CA6B03">
            <w:pPr>
              <w:rPr>
                <w:rFonts w:eastAsia="Times New Roman" w:cs="Times New Roman"/>
              </w:rPr>
            </w:pPr>
          </w:p>
        </w:tc>
      </w:tr>
    </w:tbl>
    <w:p w14:paraId="063CC3B2" w14:textId="7F1504C4" w:rsidR="00C20C49" w:rsidRDefault="00C20C49" w:rsidP="00A2222E">
      <w:pPr>
        <w:pStyle w:val="FigureCaption"/>
        <w:spacing w:before="120"/>
      </w:pPr>
      <w:bookmarkStart w:id="129" w:name="_Ref112078555"/>
      <w:bookmarkStart w:id="130" w:name="_Toc114560000"/>
      <w:r w:rsidRPr="0091560A">
        <w:t xml:space="preserve">Figure </w:t>
      </w:r>
      <w:r>
        <w:fldChar w:fldCharType="begin"/>
      </w:r>
      <w:r>
        <w:instrText>SEQ Figure \* ARABIC</w:instrText>
      </w:r>
      <w:r>
        <w:fldChar w:fldCharType="separate"/>
      </w:r>
      <w:r w:rsidR="0091734E">
        <w:rPr>
          <w:noProof/>
        </w:rPr>
        <w:t>39</w:t>
      </w:r>
      <w:r>
        <w:fldChar w:fldCharType="end"/>
      </w:r>
      <w:bookmarkEnd w:id="129"/>
      <w:r w:rsidRPr="0091560A">
        <w:rPr>
          <w:noProof/>
        </w:rPr>
        <w:t xml:space="preserve">. </w:t>
      </w:r>
      <w:r w:rsidRPr="0091560A">
        <w:t>Scheduling status of paracetamol in selected other OECD countries</w:t>
      </w:r>
      <w:bookmarkEnd w:id="130"/>
      <w:r>
        <w:t xml:space="preserve"> </w:t>
      </w:r>
    </w:p>
    <w:p w14:paraId="210F3EE8" w14:textId="23FED776" w:rsidR="00425888" w:rsidRPr="00425888" w:rsidRDefault="00B564A8">
      <w:pPr>
        <w:pStyle w:val="Figurenote"/>
      </w:pPr>
      <w:r>
        <w:t>*Scheduling dependent on the strength of codeine</w:t>
      </w:r>
      <w:r w:rsidR="00416D30">
        <w:t>.</w:t>
      </w:r>
    </w:p>
    <w:p w14:paraId="68E90750" w14:textId="2FF38C18" w:rsidR="00A85B9E" w:rsidRDefault="006B19B4" w:rsidP="00186613">
      <w:pPr>
        <w:pStyle w:val="Heading2"/>
      </w:pPr>
      <w:bookmarkStart w:id="131" w:name="_Toc112843928"/>
      <w:r>
        <w:t>Limitations</w:t>
      </w:r>
      <w:bookmarkEnd w:id="131"/>
    </w:p>
    <w:p w14:paraId="2D5246D7" w14:textId="12746925" w:rsidR="006B19B4" w:rsidRPr="006B19B4" w:rsidRDefault="006B19B4" w:rsidP="006B19B4">
      <w:r>
        <w:t xml:space="preserve">There are limitations </w:t>
      </w:r>
      <w:r w:rsidR="00F1217D">
        <w:t>when trying to assign equivalent Australian schedules against the scheduling categories in some overseas jurisdictions. Notably</w:t>
      </w:r>
      <w:r w:rsidR="008C76EB">
        <w:t xml:space="preserve">, most overseas jurisdictions do not have an equivalent Schedule 2 and Schedule 3 categorisation, moreover their </w:t>
      </w:r>
      <w:r w:rsidR="00CC0CBD">
        <w:t>‘</w:t>
      </w:r>
      <w:r w:rsidR="008C76EB">
        <w:t>equivalent’</w:t>
      </w:r>
      <w:r w:rsidR="00CC0CBD">
        <w:t xml:space="preserve"> category sits somewhere between Schedule 2 and Schedule 3. In addition, some countries do not have pack size limits (or </w:t>
      </w:r>
      <w:r w:rsidR="006969A2">
        <w:t xml:space="preserve">these </w:t>
      </w:r>
      <w:r w:rsidR="00CC0CBD">
        <w:t xml:space="preserve">could not be determined) resulting in greater difficulty in assigning </w:t>
      </w:r>
      <w:r w:rsidR="00A71849">
        <w:t xml:space="preserve">equivalent status. </w:t>
      </w:r>
      <w:r w:rsidR="008C76EB">
        <w:t xml:space="preserve"> </w:t>
      </w:r>
    </w:p>
    <w:p w14:paraId="3C9C4E83" w14:textId="7BAF7FD6" w:rsidR="00FB1117" w:rsidRDefault="40215267" w:rsidP="00C57833">
      <w:pPr>
        <w:rPr>
          <w:rFonts w:cs="Times New Roman"/>
        </w:rPr>
      </w:pPr>
      <w:r>
        <w:rPr>
          <w:rFonts w:cs="Times New Roman"/>
        </w:rPr>
        <w:t>In terms of other OECD countries, t</w:t>
      </w:r>
      <w:r w:rsidR="0EF7FFD5">
        <w:rPr>
          <w:rFonts w:cs="Times New Roman"/>
        </w:rPr>
        <w:t xml:space="preserve">he majority of European countries </w:t>
      </w:r>
      <w:r w:rsidR="2E502149">
        <w:rPr>
          <w:rFonts w:cs="Times New Roman"/>
        </w:rPr>
        <w:t xml:space="preserve">(including France, Germany and Italy) </w:t>
      </w:r>
      <w:r w:rsidR="5A6F898B">
        <w:rPr>
          <w:rFonts w:cs="Times New Roman"/>
        </w:rPr>
        <w:t>do not allow any sales outside of pharmacies</w:t>
      </w:r>
      <w:r w:rsidR="4B9E0097">
        <w:rPr>
          <w:rFonts w:cs="Times New Roman"/>
        </w:rPr>
        <w:t xml:space="preserve"> </w:t>
      </w:r>
      <w:r w:rsidR="00DE5798">
        <w:rPr>
          <w:rFonts w:cs="Times New Roman"/>
        </w:rPr>
        <w:fldChar w:fldCharType="begin"/>
      </w:r>
      <w:r w:rsidR="00DE5798">
        <w:rPr>
          <w:rFonts w:cs="Times New Roman"/>
        </w:rPr>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00DE5798">
        <w:rPr>
          <w:rFonts w:cs="Times New Roman"/>
        </w:rPr>
        <w:fldChar w:fldCharType="separate"/>
      </w:r>
      <w:r>
        <w:rPr>
          <w:rFonts w:cs="Times New Roman"/>
          <w:noProof/>
        </w:rPr>
        <w:t>(Morthorst et al., 2020)</w:t>
      </w:r>
      <w:r w:rsidR="00DE5798">
        <w:rPr>
          <w:rFonts w:cs="Times New Roman"/>
        </w:rPr>
        <w:fldChar w:fldCharType="end"/>
      </w:r>
      <w:r w:rsidR="4B9E0097">
        <w:rPr>
          <w:rFonts w:cs="Times New Roman"/>
        </w:rPr>
        <w:t>.</w:t>
      </w:r>
      <w:r w:rsidR="0D8CCA51">
        <w:rPr>
          <w:rFonts w:cs="Times New Roman"/>
        </w:rPr>
        <w:t xml:space="preserve"> Most also have </w:t>
      </w:r>
      <w:r w:rsidR="3AE5BC26">
        <w:rPr>
          <w:rFonts w:cs="Times New Roman"/>
        </w:rPr>
        <w:t xml:space="preserve">lower limits on pharmacy </w:t>
      </w:r>
      <w:r w:rsidR="5B136287">
        <w:rPr>
          <w:rFonts w:cs="Times New Roman"/>
        </w:rPr>
        <w:t xml:space="preserve">pack sizes (e.g. </w:t>
      </w:r>
      <w:r w:rsidR="7C6CFDC5">
        <w:rPr>
          <w:rFonts w:cs="Times New Roman"/>
        </w:rPr>
        <w:t>France 8</w:t>
      </w:r>
      <w:r w:rsidR="6B887BD4">
        <w:rPr>
          <w:rFonts w:cs="Times New Roman"/>
        </w:rPr>
        <w:t xml:space="preserve"> </w:t>
      </w:r>
      <w:r w:rsidR="7C6CFDC5">
        <w:rPr>
          <w:rFonts w:cs="Times New Roman"/>
        </w:rPr>
        <w:t xml:space="preserve">g, </w:t>
      </w:r>
      <w:r w:rsidR="6B887BD4">
        <w:rPr>
          <w:rFonts w:cs="Times New Roman"/>
        </w:rPr>
        <w:t>Germany 10 g, Italy</w:t>
      </w:r>
      <w:r w:rsidR="7C6CFDC5">
        <w:rPr>
          <w:rFonts w:cs="Times New Roman"/>
        </w:rPr>
        <w:t xml:space="preserve"> </w:t>
      </w:r>
      <w:r w:rsidR="6B887BD4">
        <w:rPr>
          <w:rFonts w:cs="Times New Roman"/>
        </w:rPr>
        <w:t>15 g)</w:t>
      </w:r>
      <w:r w:rsidR="4B9E0097">
        <w:rPr>
          <w:rFonts w:cs="Times New Roman"/>
        </w:rPr>
        <w:t xml:space="preserve"> </w:t>
      </w:r>
      <w:r w:rsidR="005B4CD9">
        <w:rPr>
          <w:rFonts w:cs="Times New Roman"/>
        </w:rPr>
        <w:fldChar w:fldCharType="begin"/>
      </w:r>
      <w:r w:rsidR="005B4CD9">
        <w:rPr>
          <w:rFonts w:cs="Times New Roman"/>
        </w:rPr>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005B4CD9">
        <w:rPr>
          <w:rFonts w:cs="Times New Roman"/>
        </w:rPr>
        <w:fldChar w:fldCharType="separate"/>
      </w:r>
      <w:r w:rsidR="6B887BD4">
        <w:rPr>
          <w:rFonts w:cs="Times New Roman"/>
          <w:noProof/>
        </w:rPr>
        <w:t>(Morthorst et al., 2020)</w:t>
      </w:r>
      <w:r w:rsidR="005B4CD9">
        <w:rPr>
          <w:rFonts w:cs="Times New Roman"/>
        </w:rPr>
        <w:fldChar w:fldCharType="end"/>
      </w:r>
      <w:r w:rsidR="3E93ED27">
        <w:rPr>
          <w:rFonts w:cs="Times New Roman"/>
        </w:rPr>
        <w:t>.</w:t>
      </w:r>
      <w:r w:rsidR="3AE5BC26">
        <w:rPr>
          <w:rFonts w:cs="Times New Roman"/>
        </w:rPr>
        <w:t xml:space="preserve"> </w:t>
      </w:r>
      <w:r w:rsidR="6D8DB370">
        <w:rPr>
          <w:rFonts w:cs="Times New Roman"/>
        </w:rPr>
        <w:t>MR paracetamol is also not available in most European countries</w:t>
      </w:r>
      <w:r w:rsidR="315704F0">
        <w:rPr>
          <w:rFonts w:cs="Times New Roman"/>
        </w:rPr>
        <w:t xml:space="preserve"> now</w:t>
      </w:r>
      <w:r w:rsidR="3E93ED27">
        <w:rPr>
          <w:rFonts w:cs="Times New Roman"/>
        </w:rPr>
        <w:t xml:space="preserve"> </w:t>
      </w:r>
      <w:r w:rsidR="006E5168">
        <w:rPr>
          <w:rFonts w:cs="Times New Roman"/>
        </w:rPr>
        <w:fldChar w:fldCharType="begin">
          <w:fldData xml:space="preserve">PEVuZE5vdGU+PENpdGU+PEF1dGhvcj5DaGlldzwvQXV0aG9yPjxZZWFyPjIwMTg8L1llYXI+PFJl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</w:fldData>
        </w:fldChar>
      </w:r>
      <w:r w:rsidR="006E08D8">
        <w:rPr>
          <w:rFonts w:cs="Times New Roman"/>
        </w:rPr>
        <w:instrText xml:space="preserve"> ADDIN EN.CITE </w:instrText>
      </w:r>
      <w:r w:rsidR="006E08D8">
        <w:rPr>
          <w:rFonts w:cs="Times New Roman"/>
        </w:rPr>
        <w:fldChar w:fldCharType="begin">
          <w:fldData xml:space="preserve">PEVuZE5vdGU+PENpdGU+PEF1dGhvcj5DaGlldzwvQXV0aG9yPjxZZWFyPjIwMTg8L1llYXI+PFJl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</w:fldData>
        </w:fldChar>
      </w:r>
      <w:r w:rsidR="006E08D8">
        <w:rPr>
          <w:rFonts w:cs="Times New Roman"/>
        </w:rPr>
        <w:instrText xml:space="preserve"> ADDIN EN.CITE.DATA </w:instrText>
      </w:r>
      <w:r w:rsidR="006E08D8">
        <w:rPr>
          <w:rFonts w:cs="Times New Roman"/>
        </w:rPr>
      </w:r>
      <w:r w:rsidR="006E08D8">
        <w:rPr>
          <w:rFonts w:cs="Times New Roman"/>
        </w:rPr>
        <w:fldChar w:fldCharType="end"/>
      </w:r>
      <w:r w:rsidR="006E5168">
        <w:rPr>
          <w:rFonts w:cs="Times New Roman"/>
        </w:rPr>
      </w:r>
      <w:r w:rsidR="006E5168">
        <w:rPr>
          <w:rFonts w:cs="Times New Roman"/>
        </w:rPr>
        <w:fldChar w:fldCharType="separate"/>
      </w:r>
      <w:r w:rsidR="4A65A9F8">
        <w:rPr>
          <w:rFonts w:cs="Times New Roman"/>
          <w:noProof/>
        </w:rPr>
        <w:t>(Chiew, Isbister, et al., 2018)</w:t>
      </w:r>
      <w:r w:rsidR="006E5168">
        <w:rPr>
          <w:rFonts w:cs="Times New Roman"/>
        </w:rPr>
        <w:fldChar w:fldCharType="end"/>
      </w:r>
      <w:r w:rsidR="3E93ED27">
        <w:rPr>
          <w:rFonts w:cs="Times New Roman"/>
        </w:rPr>
        <w:t>.</w:t>
      </w:r>
      <w:r w:rsidR="554FB8DA">
        <w:rPr>
          <w:rFonts w:cs="Times New Roman"/>
        </w:rPr>
        <w:t xml:space="preserve"> </w:t>
      </w:r>
    </w:p>
    <w:p w14:paraId="70DE1DF0" w14:textId="6C3F6B3A" w:rsidR="007361CC" w:rsidRDefault="007361CC">
      <w:r>
        <w:t xml:space="preserve">Many countries are reporting </w:t>
      </w:r>
      <w:r w:rsidR="00B26581">
        <w:t>similar</w:t>
      </w:r>
      <w:r>
        <w:t xml:space="preserve"> </w:t>
      </w:r>
      <w:r w:rsidR="00B26581">
        <w:t xml:space="preserve">recent </w:t>
      </w:r>
      <w:r>
        <w:t>rise</w:t>
      </w:r>
      <w:r w:rsidR="00B26581">
        <w:t>s</w:t>
      </w:r>
      <w:r>
        <w:t xml:space="preserve"> in </w:t>
      </w:r>
      <w:r w:rsidR="00A14971">
        <w:t>child/</w:t>
      </w:r>
      <w:r>
        <w:t>adolescent</w:t>
      </w:r>
      <w:r w:rsidR="00A14971">
        <w:t xml:space="preserve"> female </w:t>
      </w:r>
      <w:r>
        <w:t>poisonings</w:t>
      </w:r>
      <w:r w:rsidR="00B26581">
        <w:t xml:space="preserve"> that we are observing in Australia,</w:t>
      </w:r>
      <w:r w:rsidR="00A14971">
        <w:t xml:space="preserve"> and often highlighting paracetamol as the most common agent ingested</w:t>
      </w:r>
      <w:r w:rsidR="009F622B">
        <w:t xml:space="preserve"> </w:t>
      </w:r>
      <w:r w:rsidR="006E5557">
        <w:fldChar w:fldCharType="begin">
          <w:fldData xml:space="preserve">PEVuZE5vdGU+PENpdGU+PEF1dGhvcj5Gcmlkcmlrc2RvdHRpciBUaDwvQXV0aG9yPjxZZWFyPjIw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</w:fldData>
        </w:fldChar>
      </w:r>
      <w:r w:rsidR="006E08D8">
        <w:instrText xml:space="preserve"> ADDIN EN.CITE </w:instrText>
      </w:r>
      <w:r w:rsidR="006E08D8">
        <w:fldChar w:fldCharType="begin">
          <w:fldData xml:space="preserve">PEVuZE5vdGU+PENpdGU+PEF1dGhvcj5Gcmlkcmlrc2RvdHRpciBUaDwvQXV0aG9yPjxZZWFyPjIw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</w:fldData>
        </w:fldChar>
      </w:r>
      <w:r w:rsidR="006E08D8">
        <w:instrText xml:space="preserve"> ADDIN EN.CITE.DATA </w:instrText>
      </w:r>
      <w:r w:rsidR="006E08D8">
        <w:fldChar w:fldCharType="end"/>
      </w:r>
      <w:r w:rsidR="006E5557">
        <w:fldChar w:fldCharType="separate"/>
      </w:r>
      <w:r w:rsidR="0017317E">
        <w:rPr>
          <w:noProof/>
        </w:rPr>
        <w:t>(Fridriksdottir Th, Jonsdottir, Snook, Lindal, &amp; Bjornsson, 2021; Hopkins et al., 2020; McNicholas et al., 2019; Midtervoll, Allen, Eriksen, Bakken, &amp; Skjerdal, 2020; Tyrrell, Kendrick, Sayal, &amp; Orton, 2018)</w:t>
      </w:r>
      <w:r w:rsidR="006E5557">
        <w:fldChar w:fldCharType="end"/>
      </w:r>
      <w:r w:rsidR="009F622B">
        <w:t>.</w:t>
      </w:r>
      <w:r>
        <w:t xml:space="preserve"> </w:t>
      </w:r>
    </w:p>
    <w:p w14:paraId="64401D47" w14:textId="62C3E3BF" w:rsidR="00CB7D4D" w:rsidRPr="00CB7D4D" w:rsidRDefault="33528787" w:rsidP="00CB7D4D">
      <w:r w:rsidRPr="11F138D4">
        <w:rPr>
          <w:rFonts w:eastAsia="Calibri" w:cs="Times New Roman"/>
        </w:rPr>
        <w:t>However, f</w:t>
      </w:r>
      <w:r w:rsidR="21F7FFEC" w:rsidRPr="11F138D4">
        <w:rPr>
          <w:rFonts w:cs="Times New Roman"/>
        </w:rPr>
        <w:t xml:space="preserve">ew countries have </w:t>
      </w:r>
      <w:r w:rsidR="483CCBA8" w:rsidRPr="11F138D4">
        <w:rPr>
          <w:rFonts w:cs="Times New Roman"/>
        </w:rPr>
        <w:t xml:space="preserve">published </w:t>
      </w:r>
      <w:r w:rsidR="21F7FFEC" w:rsidRPr="11F138D4">
        <w:rPr>
          <w:rFonts w:cs="Times New Roman"/>
        </w:rPr>
        <w:t xml:space="preserve">comprehensive data to judge </w:t>
      </w:r>
      <w:r w:rsidR="483CCBA8" w:rsidRPr="11F138D4">
        <w:rPr>
          <w:rFonts w:cs="Times New Roman"/>
        </w:rPr>
        <w:t xml:space="preserve">whether the availability impacts on </w:t>
      </w:r>
      <w:r w:rsidRPr="11F138D4">
        <w:rPr>
          <w:rFonts w:cs="Times New Roman"/>
        </w:rPr>
        <w:t xml:space="preserve">the </w:t>
      </w:r>
      <w:r w:rsidR="483CCBA8" w:rsidRPr="11F138D4">
        <w:rPr>
          <w:rFonts w:cs="Times New Roman"/>
        </w:rPr>
        <w:t>severity</w:t>
      </w:r>
      <w:r w:rsidRPr="11F138D4">
        <w:rPr>
          <w:rFonts w:cs="Times New Roman"/>
        </w:rPr>
        <w:t xml:space="preserve"> of poisoning.</w:t>
      </w:r>
      <w:r w:rsidR="5058B781" w:rsidRPr="11F138D4">
        <w:rPr>
          <w:rFonts w:cs="Times New Roman"/>
        </w:rPr>
        <w:t xml:space="preserve"> Some studies have focussed on changes in severity with the changes in packaging and are discussed in the next section under evidence for changes with packaging.</w:t>
      </w:r>
      <w:r w:rsidR="6BCF6F3C" w:rsidRPr="11F138D4">
        <w:rPr>
          <w:rFonts w:cs="Times New Roman"/>
        </w:rPr>
        <w:t xml:space="preserve"> In the next few paragraphs </w:t>
      </w:r>
      <w:r w:rsidR="35968B37" w:rsidRPr="11F138D4">
        <w:rPr>
          <w:rFonts w:cs="Times New Roman"/>
        </w:rPr>
        <w:t xml:space="preserve">are the limited </w:t>
      </w:r>
      <w:r w:rsidR="789C9FF0" w:rsidRPr="11F138D4">
        <w:rPr>
          <w:rFonts w:cs="Times New Roman"/>
        </w:rPr>
        <w:t xml:space="preserve">contemporary data on </w:t>
      </w:r>
      <w:r w:rsidR="35968B37" w:rsidRPr="11F138D4">
        <w:rPr>
          <w:rFonts w:cs="Times New Roman"/>
        </w:rPr>
        <w:t xml:space="preserve">clinical </w:t>
      </w:r>
      <w:r w:rsidR="789C9FF0" w:rsidRPr="11F138D4">
        <w:rPr>
          <w:rFonts w:cs="Times New Roman"/>
        </w:rPr>
        <w:t>effects</w:t>
      </w:r>
      <w:r w:rsidR="467C432B" w:rsidRPr="11F138D4">
        <w:rPr>
          <w:rFonts w:cs="Times New Roman"/>
        </w:rPr>
        <w:t xml:space="preserve"> from paracetamol poisoning</w:t>
      </w:r>
      <w:r w:rsidR="789C9FF0" w:rsidRPr="11F138D4">
        <w:rPr>
          <w:rFonts w:cs="Times New Roman"/>
        </w:rPr>
        <w:t>.</w:t>
      </w:r>
      <w:r w:rsidR="0BCD0C51" w:rsidRPr="11F138D4">
        <w:rPr>
          <w:rFonts w:cs="Times New Roman"/>
        </w:rPr>
        <w:t xml:space="preserve"> Identification of these involved review of the references retrieved in the systematic search outlined in </w:t>
      </w:r>
      <w:r w:rsidR="573F0090" w:rsidRPr="11F138D4">
        <w:rPr>
          <w:rFonts w:cs="Times New Roman"/>
        </w:rPr>
        <w:t xml:space="preserve">the section below, </w:t>
      </w:r>
      <w:r w:rsidR="74B570D5" w:rsidRPr="11F138D4">
        <w:rPr>
          <w:rFonts w:cs="Times New Roman"/>
        </w:rPr>
        <w:t>with further references from the</w:t>
      </w:r>
      <w:r w:rsidR="4779C62D" w:rsidRPr="11F138D4">
        <w:rPr>
          <w:rFonts w:cs="Times New Roman"/>
        </w:rPr>
        <w:t xml:space="preserve"> expert reviewer’s </w:t>
      </w:r>
      <w:r w:rsidR="74B570D5" w:rsidRPr="11F138D4">
        <w:rPr>
          <w:rFonts w:cs="Times New Roman"/>
        </w:rPr>
        <w:t>knowledge of those publishing clinical data.</w:t>
      </w:r>
      <w:r w:rsidR="7FE32497" w:rsidRPr="11F138D4">
        <w:rPr>
          <w:rFonts w:cs="Times New Roman"/>
        </w:rPr>
        <w:t xml:space="preserve"> This has been </w:t>
      </w:r>
      <w:r w:rsidR="684A74D6" w:rsidRPr="11F138D4">
        <w:rPr>
          <w:rFonts w:cs="Times New Roman"/>
        </w:rPr>
        <w:t xml:space="preserve">focussed on </w:t>
      </w:r>
      <w:r w:rsidR="53ACADA6" w:rsidRPr="11F138D4">
        <w:rPr>
          <w:rFonts w:cs="Times New Roman"/>
        </w:rPr>
        <w:t xml:space="preserve">the most </w:t>
      </w:r>
      <w:r w:rsidR="684A74D6" w:rsidRPr="11F138D4">
        <w:rPr>
          <w:rFonts w:cs="Times New Roman"/>
        </w:rPr>
        <w:t xml:space="preserve">recent </w:t>
      </w:r>
      <w:r w:rsidR="53ACADA6" w:rsidRPr="11F138D4">
        <w:rPr>
          <w:rFonts w:cs="Times New Roman"/>
        </w:rPr>
        <w:t>report</w:t>
      </w:r>
      <w:r w:rsidR="684A74D6" w:rsidRPr="11F138D4">
        <w:rPr>
          <w:rFonts w:cs="Times New Roman"/>
        </w:rPr>
        <w:t>s</w:t>
      </w:r>
      <w:r w:rsidR="53ACADA6" w:rsidRPr="11F138D4">
        <w:rPr>
          <w:rFonts w:cs="Times New Roman"/>
        </w:rPr>
        <w:t xml:space="preserve"> from any datasets, and in any case</w:t>
      </w:r>
      <w:r w:rsidR="74B570D5" w:rsidRPr="11F138D4">
        <w:rPr>
          <w:rFonts w:cs="Times New Roman"/>
        </w:rPr>
        <w:t>,</w:t>
      </w:r>
      <w:r w:rsidR="53ACADA6" w:rsidRPr="11F138D4">
        <w:rPr>
          <w:rFonts w:cs="Times New Roman"/>
        </w:rPr>
        <w:t xml:space="preserve"> </w:t>
      </w:r>
      <w:r w:rsidR="7FE32497" w:rsidRPr="11F138D4">
        <w:rPr>
          <w:rFonts w:cs="Times New Roman"/>
        </w:rPr>
        <w:t xml:space="preserve">restricted to </w:t>
      </w:r>
      <w:r w:rsidR="684A74D6" w:rsidRPr="11F138D4">
        <w:rPr>
          <w:rFonts w:cs="Times New Roman"/>
        </w:rPr>
        <w:t xml:space="preserve">papers published since 2011, as earlier publications </w:t>
      </w:r>
      <w:r w:rsidR="53ACADA6" w:rsidRPr="11F138D4">
        <w:rPr>
          <w:rFonts w:cs="Times New Roman"/>
        </w:rPr>
        <w:t>may be</w:t>
      </w:r>
      <w:r w:rsidR="684A74D6" w:rsidRPr="11F138D4">
        <w:rPr>
          <w:rFonts w:cs="Times New Roman"/>
        </w:rPr>
        <w:t xml:space="preserve"> reporting </w:t>
      </w:r>
      <w:r w:rsidR="6CF825DC" w:rsidRPr="11F138D4">
        <w:rPr>
          <w:rFonts w:cs="Times New Roman"/>
        </w:rPr>
        <w:t>outcomes based on very different scheduling to those summarised above.</w:t>
      </w:r>
    </w:p>
    <w:p w14:paraId="7CA3461E" w14:textId="63C76010" w:rsidR="00AF42B7" w:rsidRDefault="00AF42B7">
      <w:pPr>
        <w:pStyle w:val="Heading2"/>
        <w:rPr>
          <w:lang w:val="en-US"/>
        </w:rPr>
      </w:pPr>
      <w:bookmarkStart w:id="132" w:name="_Toc112843929"/>
      <w:r>
        <w:rPr>
          <w:lang w:val="en-US"/>
        </w:rPr>
        <w:t>The USA</w:t>
      </w:r>
      <w:bookmarkEnd w:id="132"/>
      <w:r>
        <w:rPr>
          <w:lang w:val="en-US"/>
        </w:rPr>
        <w:t xml:space="preserve"> </w:t>
      </w:r>
    </w:p>
    <w:p w14:paraId="66488FEB" w14:textId="6B1D6556" w:rsidR="00AF4C6B" w:rsidRDefault="00BD6B02" w:rsidP="00AF42B7">
      <w:pPr>
        <w:rPr>
          <w:lang w:val="en-US"/>
        </w:rPr>
      </w:pPr>
      <w:r>
        <w:rPr>
          <w:lang w:val="en-US"/>
        </w:rPr>
        <w:t xml:space="preserve">The USA appears to have few or no restrictions on pack sizes of standard paracetamol products. </w:t>
      </w:r>
      <w:r w:rsidR="00C23CD9">
        <w:rPr>
          <w:lang w:val="en-US"/>
        </w:rPr>
        <w:t xml:space="preserve">They have had </w:t>
      </w:r>
      <w:r w:rsidR="00110B2E">
        <w:rPr>
          <w:lang w:val="en-US"/>
        </w:rPr>
        <w:t>a near doubling in OTC analgesic poisoning</w:t>
      </w:r>
      <w:r w:rsidR="0053315B">
        <w:rPr>
          <w:lang w:val="en-US"/>
        </w:rPr>
        <w:t xml:space="preserve"> in </w:t>
      </w:r>
      <w:r w:rsidR="00E31FBB">
        <w:rPr>
          <w:lang w:val="en-US"/>
        </w:rPr>
        <w:t>child/</w:t>
      </w:r>
      <w:r w:rsidR="0053315B">
        <w:rPr>
          <w:lang w:val="en-US"/>
        </w:rPr>
        <w:t xml:space="preserve">adolescent </w:t>
      </w:r>
      <w:r w:rsidR="00E31FBB">
        <w:rPr>
          <w:lang w:val="en-US"/>
        </w:rPr>
        <w:t>(5 to 19 years old)</w:t>
      </w:r>
      <w:r w:rsidR="00110B2E">
        <w:rPr>
          <w:lang w:val="en-US"/>
        </w:rPr>
        <w:t xml:space="preserve"> between 2011 and 2018</w:t>
      </w:r>
      <w:r w:rsidR="00B24E36">
        <w:rPr>
          <w:lang w:val="en-US"/>
        </w:rPr>
        <w:t xml:space="preserve"> (73% female)</w:t>
      </w:r>
      <w:r w:rsidR="00CC3511">
        <w:rPr>
          <w:lang w:val="en-US"/>
        </w:rPr>
        <w:t>, and half of their analgesic poisonings are in this age group</w:t>
      </w:r>
      <w:r w:rsidR="00325D75">
        <w:rPr>
          <w:lang w:val="en-US"/>
        </w:rPr>
        <w:t xml:space="preserve"> </w:t>
      </w:r>
      <w:r w:rsidR="0053315B">
        <w:rPr>
          <w:lang w:val="en-US"/>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lang w:val="en-US"/>
        </w:rPr>
        <w:instrText xml:space="preserve"> ADDIN EN.CITE </w:instrText>
      </w:r>
      <w:r w:rsidR="005C4946">
        <w:rPr>
          <w:lang w:val="en-US"/>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lang w:val="en-US"/>
        </w:rPr>
        <w:instrText xml:space="preserve"> ADDIN EN.CITE.DATA </w:instrText>
      </w:r>
      <w:r w:rsidR="005C4946">
        <w:rPr>
          <w:lang w:val="en-US"/>
        </w:rPr>
      </w:r>
      <w:r w:rsidR="005C4946">
        <w:rPr>
          <w:lang w:val="en-US"/>
        </w:rPr>
        <w:fldChar w:fldCharType="end"/>
      </w:r>
      <w:r w:rsidR="0053315B">
        <w:rPr>
          <w:lang w:val="en-US"/>
        </w:rPr>
      </w:r>
      <w:r w:rsidR="0053315B">
        <w:rPr>
          <w:lang w:val="en-US"/>
        </w:rPr>
        <w:fldChar w:fldCharType="separate"/>
      </w:r>
      <w:r w:rsidR="0053315B">
        <w:rPr>
          <w:noProof/>
          <w:lang w:val="en-US"/>
        </w:rPr>
        <w:t>(Hopkins et al., 2020)</w:t>
      </w:r>
      <w:r w:rsidR="0053315B">
        <w:rPr>
          <w:lang w:val="en-US"/>
        </w:rPr>
        <w:fldChar w:fldCharType="end"/>
      </w:r>
      <w:r w:rsidR="00AF4C6B">
        <w:rPr>
          <w:lang w:val="en-US"/>
        </w:rPr>
        <w:t>.</w:t>
      </w:r>
      <w:r w:rsidR="00110B2E">
        <w:rPr>
          <w:lang w:val="en-US"/>
        </w:rPr>
        <w:t xml:space="preserve"> </w:t>
      </w:r>
    </w:p>
    <w:p w14:paraId="1EC5DE58" w14:textId="5B68DD48" w:rsidR="00AF42B7" w:rsidRDefault="00AF42B7" w:rsidP="00AF42B7">
      <w:pPr>
        <w:rPr>
          <w:lang w:val="en-US"/>
        </w:rPr>
      </w:pPr>
      <w:r>
        <w:rPr>
          <w:lang w:val="en-US"/>
        </w:rPr>
        <w:t>The USA 202</w:t>
      </w:r>
      <w:r w:rsidR="009B73AE">
        <w:rPr>
          <w:lang w:val="en-US"/>
        </w:rPr>
        <w:t>0</w:t>
      </w:r>
      <w:r>
        <w:rPr>
          <w:lang w:val="en-US"/>
        </w:rPr>
        <w:t xml:space="preserve"> data fr</w:t>
      </w:r>
      <w:r w:rsidR="00C867CE">
        <w:rPr>
          <w:lang w:val="en-US"/>
        </w:rPr>
        <w:t>o</w:t>
      </w:r>
      <w:r>
        <w:rPr>
          <w:lang w:val="en-US"/>
        </w:rPr>
        <w:t xml:space="preserve">m </w:t>
      </w:r>
      <w:r w:rsidR="009B73AE">
        <w:rPr>
          <w:lang w:val="en-US"/>
        </w:rPr>
        <w:t>their P</w:t>
      </w:r>
      <w:r>
        <w:rPr>
          <w:lang w:val="en-US"/>
        </w:rPr>
        <w:t xml:space="preserve">oisons </w:t>
      </w:r>
      <w:r w:rsidR="009B73AE">
        <w:rPr>
          <w:lang w:val="en-US"/>
        </w:rPr>
        <w:t>C</w:t>
      </w:r>
      <w:r>
        <w:rPr>
          <w:lang w:val="en-US"/>
        </w:rPr>
        <w:t xml:space="preserve">entre calls records </w:t>
      </w:r>
      <w:r w:rsidRPr="00774558">
        <w:rPr>
          <w:lang w:val="en-US"/>
        </w:rPr>
        <w:t>105,861</w:t>
      </w:r>
      <w:r>
        <w:rPr>
          <w:lang w:val="en-US"/>
        </w:rPr>
        <w:t xml:space="preserve"> paracetamol exposures</w:t>
      </w:r>
      <w:r w:rsidR="00325D75">
        <w:rPr>
          <w:lang w:val="en-US"/>
        </w:rPr>
        <w:t xml:space="preserve"> </w:t>
      </w:r>
      <w:r w:rsidR="009B73AE">
        <w:rPr>
          <w:lang w:val="en-US"/>
        </w:rPr>
        <w:fldChar w:fldCharType="begin">
          <w:fldData xml:space="preserve">PEVuZE5vdGU+PENpdGU+PEF1dGhvcj5HdW1taW48L0F1dGhvcj48WWVhcj4yMDIxPC9ZZWFyPjxS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</w:fldData>
        </w:fldChar>
      </w:r>
      <w:r w:rsidR="006E08D8">
        <w:rPr>
          <w:lang w:val="en-US"/>
        </w:rPr>
        <w:instrText xml:space="preserve"> ADDIN EN.CITE </w:instrText>
      </w:r>
      <w:r w:rsidR="006E08D8">
        <w:rPr>
          <w:lang w:val="en-US"/>
        </w:rPr>
        <w:fldChar w:fldCharType="begin">
          <w:fldData xml:space="preserve">PEVuZE5vdGU+PENpdGU+PEF1dGhvcj5HdW1taW48L0F1dGhvcj48WWVhcj4yMDIxPC9ZZWFyPjxS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</w:fldData>
        </w:fldChar>
      </w:r>
      <w:r w:rsidR="006E08D8">
        <w:rPr>
          <w:lang w:val="en-US"/>
        </w:rPr>
        <w:instrText xml:space="preserve"> ADDIN EN.CITE.DATA </w:instrText>
      </w:r>
      <w:r w:rsidR="006E08D8">
        <w:rPr>
          <w:lang w:val="en-US"/>
        </w:rPr>
      </w:r>
      <w:r w:rsidR="006E08D8">
        <w:rPr>
          <w:lang w:val="en-US"/>
        </w:rPr>
        <w:fldChar w:fldCharType="end"/>
      </w:r>
      <w:r w:rsidR="009B73AE">
        <w:rPr>
          <w:lang w:val="en-US"/>
        </w:rPr>
      </w:r>
      <w:r w:rsidR="009B73AE">
        <w:rPr>
          <w:lang w:val="en-US"/>
        </w:rPr>
        <w:fldChar w:fldCharType="separate"/>
      </w:r>
      <w:r w:rsidR="009B73AE">
        <w:rPr>
          <w:noProof/>
          <w:lang w:val="en-US"/>
        </w:rPr>
        <w:t>(Gummin et al., 2021)</w:t>
      </w:r>
      <w:r w:rsidR="009B73AE">
        <w:rPr>
          <w:lang w:val="en-US"/>
        </w:rPr>
        <w:fldChar w:fldCharType="end"/>
      </w:r>
      <w:r w:rsidR="00AF4C6B">
        <w:rPr>
          <w:lang w:val="en-US"/>
        </w:rPr>
        <w:t>.</w:t>
      </w:r>
      <w:r>
        <w:rPr>
          <w:lang w:val="en-US"/>
        </w:rPr>
        <w:t xml:space="preserve"> This was 7% of all medicine poisonings, 15% of adolescent (ages 13-19) poisonings, and 14% of intentional poisonings. There were 242 deaths from paracetamol (197 listed as first or sole agent), 87 from paracetamol combination tablets. The death rate was thus 0.2-0.3% of exposures, and 2.0 % of exposures were rated serious with the poison severity score. However, only a third of exposures were from healthcare facilities (and only a quarter were intentional) – and if the admitted group was taken as the denominator the severe ratings and deaths would be three times higher (i.e. 6% and 0.6% respectively)</w:t>
      </w:r>
      <w:r w:rsidR="006E62BA">
        <w:rPr>
          <w:lang w:val="en-US"/>
        </w:rPr>
        <w:fldChar w:fldCharType="begin">
          <w:fldData xml:space="preserve">PEVuZE5vdGU+PENpdGU+PEF1dGhvcj5HdW1taW48L0F1dGhvcj48WWVhcj4yMDIxPC9ZZWFyPjxS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</w:fldData>
        </w:fldChar>
      </w:r>
      <w:r w:rsidR="006E08D8">
        <w:rPr>
          <w:lang w:val="en-US"/>
        </w:rPr>
        <w:instrText xml:space="preserve"> ADDIN EN.CITE </w:instrText>
      </w:r>
      <w:r w:rsidR="006E08D8">
        <w:rPr>
          <w:lang w:val="en-US"/>
        </w:rPr>
        <w:fldChar w:fldCharType="begin">
          <w:fldData xml:space="preserve">PEVuZE5vdGU+PENpdGU+PEF1dGhvcj5HdW1taW48L0F1dGhvcj48WWVhcj4yMDIxPC9ZZWFyPjxS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</w:fldData>
        </w:fldChar>
      </w:r>
      <w:r w:rsidR="006E08D8">
        <w:rPr>
          <w:lang w:val="en-US"/>
        </w:rPr>
        <w:instrText xml:space="preserve"> ADDIN EN.CITE.DATA </w:instrText>
      </w:r>
      <w:r w:rsidR="006E08D8">
        <w:rPr>
          <w:lang w:val="en-US"/>
        </w:rPr>
      </w:r>
      <w:r w:rsidR="006E08D8">
        <w:rPr>
          <w:lang w:val="en-US"/>
        </w:rPr>
        <w:fldChar w:fldCharType="end"/>
      </w:r>
      <w:r w:rsidR="006E62BA">
        <w:rPr>
          <w:lang w:val="en-US"/>
        </w:rPr>
      </w:r>
      <w:r w:rsidR="006E62BA">
        <w:rPr>
          <w:lang w:val="en-US"/>
        </w:rPr>
        <w:fldChar w:fldCharType="separate"/>
      </w:r>
      <w:r w:rsidR="006E62BA">
        <w:rPr>
          <w:noProof/>
          <w:lang w:val="en-US"/>
        </w:rPr>
        <w:t>(Gummin et al., 2021)</w:t>
      </w:r>
      <w:r w:rsidR="006E62BA">
        <w:rPr>
          <w:lang w:val="en-US"/>
        </w:rPr>
        <w:fldChar w:fldCharType="end"/>
      </w:r>
      <w:r w:rsidR="00AF4C6B">
        <w:rPr>
          <w:lang w:val="en-US"/>
        </w:rPr>
        <w:t>.</w:t>
      </w:r>
      <w:r w:rsidR="006E62BA">
        <w:rPr>
          <w:lang w:val="en-US"/>
        </w:rPr>
        <w:t xml:space="preserve"> These are considerably higher proportions than we record</w:t>
      </w:r>
      <w:r w:rsidR="0030117F">
        <w:rPr>
          <w:lang w:val="en-US"/>
        </w:rPr>
        <w:t xml:space="preserve">ed at NSW PIC in the last 4 years, </w:t>
      </w:r>
      <w:r w:rsidR="008602DF">
        <w:rPr>
          <w:lang w:val="en-US"/>
        </w:rPr>
        <w:t>however the US</w:t>
      </w:r>
      <w:r w:rsidR="00951653">
        <w:rPr>
          <w:lang w:val="en-US"/>
        </w:rPr>
        <w:t>A</w:t>
      </w:r>
      <w:r w:rsidR="008602DF">
        <w:rPr>
          <w:lang w:val="en-US"/>
        </w:rPr>
        <w:t xml:space="preserve"> PIC routinely follow up all calls, and NSW PIC does not.</w:t>
      </w:r>
      <w:r w:rsidR="008C4297">
        <w:rPr>
          <w:lang w:val="en-US"/>
        </w:rPr>
        <w:t xml:space="preserve"> </w:t>
      </w:r>
    </w:p>
    <w:p w14:paraId="7FDFDC9D" w14:textId="77777777" w:rsidR="0053480D" w:rsidRDefault="0053480D" w:rsidP="00DA557F">
      <w:pPr>
        <w:pStyle w:val="Heading2"/>
        <w:rPr>
          <w:lang w:val="en-US"/>
        </w:rPr>
      </w:pPr>
      <w:bookmarkStart w:id="133" w:name="_Toc112843930"/>
      <w:r>
        <w:rPr>
          <w:lang w:val="en-US"/>
        </w:rPr>
        <w:t>Canada</w:t>
      </w:r>
      <w:bookmarkEnd w:id="133"/>
      <w:r>
        <w:rPr>
          <w:lang w:val="en-US"/>
        </w:rPr>
        <w:t xml:space="preserve"> </w:t>
      </w:r>
    </w:p>
    <w:p w14:paraId="210D65CD" w14:textId="2AEB1DEB" w:rsidR="0053480D" w:rsidRDefault="0053480D" w:rsidP="0053480D">
      <w:pPr>
        <w:rPr>
          <w:lang w:val="en-US"/>
        </w:rPr>
      </w:pPr>
      <w:r>
        <w:rPr>
          <w:lang w:val="en-US"/>
        </w:rPr>
        <w:t xml:space="preserve">In Canada, 33% of measured levels (1187/3599) are more than double </w:t>
      </w:r>
      <w:r w:rsidR="00584FED">
        <w:rPr>
          <w:lang w:val="en-US"/>
        </w:rPr>
        <w:t xml:space="preserve">the </w:t>
      </w:r>
      <w:r>
        <w:rPr>
          <w:lang w:val="en-US"/>
        </w:rPr>
        <w:t xml:space="preserve">nomogram line </w:t>
      </w:r>
      <w:r>
        <w:rPr>
          <w:lang w:val="en-US"/>
        </w:rPr>
        <w:fldChar w:fldCharType="begin">
          <w:fldData xml:space="preserve">PEVuZE5vdGU+PENpdGU+PEF1dGhvcj5ZYXJlbWE8L0F1dGhvcj48WWVhcj4yMDE4PC9ZZWFyPjxS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</w:fldData>
        </w:fldChar>
      </w:r>
      <w:r>
        <w:rPr>
          <w:lang w:val="en-US"/>
        </w:rPr>
        <w:instrText xml:space="preserve"> ADDIN EN.CITE </w:instrText>
      </w:r>
      <w:r>
        <w:rPr>
          <w:lang w:val="en-US"/>
        </w:rPr>
        <w:fldChar w:fldCharType="begin">
          <w:fldData xml:space="preserve">PEVuZE5vdGU+PENpdGU+PEF1dGhvcj5ZYXJlbWE8L0F1dGhvcj48WWVhcj4yMDE4PC9ZZWFyPjxS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(Yarema et al., 2018)</w:t>
      </w:r>
      <w:r>
        <w:rPr>
          <w:lang w:val="en-US"/>
        </w:rPr>
        <w:fldChar w:fldCharType="end"/>
      </w:r>
      <w:r>
        <w:rPr>
          <w:lang w:val="en-US"/>
        </w:rPr>
        <w:t xml:space="preserve">. This is much higher than we found in </w:t>
      </w:r>
      <w:r w:rsidR="00584FED">
        <w:rPr>
          <w:lang w:val="en-US"/>
        </w:rPr>
        <w:t xml:space="preserve">our </w:t>
      </w:r>
      <w:r>
        <w:rPr>
          <w:lang w:val="en-US"/>
        </w:rPr>
        <w:t xml:space="preserve">audit (22%, 339/1515). Unfortunately, overall outcomes were not reported in this study. </w:t>
      </w:r>
    </w:p>
    <w:p w14:paraId="3A93F9D2" w14:textId="60C62866" w:rsidR="00CB7D4D" w:rsidRDefault="00CB7D4D" w:rsidP="00CB7D4D">
      <w:pPr>
        <w:pStyle w:val="Heading2"/>
        <w:rPr>
          <w:lang w:val="en-US"/>
        </w:rPr>
      </w:pPr>
      <w:bookmarkStart w:id="134" w:name="_Toc112843931"/>
      <w:r>
        <w:rPr>
          <w:lang w:val="en-US"/>
        </w:rPr>
        <w:t>New Zealand</w:t>
      </w:r>
      <w:bookmarkEnd w:id="134"/>
    </w:p>
    <w:p w14:paraId="59E3AE8D" w14:textId="32A4258C" w:rsidR="00CB7D4D" w:rsidRDefault="00CB7D4D" w:rsidP="00CB7D4D">
      <w:pPr>
        <w:rPr>
          <w:lang w:val="en-US"/>
        </w:rPr>
      </w:pPr>
      <w:r>
        <w:rPr>
          <w:lang w:val="en-US"/>
        </w:rPr>
        <w:t xml:space="preserve">New Zealand has very similar scheduling to Australia </w:t>
      </w:r>
      <w:r>
        <w:rPr>
          <w:lang w:val="en-US"/>
        </w:rPr>
        <w:fldChar w:fldCharType="begin"/>
      </w:r>
      <w:r>
        <w:rPr>
          <w:lang w:val="en-US"/>
        </w:rPr>
        <w:instrText xml:space="preserve"> ADDIN EN.CITE &lt;EndNote&gt;&lt;Cite&gt;&lt;Author&gt;Freeman&lt;/Author&gt;&lt;Year&gt;2015&lt;/Year&gt;&lt;RecNum&gt;972&lt;/RecNum&gt;&lt;DisplayText&gt;(Freeman &amp;amp; Quigley, 2015)&lt;/DisplayText&gt;&lt;record&gt;&lt;rec-number&gt;972&lt;/rec-number&gt;&lt;foreign-keys&gt;&lt;key app="EN" db-id="90p22wx96ddedpe0r9pxtt9gzz05dd5ev299" timestamp="1659259642"&gt;972&lt;/key&gt;&lt;/foreign-keys&gt;&lt;ref-type name="Journal Article"&gt;17&lt;/ref-type&gt;&lt;contributors&gt;&lt;authors&gt;&lt;author&gt;Freeman, N.&lt;/author&gt;&lt;author&gt;Quigley, P.&lt;/author&gt;&lt;/authors&gt;&lt;/contributors&gt;&lt;auth-address&gt;Emergency Medicine, Capital &amp;amp; Coast District Health Board, Private Bag 7902, Wellington, New Zealand. paul.quigley@ccdhb.org.nz.&lt;/auth-address&gt;&lt;titles&gt;&lt;title&gt;Care versus convenience: Examining paracetamol overdose in New Zealand and harm reduction strategies through sale and supply&lt;/title&gt;&lt;secondary-title&gt;N Z Med J&lt;/secondary-title&gt;&lt;/titles&gt;&lt;periodical&gt;&lt;full-title&gt;N Z Med J&lt;/full-title&gt;&lt;/periodical&gt;&lt;pages&gt;28-34&lt;/pages&gt;&lt;volume&gt;128&lt;/volume&gt;&lt;number&gt;1424&lt;/number&gt;&lt;edition&gt;2015/01/01&lt;/edition&gt;&lt;keywords&gt;&lt;keyword&gt;Acetaminophen/economics/*poisoning/supply &amp;amp; distribution&lt;/keyword&gt;&lt;keyword&gt;Adolescent&lt;/keyword&gt;&lt;keyword&gt;Adult&lt;/keyword&gt;&lt;keyword&gt;Age Distribution&lt;/keyword&gt;&lt;keyword&gt;Aged&lt;/keyword&gt;&lt;keyword&gt;Analgesics, Non-Narcotic/economics/*poisoning/supply &amp;amp; distribution&lt;/keyword&gt;&lt;keyword&gt;Drug Overdose/epidemiology/*prevention &amp;amp; control&lt;/keyword&gt;&lt;keyword&gt;Emergency Service, Hospital/statistics &amp;amp; numerical data&lt;/keyword&gt;&lt;keyword&gt;*Harm Reduction&lt;/keyword&gt;&lt;keyword&gt;Humans&lt;/keyword&gt;&lt;keyword&gt;Marketing&lt;/keyword&gt;&lt;keyword&gt;Middle Aged&lt;/keyword&gt;&lt;keyword&gt;New Zealand/epidemiology&lt;/keyword&gt;&lt;keyword&gt;Pharmaceutical Services, Online/economics&lt;/keyword&gt;&lt;keyword&gt;Young Adult&lt;/keyword&gt;&lt;/keywords&gt;&lt;dates&gt;&lt;year&gt;2015&lt;/year&gt;&lt;pub-dates&gt;&lt;date&gt;Oct 30&lt;/date&gt;&lt;/pub-dates&gt;&lt;/dates&gt;&lt;isbn&gt;0028-8446&lt;/isbn&gt;&lt;accession-num&gt;27377019&lt;/accession-num&gt;&lt;urls&gt;&lt;/urls&gt;&lt;remote-database-provider&gt;NLM&lt;/remote-database-provider&gt;&lt;language&gt;eng&lt;/language&gt;&lt;/record&gt;&lt;/Cite&gt;&lt;/EndNote&gt;</w:instrText>
      </w:r>
      <w:r>
        <w:rPr>
          <w:lang w:val="en-US"/>
        </w:rPr>
        <w:fldChar w:fldCharType="separate"/>
      </w:r>
      <w:r>
        <w:rPr>
          <w:noProof/>
          <w:lang w:val="en-US"/>
        </w:rPr>
        <w:t>(Freeman &amp; Quigley, 2015)</w:t>
      </w:r>
      <w:r>
        <w:rPr>
          <w:lang w:val="en-US"/>
        </w:rPr>
        <w:fldChar w:fldCharType="end"/>
      </w:r>
      <w:r>
        <w:rPr>
          <w:lang w:val="en-US"/>
        </w:rPr>
        <w:t xml:space="preserve">. Paracetamol-containing products available through general sale are limited to 500 mg or less per tablet or capsule in packs containing not more than 10 g. In pharmacies pack sizes containing not more than 50 g can be purchased. MR preparations are only available through pharmacies (with a maximum strength of 665 mg and there are no limits on the maximum quantity that can be purchased in one transaction. They have done some interesting studies, reporting the large amounts of paracetamol (median &gt; 30 g) stored in a typical New Zealand home </w:t>
      </w:r>
      <w:r w:rsidRPr="0E71151F">
        <w:rPr>
          <w:lang w:val="en-US"/>
        </w:rPr>
        <w:fldChar w:fldCharType="begin"/>
      </w:r>
      <w:r w:rsidRPr="0E71151F">
        <w:rPr>
          <w:lang w:val="en-US"/>
        </w:rPr>
        <w:instrText xml:space="preserve"> ADDIN EN.CITE </w:instrText>
      </w:r>
      <w:r w:rsidRPr="0E71151F">
        <w:rPr>
          <w:lang w:val="en-US"/>
        </w:rPr>
        <w:fldChar w:fldCharType="begin"/>
      </w:r>
      <w:r w:rsidRPr="0E71151F">
        <w:rPr>
          <w:lang w:val="en-US"/>
        </w:rPr>
        <w:instrText xml:space="preserve"> ADDIN EN.CITE.DATA </w:instrText>
      </w:r>
      <w:r w:rsidRPr="0E71151F">
        <w:rPr>
          <w:lang w:val="en-US"/>
        </w:rPr>
        <w:fldChar w:fldCharType="end"/>
      </w:r>
      <w:r w:rsidRPr="0E71151F">
        <w:rPr>
          <w:lang w:val="en-US"/>
        </w:rPr>
        <w:fldChar w:fldCharType="separate"/>
      </w:r>
      <w:r w:rsidRPr="0E71151F">
        <w:rPr>
          <w:noProof/>
          <w:lang w:val="en-US"/>
        </w:rPr>
        <w:t>(E. K. Kumpula, Norris, &amp; Pomerleau, 2020)</w:t>
      </w:r>
      <w:r w:rsidRPr="0E71151F">
        <w:rPr>
          <w:lang w:val="en-US"/>
        </w:rPr>
        <w:fldChar w:fldCharType="end"/>
      </w:r>
      <w:r>
        <w:rPr>
          <w:lang w:val="en-US"/>
        </w:rPr>
        <w:t xml:space="preserve">. However, there are no recent data on the clinical outcomes of paracetamol poisoning in New Zealand. </w:t>
      </w:r>
    </w:p>
    <w:p w14:paraId="0EAC3915" w14:textId="60C62866" w:rsidR="00CB7D4D" w:rsidRDefault="2ECF94E6" w:rsidP="00CB7D4D">
      <w:pPr>
        <w:pStyle w:val="Heading2"/>
        <w:rPr>
          <w:lang w:val="en-US"/>
        </w:rPr>
      </w:pPr>
      <w:bookmarkStart w:id="135" w:name="_Toc112843932"/>
      <w:r w:rsidRPr="345485AB">
        <w:rPr>
          <w:lang w:val="en-US"/>
        </w:rPr>
        <w:t>Singapore</w:t>
      </w:r>
      <w:bookmarkEnd w:id="135"/>
    </w:p>
    <w:p w14:paraId="1DE73708" w14:textId="1F7F6FCF" w:rsidR="00CB7D4D" w:rsidRDefault="00CB7D4D" w:rsidP="0053480D">
      <w:pPr>
        <w:rPr>
          <w:lang w:val="en-US"/>
        </w:rPr>
      </w:pPr>
      <w:r>
        <w:rPr>
          <w:lang w:val="en-US"/>
        </w:rPr>
        <w:t>Singapore has far less restrictive scheduling compared to Australia for both IR and MR preparations. IR preparations can be sold in supermarkets (outside of pharmacies) and in pharmacies with no restrictions on quantities that can be purchased. Interestingly, MR preparations can also be purchased outside of pharmacies without any restrictions on the quantity permitted for sale.</w:t>
      </w:r>
    </w:p>
    <w:p w14:paraId="22F258F6" w14:textId="04E6E334" w:rsidR="0056137C" w:rsidRDefault="2F37BEE6" w:rsidP="00DA557F">
      <w:pPr>
        <w:pStyle w:val="Heading2"/>
        <w:rPr>
          <w:lang w:val="en-US"/>
        </w:rPr>
      </w:pPr>
      <w:bookmarkStart w:id="136" w:name="_Toc112843933"/>
      <w:r w:rsidRPr="345485AB">
        <w:rPr>
          <w:lang w:val="en-US"/>
        </w:rPr>
        <w:t>Europe</w:t>
      </w:r>
      <w:bookmarkEnd w:id="136"/>
    </w:p>
    <w:p w14:paraId="2AB2049E" w14:textId="0A382D6F" w:rsidR="0056137C" w:rsidRDefault="2F37BEE6" w:rsidP="0056137C">
      <w:pPr>
        <w:rPr>
          <w:lang w:val="en-US"/>
        </w:rPr>
      </w:pPr>
      <w:r w:rsidRPr="4C223402">
        <w:rPr>
          <w:lang w:val="en-US"/>
        </w:rPr>
        <w:t xml:space="preserve">The availability of paracetamol from </w:t>
      </w:r>
      <w:r w:rsidR="7A6EA9F1" w:rsidRPr="4C223402">
        <w:rPr>
          <w:lang w:val="en-US"/>
        </w:rPr>
        <w:t>pharmacies and general sale differs considerably between European countries</w:t>
      </w:r>
      <w:r w:rsidR="733AD637" w:rsidRPr="4C223402">
        <w:rPr>
          <w:lang w:val="en-US"/>
        </w:rPr>
        <w:t xml:space="preserve"> </w:t>
      </w:r>
      <w:r w:rsidR="733AD637" w:rsidRPr="00122186">
        <w:rPr>
          <w:lang w:val="en-US"/>
        </w:rPr>
        <w:t>(Morthorst et al., 2018)</w:t>
      </w:r>
      <w:r w:rsidR="1CFDC646" w:rsidRPr="00122186">
        <w:rPr>
          <w:lang w:val="en-US"/>
        </w:rPr>
        <w:t>.</w:t>
      </w:r>
      <w:r w:rsidR="1CFDC646" w:rsidRPr="4C223402">
        <w:rPr>
          <w:lang w:val="en-US"/>
        </w:rPr>
        <w:t xml:space="preserve"> </w:t>
      </w:r>
      <w:r w:rsidR="61F91F52" w:rsidRPr="4C223402">
        <w:rPr>
          <w:lang w:val="en-US"/>
        </w:rPr>
        <w:t>W</w:t>
      </w:r>
      <w:r w:rsidR="7A6EA9F1" w:rsidRPr="4C223402">
        <w:rPr>
          <w:lang w:val="en-US"/>
        </w:rPr>
        <w:t>hilst some</w:t>
      </w:r>
      <w:r w:rsidR="2FF53F32" w:rsidRPr="4C223402">
        <w:rPr>
          <w:lang w:val="en-US"/>
        </w:rPr>
        <w:t xml:space="preserve"> states</w:t>
      </w:r>
      <w:r w:rsidR="7A6EA9F1" w:rsidRPr="4C223402">
        <w:rPr>
          <w:lang w:val="en-US"/>
        </w:rPr>
        <w:t xml:space="preserve"> have implemented restrict</w:t>
      </w:r>
      <w:r w:rsidR="77276215" w:rsidRPr="4C223402">
        <w:rPr>
          <w:lang w:val="en-US"/>
        </w:rPr>
        <w:t>ions</w:t>
      </w:r>
      <w:r w:rsidR="7A6EA9F1" w:rsidRPr="4C223402">
        <w:rPr>
          <w:lang w:val="en-US"/>
        </w:rPr>
        <w:t xml:space="preserve"> other have no limits on the quantities </w:t>
      </w:r>
      <w:r w:rsidR="1996274D" w:rsidRPr="4C223402">
        <w:rPr>
          <w:lang w:val="en-US"/>
        </w:rPr>
        <w:t xml:space="preserve">per pack or number of packs </w:t>
      </w:r>
      <w:r w:rsidR="7A6EA9F1" w:rsidRPr="4C223402">
        <w:rPr>
          <w:lang w:val="en-US"/>
        </w:rPr>
        <w:t>that can be purchased (predominantly in Easter</w:t>
      </w:r>
      <w:r w:rsidR="1996274D" w:rsidRPr="4C223402">
        <w:rPr>
          <w:lang w:val="en-US"/>
        </w:rPr>
        <w:t>n</w:t>
      </w:r>
      <w:r w:rsidR="7A6EA9F1" w:rsidRPr="4C223402">
        <w:rPr>
          <w:lang w:val="en-US"/>
        </w:rPr>
        <w:t xml:space="preserve"> Europe and Russia). </w:t>
      </w:r>
      <w:r w:rsidR="77276215" w:rsidRPr="4C223402">
        <w:rPr>
          <w:lang w:val="en-US"/>
        </w:rPr>
        <w:t>Fourteen countries have implemented pack size restrictions within pharmacies ranging from 8-30 g in the last two decades</w:t>
      </w:r>
      <w:r w:rsidR="1362D1DD" w:rsidRPr="4C223402">
        <w:rPr>
          <w:lang w:val="en-US"/>
        </w:rPr>
        <w:t xml:space="preserve"> (which are lower than in Australia)</w:t>
      </w:r>
      <w:r w:rsidR="77276215" w:rsidRPr="4C223402">
        <w:rPr>
          <w:lang w:val="en-US"/>
        </w:rPr>
        <w:t xml:space="preserve">. </w:t>
      </w:r>
      <w:r w:rsidR="7E2D2CC3" w:rsidRPr="4C223402">
        <w:rPr>
          <w:lang w:val="en-US"/>
        </w:rPr>
        <w:t>Furthermore, in twelve countries paracetamol-</w:t>
      </w:r>
      <w:r w:rsidR="6AFDBA50" w:rsidRPr="4C223402">
        <w:rPr>
          <w:lang w:val="en-US"/>
        </w:rPr>
        <w:t xml:space="preserve">containing analgesics are not available outside of pharmacies, with larger quantities only available with a valid prescription from a doctor. </w:t>
      </w:r>
    </w:p>
    <w:p w14:paraId="777FC34A" w14:textId="0DD9E024" w:rsidR="00A60BC8" w:rsidRPr="00185833" w:rsidRDefault="3F778389" w:rsidP="009E13ED">
      <w:pPr>
        <w:rPr>
          <w:lang w:val="en-US"/>
        </w:rPr>
      </w:pPr>
      <w:r w:rsidRPr="32A02A73">
        <w:rPr>
          <w:lang w:val="en-US"/>
        </w:rPr>
        <w:t>Only seven countries allow sales of paracet</w:t>
      </w:r>
      <w:r w:rsidR="50218E20" w:rsidRPr="32A02A73">
        <w:rPr>
          <w:lang w:val="en-US"/>
        </w:rPr>
        <w:t>amol from outside of pharmacies</w:t>
      </w:r>
      <w:r w:rsidR="1D8EC67C" w:rsidRPr="32A02A73">
        <w:rPr>
          <w:lang w:val="en-US"/>
        </w:rPr>
        <w:t xml:space="preserve">, </w:t>
      </w:r>
      <w:r w:rsidR="4401606E" w:rsidRPr="32A02A73">
        <w:rPr>
          <w:lang w:val="en-US"/>
        </w:rPr>
        <w:t xml:space="preserve">with six of them having </w:t>
      </w:r>
      <w:r w:rsidR="43725EFA" w:rsidRPr="32A02A73">
        <w:rPr>
          <w:lang w:val="en-US"/>
        </w:rPr>
        <w:t xml:space="preserve">a </w:t>
      </w:r>
      <w:r w:rsidR="25231423" w:rsidRPr="32A02A73">
        <w:rPr>
          <w:lang w:val="en-US"/>
        </w:rPr>
        <w:t>rang</w:t>
      </w:r>
      <w:r w:rsidR="43725EFA" w:rsidRPr="32A02A73">
        <w:rPr>
          <w:lang w:val="en-US"/>
        </w:rPr>
        <w:t xml:space="preserve">e between </w:t>
      </w:r>
      <w:r w:rsidR="4401606E" w:rsidRPr="32A02A73">
        <w:rPr>
          <w:lang w:val="en-US"/>
        </w:rPr>
        <w:t>5-8 g</w:t>
      </w:r>
      <w:r w:rsidR="43725EFA" w:rsidRPr="32A02A73">
        <w:rPr>
          <w:lang w:val="en-US"/>
        </w:rPr>
        <w:t xml:space="preserve"> and Russia allowing</w:t>
      </w:r>
      <w:r w:rsidR="05B2CE03" w:rsidRPr="32A02A73">
        <w:rPr>
          <w:lang w:val="en-US"/>
        </w:rPr>
        <w:t xml:space="preserve"> unlimited quantities</w:t>
      </w:r>
      <w:r w:rsidR="1D8EC67C" w:rsidRPr="32A02A73">
        <w:rPr>
          <w:lang w:val="en-US"/>
        </w:rPr>
        <w:t xml:space="preserve"> for sale.</w:t>
      </w:r>
      <w:r w:rsidR="4401606E" w:rsidRPr="32A02A73">
        <w:rPr>
          <w:lang w:val="en-US"/>
        </w:rPr>
        <w:t xml:space="preserve"> </w:t>
      </w:r>
      <w:r w:rsidR="50218E20" w:rsidRPr="32A02A73">
        <w:rPr>
          <w:lang w:val="en-US"/>
        </w:rPr>
        <w:t xml:space="preserve">Sweden now only </w:t>
      </w:r>
      <w:r w:rsidR="4DEFDD37" w:rsidRPr="32A02A73">
        <w:rPr>
          <w:lang w:val="en-US"/>
        </w:rPr>
        <w:t>market</w:t>
      </w:r>
      <w:r w:rsidR="7C608A42" w:rsidRPr="32A02A73">
        <w:rPr>
          <w:lang w:val="en-US"/>
        </w:rPr>
        <w:t>s</w:t>
      </w:r>
      <w:r w:rsidR="4DEFDD37" w:rsidRPr="32A02A73">
        <w:rPr>
          <w:lang w:val="en-US"/>
        </w:rPr>
        <w:t xml:space="preserve"> </w:t>
      </w:r>
      <w:r w:rsidR="50218E20" w:rsidRPr="32A02A73">
        <w:rPr>
          <w:lang w:val="en-US"/>
        </w:rPr>
        <w:t>effervescent tablets</w:t>
      </w:r>
      <w:r w:rsidR="7C608A42" w:rsidRPr="32A02A73">
        <w:rPr>
          <w:lang w:val="en-US"/>
        </w:rPr>
        <w:t xml:space="preserve"> f</w:t>
      </w:r>
      <w:r w:rsidR="7794F46F" w:rsidRPr="32A02A73">
        <w:rPr>
          <w:lang w:val="en-US"/>
        </w:rPr>
        <w:t xml:space="preserve">or </w:t>
      </w:r>
      <w:r w:rsidR="3551DB56" w:rsidRPr="32A02A73">
        <w:rPr>
          <w:lang w:val="en-US"/>
        </w:rPr>
        <w:t>sale from general sale</w:t>
      </w:r>
      <w:r w:rsidR="4DEFDD37" w:rsidRPr="32A02A73">
        <w:rPr>
          <w:lang w:val="en-US"/>
        </w:rPr>
        <w:t xml:space="preserve">. Indicating that </w:t>
      </w:r>
      <w:r w:rsidR="18ECD37A" w:rsidRPr="32A02A73">
        <w:rPr>
          <w:lang w:val="en-US"/>
        </w:rPr>
        <w:t>apart from Russia all the r</w:t>
      </w:r>
      <w:r w:rsidR="4DEFDD37" w:rsidRPr="32A02A73">
        <w:rPr>
          <w:lang w:val="en-US"/>
        </w:rPr>
        <w:t>emai</w:t>
      </w:r>
      <w:r w:rsidR="18ECD37A" w:rsidRPr="32A02A73">
        <w:rPr>
          <w:lang w:val="en-US"/>
        </w:rPr>
        <w:t>ning</w:t>
      </w:r>
      <w:r w:rsidR="4DEFDD37" w:rsidRPr="32A02A73">
        <w:rPr>
          <w:lang w:val="en-US"/>
        </w:rPr>
        <w:t xml:space="preserve"> countries have tighter restrictions on access outside of pharmacies </w:t>
      </w:r>
      <w:r w:rsidR="1521FDFE" w:rsidRPr="32A02A73">
        <w:rPr>
          <w:lang w:val="en-US"/>
        </w:rPr>
        <w:t>compared to</w:t>
      </w:r>
      <w:r w:rsidR="4DEFDD37" w:rsidRPr="32A02A73">
        <w:rPr>
          <w:lang w:val="en-US"/>
        </w:rPr>
        <w:t xml:space="preserve"> Australia</w:t>
      </w:r>
      <w:r w:rsidR="27CBD50F" w:rsidRPr="32A02A73">
        <w:rPr>
          <w:lang w:val="en-US"/>
        </w:rPr>
        <w:t xml:space="preserve"> (either through smaller quantities or no access at all)</w:t>
      </w:r>
      <w:r w:rsidR="4DEFDD37" w:rsidRPr="32A02A73">
        <w:rPr>
          <w:lang w:val="en-US"/>
        </w:rPr>
        <w:t>.</w:t>
      </w:r>
    </w:p>
    <w:p w14:paraId="0C25131E" w14:textId="244F92E3" w:rsidR="009519AC" w:rsidRDefault="009519AC" w:rsidP="00DA557F">
      <w:pPr>
        <w:pStyle w:val="Heading2"/>
        <w:rPr>
          <w:lang w:val="en-US"/>
        </w:rPr>
      </w:pPr>
      <w:bookmarkStart w:id="137" w:name="_Toc112843934"/>
      <w:r>
        <w:rPr>
          <w:lang w:val="en-US"/>
        </w:rPr>
        <w:t>UK</w:t>
      </w:r>
      <w:bookmarkEnd w:id="137"/>
    </w:p>
    <w:p w14:paraId="1CC7E3C9" w14:textId="0D3E2E97" w:rsidR="00117E0F" w:rsidRDefault="4EE41867" w:rsidP="009519AC">
      <w:pPr>
        <w:rPr>
          <w:lang w:val="en-US"/>
        </w:rPr>
      </w:pPr>
      <w:r>
        <w:rPr>
          <w:lang w:val="en-US"/>
        </w:rPr>
        <w:t xml:space="preserve">The UK is </w:t>
      </w:r>
      <w:r w:rsidR="294D5F71">
        <w:rPr>
          <w:lang w:val="en-US"/>
        </w:rPr>
        <w:t>an example of a country with tighter scheduling</w:t>
      </w:r>
      <w:r w:rsidR="100B3EEC">
        <w:rPr>
          <w:lang w:val="en-US"/>
        </w:rPr>
        <w:t xml:space="preserve"> of paracetamol</w:t>
      </w:r>
      <w:r w:rsidR="294D5F71">
        <w:rPr>
          <w:lang w:val="en-US"/>
        </w:rPr>
        <w:t>, which it enacted</w:t>
      </w:r>
      <w:r w:rsidR="369CD9BF">
        <w:rPr>
          <w:lang w:val="en-US"/>
        </w:rPr>
        <w:t xml:space="preserve"> in 1998</w:t>
      </w:r>
      <w:r w:rsidR="294D5F71">
        <w:rPr>
          <w:lang w:val="en-US"/>
        </w:rPr>
        <w:t xml:space="preserve"> </w:t>
      </w:r>
      <w:r w:rsidR="100B3EEC">
        <w:rPr>
          <w:lang w:val="en-US"/>
        </w:rPr>
        <w:t>as a response to the very considerable problems they have faced.</w:t>
      </w:r>
      <w:r w:rsidR="0B37C9E8">
        <w:rPr>
          <w:lang w:val="en-US"/>
        </w:rPr>
        <w:t xml:space="preserve"> </w:t>
      </w:r>
      <w:r w:rsidR="4B49A3F1" w:rsidRPr="345485AB">
        <w:rPr>
          <w:lang w:val="en-US"/>
        </w:rPr>
        <w:t>That included, the</w:t>
      </w:r>
      <w:r w:rsidR="3FCFA9DF" w:rsidRPr="345485AB">
        <w:rPr>
          <w:lang w:val="en-US"/>
        </w:rPr>
        <w:t xml:space="preserve"> large number of people taking paracetamol overdoses and increasing numbers of deaths and liv</w:t>
      </w:r>
      <w:r w:rsidR="1072BD6A" w:rsidRPr="345485AB">
        <w:rPr>
          <w:lang w:val="en-US"/>
        </w:rPr>
        <w:t>e</w:t>
      </w:r>
      <w:r w:rsidR="3FCFA9DF" w:rsidRPr="345485AB">
        <w:rPr>
          <w:lang w:val="en-US"/>
        </w:rPr>
        <w:t xml:space="preserve">r transplants due to paracetamol induced hepatotoxicity. </w:t>
      </w:r>
      <w:r w:rsidR="1072BD6A" w:rsidRPr="345485AB">
        <w:rPr>
          <w:lang w:val="en-US"/>
        </w:rPr>
        <w:t>From a behavioral aspect this change was introduced to</w:t>
      </w:r>
      <w:r w:rsidR="089705A3" w:rsidRPr="345485AB">
        <w:rPr>
          <w:lang w:val="en-US"/>
        </w:rPr>
        <w:t xml:space="preserve"> </w:t>
      </w:r>
      <w:r w:rsidR="156CC20E" w:rsidRPr="345485AB">
        <w:rPr>
          <w:lang w:val="en-US"/>
        </w:rPr>
        <w:t xml:space="preserve">address </w:t>
      </w:r>
      <w:r w:rsidR="089705A3" w:rsidRPr="345485AB">
        <w:rPr>
          <w:lang w:val="en-US"/>
        </w:rPr>
        <w:t xml:space="preserve">acts of self-harm </w:t>
      </w:r>
      <w:r w:rsidR="120C3998" w:rsidRPr="345485AB">
        <w:rPr>
          <w:lang w:val="en-US"/>
        </w:rPr>
        <w:t xml:space="preserve">that </w:t>
      </w:r>
      <w:r w:rsidR="089705A3" w:rsidRPr="345485AB">
        <w:rPr>
          <w:lang w:val="en-US"/>
        </w:rPr>
        <w:t xml:space="preserve">were often impulsive and involved </w:t>
      </w:r>
      <w:r w:rsidR="1D52116D" w:rsidRPr="345485AB">
        <w:rPr>
          <w:lang w:val="en-US"/>
        </w:rPr>
        <w:t xml:space="preserve">the </w:t>
      </w:r>
      <w:r w:rsidR="089705A3" w:rsidRPr="345485AB">
        <w:rPr>
          <w:lang w:val="en-US"/>
        </w:rPr>
        <w:t>use of drugs already stored in the home.</w:t>
      </w:r>
      <w:r w:rsidR="1072BD6A" w:rsidRPr="345485AB">
        <w:rPr>
          <w:lang w:val="en-US"/>
        </w:rPr>
        <w:t xml:space="preserve"> </w:t>
      </w:r>
      <w:r w:rsidR="325D972A">
        <w:rPr>
          <w:lang w:val="en-US"/>
        </w:rPr>
        <w:t xml:space="preserve">They </w:t>
      </w:r>
      <w:r w:rsidR="13FD7C20" w:rsidRPr="345485AB">
        <w:rPr>
          <w:lang w:val="en-US"/>
        </w:rPr>
        <w:t>now</w:t>
      </w:r>
      <w:r w:rsidR="325D972A" w:rsidRPr="345485AB">
        <w:rPr>
          <w:lang w:val="en-US"/>
        </w:rPr>
        <w:t xml:space="preserve"> </w:t>
      </w:r>
      <w:r w:rsidR="325D972A">
        <w:rPr>
          <w:lang w:val="en-US"/>
        </w:rPr>
        <w:t>have low pack limits (16 tab</w:t>
      </w:r>
      <w:r w:rsidR="704E5E54" w:rsidRPr="345485AB">
        <w:rPr>
          <w:lang w:val="en-US"/>
        </w:rPr>
        <w:t>let</w:t>
      </w:r>
      <w:r w:rsidR="325D972A">
        <w:rPr>
          <w:lang w:val="en-US"/>
        </w:rPr>
        <w:t>s)</w:t>
      </w:r>
      <w:r w:rsidR="124276AC">
        <w:rPr>
          <w:lang w:val="en-US"/>
        </w:rPr>
        <w:t>,</w:t>
      </w:r>
      <w:r w:rsidR="1E7BE2B6">
        <w:rPr>
          <w:lang w:val="en-US"/>
        </w:rPr>
        <w:t xml:space="preserve"> purchase limits (2 packs)</w:t>
      </w:r>
      <w:r w:rsidR="325D972A">
        <w:rPr>
          <w:lang w:val="en-US"/>
        </w:rPr>
        <w:t xml:space="preserve"> </w:t>
      </w:r>
      <w:r w:rsidR="0A1B73B2" w:rsidRPr="345485AB">
        <w:rPr>
          <w:lang w:val="en-US"/>
        </w:rPr>
        <w:t>from general sale</w:t>
      </w:r>
      <w:r w:rsidR="466E50BF" w:rsidRPr="345485AB">
        <w:rPr>
          <w:lang w:val="en-US"/>
        </w:rPr>
        <w:t xml:space="preserve"> and</w:t>
      </w:r>
      <w:r w:rsidR="0A1B73B2" w:rsidRPr="345485AB">
        <w:rPr>
          <w:lang w:val="en-US"/>
        </w:rPr>
        <w:t xml:space="preserve"> 32 tablet packs from pharmacies</w:t>
      </w:r>
      <w:r w:rsidR="14621D4D" w:rsidRPr="345485AB">
        <w:rPr>
          <w:lang w:val="en-US"/>
        </w:rPr>
        <w:t>,</w:t>
      </w:r>
      <w:r w:rsidR="0A1B73B2" w:rsidRPr="345485AB">
        <w:rPr>
          <w:lang w:val="en-US"/>
        </w:rPr>
        <w:t xml:space="preserve"> </w:t>
      </w:r>
      <w:r w:rsidR="325D972A">
        <w:rPr>
          <w:lang w:val="en-US"/>
        </w:rPr>
        <w:t xml:space="preserve">and </w:t>
      </w:r>
      <w:r w:rsidR="1E7BE2B6">
        <w:rPr>
          <w:lang w:val="en-US"/>
        </w:rPr>
        <w:t>do not have MR paracetamol.</w:t>
      </w:r>
      <w:r w:rsidR="0B37C9E8">
        <w:rPr>
          <w:lang w:val="en-US"/>
        </w:rPr>
        <w:t xml:space="preserve"> There are </w:t>
      </w:r>
      <w:r w:rsidR="3B03AFFD">
        <w:rPr>
          <w:lang w:val="en-US"/>
        </w:rPr>
        <w:t xml:space="preserve">recent </w:t>
      </w:r>
      <w:r w:rsidR="0B37C9E8">
        <w:rPr>
          <w:lang w:val="en-US"/>
        </w:rPr>
        <w:t xml:space="preserve">studies </w:t>
      </w:r>
      <w:r w:rsidR="3B03AFFD">
        <w:rPr>
          <w:lang w:val="en-US"/>
        </w:rPr>
        <w:t>that suggest the morbidity and mortality are lower</w:t>
      </w:r>
      <w:r w:rsidR="14E8307B">
        <w:rPr>
          <w:lang w:val="en-US"/>
        </w:rPr>
        <w:t xml:space="preserve"> than we observe in Australia</w:t>
      </w:r>
      <w:r w:rsidR="6FF91EC2">
        <w:rPr>
          <w:lang w:val="en-US"/>
        </w:rPr>
        <w:t>. For example</w:t>
      </w:r>
      <w:r w:rsidR="124276AC">
        <w:rPr>
          <w:lang w:val="en-US"/>
        </w:rPr>
        <w:t>,</w:t>
      </w:r>
      <w:r w:rsidR="6FF91EC2">
        <w:rPr>
          <w:lang w:val="en-US"/>
        </w:rPr>
        <w:t xml:space="preserve"> a recent study comparing regimens of acetylcysteine</w:t>
      </w:r>
      <w:r w:rsidR="3EE7E743">
        <w:rPr>
          <w:lang w:val="en-US"/>
        </w:rPr>
        <w:t xml:space="preserve">, reported </w:t>
      </w:r>
      <w:r w:rsidR="68EDCEC9">
        <w:rPr>
          <w:lang w:val="en-US"/>
        </w:rPr>
        <w:t>no</w:t>
      </w:r>
      <w:r w:rsidR="3EE7E743">
        <w:rPr>
          <w:lang w:val="en-US"/>
        </w:rPr>
        <w:t xml:space="preserve"> deaths from liver disease</w:t>
      </w:r>
      <w:r w:rsidR="6FF91EC2">
        <w:rPr>
          <w:lang w:val="en-US"/>
        </w:rPr>
        <w:t xml:space="preserve"> </w:t>
      </w:r>
      <w:r w:rsidR="68EDCEC9">
        <w:rPr>
          <w:lang w:val="en-US"/>
        </w:rPr>
        <w:t xml:space="preserve">in </w:t>
      </w:r>
      <w:r w:rsidR="08054BA8">
        <w:rPr>
          <w:lang w:val="en-US"/>
        </w:rPr>
        <w:t xml:space="preserve">a large </w:t>
      </w:r>
      <w:r w:rsidR="68EDCEC9">
        <w:rPr>
          <w:lang w:val="en-US"/>
        </w:rPr>
        <w:t>series of treated patients</w:t>
      </w:r>
      <w:r w:rsidR="08054BA8">
        <w:rPr>
          <w:lang w:val="en-US"/>
        </w:rPr>
        <w:t xml:space="preserve"> in Edinburgh</w:t>
      </w:r>
      <w:r w:rsidR="68EDCEC9">
        <w:rPr>
          <w:lang w:val="en-US"/>
        </w:rPr>
        <w:t xml:space="preserve">, with </w:t>
      </w:r>
      <w:r w:rsidR="27F2E28B">
        <w:rPr>
          <w:lang w:val="en-US"/>
        </w:rPr>
        <w:t>severe l</w:t>
      </w:r>
      <w:r w:rsidR="68EDCEC9">
        <w:rPr>
          <w:lang w:val="en-US"/>
        </w:rPr>
        <w:t>i</w:t>
      </w:r>
      <w:r w:rsidR="27F2E28B">
        <w:rPr>
          <w:lang w:val="en-US"/>
        </w:rPr>
        <w:t>v</w:t>
      </w:r>
      <w:r w:rsidR="68EDCEC9">
        <w:rPr>
          <w:lang w:val="en-US"/>
        </w:rPr>
        <w:t xml:space="preserve">er injury </w:t>
      </w:r>
      <w:r w:rsidR="27F2E28B">
        <w:rPr>
          <w:lang w:val="en-US"/>
        </w:rPr>
        <w:t>(ALT</w:t>
      </w:r>
      <w:r w:rsidR="00611E6A">
        <w:rPr>
          <w:lang w:val="en-US"/>
        </w:rPr>
        <w:t xml:space="preserve"> </w:t>
      </w:r>
      <w:r w:rsidR="27F2E28B">
        <w:rPr>
          <w:lang w:val="en-US"/>
        </w:rPr>
        <w:t xml:space="preserve">&gt;1000) </w:t>
      </w:r>
      <w:r w:rsidR="68EDCEC9">
        <w:rPr>
          <w:lang w:val="en-US"/>
        </w:rPr>
        <w:t xml:space="preserve">occurring in </w:t>
      </w:r>
      <w:r w:rsidR="6ECF5B0F">
        <w:rPr>
          <w:lang w:val="en-US"/>
        </w:rPr>
        <w:t>3.9</w:t>
      </w:r>
      <w:r w:rsidR="27F2E28B">
        <w:rPr>
          <w:lang w:val="en-US"/>
        </w:rPr>
        <w:t xml:space="preserve"> % (</w:t>
      </w:r>
      <w:r w:rsidR="47D02A88">
        <w:rPr>
          <w:lang w:val="en-US"/>
        </w:rPr>
        <w:t>13</w:t>
      </w:r>
      <w:r w:rsidR="23F519A4">
        <w:rPr>
          <w:lang w:val="en-US"/>
        </w:rPr>
        <w:t>1</w:t>
      </w:r>
      <w:r w:rsidR="27F2E28B">
        <w:rPr>
          <w:lang w:val="en-US"/>
        </w:rPr>
        <w:t>/</w:t>
      </w:r>
      <w:r w:rsidR="6ECF5B0F">
        <w:rPr>
          <w:lang w:val="en-US"/>
        </w:rPr>
        <w:t>3340</w:t>
      </w:r>
      <w:r w:rsidR="27F2E28B">
        <w:rPr>
          <w:lang w:val="en-US"/>
        </w:rPr>
        <w:t>)</w:t>
      </w:r>
      <w:r w:rsidR="006E16BE">
        <w:rPr>
          <w:lang w:val="en-US"/>
        </w:rPr>
        <w:fldChar w:fldCharType="begin">
          <w:fldData xml:space="preserve">PEVuZE5vdGU+PENpdGU+PEF1dGhvcj5QZXR0aWU8L0F1dGhvcj48WWVhcj4yMDE5PC9ZZWFyPjxS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</w:fldData>
        </w:fldChar>
      </w:r>
      <w:r w:rsidR="006E08D8">
        <w:rPr>
          <w:lang w:val="en-US"/>
        </w:rPr>
        <w:instrText xml:space="preserve"> ADDIN EN.CITE </w:instrText>
      </w:r>
      <w:r w:rsidR="006E08D8">
        <w:rPr>
          <w:lang w:val="en-US"/>
        </w:rPr>
        <w:fldChar w:fldCharType="begin">
          <w:fldData xml:space="preserve">PEVuZE5vdGU+PENpdGU+PEF1dGhvcj5QZXR0aWU8L0F1dGhvcj48WWVhcj4yMDE5PC9ZZWFyPjxS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</w:fldData>
        </w:fldChar>
      </w:r>
      <w:r w:rsidR="006E08D8">
        <w:rPr>
          <w:lang w:val="en-US"/>
        </w:rPr>
        <w:instrText xml:space="preserve"> ADDIN EN.CITE.DATA </w:instrText>
      </w:r>
      <w:r w:rsidR="006E08D8">
        <w:rPr>
          <w:lang w:val="en-US"/>
        </w:rPr>
      </w:r>
      <w:r w:rsidR="006E08D8">
        <w:rPr>
          <w:lang w:val="en-US"/>
        </w:rPr>
        <w:fldChar w:fldCharType="end"/>
      </w:r>
      <w:r w:rsidR="006E16BE">
        <w:rPr>
          <w:lang w:val="en-US"/>
        </w:rPr>
      </w:r>
      <w:r w:rsidR="006E16BE">
        <w:rPr>
          <w:lang w:val="en-US"/>
        </w:rPr>
        <w:fldChar w:fldCharType="separate"/>
      </w:r>
      <w:r w:rsidR="0A05D441">
        <w:rPr>
          <w:noProof/>
          <w:lang w:val="en-US"/>
        </w:rPr>
        <w:t>(Pettie et al., 2019)</w:t>
      </w:r>
      <w:r w:rsidR="006E16BE">
        <w:rPr>
          <w:lang w:val="en-US"/>
        </w:rPr>
        <w:fldChar w:fldCharType="end"/>
      </w:r>
      <w:r w:rsidR="0951B97F">
        <w:rPr>
          <w:lang w:val="en-US"/>
        </w:rPr>
        <w:t>.</w:t>
      </w:r>
      <w:r w:rsidR="3CA296A1">
        <w:rPr>
          <w:lang w:val="en-US"/>
        </w:rPr>
        <w:t xml:space="preserve"> </w:t>
      </w:r>
    </w:p>
    <w:p w14:paraId="3085F718" w14:textId="258E17D2" w:rsidR="736C0D87" w:rsidRDefault="736C0D87" w:rsidP="009E13ED">
      <w:pPr>
        <w:rPr>
          <w:rFonts w:eastAsia="Calibri" w:cs="Arial"/>
          <w:lang w:val="en-US"/>
        </w:rPr>
      </w:pPr>
      <w:r w:rsidRPr="29E4A84D">
        <w:rPr>
          <w:rFonts w:eastAsia="Calibri" w:cs="Arial"/>
          <w:lang w:val="en-US"/>
        </w:rPr>
        <w:t>Changes to pack sizes has resulted in a 43% reduction in paracetamol deaths involving suicide or undetermined verdicts in England and Wales between 1998 and 2009</w:t>
      </w:r>
      <w:r w:rsidR="1BBCD0E6" w:rsidRPr="29E4A84D">
        <w:rPr>
          <w:rFonts w:eastAsia="Calibri" w:cs="Arial"/>
          <w:lang w:val="en-US"/>
        </w:rPr>
        <w:t xml:space="preserve"> </w:t>
      </w:r>
      <w:r w:rsidR="1BBCD0E6" w:rsidRPr="00122186">
        <w:rPr>
          <w:rFonts w:eastAsia="Calibri" w:cs="Arial"/>
          <w:lang w:val="en-US"/>
        </w:rPr>
        <w:t>(Hawton et al., 2013)</w:t>
      </w:r>
      <w:r w:rsidRPr="29E4A84D">
        <w:rPr>
          <w:rFonts w:eastAsia="Calibri" w:cs="Arial"/>
          <w:lang w:val="en-US"/>
        </w:rPr>
        <w:t xml:space="preserve">. </w:t>
      </w:r>
      <w:r w:rsidR="3C62D7D8" w:rsidRPr="6D3A691C">
        <w:rPr>
          <w:rFonts w:eastAsia="Calibri" w:cs="Arial"/>
          <w:lang w:val="en-US"/>
        </w:rPr>
        <w:t>A</w:t>
      </w:r>
      <w:r w:rsidR="2F57B6F5" w:rsidRPr="29E4A84D">
        <w:rPr>
          <w:rFonts w:eastAsia="Calibri" w:cs="Arial"/>
          <w:lang w:val="en-US"/>
        </w:rPr>
        <w:t xml:space="preserve"> 61% reduction in registration for liver transplants</w:t>
      </w:r>
      <w:r w:rsidR="00D4343A" w:rsidRPr="29E4A84D">
        <w:rPr>
          <w:rFonts w:eastAsia="Calibri" w:cs="Arial"/>
          <w:lang w:val="en-US"/>
        </w:rPr>
        <w:t xml:space="preserve"> for paracetamol-induced hepatotoxicity</w:t>
      </w:r>
      <w:r w:rsidR="5B3A35E7" w:rsidRPr="6D3A691C">
        <w:rPr>
          <w:rFonts w:eastAsia="Calibri" w:cs="Arial"/>
          <w:lang w:val="en-US"/>
        </w:rPr>
        <w:t xml:space="preserve"> was observed</w:t>
      </w:r>
      <w:r w:rsidR="2F57B6F5" w:rsidRPr="29E4A84D">
        <w:rPr>
          <w:rFonts w:eastAsia="Calibri" w:cs="Arial"/>
          <w:lang w:val="en-US"/>
        </w:rPr>
        <w:t xml:space="preserve">, however </w:t>
      </w:r>
      <w:r w:rsidR="00D4343A" w:rsidRPr="29E4A84D">
        <w:rPr>
          <w:rFonts w:eastAsia="Calibri" w:cs="Arial"/>
          <w:lang w:val="en-US"/>
        </w:rPr>
        <w:t xml:space="preserve">there was </w:t>
      </w:r>
      <w:r w:rsidR="2F57B6F5" w:rsidRPr="29E4A84D">
        <w:rPr>
          <w:rFonts w:eastAsia="Calibri" w:cs="Arial"/>
          <w:lang w:val="en-US"/>
        </w:rPr>
        <w:t>no reductio</w:t>
      </w:r>
      <w:r w:rsidR="00D4343A" w:rsidRPr="29E4A84D">
        <w:rPr>
          <w:rFonts w:eastAsia="Calibri" w:cs="Arial"/>
          <w:lang w:val="en-US"/>
        </w:rPr>
        <w:t>n</w:t>
      </w:r>
      <w:r w:rsidR="2F57B6F5" w:rsidRPr="29E4A84D">
        <w:rPr>
          <w:rFonts w:eastAsia="Calibri" w:cs="Arial"/>
          <w:lang w:val="en-US"/>
        </w:rPr>
        <w:t xml:space="preserve"> in actual transplantations.</w:t>
      </w:r>
    </w:p>
    <w:p w14:paraId="38498153" w14:textId="0B7A5951" w:rsidR="2F57B6F5" w:rsidRDefault="2F57B6F5" w:rsidP="3F26E0DA">
      <w:pPr>
        <w:rPr>
          <w:rFonts w:eastAsia="Calibri" w:cs="Arial"/>
          <w:lang w:val="en-US"/>
        </w:rPr>
      </w:pPr>
      <w:r w:rsidRPr="19FD708A">
        <w:rPr>
          <w:rFonts w:eastAsia="Calibri" w:cs="Arial"/>
          <w:lang w:val="en-US"/>
        </w:rPr>
        <w:t xml:space="preserve">Reducing pack sizes in the UK reduced median number of tablets taken in intentional overdose attempts </w:t>
      </w:r>
      <w:r w:rsidR="007041CF" w:rsidRPr="19FD708A">
        <w:rPr>
          <w:rFonts w:eastAsia="Calibri" w:cs="Arial"/>
          <w:lang w:val="en-US"/>
        </w:rPr>
        <w:t>(</w:t>
      </w:r>
      <w:r w:rsidR="00820C72" w:rsidRPr="19FD708A">
        <w:rPr>
          <w:rFonts w:eastAsia="Calibri" w:cs="Arial"/>
          <w:lang w:val="en-US"/>
        </w:rPr>
        <w:t>50 to 20 tablets for males and 20 to 16 tablets for females)</w:t>
      </w:r>
      <w:r w:rsidR="2AFEDCFD" w:rsidRPr="19FD708A">
        <w:rPr>
          <w:rFonts w:eastAsia="Calibri" w:cs="Arial"/>
          <w:lang w:val="en-US"/>
        </w:rPr>
        <w:t xml:space="preserve"> </w:t>
      </w:r>
      <w:r w:rsidR="2AFEDCFD" w:rsidRPr="00122186">
        <w:rPr>
          <w:rFonts w:eastAsia="Calibri" w:cs="Arial"/>
          <w:lang w:val="en-US"/>
        </w:rPr>
        <w:t>(Morgan et al., 2007)</w:t>
      </w:r>
      <w:r w:rsidR="00172A4E" w:rsidRPr="00122186">
        <w:rPr>
          <w:rFonts w:eastAsia="Calibri" w:cs="Arial"/>
          <w:lang w:val="en-US"/>
        </w:rPr>
        <w:t>.</w:t>
      </w:r>
      <w:r w:rsidR="00172A4E" w:rsidRPr="19FD708A">
        <w:rPr>
          <w:rFonts w:eastAsia="Calibri" w:cs="Arial"/>
          <w:lang w:val="en-US"/>
        </w:rPr>
        <w:t xml:space="preserve"> </w:t>
      </w:r>
      <w:r w:rsidR="000A48B4" w:rsidRPr="19FD708A">
        <w:rPr>
          <w:rFonts w:eastAsia="Calibri" w:cs="Arial"/>
          <w:lang w:val="en-US"/>
        </w:rPr>
        <w:t xml:space="preserve">There was also a reduction in </w:t>
      </w:r>
      <w:r w:rsidR="00A50006">
        <w:rPr>
          <w:rFonts w:eastAsia="Calibri" w:cs="Arial"/>
          <w:lang w:val="en-US"/>
        </w:rPr>
        <w:t>t</w:t>
      </w:r>
      <w:r w:rsidRPr="19FD708A">
        <w:rPr>
          <w:rFonts w:eastAsia="Calibri" w:cs="Arial"/>
          <w:lang w:val="en-US"/>
        </w:rPr>
        <w:t>he proportion of patients who took higher doses</w:t>
      </w:r>
      <w:r w:rsidR="5A1B35A9" w:rsidRPr="19FD708A">
        <w:rPr>
          <w:rFonts w:eastAsia="Calibri" w:cs="Arial"/>
          <w:lang w:val="en-US"/>
        </w:rPr>
        <w:t xml:space="preserve"> in the range </w:t>
      </w:r>
      <w:r w:rsidR="5A1B35A9" w:rsidRPr="696A622C">
        <w:rPr>
          <w:rFonts w:eastAsia="Calibri" w:cs="Arial"/>
          <w:lang w:val="en-US"/>
        </w:rPr>
        <w:t xml:space="preserve">of </w:t>
      </w:r>
      <w:r w:rsidR="00197263" w:rsidRPr="19FD708A">
        <w:rPr>
          <w:rFonts w:eastAsia="Calibri" w:cs="Arial"/>
          <w:lang w:val="en-US"/>
        </w:rPr>
        <w:t>33 to 100 tabl</w:t>
      </w:r>
      <w:r w:rsidR="00884955" w:rsidRPr="19FD708A">
        <w:rPr>
          <w:rFonts w:eastAsia="Calibri" w:cs="Arial"/>
          <w:lang w:val="en-US"/>
        </w:rPr>
        <w:t>ets</w:t>
      </w:r>
      <w:r w:rsidR="2D68FAB3" w:rsidRPr="696A622C">
        <w:rPr>
          <w:rFonts w:eastAsia="Calibri" w:cs="Arial"/>
          <w:lang w:val="en-US"/>
        </w:rPr>
        <w:t>, which</w:t>
      </w:r>
      <w:r w:rsidR="00884955" w:rsidRPr="19FD708A">
        <w:rPr>
          <w:rFonts w:eastAsia="Calibri" w:cs="Arial"/>
          <w:lang w:val="en-US"/>
        </w:rPr>
        <w:t xml:space="preserve"> </w:t>
      </w:r>
      <w:r w:rsidR="000F2989" w:rsidRPr="19FD708A">
        <w:rPr>
          <w:rFonts w:eastAsia="Calibri" w:cs="Arial"/>
          <w:lang w:val="en-US"/>
        </w:rPr>
        <w:t>fell from 25% to 19%</w:t>
      </w:r>
      <w:r w:rsidRPr="19FD708A">
        <w:rPr>
          <w:rFonts w:eastAsia="Calibri" w:cs="Arial"/>
          <w:lang w:val="en-US"/>
        </w:rPr>
        <w:t>.</w:t>
      </w:r>
      <w:r w:rsidR="00CF6D11" w:rsidRPr="19FD708A">
        <w:rPr>
          <w:rFonts w:eastAsia="Calibri" w:cs="Arial"/>
          <w:lang w:val="en-US"/>
        </w:rPr>
        <w:t xml:space="preserve"> </w:t>
      </w:r>
      <w:r w:rsidR="00596ECC" w:rsidRPr="19FD708A">
        <w:rPr>
          <w:rFonts w:eastAsia="Calibri" w:cs="Arial"/>
          <w:lang w:val="en-US"/>
        </w:rPr>
        <w:t xml:space="preserve">Although the </w:t>
      </w:r>
      <w:r w:rsidR="00C57ABB" w:rsidRPr="19FD708A">
        <w:rPr>
          <w:rFonts w:eastAsia="Calibri" w:cs="Arial"/>
          <w:lang w:val="en-US"/>
        </w:rPr>
        <w:t xml:space="preserve">regulatory changes </w:t>
      </w:r>
      <w:r w:rsidR="007E29EF" w:rsidRPr="19FD708A">
        <w:rPr>
          <w:rFonts w:eastAsia="Calibri" w:cs="Arial"/>
          <w:lang w:val="en-US"/>
        </w:rPr>
        <w:t xml:space="preserve">produced a decline in the </w:t>
      </w:r>
      <w:r w:rsidR="00F44CE7" w:rsidRPr="19FD708A">
        <w:rPr>
          <w:rFonts w:eastAsia="Calibri" w:cs="Arial"/>
          <w:lang w:val="en-US"/>
        </w:rPr>
        <w:t>severity of paracetamol poisonings, there was no decline in the frequency of</w:t>
      </w:r>
      <w:r w:rsidR="009D25BF" w:rsidRPr="19FD708A">
        <w:rPr>
          <w:rFonts w:eastAsia="Calibri" w:cs="Arial"/>
          <w:lang w:val="en-US"/>
        </w:rPr>
        <w:t xml:space="preserve"> </w:t>
      </w:r>
      <w:r w:rsidR="0099096A" w:rsidRPr="19FD708A">
        <w:rPr>
          <w:rFonts w:eastAsia="Calibri" w:cs="Arial"/>
          <w:lang w:val="en-US"/>
        </w:rPr>
        <w:t xml:space="preserve">cases reported to </w:t>
      </w:r>
      <w:r w:rsidR="000F3FFC" w:rsidRPr="19FD708A">
        <w:rPr>
          <w:rFonts w:eastAsia="Calibri" w:cs="Arial"/>
          <w:lang w:val="en-US"/>
        </w:rPr>
        <w:t>Guy’s and St Thomas’ Poisons Unit (London).</w:t>
      </w:r>
      <w:r w:rsidRPr="19FD708A">
        <w:rPr>
          <w:rFonts w:eastAsia="Calibri" w:cs="Arial"/>
          <w:lang w:val="en-US"/>
        </w:rPr>
        <w:t xml:space="preserve">  </w:t>
      </w:r>
    </w:p>
    <w:p w14:paraId="1084F115" w14:textId="72D95B46" w:rsidR="00111F27" w:rsidRDefault="00111F27" w:rsidP="00DA557F">
      <w:pPr>
        <w:pStyle w:val="Heading2"/>
        <w:rPr>
          <w:lang w:val="en-US"/>
        </w:rPr>
      </w:pPr>
      <w:bookmarkStart w:id="138" w:name="_Toc112843935"/>
      <w:r w:rsidRPr="00DA557F">
        <w:t>Denmark</w:t>
      </w:r>
      <w:bookmarkEnd w:id="138"/>
    </w:p>
    <w:p w14:paraId="21FF7940" w14:textId="77777777" w:rsidR="00111F27" w:rsidRDefault="00111F27" w:rsidP="00111F27">
      <w:pPr>
        <w:rPr>
          <w:lang w:val="en-US"/>
        </w:rPr>
      </w:pPr>
      <w:r>
        <w:rPr>
          <w:lang w:val="en-US"/>
        </w:rPr>
        <w:t xml:space="preserve">In Denmark, they have an unscheduled pack limit of 10 tabs and a pharmacy pack limit of 20 tabs and no MR products. Hepatotoxicity occurred in 4% (31/767) of paracetamol poisonings treated with acetylcysteine with 2 deaths </w:t>
      </w:r>
      <w:r>
        <w:rPr>
          <w:lang w:val="en-US"/>
        </w:rPr>
        <w:fldChar w:fldCharType="begin">
          <w:fldData xml:space="preserve">PEVuZE5vdGU+PENpdGU+PEF1dGhvcj5TY2htaWR0PC9BdXRob3I+PFllYXI+MjAxODwvWWVhcj48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</w:fldData>
        </w:fldChar>
      </w:r>
      <w:r>
        <w:rPr>
          <w:lang w:val="en-US"/>
        </w:rPr>
        <w:instrText xml:space="preserve"> ADDIN EN.CITE </w:instrText>
      </w:r>
      <w:r>
        <w:rPr>
          <w:lang w:val="en-US"/>
        </w:rPr>
        <w:fldChar w:fldCharType="begin">
          <w:fldData xml:space="preserve">PEVuZE5vdGU+PENpdGU+PEF1dGhvcj5TY2htaWR0PC9BdXRob3I+PFllYXI+MjAxODwvWWVhcj48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</w:fldData>
        </w:fldChar>
      </w:r>
      <w:r>
        <w:rPr>
          <w:lang w:val="en-US"/>
        </w:rPr>
        <w:instrText xml:space="preserve"> ADDIN EN.CITE.DATA </w:instrText>
      </w:r>
      <w:r>
        <w:rPr>
          <w:lang w:val="en-US"/>
        </w:rPr>
      </w:r>
      <w:r>
        <w:rPr>
          <w:lang w:val="en-US"/>
        </w:rPr>
        <w:fldChar w:fldCharType="end"/>
      </w:r>
      <w:r>
        <w:rPr>
          <w:lang w:val="en-US"/>
        </w:rPr>
      </w:r>
      <w:r>
        <w:rPr>
          <w:lang w:val="en-US"/>
        </w:rPr>
        <w:fldChar w:fldCharType="separate"/>
      </w:r>
      <w:r>
        <w:rPr>
          <w:noProof/>
          <w:lang w:val="en-US"/>
        </w:rPr>
        <w:t>(Schmidt et al., 2018)</w:t>
      </w:r>
      <w:r>
        <w:rPr>
          <w:lang w:val="en-US"/>
        </w:rPr>
        <w:fldChar w:fldCharType="end"/>
      </w:r>
      <w:r>
        <w:rPr>
          <w:lang w:val="en-US"/>
        </w:rPr>
        <w:t>.</w:t>
      </w:r>
    </w:p>
    <w:p w14:paraId="25468E01" w14:textId="075F5C27" w:rsidR="00DE7C1D" w:rsidRDefault="00DE7C1D" w:rsidP="00DA557F">
      <w:pPr>
        <w:pStyle w:val="Heading2"/>
        <w:rPr>
          <w:lang w:val="en-US"/>
        </w:rPr>
      </w:pPr>
      <w:bookmarkStart w:id="139" w:name="_Toc112843936"/>
      <w:r>
        <w:rPr>
          <w:lang w:val="en-US"/>
        </w:rPr>
        <w:t>Ireland</w:t>
      </w:r>
      <w:bookmarkEnd w:id="139"/>
    </w:p>
    <w:p w14:paraId="7D69C75E" w14:textId="5BBD3BC2" w:rsidR="00DE7C1D" w:rsidRDefault="6889008E" w:rsidP="009519AC">
      <w:pPr>
        <w:rPr>
          <w:lang w:val="en-US"/>
        </w:rPr>
      </w:pPr>
      <w:r>
        <w:rPr>
          <w:lang w:val="en-US"/>
        </w:rPr>
        <w:t xml:space="preserve">Ireland has </w:t>
      </w:r>
      <w:r w:rsidR="4F378D3B">
        <w:rPr>
          <w:lang w:val="en-US"/>
        </w:rPr>
        <w:t xml:space="preserve">even </w:t>
      </w:r>
      <w:r>
        <w:rPr>
          <w:lang w:val="en-US"/>
        </w:rPr>
        <w:t>tight</w:t>
      </w:r>
      <w:r w:rsidR="4F378D3B">
        <w:rPr>
          <w:lang w:val="en-US"/>
        </w:rPr>
        <w:t>er</w:t>
      </w:r>
      <w:r>
        <w:rPr>
          <w:lang w:val="en-US"/>
        </w:rPr>
        <w:t xml:space="preserve"> scheduling</w:t>
      </w:r>
      <w:r w:rsidR="02DA6861">
        <w:rPr>
          <w:lang w:val="en-US"/>
        </w:rPr>
        <w:t>,</w:t>
      </w:r>
      <w:r w:rsidR="4F378D3B">
        <w:rPr>
          <w:lang w:val="en-US"/>
        </w:rPr>
        <w:t xml:space="preserve"> with maximum pack size of 12-tablets for </w:t>
      </w:r>
      <w:r w:rsidR="75F5DC63">
        <w:rPr>
          <w:lang w:val="en-US"/>
        </w:rPr>
        <w:t>unscheduled products</w:t>
      </w:r>
      <w:r w:rsidR="00052612">
        <w:rPr>
          <w:lang w:val="en-US"/>
        </w:rPr>
        <w:t>, that w</w:t>
      </w:r>
      <w:r w:rsidR="00D42625">
        <w:rPr>
          <w:lang w:val="en-US"/>
        </w:rPr>
        <w:t>as introduced in 2001</w:t>
      </w:r>
      <w:r>
        <w:rPr>
          <w:lang w:val="en-US"/>
        </w:rPr>
        <w:t xml:space="preserve">. In a recent study </w:t>
      </w:r>
      <w:r w:rsidR="28EA7FE5">
        <w:rPr>
          <w:lang w:val="en-US"/>
        </w:rPr>
        <w:t>roughly a third of young people (</w:t>
      </w:r>
      <w:r w:rsidR="5461DBD1">
        <w:rPr>
          <w:lang w:val="en-US"/>
        </w:rPr>
        <w:t xml:space="preserve">ages </w:t>
      </w:r>
      <w:r w:rsidR="28EA7FE5">
        <w:rPr>
          <w:lang w:val="en-US"/>
        </w:rPr>
        <w:t>10</w:t>
      </w:r>
      <w:r w:rsidR="5461DBD1">
        <w:rPr>
          <w:lang w:val="en-US"/>
        </w:rPr>
        <w:t xml:space="preserve"> to </w:t>
      </w:r>
      <w:r w:rsidR="28EA7FE5">
        <w:rPr>
          <w:lang w:val="en-US"/>
        </w:rPr>
        <w:t xml:space="preserve">24) took </w:t>
      </w:r>
      <w:r w:rsidR="53EA1D22">
        <w:rPr>
          <w:rFonts w:cs="Times New Roman"/>
          <w:lang w:val="en-US"/>
        </w:rPr>
        <w:t>≤</w:t>
      </w:r>
      <w:r w:rsidR="53EA1D22">
        <w:rPr>
          <w:lang w:val="en-US"/>
        </w:rPr>
        <w:t xml:space="preserve"> </w:t>
      </w:r>
      <w:r w:rsidR="28EA7FE5">
        <w:rPr>
          <w:lang w:val="en-US"/>
        </w:rPr>
        <w:t xml:space="preserve">12 tablets and two-thirds </w:t>
      </w:r>
      <w:r w:rsidR="53EA1D22">
        <w:rPr>
          <w:rFonts w:cs="Times New Roman"/>
          <w:lang w:val="en-US"/>
        </w:rPr>
        <w:t>≤</w:t>
      </w:r>
      <w:r w:rsidR="28EA7FE5">
        <w:rPr>
          <w:lang w:val="en-US"/>
        </w:rPr>
        <w:t xml:space="preserve"> </w:t>
      </w:r>
      <w:r w:rsidR="5461DBD1">
        <w:rPr>
          <w:lang w:val="en-US"/>
        </w:rPr>
        <w:t>24 tablets</w:t>
      </w:r>
      <w:r w:rsidR="114C1437">
        <w:rPr>
          <w:lang w:val="en-US"/>
        </w:rPr>
        <w:t xml:space="preserve"> </w:t>
      </w:r>
      <w:r w:rsidR="004024C0">
        <w:rPr>
          <w:lang w:val="en-US"/>
        </w:rPr>
        <w:fldChar w:fldCharType="begin">
          <w:fldData xml:space="preserve">PEVuZE5vdGU+PENpdGU+PEF1dGhvcj5EYWx5PC9BdXRob3I+PFllYXI+MjAyMTwvWWVhcj48UmVj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=
</w:fldData>
        </w:fldChar>
      </w:r>
      <w:r w:rsidR="006E08D8">
        <w:rPr>
          <w:lang w:val="en-US"/>
        </w:rPr>
        <w:instrText xml:space="preserve"> ADDIN EN.CITE </w:instrText>
      </w:r>
      <w:r w:rsidR="006E08D8">
        <w:rPr>
          <w:lang w:val="en-US"/>
        </w:rPr>
        <w:fldChar w:fldCharType="begin">
          <w:fldData xml:space="preserve">PEVuZE5vdGU+PENpdGU+PEF1dGhvcj5EYWx5PC9BdXRob3I+PFllYXI+MjAyMTwvWWVhcj48UmVj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=
</w:fldData>
        </w:fldChar>
      </w:r>
      <w:r w:rsidR="006E08D8">
        <w:rPr>
          <w:lang w:val="en-US"/>
        </w:rPr>
        <w:instrText xml:space="preserve"> ADDIN EN.CITE.DATA </w:instrText>
      </w:r>
      <w:r w:rsidR="006E08D8">
        <w:rPr>
          <w:lang w:val="en-US"/>
        </w:rPr>
      </w:r>
      <w:r w:rsidR="006E08D8">
        <w:rPr>
          <w:lang w:val="en-US"/>
        </w:rPr>
        <w:fldChar w:fldCharType="end"/>
      </w:r>
      <w:r w:rsidR="004024C0">
        <w:rPr>
          <w:lang w:val="en-US"/>
        </w:rPr>
      </w:r>
      <w:r w:rsidR="004024C0">
        <w:rPr>
          <w:lang w:val="en-US"/>
        </w:rPr>
        <w:fldChar w:fldCharType="separate"/>
      </w:r>
      <w:r w:rsidR="5F977DAE">
        <w:rPr>
          <w:noProof/>
          <w:lang w:val="en-US"/>
        </w:rPr>
        <w:t>(Daly et al., 2021b)</w:t>
      </w:r>
      <w:r w:rsidR="004024C0">
        <w:rPr>
          <w:lang w:val="en-US"/>
        </w:rPr>
        <w:fldChar w:fldCharType="end"/>
      </w:r>
      <w:r w:rsidR="2DBEA4FB">
        <w:rPr>
          <w:lang w:val="en-US"/>
        </w:rPr>
        <w:t>.</w:t>
      </w:r>
      <w:r w:rsidR="5461DBD1">
        <w:rPr>
          <w:lang w:val="en-US"/>
        </w:rPr>
        <w:t xml:space="preserve"> </w:t>
      </w:r>
      <w:r w:rsidR="53EA1D22">
        <w:rPr>
          <w:lang w:val="en-US"/>
        </w:rPr>
        <w:t>Th</w:t>
      </w:r>
      <w:r w:rsidR="27DEF989">
        <w:rPr>
          <w:lang w:val="en-US"/>
        </w:rPr>
        <w:t xml:space="preserve">ese proportions are about 25% </w:t>
      </w:r>
      <w:r w:rsidR="2DAAF0C2">
        <w:rPr>
          <w:lang w:val="en-US"/>
        </w:rPr>
        <w:t xml:space="preserve">higher </w:t>
      </w:r>
      <w:r w:rsidR="53EA1D22">
        <w:rPr>
          <w:lang w:val="en-US"/>
        </w:rPr>
        <w:t xml:space="preserve">than </w:t>
      </w:r>
      <w:r w:rsidR="2DAAF0C2">
        <w:rPr>
          <w:lang w:val="en-US"/>
        </w:rPr>
        <w:t xml:space="preserve">for </w:t>
      </w:r>
      <w:r w:rsidR="53EA1D22">
        <w:rPr>
          <w:lang w:val="en-US"/>
        </w:rPr>
        <w:t xml:space="preserve">the </w:t>
      </w:r>
      <w:r w:rsidR="6C0FB0A6">
        <w:rPr>
          <w:lang w:val="en-US"/>
        </w:rPr>
        <w:t>over</w:t>
      </w:r>
      <w:r w:rsidR="53EA1D22">
        <w:rPr>
          <w:lang w:val="en-US"/>
        </w:rPr>
        <w:t xml:space="preserve">doses taken in Australia </w:t>
      </w:r>
      <w:r w:rsidR="53684DDC">
        <w:rPr>
          <w:lang w:val="en-US"/>
        </w:rPr>
        <w:t xml:space="preserve">where </w:t>
      </w:r>
      <w:r w:rsidR="241C993F">
        <w:rPr>
          <w:lang w:val="en-US"/>
        </w:rPr>
        <w:t xml:space="preserve">roughly half are </w:t>
      </w:r>
      <w:r w:rsidR="53684DDC">
        <w:rPr>
          <w:rFonts w:cs="Times New Roman"/>
          <w:lang w:val="en-US"/>
        </w:rPr>
        <w:t>≤</w:t>
      </w:r>
      <w:r w:rsidR="241C993F">
        <w:rPr>
          <w:lang w:val="en-US"/>
        </w:rPr>
        <w:t xml:space="preserve"> </w:t>
      </w:r>
      <w:r w:rsidR="53684DDC">
        <w:rPr>
          <w:lang w:val="en-US"/>
        </w:rPr>
        <w:t>10 g</w:t>
      </w:r>
      <w:r w:rsidR="53EA1D22">
        <w:rPr>
          <w:lang w:val="en-US"/>
        </w:rPr>
        <w:t xml:space="preserve">). </w:t>
      </w:r>
      <w:r w:rsidR="5461DBD1">
        <w:rPr>
          <w:lang w:val="en-US"/>
        </w:rPr>
        <w:t>Clinical outcomes were not reported</w:t>
      </w:r>
      <w:r w:rsidR="5EAE40F9">
        <w:rPr>
          <w:lang w:val="en-US"/>
        </w:rPr>
        <w:t>, but it would be assumed that the outcomes in these people w</w:t>
      </w:r>
      <w:r w:rsidR="2DAAF0C2">
        <w:rPr>
          <w:lang w:val="en-US"/>
        </w:rPr>
        <w:t>ere</w:t>
      </w:r>
      <w:r w:rsidR="5EAE40F9">
        <w:rPr>
          <w:lang w:val="en-US"/>
        </w:rPr>
        <w:t xml:space="preserve"> favorable.</w:t>
      </w:r>
      <w:r w:rsidR="5461DBD1">
        <w:rPr>
          <w:lang w:val="en-US"/>
        </w:rPr>
        <w:t xml:space="preserve"> </w:t>
      </w:r>
    </w:p>
    <w:p w14:paraId="298DAEC6" w14:textId="76A6551C" w:rsidR="0B7378E7" w:rsidRPr="007D79C1" w:rsidRDefault="0B7378E7" w:rsidP="009E13ED">
      <w:pPr>
        <w:rPr>
          <w:rFonts w:eastAsia="Calibri" w:cs="Arial"/>
          <w:lang w:val="en-US"/>
        </w:rPr>
      </w:pPr>
      <w:r w:rsidRPr="20B051F0">
        <w:rPr>
          <w:rFonts w:eastAsia="Calibri" w:cs="Arial"/>
          <w:lang w:val="en-US"/>
        </w:rPr>
        <w:t xml:space="preserve">Pack size reductions </w:t>
      </w:r>
      <w:r w:rsidR="000F240D" w:rsidRPr="20B051F0">
        <w:rPr>
          <w:rFonts w:eastAsia="Calibri" w:cs="Arial"/>
          <w:lang w:val="en-US"/>
        </w:rPr>
        <w:t xml:space="preserve">introduced in 2001 resulted in </w:t>
      </w:r>
      <w:r w:rsidR="00A84E89" w:rsidRPr="20B051F0">
        <w:rPr>
          <w:rFonts w:eastAsia="Calibri" w:cs="Arial"/>
          <w:lang w:val="en-US"/>
        </w:rPr>
        <w:t xml:space="preserve">a reduction in the number of </w:t>
      </w:r>
      <w:r w:rsidR="00D22314" w:rsidRPr="20B051F0">
        <w:rPr>
          <w:rFonts w:eastAsia="Calibri" w:cs="Arial"/>
          <w:lang w:val="en-US"/>
        </w:rPr>
        <w:t xml:space="preserve">tablets taken in deliberate </w:t>
      </w:r>
      <w:r w:rsidR="00344C5B" w:rsidRPr="20B051F0">
        <w:rPr>
          <w:rFonts w:eastAsia="Calibri" w:cs="Arial"/>
          <w:lang w:val="en-US"/>
        </w:rPr>
        <w:t>paracetamol overdoses</w:t>
      </w:r>
      <w:r w:rsidR="00981F13" w:rsidRPr="20B051F0">
        <w:rPr>
          <w:rFonts w:eastAsia="Calibri" w:cs="Arial"/>
          <w:lang w:val="en-US"/>
        </w:rPr>
        <w:t xml:space="preserve">, with fewer cases involving </w:t>
      </w:r>
      <w:r w:rsidR="00F12D7D" w:rsidRPr="20B051F0">
        <w:rPr>
          <w:rFonts w:eastAsia="Calibri" w:cs="Arial"/>
          <w:lang w:val="en-US"/>
        </w:rPr>
        <w:t>more than 24 tablets</w:t>
      </w:r>
      <w:r w:rsidR="5D89294F" w:rsidRPr="20B051F0">
        <w:rPr>
          <w:rFonts w:eastAsia="Calibri" w:cs="Arial"/>
          <w:lang w:val="en-US"/>
        </w:rPr>
        <w:t xml:space="preserve"> </w:t>
      </w:r>
      <w:r w:rsidR="5D89294F" w:rsidRPr="00122186">
        <w:rPr>
          <w:rFonts w:eastAsia="Calibri" w:cs="Arial"/>
          <w:lang w:val="en-US"/>
        </w:rPr>
        <w:t>(Donohoe et al., 2006)</w:t>
      </w:r>
      <w:r w:rsidR="00F12D7D" w:rsidRPr="00122186">
        <w:rPr>
          <w:rFonts w:eastAsia="Calibri" w:cs="Arial"/>
          <w:lang w:val="en-US"/>
        </w:rPr>
        <w:t>.</w:t>
      </w:r>
      <w:r w:rsidR="00F12D7D" w:rsidRPr="20B051F0">
        <w:rPr>
          <w:rFonts w:eastAsia="Calibri" w:cs="Arial"/>
          <w:lang w:val="en-US"/>
        </w:rPr>
        <w:t xml:space="preserve"> </w:t>
      </w:r>
      <w:r w:rsidR="00344C5B" w:rsidRPr="20B051F0">
        <w:rPr>
          <w:rFonts w:eastAsia="Calibri" w:cs="Arial"/>
          <w:lang w:val="en-US"/>
        </w:rPr>
        <w:t xml:space="preserve"> </w:t>
      </w:r>
      <w:r w:rsidR="006A7EAC" w:rsidRPr="20B051F0">
        <w:rPr>
          <w:rFonts w:eastAsia="Calibri" w:cs="Arial"/>
          <w:lang w:val="en-US"/>
        </w:rPr>
        <w:t xml:space="preserve">Although Ireland has lower </w:t>
      </w:r>
      <w:r w:rsidR="00B050D9" w:rsidRPr="20B051F0">
        <w:rPr>
          <w:rFonts w:eastAsia="Calibri" w:cs="Arial"/>
          <w:lang w:val="en-US"/>
        </w:rPr>
        <w:t>pack size limits compared to the UK</w:t>
      </w:r>
      <w:r w:rsidR="00107D34" w:rsidRPr="20B051F0">
        <w:rPr>
          <w:rFonts w:eastAsia="Calibri" w:cs="Arial"/>
          <w:lang w:val="en-US"/>
        </w:rPr>
        <w:t xml:space="preserve">, </w:t>
      </w:r>
      <w:r w:rsidR="0022293C" w:rsidRPr="20B051F0">
        <w:rPr>
          <w:rFonts w:eastAsia="Calibri" w:cs="Arial"/>
          <w:lang w:val="en-US"/>
        </w:rPr>
        <w:t>th</w:t>
      </w:r>
      <w:r w:rsidR="00BE5898" w:rsidRPr="20B051F0">
        <w:rPr>
          <w:rFonts w:eastAsia="Calibri" w:cs="Arial"/>
          <w:lang w:val="en-US"/>
        </w:rPr>
        <w:t xml:space="preserve">is does not appear to have resulted in major differences </w:t>
      </w:r>
      <w:r w:rsidR="002119AD" w:rsidRPr="20B051F0">
        <w:rPr>
          <w:rFonts w:eastAsia="Calibri" w:cs="Arial"/>
          <w:lang w:val="en-US"/>
        </w:rPr>
        <w:t>in sizes of overdoses</w:t>
      </w:r>
      <w:r w:rsidR="37741A90" w:rsidRPr="20B051F0">
        <w:rPr>
          <w:rFonts w:eastAsia="Calibri" w:cs="Arial"/>
          <w:lang w:val="en-US"/>
        </w:rPr>
        <w:t xml:space="preserve"> </w:t>
      </w:r>
      <w:r w:rsidR="37741A90" w:rsidRPr="00122186">
        <w:rPr>
          <w:rFonts w:eastAsia="Calibri" w:cs="Arial"/>
          <w:lang w:val="en-US"/>
        </w:rPr>
        <w:t>(Hawton et al, 2011)</w:t>
      </w:r>
      <w:r w:rsidR="002119AD" w:rsidRPr="1955082E">
        <w:rPr>
          <w:rFonts w:eastAsia="Calibri" w:cs="Arial"/>
          <w:lang w:val="en-US"/>
        </w:rPr>
        <w:t>.</w:t>
      </w:r>
      <w:r w:rsidR="002119AD" w:rsidRPr="20B051F0">
        <w:rPr>
          <w:rFonts w:eastAsia="Calibri" w:cs="Arial"/>
          <w:lang w:val="en-US"/>
        </w:rPr>
        <w:t xml:space="preserve"> </w:t>
      </w:r>
      <w:r w:rsidR="00405E7B" w:rsidRPr="20B051F0">
        <w:rPr>
          <w:rFonts w:eastAsia="Calibri" w:cs="Arial"/>
          <w:lang w:val="en-US"/>
        </w:rPr>
        <w:t xml:space="preserve">There were significantly more pack equivalents </w:t>
      </w:r>
      <w:r w:rsidR="00A657F4" w:rsidRPr="20B051F0">
        <w:rPr>
          <w:rFonts w:eastAsia="Calibri" w:cs="Arial"/>
          <w:lang w:val="en-US"/>
        </w:rPr>
        <w:t xml:space="preserve">(based on maximum non-pharmacy pack sizes) </w:t>
      </w:r>
      <w:r w:rsidR="00FB3490" w:rsidRPr="20B051F0">
        <w:rPr>
          <w:rFonts w:eastAsia="Calibri" w:cs="Arial"/>
          <w:lang w:val="en-US"/>
        </w:rPr>
        <w:t>used in overdoses in Ireland compared to the UK</w:t>
      </w:r>
      <w:r w:rsidR="009B51F3" w:rsidRPr="20B051F0">
        <w:rPr>
          <w:rFonts w:eastAsia="Calibri" w:cs="Arial"/>
          <w:lang w:val="en-US"/>
        </w:rPr>
        <w:t xml:space="preserve">, </w:t>
      </w:r>
      <w:r w:rsidR="004B7745" w:rsidRPr="20B051F0">
        <w:rPr>
          <w:rFonts w:eastAsia="Calibri" w:cs="Arial"/>
          <w:lang w:val="en-US"/>
        </w:rPr>
        <w:t xml:space="preserve">noting </w:t>
      </w:r>
      <w:r w:rsidR="00A657F4" w:rsidRPr="20B051F0">
        <w:rPr>
          <w:rFonts w:eastAsia="Calibri" w:cs="Arial"/>
          <w:lang w:val="en-US"/>
        </w:rPr>
        <w:t xml:space="preserve">however </w:t>
      </w:r>
      <w:r w:rsidR="004B7745" w:rsidRPr="20B051F0">
        <w:rPr>
          <w:rFonts w:eastAsia="Calibri" w:cs="Arial"/>
          <w:lang w:val="en-US"/>
        </w:rPr>
        <w:t>the overall size of overdoses d</w:t>
      </w:r>
      <w:r w:rsidR="004C61AC" w:rsidRPr="20B051F0">
        <w:rPr>
          <w:rFonts w:eastAsia="Calibri" w:cs="Arial"/>
          <w:lang w:val="en-US"/>
        </w:rPr>
        <w:t xml:space="preserve">id not </w:t>
      </w:r>
      <w:r w:rsidR="00B34E76" w:rsidRPr="20B051F0">
        <w:rPr>
          <w:rFonts w:eastAsia="Calibri" w:cs="Arial"/>
          <w:lang w:val="en-US"/>
        </w:rPr>
        <w:t>differ significantly between the tw</w:t>
      </w:r>
      <w:r w:rsidR="00A657F4" w:rsidRPr="20B051F0">
        <w:rPr>
          <w:rFonts w:eastAsia="Calibri" w:cs="Arial"/>
          <w:lang w:val="en-US"/>
        </w:rPr>
        <w:t>o.</w:t>
      </w:r>
    </w:p>
    <w:p w14:paraId="1425A1B4" w14:textId="2590AFEE" w:rsidR="004456FC" w:rsidRDefault="00CF0345" w:rsidP="00DA557F">
      <w:pPr>
        <w:pStyle w:val="Heading2"/>
        <w:rPr>
          <w:lang w:val="en-US"/>
        </w:rPr>
      </w:pPr>
      <w:bookmarkStart w:id="140" w:name="_Toc112843937"/>
      <w:r>
        <w:rPr>
          <w:lang w:val="en-US"/>
        </w:rPr>
        <w:t>Iceland</w:t>
      </w:r>
      <w:bookmarkEnd w:id="140"/>
    </w:p>
    <w:p w14:paraId="748CAB6E" w14:textId="43497B99" w:rsidR="00DF3339" w:rsidRDefault="00CF0345" w:rsidP="004C680A">
      <w:pPr>
        <w:rPr>
          <w:lang w:val="en-US"/>
        </w:rPr>
      </w:pPr>
      <w:r>
        <w:rPr>
          <w:lang w:val="en-US"/>
        </w:rPr>
        <w:t xml:space="preserve">Iceland </w:t>
      </w:r>
      <w:r w:rsidR="00BD6B02">
        <w:rPr>
          <w:lang w:val="en-US"/>
        </w:rPr>
        <w:t>has a maximum pack size of 15</w:t>
      </w:r>
      <w:r w:rsidR="33FBE203">
        <w:rPr>
          <w:lang w:val="en-US"/>
        </w:rPr>
        <w:t xml:space="preserve"> </w:t>
      </w:r>
      <w:r w:rsidR="00BD6B02">
        <w:rPr>
          <w:lang w:val="en-US"/>
        </w:rPr>
        <w:t>g in pharm</w:t>
      </w:r>
      <w:r w:rsidR="00FD29EF">
        <w:rPr>
          <w:lang w:val="en-US"/>
        </w:rPr>
        <w:t>a</w:t>
      </w:r>
      <w:r w:rsidR="00BD6B02">
        <w:rPr>
          <w:lang w:val="en-US"/>
        </w:rPr>
        <w:t>cies and no grocery sales.</w:t>
      </w:r>
      <w:r w:rsidR="00BD6B02">
        <w:rPr>
          <w:rFonts w:cs="Times New Roman"/>
        </w:rPr>
        <w:fldChar w:fldCharType="begin"/>
      </w:r>
      <w:r w:rsidR="00BD6B02">
        <w:rPr>
          <w:rFonts w:cs="Times New Roman"/>
        </w:rPr>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00BD6B02">
        <w:rPr>
          <w:rFonts w:cs="Times New Roman"/>
        </w:rPr>
        <w:fldChar w:fldCharType="separate"/>
      </w:r>
      <w:r w:rsidR="00BD6B02">
        <w:rPr>
          <w:rFonts w:cs="Times New Roman"/>
          <w:noProof/>
        </w:rPr>
        <w:t>(Morthorst et al., 2020)</w:t>
      </w:r>
      <w:r w:rsidR="00BD6B02">
        <w:rPr>
          <w:rFonts w:cs="Times New Roman"/>
        </w:rPr>
        <w:fldChar w:fldCharType="end"/>
      </w:r>
      <w:r w:rsidR="00BD6B02">
        <w:rPr>
          <w:rFonts w:cs="Times New Roman"/>
        </w:rPr>
        <w:t xml:space="preserve"> </w:t>
      </w:r>
      <w:r w:rsidR="00DA0873">
        <w:rPr>
          <w:lang w:val="en-US"/>
        </w:rPr>
        <w:t xml:space="preserve">A study on paracetamol poisoning </w:t>
      </w:r>
      <w:r w:rsidR="0009066D">
        <w:rPr>
          <w:lang w:val="en-US"/>
        </w:rPr>
        <w:t xml:space="preserve">admissions found similar demographics to Australia, with adolescent women </w:t>
      </w:r>
      <w:r w:rsidR="00442984">
        <w:rPr>
          <w:lang w:val="en-US"/>
        </w:rPr>
        <w:t xml:space="preserve">with intentional self-poisoning </w:t>
      </w:r>
      <w:r w:rsidR="0009066D">
        <w:rPr>
          <w:lang w:val="en-US"/>
        </w:rPr>
        <w:t xml:space="preserve">being </w:t>
      </w:r>
      <w:r w:rsidR="00442984">
        <w:rPr>
          <w:lang w:val="en-US"/>
        </w:rPr>
        <w:t>over-represented.</w:t>
      </w:r>
      <w:r w:rsidR="00824A02">
        <w:rPr>
          <w:lang w:val="en-US"/>
        </w:rPr>
        <w:t xml:space="preserve">  </w:t>
      </w:r>
      <w:r w:rsidR="00065046">
        <w:rPr>
          <w:lang w:val="en-US"/>
        </w:rPr>
        <w:t xml:space="preserve">Median doses were similar to our series: </w:t>
      </w:r>
      <w:r w:rsidR="00065046" w:rsidRPr="00065046">
        <w:rPr>
          <w:lang w:val="en-US"/>
        </w:rPr>
        <w:t>52% (211/407) of patients ingested 5–10 grams of paracetamol, 31% (126/407) ingested 11–20 grams</w:t>
      </w:r>
      <w:r w:rsidR="004C680A">
        <w:rPr>
          <w:lang w:val="en-US"/>
        </w:rPr>
        <w:t xml:space="preserve">, </w:t>
      </w:r>
      <w:r w:rsidR="00065046" w:rsidRPr="00065046">
        <w:rPr>
          <w:lang w:val="en-US"/>
        </w:rPr>
        <w:t>11% (46/407) ingested doses larger than 20 grams.</w:t>
      </w:r>
      <w:r w:rsidR="004C680A">
        <w:rPr>
          <w:lang w:val="en-US"/>
        </w:rPr>
        <w:t xml:space="preserve"> </w:t>
      </w:r>
      <w:r w:rsidR="005C57C3">
        <w:rPr>
          <w:lang w:val="en-US"/>
        </w:rPr>
        <w:t>The mortality rate in intentional self-poisoning was 0.5% (2/437)</w:t>
      </w:r>
      <w:r w:rsidR="009D4B0F">
        <w:rPr>
          <w:lang w:val="en-US"/>
        </w:rPr>
        <w:t xml:space="preserve"> </w:t>
      </w:r>
      <w:r w:rsidR="00DF3339">
        <w:rPr>
          <w:lang w:val="en-US"/>
        </w:rPr>
        <w:fldChar w:fldCharType="begin">
          <w:fldData xml:space="preserve">PEVuZE5vdGU+PENpdGU+PEF1dGhvcj5Gcmlkcmlrc2RvdHRpciBUaDwvQXV0aG9yPjxZZWFyPjIw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</w:fldData>
        </w:fldChar>
      </w:r>
      <w:r w:rsidR="005C4946">
        <w:rPr>
          <w:lang w:val="en-US"/>
        </w:rPr>
        <w:instrText xml:space="preserve"> ADDIN EN.CITE </w:instrText>
      </w:r>
      <w:r w:rsidR="005C4946">
        <w:rPr>
          <w:lang w:val="en-US"/>
        </w:rPr>
        <w:fldChar w:fldCharType="begin">
          <w:fldData xml:space="preserve">PEVuZE5vdGU+PENpdGU+PEF1dGhvcj5Gcmlkcmlrc2RvdHRpciBUaDwvQXV0aG9yPjxZZWFyPjIw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</w:fldData>
        </w:fldChar>
      </w:r>
      <w:r w:rsidR="005C4946">
        <w:rPr>
          <w:lang w:val="en-US"/>
        </w:rPr>
        <w:instrText xml:space="preserve"> ADDIN EN.CITE.DATA </w:instrText>
      </w:r>
      <w:r w:rsidR="005C4946">
        <w:rPr>
          <w:lang w:val="en-US"/>
        </w:rPr>
      </w:r>
      <w:r w:rsidR="005C4946">
        <w:rPr>
          <w:lang w:val="en-US"/>
        </w:rPr>
        <w:fldChar w:fldCharType="end"/>
      </w:r>
      <w:r w:rsidR="00DF3339">
        <w:rPr>
          <w:lang w:val="en-US"/>
        </w:rPr>
      </w:r>
      <w:r w:rsidR="00DF3339">
        <w:rPr>
          <w:lang w:val="en-US"/>
        </w:rPr>
        <w:fldChar w:fldCharType="separate"/>
      </w:r>
      <w:r w:rsidR="00DF3339">
        <w:rPr>
          <w:noProof/>
          <w:lang w:val="en-US"/>
        </w:rPr>
        <w:t>(Fridriksdottir Th et al., 2021)</w:t>
      </w:r>
      <w:r w:rsidR="00DF3339">
        <w:rPr>
          <w:lang w:val="en-US"/>
        </w:rPr>
        <w:fldChar w:fldCharType="end"/>
      </w:r>
      <w:r w:rsidR="003E1C1E">
        <w:rPr>
          <w:lang w:val="en-US"/>
        </w:rPr>
        <w:t>.</w:t>
      </w:r>
    </w:p>
    <w:p w14:paraId="3639BEF2" w14:textId="78FEC122" w:rsidR="004456FC" w:rsidRDefault="00CD5556" w:rsidP="00C20C4F">
      <w:pPr>
        <w:pStyle w:val="Heading2"/>
        <w:rPr>
          <w:lang w:val="en-US"/>
        </w:rPr>
      </w:pPr>
      <w:bookmarkStart w:id="141" w:name="_Toc112843938"/>
      <w:r>
        <w:rPr>
          <w:lang w:val="en-US"/>
        </w:rPr>
        <w:t xml:space="preserve">Comparable </w:t>
      </w:r>
      <w:r w:rsidR="004F1C42">
        <w:rPr>
          <w:lang w:val="en-US"/>
        </w:rPr>
        <w:t>Australia</w:t>
      </w:r>
      <w:r w:rsidR="00CC43CD">
        <w:rPr>
          <w:lang w:val="en-US"/>
        </w:rPr>
        <w:t xml:space="preserve">n </w:t>
      </w:r>
      <w:r>
        <w:rPr>
          <w:lang w:val="en-US"/>
        </w:rPr>
        <w:t>research</w:t>
      </w:r>
      <w:r w:rsidR="00B57ABB">
        <w:rPr>
          <w:lang w:val="en-US"/>
        </w:rPr>
        <w:t xml:space="preserve"> </w:t>
      </w:r>
      <w:r w:rsidR="00CC43CD">
        <w:rPr>
          <w:lang w:val="en-US"/>
        </w:rPr>
        <w:t>on paracetamol poisoning</w:t>
      </w:r>
      <w:bookmarkEnd w:id="141"/>
    </w:p>
    <w:p w14:paraId="797DFAED" w14:textId="6FFBAD2A" w:rsidR="00AE7614" w:rsidRDefault="00ED1D7A">
      <w:r>
        <w:t>Similar to the international</w:t>
      </w:r>
      <w:r w:rsidR="009F48B5">
        <w:t xml:space="preserve"> research</w:t>
      </w:r>
      <w:r>
        <w:t xml:space="preserve"> literature there have been several recent studies reporting </w:t>
      </w:r>
      <w:r w:rsidR="00D171FF">
        <w:t xml:space="preserve">paracetamol poisoning </w:t>
      </w:r>
      <w:r w:rsidR="005C4946">
        <w:t>outcomes</w:t>
      </w:r>
      <w:r w:rsidR="003E1C1E">
        <w:t>.</w:t>
      </w:r>
      <w:r w:rsidR="00D171FF">
        <w:t xml:space="preserve"> </w:t>
      </w:r>
      <w:r w:rsidR="00B567D3">
        <w:t xml:space="preserve">One </w:t>
      </w:r>
      <w:r w:rsidR="00711858">
        <w:t>reports similar information to that presented in the earlier sections above</w:t>
      </w:r>
      <w:r w:rsidR="00F35D0A">
        <w:t xml:space="preserve"> </w:t>
      </w:r>
      <w:r w:rsidR="00F35D0A">
        <w:fldChar w:fldCharType="begin"/>
      </w:r>
      <w:r w:rsidR="00AA79F3">
        <w:instrText xml:space="preserve"> ADDIN EN.CITE &lt;EndNote&gt;&lt;Cite&gt;&lt;Author&gt;Cairns&lt;/Author&gt;&lt;Year&gt;2019&lt;/Year&gt;&lt;RecNum&gt;859&lt;/RecNum&gt;&lt;DisplayText&gt;(Cairns et al., 2019)&lt;/DisplayText&gt;&lt;record&gt;&lt;rec-number&gt;859&lt;/rec-number&gt;&lt;foreign-keys&gt;&lt;key app="EN" db-id="90p22wx96ddedpe0r9pxtt9gzz05dd5ev299" timestamp="1657000537"&gt;859&lt;/key&gt;&lt;/foreign-keys&gt;&lt;ref-type name="Journal Article"&gt;17&lt;/ref-type&gt;&lt;contributors&gt;&lt;authors&gt;&lt;author&gt;Cairns, R.&lt;/author&gt;&lt;author&gt;Brown, J. A.&lt;/author&gt;&lt;author&gt;Wylie, C. E.&lt;/author&gt;&lt;author&gt;Dawson, A. H.&lt;/author&gt;&lt;author&gt;Isbister, G. K.&lt;/author&gt;&lt;author&gt;Buckley, N. A.&lt;/author&gt;&lt;/authors&gt;&lt;/contributors&gt;&lt;titles&gt;&lt;title&gt;Paracetamol poisoning-related hospital admissions and deaths in Australia, 2004-2017&lt;/title&gt;&lt;secondary-title&gt;Medical Journal of Australia&lt;/secondary-title&gt;&lt;/titles&gt;&lt;pages&gt;218-223&lt;/pages&gt;&lt;volume&gt;211&lt;/volume&gt;&lt;number&gt;5&lt;/number&gt;&lt;dates&gt;&lt;year&gt;2019&lt;/year&gt;&lt;/dates&gt;&lt;urls&gt;&lt;related-urls&gt;&lt;url&gt;http://www.mja.com.auhttp://ovidsp.ovid.com/ovidweb.cgi?T=JS&amp;amp;PAGE=reference&amp;amp;D=emed20&amp;amp;NEWS=N&amp;amp;AN=2002465907&lt;/url&gt;&lt;/related-urls&gt;&lt;/urls&gt;&lt;electronic-resource-num&gt;http://dx.doi.org/10.5694/mja2.50296&lt;/electronic-resource-num&gt;&lt;/record&gt;&lt;/Cite&gt;&lt;/EndNote&gt;</w:instrText>
      </w:r>
      <w:r w:rsidR="00F35D0A">
        <w:fldChar w:fldCharType="separate"/>
      </w:r>
      <w:r w:rsidR="00AA79F3">
        <w:t>(Cairns et al., 2019)</w:t>
      </w:r>
      <w:r w:rsidR="00F35D0A">
        <w:fldChar w:fldCharType="end"/>
      </w:r>
      <w:r w:rsidR="00F35D0A">
        <w:t>.</w:t>
      </w:r>
      <w:r w:rsidR="00711858">
        <w:t xml:space="preserve"> </w:t>
      </w:r>
      <w:r w:rsidR="006B2813">
        <w:t xml:space="preserve">Two focussed on </w:t>
      </w:r>
      <w:r w:rsidR="004C1A90">
        <w:t xml:space="preserve">two </w:t>
      </w:r>
      <w:r w:rsidR="00C27019">
        <w:t>high-risk</w:t>
      </w:r>
      <w:r w:rsidR="006B2813">
        <w:t xml:space="preserve"> patient</w:t>
      </w:r>
      <w:r w:rsidR="004C1A90">
        <w:t xml:space="preserve"> group</w:t>
      </w:r>
      <w:r w:rsidR="006B2813">
        <w:t>s</w:t>
      </w:r>
      <w:r w:rsidR="00691397">
        <w:t xml:space="preserve"> and aimed to identify better treatment strategies</w:t>
      </w:r>
      <w:r w:rsidR="001B0D8D">
        <w:t xml:space="preserve"> </w:t>
      </w:r>
      <w:r w:rsidR="001B0D8D">
        <w:fldChar w:fldCharType="begin">
          <w:fldData xml:space="preserve">PEVuZE5vdGU+PENpdGU+PEF1dGhvcj5DaGlldzwvQXV0aG9yPjxZZWFyPjIwMTc8L1llYXI+PFJl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</w:fldData>
        </w:fldChar>
      </w:r>
      <w:r w:rsidR="001B0D8D">
        <w:instrText xml:space="preserve"> ADDIN EN.CITE </w:instrText>
      </w:r>
      <w:r w:rsidR="001B0D8D">
        <w:fldChar w:fldCharType="begin">
          <w:fldData xml:space="preserve">PEVuZE5vdGU+PENpdGU+PEF1dGhvcj5DaGlldzwvQXV0aG9yPjxZZWFyPjIwMTc8L1llYXI+PFJl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</w:fldData>
        </w:fldChar>
      </w:r>
      <w:r w:rsidR="001B0D8D">
        <w:instrText xml:space="preserve"> ADDIN EN.CITE.DATA </w:instrText>
      </w:r>
      <w:r w:rsidR="001B0D8D">
        <w:fldChar w:fldCharType="end"/>
      </w:r>
      <w:r w:rsidR="001B0D8D">
        <w:fldChar w:fldCharType="separate"/>
      </w:r>
      <w:r w:rsidR="001B0D8D">
        <w:t>(Chiew et al., 2017; Chiew, Isbister, et al., 2018)</w:t>
      </w:r>
      <w:r w:rsidR="001B0D8D">
        <w:fldChar w:fldCharType="end"/>
      </w:r>
      <w:r w:rsidR="00C27019">
        <w:t>.</w:t>
      </w:r>
      <w:r w:rsidR="007B7225">
        <w:t xml:space="preserve"> </w:t>
      </w:r>
      <w:r w:rsidR="004C1A90">
        <w:t xml:space="preserve">These </w:t>
      </w:r>
      <w:r w:rsidR="00976C4D">
        <w:t xml:space="preserve">resulted in a change in local guidelines but also demonstrated </w:t>
      </w:r>
      <w:r w:rsidR="00C50937">
        <w:t xml:space="preserve">frequent liver injury and </w:t>
      </w:r>
      <w:r w:rsidR="00976C4D">
        <w:t xml:space="preserve">a continuing need for better management options. </w:t>
      </w:r>
      <w:r w:rsidR="007A1E1D">
        <w:rPr>
          <w:lang w:val="en-US"/>
        </w:rPr>
        <w:t>Another Australian study reported hepatotoxicity occurring in 4.2% (21/476) of treated paracetamol poisonings, but excluded all those who presented with toxicity</w:t>
      </w:r>
      <w:r w:rsidR="00111F27">
        <w:rPr>
          <w:lang w:val="en-US"/>
        </w:rPr>
        <w:t>,</w:t>
      </w:r>
      <w:r w:rsidR="007A1E1D">
        <w:rPr>
          <w:lang w:val="en-US"/>
        </w:rPr>
        <w:t xml:space="preserve"> without providing numbers </w:t>
      </w:r>
      <w:r w:rsidR="007A1E1D">
        <w:rPr>
          <w:lang w:val="en-US"/>
        </w:rPr>
        <w:fldChar w:fldCharType="begin"/>
      </w:r>
      <w:r w:rsidR="007A1E1D">
        <w:rPr>
          <w:lang w:val="en-US"/>
        </w:rPr>
        <w:instrText xml:space="preserve"> ADDIN EN.CITE &lt;EndNote&gt;&lt;Cite&gt;&lt;Author&gt;McNulty&lt;/Author&gt;&lt;Year&gt;2018&lt;/Year&gt;&lt;RecNum&gt;979&lt;/RecNum&gt;&lt;DisplayText&gt;(McNulty, Lim, Chandru, &amp;amp; Gunja, 2018)&lt;/DisplayText&gt;&lt;record&gt;&lt;rec-number&gt;979&lt;/rec-number&gt;&lt;foreign-keys&gt;&lt;key app="EN" db-id="90p22wx96ddedpe0r9pxtt9gzz05dd5ev299" timestamp="1659314157"&gt;979&lt;/key&gt;&lt;/foreign-keys&gt;&lt;ref-type name="Journal Article"&gt;17&lt;/ref-type&gt;&lt;contributors&gt;&lt;authors&gt;&lt;author&gt;McNulty, R.&lt;/author&gt;&lt;author&gt;Lim, J. M. E.&lt;/author&gt;&lt;author&gt;Chandru, P.&lt;/author&gt;&lt;author&gt;Gunja, N.&lt;/author&gt;&lt;/authors&gt;&lt;/contributors&gt;&lt;auth-address&gt;a Western Sydney Toxicology Service , Westmead , Australia.&amp;#xD;b School of Medicine , Western Sydney University , Sydney , Australia.&amp;#xD;c Sydney Medical School , University of Sydney , Sydney , Australia.&lt;/auth-address&gt;&lt;titles&gt;&lt;title&gt;Fewer adverse effects with a modified two-bag acetylcysteine protocol in paracetamol overdose&lt;/title&gt;&lt;secondary-title&gt;Clin Toxicol (Phila)&lt;/secondary-title&gt;&lt;/titles&gt;&lt;periodical&gt;&lt;full-title&gt;Clin Toxicol (Phila)&lt;/full-title&gt;&lt;/periodical&gt;&lt;pages&gt;618-621&lt;/pages&gt;&lt;volume&gt;56&lt;/volume&gt;&lt;number&gt;7&lt;/number&gt;&lt;edition&gt;2017/12/09&lt;/edition&gt;&lt;keywords&gt;&lt;keyword&gt;Acetaminophen/*poisoning&lt;/keyword&gt;&lt;keyword&gt;Acetylcysteine/administration &amp;amp; dosage/*adverse effects&lt;/keyword&gt;&lt;keyword&gt;Adult&lt;/keyword&gt;&lt;keyword&gt;Anaphylaxis/chemically induced&lt;/keyword&gt;&lt;keyword&gt;Chemical and Drug Induced Liver Injury/prevention &amp;amp; control&lt;/keyword&gt;&lt;keyword&gt;Drug Overdose/*drug therapy&lt;/keyword&gt;&lt;keyword&gt;Female&lt;/keyword&gt;&lt;keyword&gt;Humans&lt;/keyword&gt;&lt;keyword&gt;Male&lt;/keyword&gt;&lt;keyword&gt;Middle Aged&lt;/keyword&gt;&lt;keyword&gt;*Acetylcysteine&lt;/keyword&gt;&lt;keyword&gt;*adverse drug reaction&lt;/keyword&gt;&lt;keyword&gt;*anaphylactoid reactions&lt;/keyword&gt;&lt;keyword&gt;*paracetamol overdose&lt;/keyword&gt;&lt;/keywords&gt;&lt;dates&gt;&lt;year&gt;2018&lt;/year&gt;&lt;pub-dates&gt;&lt;date&gt;Jul&lt;/date&gt;&lt;/pub-dates&gt;&lt;/dates&gt;&lt;isbn&gt;1556-3650&lt;/isbn&gt;&lt;accession-num&gt;29219630&lt;/accession-num&gt;&lt;urls&gt;&lt;/urls&gt;&lt;electronic-resource-num&gt;10.1080/15563650.2017.1408812&lt;/electronic-resource-num&gt;&lt;remote-database-provider&gt;NLM&lt;/remote-database-provider&gt;&lt;language&gt;eng&lt;/language&gt;&lt;/record&gt;&lt;/Cite&gt;&lt;/EndNote&gt;</w:instrText>
      </w:r>
      <w:r w:rsidR="007A1E1D">
        <w:rPr>
          <w:lang w:val="en-US"/>
        </w:rPr>
        <w:fldChar w:fldCharType="separate"/>
      </w:r>
      <w:r w:rsidR="007A1E1D">
        <w:rPr>
          <w:noProof/>
          <w:lang w:val="en-US"/>
        </w:rPr>
        <w:t>(McNulty, Lim, Chandru, &amp; Gunja, 2018)</w:t>
      </w:r>
      <w:r w:rsidR="007A1E1D">
        <w:rPr>
          <w:lang w:val="en-US"/>
        </w:rPr>
        <w:fldChar w:fldCharType="end"/>
      </w:r>
      <w:r w:rsidR="007A1E1D">
        <w:rPr>
          <w:lang w:val="en-US"/>
        </w:rPr>
        <w:t>.</w:t>
      </w:r>
      <w:r w:rsidR="007A1E1D">
        <w:t xml:space="preserve"> </w:t>
      </w:r>
      <w:r w:rsidR="00830719">
        <w:t>Again</w:t>
      </w:r>
      <w:r w:rsidR="00AE7614">
        <w:t>,</w:t>
      </w:r>
      <w:r w:rsidR="00830719">
        <w:t xml:space="preserve"> this highlights potential benefits </w:t>
      </w:r>
      <w:r w:rsidR="00AE7614">
        <w:t xml:space="preserve">might come </w:t>
      </w:r>
      <w:r w:rsidR="00830719">
        <w:t xml:space="preserve">from better treatments. </w:t>
      </w:r>
    </w:p>
    <w:p w14:paraId="1FBCA378" w14:textId="0FA1604D" w:rsidR="007A5939" w:rsidRDefault="004772F1" w:rsidP="00010D45">
      <w:r>
        <w:t xml:space="preserve">A recent study from several toxicology treatment units provides </w:t>
      </w:r>
      <w:r w:rsidR="00D7094E">
        <w:t xml:space="preserve">the best </w:t>
      </w:r>
      <w:r>
        <w:t>potential comparison to the recent UK case series</w:t>
      </w:r>
      <w:r w:rsidR="006C683E">
        <w:t xml:space="preserve"> </w:t>
      </w:r>
      <w:r w:rsidR="006C683E">
        <w:fldChar w:fldCharType="begin">
          <w:fldData xml:space="preserve">PEVuZE5vdGU+PENpdGU+PEF1dGhvcj5Xb25nPC9BdXRob3I+PFllYXI+MjAyMDwvWWVhcj48UmVj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</w:fldData>
        </w:fldChar>
      </w:r>
      <w:r w:rsidR="006C683E">
        <w:instrText xml:space="preserve"> ADDIN EN.CITE </w:instrText>
      </w:r>
      <w:r w:rsidR="006C683E">
        <w:fldChar w:fldCharType="begin">
          <w:fldData xml:space="preserve">PEVuZE5vdGU+PENpdGU+PEF1dGhvcj5Xb25nPC9BdXRob3I+PFllYXI+MjAyMDwvWWVhcj48UmVj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</w:fldData>
        </w:fldChar>
      </w:r>
      <w:r w:rsidR="006C683E">
        <w:instrText xml:space="preserve"> ADDIN EN.CITE.DATA </w:instrText>
      </w:r>
      <w:r w:rsidR="006C683E">
        <w:fldChar w:fldCharType="end"/>
      </w:r>
      <w:r w:rsidR="006C683E">
        <w:fldChar w:fldCharType="separate"/>
      </w:r>
      <w:r w:rsidR="006C683E">
        <w:rPr>
          <w:noProof/>
        </w:rPr>
        <w:t>(Wong et al., 2020)</w:t>
      </w:r>
      <w:r w:rsidR="006C683E">
        <w:fldChar w:fldCharType="end"/>
      </w:r>
      <w:r w:rsidR="006C683E">
        <w:t>.</w:t>
      </w:r>
      <w:r w:rsidR="00D7094E">
        <w:t xml:space="preserve"> </w:t>
      </w:r>
      <w:r w:rsidR="00D149A4">
        <w:t>While focussed on comparing to standard treatment approaches it does report on overall deaths</w:t>
      </w:r>
      <w:r w:rsidR="00257DD3">
        <w:t xml:space="preserve"> (3/2211) and sever</w:t>
      </w:r>
      <w:r w:rsidR="00C72998">
        <w:t>e</w:t>
      </w:r>
      <w:r w:rsidR="00257DD3">
        <w:t xml:space="preserve"> liver injury (</w:t>
      </w:r>
      <w:r w:rsidR="00E560CD">
        <w:t xml:space="preserve">7.8% - </w:t>
      </w:r>
      <w:r w:rsidR="00C72998">
        <w:t>172/2211)</w:t>
      </w:r>
      <w:r w:rsidR="000F041F">
        <w:t>. The</w:t>
      </w:r>
      <w:r w:rsidR="005266A3">
        <w:t xml:space="preserve"> liver injury rate is</w:t>
      </w:r>
      <w:r w:rsidR="000F041F">
        <w:t xml:space="preserve"> considerably higher than </w:t>
      </w:r>
      <w:r w:rsidR="005266A3">
        <w:t xml:space="preserve">the </w:t>
      </w:r>
      <w:r w:rsidR="005E6E57">
        <w:t>3.9</w:t>
      </w:r>
      <w:r w:rsidR="00E560CD">
        <w:t xml:space="preserve">% </w:t>
      </w:r>
      <w:r w:rsidR="005E6E57">
        <w:rPr>
          <w:lang w:val="en-US"/>
        </w:rPr>
        <w:t xml:space="preserve">(131/3340) </w:t>
      </w:r>
      <w:r w:rsidR="00E560CD">
        <w:t xml:space="preserve">noted in treated patients in </w:t>
      </w:r>
      <w:r w:rsidR="005E6E57">
        <w:t>the UK</w:t>
      </w:r>
      <w:r w:rsidR="003802D7">
        <w:t xml:space="preserve"> </w:t>
      </w:r>
      <w:r w:rsidR="003802D7">
        <w:fldChar w:fldCharType="begin">
          <w:fldData xml:space="preserve">PEVuZE5vdGU+PENpdGU+PEF1dGhvcj5QZXR0aWU8L0F1dGhvcj48WWVhcj4yMDE5PC9ZZWFyPjxS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</w:fldData>
        </w:fldChar>
      </w:r>
      <w:r w:rsidR="003802D7">
        <w:instrText xml:space="preserve"> ADDIN EN.CITE </w:instrText>
      </w:r>
      <w:r w:rsidR="003802D7">
        <w:fldChar w:fldCharType="begin">
          <w:fldData xml:space="preserve">PEVuZE5vdGU+PENpdGU+PEF1dGhvcj5QZXR0aWU8L0F1dGhvcj48WWVhcj4yMDE5PC9ZZWFyPjxS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</w:fldData>
        </w:fldChar>
      </w:r>
      <w:r w:rsidR="003802D7">
        <w:instrText xml:space="preserve"> ADDIN EN.CITE.DATA </w:instrText>
      </w:r>
      <w:r w:rsidR="003802D7">
        <w:fldChar w:fldCharType="end"/>
      </w:r>
      <w:r w:rsidR="003802D7">
        <w:fldChar w:fldCharType="separate"/>
      </w:r>
      <w:r w:rsidR="003802D7">
        <w:rPr>
          <w:noProof/>
        </w:rPr>
        <w:t>(Pettie et al., 2019)</w:t>
      </w:r>
      <w:r w:rsidR="003802D7">
        <w:fldChar w:fldCharType="end"/>
      </w:r>
      <w:r w:rsidR="00A1329A">
        <w:t xml:space="preserve">. </w:t>
      </w:r>
      <w:r w:rsidR="00523AC1">
        <w:t xml:space="preserve">The Australian data is in line with </w:t>
      </w:r>
      <w:r w:rsidR="00951653">
        <w:t>the higher estimates from the USA</w:t>
      </w:r>
      <w:r w:rsidR="00CA3227">
        <w:t>, or perhaps worse (reflecting greater use of MR products?)</w:t>
      </w:r>
      <w:r w:rsidR="00951653">
        <w:t xml:space="preserve">. </w:t>
      </w:r>
      <w:r w:rsidR="00A1329A">
        <w:t xml:space="preserve">Even allowing for lower </w:t>
      </w:r>
      <w:r w:rsidR="003802D7">
        <w:t xml:space="preserve">treatment </w:t>
      </w:r>
      <w:r w:rsidR="009D4B0F">
        <w:t>thresholds for treatment in the UK</w:t>
      </w:r>
      <w:r w:rsidR="00023879">
        <w:t xml:space="preserve">, these data indicate that </w:t>
      </w:r>
      <w:r w:rsidR="006572E2">
        <w:t xml:space="preserve">UK </w:t>
      </w:r>
      <w:r w:rsidR="00023879">
        <w:t>restrictions may be reducing the number of severe poisonings.</w:t>
      </w:r>
    </w:p>
    <w:p w14:paraId="555A9949" w14:textId="7618A992" w:rsidR="000A7428" w:rsidRDefault="000A7428">
      <w:pPr>
        <w:rPr>
          <w:rFonts w:cs="Times New Roman"/>
        </w:rPr>
      </w:pPr>
      <w:r>
        <w:rPr>
          <w:rFonts w:cs="Times New Roman"/>
        </w:rPr>
        <w:br w:type="page"/>
      </w:r>
    </w:p>
    <w:p w14:paraId="74D3D64F" w14:textId="3CF81D4D" w:rsidR="000A7428" w:rsidRPr="000A7428" w:rsidRDefault="00B96031" w:rsidP="000A49C2">
      <w:pPr>
        <w:pStyle w:val="Heading1"/>
      </w:pPr>
      <w:bookmarkStart w:id="142" w:name="_Toc112843939"/>
      <w:r>
        <w:t>4</w:t>
      </w:r>
      <w:r w:rsidR="00632463">
        <w:t>.</w:t>
      </w:r>
      <w:r w:rsidR="00F4671F">
        <w:t xml:space="preserve"> </w:t>
      </w:r>
      <w:r w:rsidR="00574EB4" w:rsidRPr="0091560A">
        <w:t>Literature review of characteristics, motivations and behaviour of individuals who intentionally overdose with paracetamol</w:t>
      </w:r>
      <w:bookmarkEnd w:id="142"/>
    </w:p>
    <w:tbl>
      <w:tblPr>
        <w:tblStyle w:val="TableGrid1"/>
        <w:tblW w:w="0" w:type="auto"/>
        <w:shd w:val="clear" w:color="auto" w:fill="EDEDED" w:themeFill="accent3" w:themeFillTint="33"/>
        <w:tblLayout w:type="fixed"/>
        <w:tblLook w:val="06A0" w:firstRow="1" w:lastRow="0" w:firstColumn="1" w:lastColumn="0" w:noHBand="1" w:noVBand="1"/>
      </w:tblPr>
      <w:tblGrid>
        <w:gridCol w:w="9015"/>
      </w:tblGrid>
      <w:tr w:rsidR="000A7428" w:rsidRPr="000A7428" w14:paraId="4E2A5C60" w14:textId="77777777" w:rsidTr="00D8487D">
        <w:tc>
          <w:tcPr>
            <w:tcW w:w="9015" w:type="dxa"/>
            <w:shd w:val="clear" w:color="auto" w:fill="EDEDED" w:themeFill="accent3" w:themeFillTint="33"/>
          </w:tcPr>
          <w:p w14:paraId="7DD17DBF" w14:textId="77777777" w:rsidR="000A7428" w:rsidRPr="00497288" w:rsidRDefault="000A7428" w:rsidP="00C20C4F">
            <w:pPr>
              <w:pStyle w:val="ListParagraph"/>
              <w:numPr>
                <w:ilvl w:val="0"/>
                <w:numId w:val="54"/>
              </w:numPr>
              <w:spacing w:after="120"/>
              <w:contextualSpacing w:val="0"/>
              <w:rPr>
                <w:noProof/>
                <w:szCs w:val="24"/>
              </w:rPr>
            </w:pPr>
            <w:bookmarkStart w:id="143" w:name="_Hlk110442256"/>
            <w:r w:rsidRPr="00275777">
              <w:rPr>
                <w:noProof/>
                <w:szCs w:val="24"/>
              </w:rPr>
              <w:t>A review of the literature was carried out to investigate:</w:t>
            </w:r>
          </w:p>
          <w:p w14:paraId="68D1FBB3" w14:textId="1588D6B6" w:rsidR="000A7428" w:rsidRPr="00C03854" w:rsidRDefault="000A7428" w:rsidP="00C20C4F">
            <w:pPr>
              <w:pStyle w:val="ListParagraph"/>
              <w:numPr>
                <w:ilvl w:val="0"/>
                <w:numId w:val="55"/>
              </w:numPr>
              <w:spacing w:after="120"/>
              <w:contextualSpacing w:val="0"/>
              <w:rPr>
                <w:noProof/>
                <w:szCs w:val="24"/>
              </w:rPr>
            </w:pPr>
            <w:r w:rsidRPr="00497288">
              <w:rPr>
                <w:noProof/>
                <w:szCs w:val="24"/>
              </w:rPr>
              <w:t xml:space="preserve">the characteristics, motivations and behaviours of people who intentionally overdose with paracetamol and similar medications, and  </w:t>
            </w:r>
          </w:p>
          <w:p w14:paraId="5AB1F0D8" w14:textId="3DA1BF63" w:rsidR="000A7428" w:rsidRPr="00275777" w:rsidRDefault="000A7428" w:rsidP="00C20C4F">
            <w:pPr>
              <w:pStyle w:val="ListParagraph"/>
              <w:numPr>
                <w:ilvl w:val="0"/>
                <w:numId w:val="55"/>
              </w:numPr>
              <w:spacing w:after="120"/>
              <w:contextualSpacing w:val="0"/>
              <w:rPr>
                <w:noProof/>
                <w:szCs w:val="24"/>
              </w:rPr>
            </w:pPr>
            <w:r w:rsidRPr="00A85B9E">
              <w:rPr>
                <w:noProof/>
                <w:szCs w:val="24"/>
              </w:rPr>
              <w:t xml:space="preserve">the effect of restricting access to paracetmaol and similar medications on method substitution to other medications or </w:t>
            </w:r>
            <w:r w:rsidRPr="00AF5ECD">
              <w:rPr>
                <w:noProof/>
                <w:szCs w:val="24"/>
              </w:rPr>
              <w:t>other methods of self-harm</w:t>
            </w:r>
            <w:r w:rsidR="00E8454F">
              <w:rPr>
                <w:noProof/>
                <w:szCs w:val="24"/>
              </w:rPr>
              <w:t>.</w:t>
            </w:r>
          </w:p>
          <w:p w14:paraId="7771811B" w14:textId="5168D570" w:rsidR="000A7428" w:rsidRPr="000A7428" w:rsidRDefault="000A7428" w:rsidP="00C20C4F">
            <w:pPr>
              <w:numPr>
                <w:ilvl w:val="0"/>
                <w:numId w:val="43"/>
              </w:numPr>
              <w:spacing w:after="120"/>
              <w:rPr>
                <w:noProof/>
                <w:szCs w:val="24"/>
              </w:rPr>
            </w:pPr>
            <w:r w:rsidRPr="000A7428">
              <w:rPr>
                <w:noProof/>
                <w:szCs w:val="24"/>
              </w:rPr>
              <w:t xml:space="preserve">Across </w:t>
            </w:r>
            <w:r w:rsidR="004A6D04">
              <w:rPr>
                <w:noProof/>
                <w:szCs w:val="24"/>
              </w:rPr>
              <w:t>sixty-six</w:t>
            </w:r>
            <w:r w:rsidRPr="000A7428">
              <w:rPr>
                <w:noProof/>
                <w:szCs w:val="24"/>
              </w:rPr>
              <w:t xml:space="preserve"> studies that examined characteristics, motivations or behaviours, intentional self-poisosoning tended to be more common in females compared to males, and in adolescents and young adults compared to other age groups</w:t>
            </w:r>
            <w:r w:rsidR="00E8454F">
              <w:rPr>
                <w:noProof/>
                <w:szCs w:val="24"/>
              </w:rPr>
              <w:t>.</w:t>
            </w:r>
            <w:r w:rsidRPr="000A7428">
              <w:rPr>
                <w:noProof/>
                <w:szCs w:val="24"/>
              </w:rPr>
              <w:t xml:space="preserve"> </w:t>
            </w:r>
          </w:p>
          <w:p w14:paraId="5872E590" w14:textId="74AFDBD4" w:rsidR="000A7428" w:rsidRPr="000A7428" w:rsidRDefault="000A7428" w:rsidP="00C20C4F">
            <w:pPr>
              <w:numPr>
                <w:ilvl w:val="0"/>
                <w:numId w:val="43"/>
              </w:numPr>
              <w:spacing w:after="120"/>
              <w:rPr>
                <w:noProof/>
                <w:szCs w:val="24"/>
              </w:rPr>
            </w:pPr>
            <w:r w:rsidRPr="000A7428">
              <w:rPr>
                <w:noProof/>
                <w:szCs w:val="24"/>
              </w:rPr>
              <w:t>Young people who intentionally self-poiosoned with paracetmaol often did not have a history of self-harm, but approximately half of cases had a past or current psychiatric disorder</w:t>
            </w:r>
            <w:r w:rsidR="00E8454F">
              <w:rPr>
                <w:noProof/>
                <w:szCs w:val="24"/>
              </w:rPr>
              <w:t>.</w:t>
            </w:r>
          </w:p>
          <w:p w14:paraId="4ADDAFC9" w14:textId="6FE7F4C4" w:rsidR="000A7428" w:rsidRPr="000A7428" w:rsidRDefault="000A7428" w:rsidP="00C20C4F">
            <w:pPr>
              <w:numPr>
                <w:ilvl w:val="0"/>
                <w:numId w:val="43"/>
              </w:numPr>
              <w:spacing w:after="120"/>
              <w:rPr>
                <w:noProof/>
                <w:szCs w:val="24"/>
              </w:rPr>
            </w:pPr>
            <w:r w:rsidRPr="000A7428">
              <w:rPr>
                <w:noProof/>
                <w:szCs w:val="24"/>
              </w:rPr>
              <w:t>The majority of people who intentionally self-poisoned had suicidal intent, and did so impulsively with paracetamaol that was easily accessible in the home or purchased from retailers</w:t>
            </w:r>
            <w:r w:rsidR="00FC3402">
              <w:rPr>
                <w:noProof/>
                <w:szCs w:val="24"/>
              </w:rPr>
              <w:t>.</w:t>
            </w:r>
            <w:r w:rsidRPr="000A7428">
              <w:rPr>
                <w:noProof/>
                <w:szCs w:val="24"/>
              </w:rPr>
              <w:t xml:space="preserve">  </w:t>
            </w:r>
          </w:p>
          <w:p w14:paraId="35AD9021" w14:textId="455FDB94" w:rsidR="000A7428" w:rsidRPr="000A7428" w:rsidRDefault="000A7428" w:rsidP="00C20C4F">
            <w:pPr>
              <w:numPr>
                <w:ilvl w:val="0"/>
                <w:numId w:val="43"/>
              </w:numPr>
              <w:spacing w:after="120"/>
              <w:rPr>
                <w:noProof/>
                <w:szCs w:val="24"/>
              </w:rPr>
            </w:pPr>
            <w:r w:rsidRPr="000A7428">
              <w:rPr>
                <w:noProof/>
                <w:szCs w:val="24"/>
              </w:rPr>
              <w:t>Common overdose sizes were similar to a pack or multiples of a pack, and general population samples overestimated the quantity required for a harmful or lethal dose</w:t>
            </w:r>
            <w:r w:rsidR="00E72DBF">
              <w:rPr>
                <w:noProof/>
                <w:szCs w:val="24"/>
              </w:rPr>
              <w:t>.</w:t>
            </w:r>
            <w:r w:rsidRPr="000A7428">
              <w:rPr>
                <w:noProof/>
                <w:szCs w:val="24"/>
              </w:rPr>
              <w:t xml:space="preserve"> </w:t>
            </w:r>
          </w:p>
          <w:p w14:paraId="5E7F2138" w14:textId="3DD10434" w:rsidR="000A7428" w:rsidRPr="000A7428" w:rsidRDefault="000A7428" w:rsidP="00C20C4F">
            <w:pPr>
              <w:numPr>
                <w:ilvl w:val="0"/>
                <w:numId w:val="43"/>
              </w:numPr>
              <w:spacing w:after="120"/>
              <w:ind w:left="357" w:hanging="357"/>
              <w:rPr>
                <w:noProof/>
                <w:szCs w:val="24"/>
              </w:rPr>
            </w:pPr>
            <w:r w:rsidRPr="000A7428">
              <w:rPr>
                <w:noProof/>
                <w:szCs w:val="24"/>
              </w:rPr>
              <w:t xml:space="preserve">Across </w:t>
            </w:r>
            <w:r w:rsidR="004A6D04">
              <w:rPr>
                <w:noProof/>
                <w:szCs w:val="24"/>
              </w:rPr>
              <w:t>fifteen</w:t>
            </w:r>
            <w:r w:rsidRPr="000A7428">
              <w:rPr>
                <w:noProof/>
                <w:szCs w:val="24"/>
              </w:rPr>
              <w:t xml:space="preserve"> studies that examined the impact of </w:t>
            </w:r>
            <w:r>
              <w:rPr>
                <w:noProof/>
                <w:szCs w:val="24"/>
              </w:rPr>
              <w:t>five</w:t>
            </w:r>
            <w:r w:rsidRPr="000A7428">
              <w:rPr>
                <w:noProof/>
                <w:szCs w:val="24"/>
              </w:rPr>
              <w:t xml:space="preserve"> historical instances of reduced access to one medication on method sub</w:t>
            </w:r>
            <w:r>
              <w:rPr>
                <w:noProof/>
                <w:szCs w:val="24"/>
              </w:rPr>
              <w:t>stitution</w:t>
            </w:r>
            <w:r w:rsidRPr="000A7428">
              <w:rPr>
                <w:noProof/>
                <w:szCs w:val="24"/>
              </w:rPr>
              <w:t>, there was little evidence that restriction led to  means subs</w:t>
            </w:r>
            <w:bookmarkStart w:id="144" w:name="_Hlk110442303"/>
            <w:bookmarkEnd w:id="143"/>
            <w:r>
              <w:rPr>
                <w:noProof/>
                <w:szCs w:val="24"/>
              </w:rPr>
              <w:t>titution.</w:t>
            </w:r>
          </w:p>
        </w:tc>
      </w:tr>
      <w:bookmarkEnd w:id="144"/>
    </w:tbl>
    <w:p w14:paraId="4A26B274" w14:textId="77777777" w:rsidR="000A7428" w:rsidRPr="000A7428" w:rsidRDefault="000A7428" w:rsidP="000A7428">
      <w:pPr>
        <w:spacing w:after="0"/>
        <w:rPr>
          <w:rFonts w:cs="Times New Roman"/>
          <w:szCs w:val="24"/>
        </w:rPr>
      </w:pPr>
    </w:p>
    <w:p w14:paraId="591E6CEA" w14:textId="713E48E2" w:rsidR="00666DF8" w:rsidRPr="00666DF8" w:rsidRDefault="004A04E3" w:rsidP="00C20C4F">
      <w:pPr>
        <w:pStyle w:val="Heading2"/>
      </w:pPr>
      <w:bookmarkStart w:id="145" w:name="_Toc112843940"/>
      <w:r>
        <w:t>Background</w:t>
      </w:r>
      <w:bookmarkEnd w:id="145"/>
    </w:p>
    <w:p w14:paraId="2DBD9636" w14:textId="77777777" w:rsidR="00666DF8" w:rsidRDefault="00666DF8" w:rsidP="00666DF8">
      <w:pPr>
        <w:spacing w:after="0"/>
        <w:rPr>
          <w:rFonts w:eastAsia="Times New Roman" w:cs="Times New Roman"/>
          <w:szCs w:val="24"/>
        </w:rPr>
      </w:pPr>
      <w:r w:rsidRPr="0091560A">
        <w:rPr>
          <w:rFonts w:cs="Times New Roman"/>
          <w:szCs w:val="24"/>
        </w:rPr>
        <w:t>A</w:t>
      </w:r>
      <w:r w:rsidRPr="0091560A">
        <w:rPr>
          <w:rFonts w:eastAsia="Times New Roman" w:cs="Times New Roman"/>
          <w:szCs w:val="24"/>
        </w:rPr>
        <w:t xml:space="preserve"> critical, systematic review of the literature was undertaken to identify the characteristics and behaviour of individuals who intentionally self-poison with paracetamol and similar medications. A specific focus of the review was on identifying available research on self-harm intent, ideation and planning, and the potential for method substitution in response to medication restrictions. Understanding the characteristics and behaviours associated with intentional self-poisoning is important in establishing the aetiology of the problem and to assist in identifying ways to reduce intentional self-poisoning behaviour through targeted intervention and restrictions. Restricting access to paracetamol could be helpful in reducing the number of intentional self-poisoning cases via paracetamol. However, this effort would be counterproductive if it led to the increased use of other more lethal or toxic medications, therefore examining the potential for method substitution is crucial.  </w:t>
      </w:r>
    </w:p>
    <w:p w14:paraId="1B112FB3" w14:textId="77777777" w:rsidR="00574EB4" w:rsidRPr="0091560A" w:rsidRDefault="00574EB4" w:rsidP="00574EB4">
      <w:pPr>
        <w:spacing w:after="0"/>
        <w:rPr>
          <w:rFonts w:eastAsia="Times New Roman" w:cs="Times New Roman"/>
          <w:szCs w:val="24"/>
        </w:rPr>
      </w:pPr>
    </w:p>
    <w:p w14:paraId="7D5F9F32" w14:textId="77777777" w:rsidR="00574EB4" w:rsidRPr="0091560A" w:rsidRDefault="00574EB4" w:rsidP="000A49C2">
      <w:pPr>
        <w:pStyle w:val="Heading2"/>
      </w:pPr>
      <w:bookmarkStart w:id="146" w:name="_Toc112843941"/>
      <w:r w:rsidRPr="0091560A">
        <w:t>Research Questions</w:t>
      </w:r>
      <w:bookmarkEnd w:id="146"/>
    </w:p>
    <w:p w14:paraId="586B31B5" w14:textId="77777777" w:rsidR="00574EB4" w:rsidRPr="0091560A" w:rsidRDefault="00574EB4" w:rsidP="00574EB4">
      <w:pPr>
        <w:spacing w:after="0"/>
        <w:rPr>
          <w:rFonts w:cs="Times New Roman"/>
          <w:szCs w:val="24"/>
        </w:rPr>
      </w:pPr>
      <w:r w:rsidRPr="0091560A">
        <w:rPr>
          <w:rFonts w:cs="Times New Roman"/>
          <w:szCs w:val="24"/>
        </w:rPr>
        <w:t>Two key research questions have guided the present systematic review of the literature:</w:t>
      </w:r>
    </w:p>
    <w:p w14:paraId="235EC000" w14:textId="6BF9EA7F" w:rsidR="00574EB4" w:rsidRPr="0091560A" w:rsidRDefault="00574EB4" w:rsidP="00574EB4">
      <w:pPr>
        <w:spacing w:after="0"/>
        <w:rPr>
          <w:rFonts w:cs="Times New Roman"/>
          <w:b/>
          <w:bCs/>
          <w:szCs w:val="24"/>
        </w:rPr>
      </w:pPr>
    </w:p>
    <w:p w14:paraId="04F89246" w14:textId="47325971" w:rsidR="00574EB4" w:rsidRPr="008B15BB" w:rsidRDefault="00574EB4" w:rsidP="000A49C2">
      <w:pPr>
        <w:pStyle w:val="ListParagraph"/>
        <w:numPr>
          <w:ilvl w:val="0"/>
          <w:numId w:val="56"/>
        </w:numPr>
        <w:spacing w:after="0"/>
        <w:rPr>
          <w:rFonts w:cs="Times New Roman"/>
          <w:szCs w:val="24"/>
        </w:rPr>
      </w:pPr>
      <w:r w:rsidRPr="00497288">
        <w:rPr>
          <w:rFonts w:cs="Times New Roman"/>
          <w:szCs w:val="24"/>
        </w:rPr>
        <w:t>What are the demographic and clinical characteristics of people engaging in self-poisoning via paracetamol or other non-opioid analgesics available over-the-counter, such a</w:t>
      </w:r>
      <w:r w:rsidRPr="00C03854">
        <w:rPr>
          <w:rFonts w:cs="Times New Roman"/>
          <w:szCs w:val="24"/>
        </w:rPr>
        <w:t>s ibuprofen</w:t>
      </w:r>
      <w:r w:rsidR="00340F79" w:rsidRPr="0038312B">
        <w:rPr>
          <w:rFonts w:cs="Times New Roman"/>
          <w:szCs w:val="24"/>
        </w:rPr>
        <w:t xml:space="preserve"> and </w:t>
      </w:r>
      <w:r w:rsidRPr="0038312B">
        <w:rPr>
          <w:rFonts w:cs="Times New Roman"/>
          <w:szCs w:val="24"/>
        </w:rPr>
        <w:t>aspirin</w:t>
      </w:r>
      <w:r w:rsidR="007150CE" w:rsidRPr="00280C06">
        <w:rPr>
          <w:rFonts w:cs="Times New Roman"/>
          <w:szCs w:val="24"/>
        </w:rPr>
        <w:t xml:space="preserve"> </w:t>
      </w:r>
      <w:r w:rsidRPr="00280C06">
        <w:rPr>
          <w:rFonts w:cs="Times New Roman"/>
          <w:szCs w:val="24"/>
        </w:rPr>
        <w:t>in Australia and similar countries? What are the motivations, intentions, decision-making processes and behaviours of people who overdose with paracetamol or other non-opioid analgesics? What does the general population know about the safety/toxicity of paracetamol or simila</w:t>
      </w:r>
      <w:r w:rsidR="00B8021B" w:rsidRPr="00280C06">
        <w:rPr>
          <w:rFonts w:cs="Times New Roman"/>
          <w:szCs w:val="24"/>
        </w:rPr>
        <w:t>r</w:t>
      </w:r>
      <w:r w:rsidRPr="008B15BB">
        <w:rPr>
          <w:rFonts w:cs="Times New Roman"/>
          <w:szCs w:val="24"/>
        </w:rPr>
        <w:t xml:space="preserve"> medications?</w:t>
      </w:r>
    </w:p>
    <w:p w14:paraId="4F104BD7" w14:textId="77068046" w:rsidR="00574EB4" w:rsidRPr="0091560A" w:rsidRDefault="00574EB4" w:rsidP="00574EB4">
      <w:pPr>
        <w:spacing w:after="0"/>
        <w:rPr>
          <w:rFonts w:cs="Times New Roman"/>
          <w:szCs w:val="24"/>
        </w:rPr>
      </w:pPr>
    </w:p>
    <w:p w14:paraId="3F3A4ABA" w14:textId="719E26F4" w:rsidR="00574EB4" w:rsidRPr="00A85B9E" w:rsidRDefault="00574EB4" w:rsidP="000A49C2">
      <w:pPr>
        <w:pStyle w:val="ListParagraph"/>
        <w:numPr>
          <w:ilvl w:val="0"/>
          <w:numId w:val="56"/>
        </w:numPr>
        <w:spacing w:after="0"/>
        <w:rPr>
          <w:rFonts w:cs="Times New Roman"/>
          <w:szCs w:val="24"/>
        </w:rPr>
      </w:pPr>
      <w:r w:rsidRPr="00497288">
        <w:rPr>
          <w:rFonts w:cs="Times New Roman"/>
          <w:szCs w:val="24"/>
        </w:rPr>
        <w:t>What is the effect of restricting access to paracetamol and other similar medications on individual self-poisoning behaviours and use of alternate means of suicide and self-harm (method substitu</w:t>
      </w:r>
      <w:r w:rsidRPr="00C03854">
        <w:rPr>
          <w:rFonts w:cs="Times New Roman"/>
          <w:szCs w:val="24"/>
        </w:rPr>
        <w:t>tion) in Australia and similar countries? Does increasing access to paracetamol and other medications (e.g., through down-scheduling) have an effect on means of suicide and self-harm?</w:t>
      </w:r>
    </w:p>
    <w:p w14:paraId="06E4416E" w14:textId="77777777" w:rsidR="00574EB4" w:rsidRPr="0091560A" w:rsidRDefault="00574EB4" w:rsidP="00574EB4">
      <w:pPr>
        <w:spacing w:after="0"/>
        <w:rPr>
          <w:rFonts w:cs="Times New Roman"/>
          <w:szCs w:val="24"/>
        </w:rPr>
      </w:pPr>
    </w:p>
    <w:p w14:paraId="446FBFF2" w14:textId="3A8FB313" w:rsidR="00574EB4" w:rsidRPr="0091560A" w:rsidRDefault="00BC08E7" w:rsidP="00EB6BE8">
      <w:r>
        <w:t xml:space="preserve">The methodology used </w:t>
      </w:r>
      <w:r w:rsidR="009405D7">
        <w:t>as part of the literature review is included in Appendix F.</w:t>
      </w:r>
    </w:p>
    <w:p w14:paraId="452FAD96" w14:textId="6A541997" w:rsidR="00574EB4" w:rsidRDefault="00574EB4" w:rsidP="00EB6BE8">
      <w:pPr>
        <w:pStyle w:val="Heading2"/>
      </w:pPr>
      <w:bookmarkStart w:id="147" w:name="_Toc112843942"/>
      <w:r w:rsidRPr="0091560A">
        <w:t>Results</w:t>
      </w:r>
      <w:bookmarkEnd w:id="147"/>
    </w:p>
    <w:p w14:paraId="5123357F" w14:textId="373E6AED" w:rsidR="00574EB4" w:rsidRPr="0091560A" w:rsidRDefault="00574EB4" w:rsidP="00574EB4">
      <w:pPr>
        <w:spacing w:after="120"/>
        <w:rPr>
          <w:rFonts w:cs="Times New Roman"/>
          <w:szCs w:val="24"/>
        </w:rPr>
      </w:pPr>
      <w:r w:rsidRPr="0091560A">
        <w:rPr>
          <w:rFonts w:cs="Times New Roman"/>
          <w:szCs w:val="24"/>
        </w:rPr>
        <w:t>The results are described separately for Question 1 (</w:t>
      </w:r>
      <w:r w:rsidR="00042D30">
        <w:rPr>
          <w:rFonts w:cs="Times New Roman"/>
          <w:szCs w:val="24"/>
        </w:rPr>
        <w:fldChar w:fldCharType="begin"/>
      </w:r>
      <w:r w:rsidR="00042D30">
        <w:rPr>
          <w:rFonts w:cs="Times New Roman"/>
          <w:szCs w:val="24"/>
        </w:rPr>
        <w:instrText xml:space="preserve"> REF _Ref110167665 \h </w:instrText>
      </w:r>
      <w:r w:rsidR="00042D30">
        <w:rPr>
          <w:rFonts w:cs="Times New Roman"/>
          <w:szCs w:val="24"/>
        </w:rPr>
      </w:r>
      <w:r w:rsidR="00042D30">
        <w:rPr>
          <w:rFonts w:cs="Times New Roman"/>
          <w:szCs w:val="24"/>
        </w:rPr>
        <w:fldChar w:fldCharType="separate"/>
      </w:r>
      <w:r w:rsidR="0091734E">
        <w:t xml:space="preserve">Table </w:t>
      </w:r>
      <w:r w:rsidR="0091734E">
        <w:rPr>
          <w:noProof/>
        </w:rPr>
        <w:t>31</w:t>
      </w:r>
      <w:r w:rsidR="00042D30">
        <w:rPr>
          <w:rFonts w:cs="Times New Roman"/>
          <w:szCs w:val="24"/>
        </w:rPr>
        <w:fldChar w:fldCharType="end"/>
      </w:r>
      <w:r w:rsidR="00042D30">
        <w:rPr>
          <w:rFonts w:cs="Times New Roman"/>
          <w:szCs w:val="24"/>
        </w:rPr>
        <w:t>,</w:t>
      </w:r>
      <w:r w:rsidR="007715E9">
        <w:rPr>
          <w:rFonts w:cs="Times New Roman"/>
          <w:szCs w:val="24"/>
        </w:rPr>
        <w:t xml:space="preserve"> </w:t>
      </w:r>
      <w:r w:rsidR="005E4020" w:rsidRPr="00EB6BE8">
        <w:rPr>
          <w:rFonts w:cs="Times New Roman"/>
          <w:szCs w:val="24"/>
        </w:rPr>
        <w:fldChar w:fldCharType="begin"/>
      </w:r>
      <w:r w:rsidR="005E4020" w:rsidRPr="00EB6BE8">
        <w:rPr>
          <w:rFonts w:cs="Times New Roman"/>
          <w:szCs w:val="24"/>
        </w:rPr>
        <w:instrText xml:space="preserve"> REF _Ref110167872 \h </w:instrText>
      </w:r>
      <w:r w:rsidR="006A2AA5" w:rsidRPr="00EB6BE8">
        <w:rPr>
          <w:rFonts w:cs="Times New Roman"/>
          <w:szCs w:val="24"/>
        </w:rPr>
        <w:instrText xml:space="preserve"> \* MERGEFORMAT </w:instrText>
      </w:r>
      <w:r w:rsidR="005E4020" w:rsidRPr="00EB6BE8">
        <w:rPr>
          <w:rFonts w:cs="Times New Roman"/>
          <w:szCs w:val="24"/>
        </w:rPr>
      </w:r>
      <w:r w:rsidR="005E4020" w:rsidRPr="00EB6BE8">
        <w:rPr>
          <w:rFonts w:cs="Times New Roman"/>
          <w:szCs w:val="24"/>
        </w:rPr>
        <w:fldChar w:fldCharType="separate"/>
      </w:r>
      <w:r w:rsidR="0091734E">
        <w:t xml:space="preserve">Table </w:t>
      </w:r>
      <w:r w:rsidR="0091734E">
        <w:rPr>
          <w:noProof/>
        </w:rPr>
        <w:t>32</w:t>
      </w:r>
      <w:r w:rsidR="005E4020" w:rsidRPr="00EB6BE8">
        <w:rPr>
          <w:rFonts w:cs="Times New Roman"/>
          <w:szCs w:val="24"/>
        </w:rPr>
        <w:fldChar w:fldCharType="end"/>
      </w:r>
      <w:r w:rsidRPr="00EB6BE8">
        <w:rPr>
          <w:rFonts w:cs="Times New Roman"/>
          <w:szCs w:val="24"/>
        </w:rPr>
        <w:t>)</w:t>
      </w:r>
      <w:r w:rsidRPr="0091560A">
        <w:rPr>
          <w:rFonts w:cs="Times New Roman"/>
          <w:szCs w:val="24"/>
        </w:rPr>
        <w:t xml:space="preserve"> and Question 2 (</w:t>
      </w:r>
      <w:r w:rsidR="00DD5885">
        <w:rPr>
          <w:rFonts w:cs="Times New Roman"/>
          <w:szCs w:val="24"/>
        </w:rPr>
        <w:fldChar w:fldCharType="begin"/>
      </w:r>
      <w:r w:rsidR="00DD5885">
        <w:rPr>
          <w:rFonts w:cs="Times New Roman"/>
          <w:szCs w:val="24"/>
        </w:rPr>
        <w:instrText xml:space="preserve"> REF _Ref110167696 \h </w:instrText>
      </w:r>
      <w:r w:rsidR="00DD5885">
        <w:rPr>
          <w:rFonts w:cs="Times New Roman"/>
          <w:szCs w:val="24"/>
        </w:rPr>
      </w:r>
      <w:r w:rsidR="00DD5885">
        <w:rPr>
          <w:rFonts w:cs="Times New Roman"/>
          <w:szCs w:val="24"/>
        </w:rPr>
        <w:fldChar w:fldCharType="separate"/>
      </w:r>
      <w:r w:rsidR="0091734E">
        <w:t xml:space="preserve">Table </w:t>
      </w:r>
      <w:r w:rsidR="0091734E">
        <w:rPr>
          <w:noProof/>
        </w:rPr>
        <w:t>33</w:t>
      </w:r>
      <w:r w:rsidR="00DD5885">
        <w:rPr>
          <w:rFonts w:cs="Times New Roman"/>
          <w:szCs w:val="24"/>
        </w:rPr>
        <w:fldChar w:fldCharType="end"/>
      </w:r>
      <w:r w:rsidRPr="0091560A">
        <w:rPr>
          <w:rFonts w:cs="Times New Roman"/>
          <w:szCs w:val="24"/>
        </w:rPr>
        <w:t>).</w:t>
      </w:r>
    </w:p>
    <w:p w14:paraId="4EC83974" w14:textId="77777777" w:rsidR="00574EB4" w:rsidRPr="0091560A" w:rsidRDefault="00574EB4" w:rsidP="003D12EC">
      <w:pPr>
        <w:pStyle w:val="Heading3"/>
      </w:pPr>
      <w:bookmarkStart w:id="148" w:name="_Toc112843943"/>
      <w:r w:rsidRPr="0091560A">
        <w:t>Question 1: Characteristics, motivations and behaviours of people engaging in self-poisoning via paracetamol or other non-opioid analgesics</w:t>
      </w:r>
      <w:bookmarkEnd w:id="148"/>
    </w:p>
    <w:p w14:paraId="7250FBB1" w14:textId="26E160D2" w:rsidR="00574EB4" w:rsidRPr="0091560A" w:rsidRDefault="00574EB4" w:rsidP="00574EB4">
      <w:pPr>
        <w:spacing w:after="0"/>
        <w:rPr>
          <w:rFonts w:cs="Times New Roman"/>
          <w:szCs w:val="24"/>
        </w:rPr>
      </w:pPr>
      <w:r w:rsidRPr="0091560A">
        <w:rPr>
          <w:rFonts w:cs="Times New Roman"/>
          <w:szCs w:val="24"/>
        </w:rPr>
        <w:t xml:space="preserve">Sixty-six of the </w:t>
      </w:r>
      <w:r w:rsidR="00275777">
        <w:rPr>
          <w:rFonts w:cs="Times New Roman"/>
          <w:szCs w:val="24"/>
        </w:rPr>
        <w:t>eighty-one</w:t>
      </w:r>
      <w:r w:rsidRPr="0091560A">
        <w:rPr>
          <w:rFonts w:cs="Times New Roman"/>
          <w:szCs w:val="24"/>
        </w:rPr>
        <w:t xml:space="preserve"> identified studies contained data relevant to research Question 1. For ease of interpretation, </w:t>
      </w:r>
      <w:r w:rsidR="00697D94">
        <w:rPr>
          <w:rFonts w:cs="Times New Roman"/>
          <w:b/>
          <w:bCs/>
          <w:szCs w:val="24"/>
        </w:rPr>
        <w:fldChar w:fldCharType="begin"/>
      </w:r>
      <w:r w:rsidR="00697D94">
        <w:rPr>
          <w:rFonts w:cs="Times New Roman"/>
          <w:szCs w:val="24"/>
        </w:rPr>
        <w:instrText xml:space="preserve"> REF _Ref110167665 \h </w:instrText>
      </w:r>
      <w:r w:rsidR="00697D94">
        <w:rPr>
          <w:rFonts w:cs="Times New Roman"/>
          <w:b/>
          <w:bCs/>
          <w:szCs w:val="24"/>
        </w:rPr>
      </w:r>
      <w:r w:rsidR="00697D94">
        <w:rPr>
          <w:rFonts w:cs="Times New Roman"/>
          <w:b/>
          <w:bCs/>
          <w:szCs w:val="24"/>
        </w:rPr>
        <w:fldChar w:fldCharType="separate"/>
      </w:r>
      <w:r w:rsidR="0091734E">
        <w:t xml:space="preserve">Table </w:t>
      </w:r>
      <w:r w:rsidR="0091734E">
        <w:rPr>
          <w:noProof/>
        </w:rPr>
        <w:t>31</w:t>
      </w:r>
      <w:r w:rsidR="00697D94">
        <w:rPr>
          <w:rFonts w:cs="Times New Roman"/>
          <w:b/>
          <w:bCs/>
          <w:szCs w:val="24"/>
        </w:rPr>
        <w:fldChar w:fldCharType="end"/>
      </w:r>
      <w:r w:rsidR="00697D94">
        <w:rPr>
          <w:rFonts w:cs="Times New Roman"/>
          <w:b/>
          <w:bCs/>
          <w:szCs w:val="24"/>
        </w:rPr>
        <w:t xml:space="preserve"> </w:t>
      </w:r>
      <w:r w:rsidRPr="0091560A">
        <w:rPr>
          <w:rFonts w:cs="Times New Roman"/>
          <w:szCs w:val="24"/>
        </w:rPr>
        <w:t xml:space="preserve">presents the findings of studies that report on participant demographic and clinical characteristics, such as sex, age, self-harm history and psychiatric history, as well as paracetamol dose characteristics. </w:t>
      </w:r>
      <w:r w:rsidR="00016287">
        <w:rPr>
          <w:rFonts w:cs="Times New Roman"/>
          <w:szCs w:val="24"/>
        </w:rPr>
        <w:fldChar w:fldCharType="begin"/>
      </w:r>
      <w:r w:rsidR="00016287">
        <w:rPr>
          <w:rFonts w:cs="Times New Roman"/>
          <w:szCs w:val="24"/>
        </w:rPr>
        <w:instrText xml:space="preserve"> REF _Ref110167872 \h </w:instrText>
      </w:r>
      <w:r w:rsidR="00016287">
        <w:rPr>
          <w:rFonts w:cs="Times New Roman"/>
          <w:szCs w:val="24"/>
        </w:rPr>
      </w:r>
      <w:r w:rsidR="00016287">
        <w:rPr>
          <w:rFonts w:cs="Times New Roman"/>
          <w:szCs w:val="24"/>
        </w:rPr>
        <w:fldChar w:fldCharType="separate"/>
      </w:r>
      <w:r w:rsidR="0091734E">
        <w:t xml:space="preserve">Table </w:t>
      </w:r>
      <w:r w:rsidR="0091734E">
        <w:rPr>
          <w:noProof/>
        </w:rPr>
        <w:t>32</w:t>
      </w:r>
      <w:r w:rsidR="00016287">
        <w:rPr>
          <w:rFonts w:cs="Times New Roman"/>
          <w:szCs w:val="24"/>
        </w:rPr>
        <w:fldChar w:fldCharType="end"/>
      </w:r>
      <w:r w:rsidR="00016287">
        <w:rPr>
          <w:rFonts w:cs="Times New Roman"/>
          <w:szCs w:val="24"/>
        </w:rPr>
        <w:t xml:space="preserve"> </w:t>
      </w:r>
      <w:r w:rsidRPr="0091560A">
        <w:rPr>
          <w:rFonts w:cs="Times New Roman"/>
          <w:szCs w:val="24"/>
        </w:rPr>
        <w:t xml:space="preserve">presents the findings of studies assessing the motivations, knowledge and behaviours of people engaging in self-poisoning via paracetamol, including access to paracetamol and planning. </w:t>
      </w:r>
    </w:p>
    <w:p w14:paraId="27D4AC5D" w14:textId="77777777" w:rsidR="00574EB4" w:rsidRPr="0091560A" w:rsidRDefault="00574EB4" w:rsidP="00574EB4">
      <w:pPr>
        <w:spacing w:after="0"/>
        <w:rPr>
          <w:rFonts w:cs="Times New Roman"/>
          <w:szCs w:val="24"/>
        </w:rPr>
      </w:pPr>
    </w:p>
    <w:p w14:paraId="24E53764" w14:textId="50985047" w:rsidR="00574EB4" w:rsidRPr="0091560A" w:rsidRDefault="00574EB4" w:rsidP="00574EB4">
      <w:pPr>
        <w:spacing w:after="0"/>
        <w:rPr>
          <w:rFonts w:cs="Times New Roman"/>
          <w:szCs w:val="24"/>
        </w:rPr>
      </w:pPr>
      <w:r w:rsidRPr="0091560A">
        <w:rPr>
          <w:rFonts w:cs="Times New Roman"/>
          <w:szCs w:val="24"/>
        </w:rPr>
        <w:t>The identified studies were published in a range of countries, including the UK and Ireland (</w:t>
      </w:r>
      <w:r w:rsidRPr="0091560A">
        <w:rPr>
          <w:rFonts w:cs="Times New Roman"/>
          <w:i/>
          <w:iCs/>
          <w:szCs w:val="24"/>
        </w:rPr>
        <w:t>n</w:t>
      </w:r>
      <w:r w:rsidRPr="0091560A">
        <w:rPr>
          <w:rFonts w:cs="Times New Roman"/>
          <w:szCs w:val="24"/>
        </w:rPr>
        <w:t xml:space="preserve"> = 24), US (</w:t>
      </w:r>
      <w:r w:rsidRPr="0091560A">
        <w:rPr>
          <w:rFonts w:cs="Times New Roman"/>
          <w:i/>
          <w:iCs/>
          <w:szCs w:val="24"/>
        </w:rPr>
        <w:t>n</w:t>
      </w:r>
      <w:r w:rsidRPr="0091560A">
        <w:rPr>
          <w:rFonts w:cs="Times New Roman"/>
          <w:szCs w:val="24"/>
        </w:rPr>
        <w:t xml:space="preserve"> = 14), Europe (</w:t>
      </w:r>
      <w:r w:rsidRPr="0091560A">
        <w:rPr>
          <w:rFonts w:cs="Times New Roman"/>
          <w:i/>
          <w:iCs/>
          <w:szCs w:val="24"/>
        </w:rPr>
        <w:t>n</w:t>
      </w:r>
      <w:r w:rsidRPr="0091560A">
        <w:rPr>
          <w:rFonts w:cs="Times New Roman"/>
          <w:szCs w:val="24"/>
        </w:rPr>
        <w:t xml:space="preserve"> = 12), Canada (</w:t>
      </w:r>
      <w:r w:rsidRPr="0091560A">
        <w:rPr>
          <w:rFonts w:cs="Times New Roman"/>
          <w:i/>
          <w:iCs/>
          <w:szCs w:val="24"/>
        </w:rPr>
        <w:t>n</w:t>
      </w:r>
      <w:r w:rsidRPr="0091560A">
        <w:rPr>
          <w:rFonts w:cs="Times New Roman"/>
          <w:szCs w:val="24"/>
        </w:rPr>
        <w:t xml:space="preserve"> = 8), Australia (</w:t>
      </w:r>
      <w:r w:rsidRPr="0091560A">
        <w:rPr>
          <w:rFonts w:cs="Times New Roman"/>
          <w:i/>
          <w:iCs/>
          <w:szCs w:val="24"/>
        </w:rPr>
        <w:t>n</w:t>
      </w:r>
      <w:r w:rsidRPr="0091560A">
        <w:rPr>
          <w:rFonts w:cs="Times New Roman"/>
          <w:szCs w:val="24"/>
        </w:rPr>
        <w:t xml:space="preserve"> = 6) and New Zealand (</w:t>
      </w:r>
      <w:r w:rsidRPr="0091560A">
        <w:rPr>
          <w:rFonts w:cs="Times New Roman"/>
          <w:i/>
          <w:iCs/>
          <w:szCs w:val="24"/>
        </w:rPr>
        <w:t>n</w:t>
      </w:r>
      <w:r w:rsidRPr="0091560A">
        <w:rPr>
          <w:rFonts w:cs="Times New Roman"/>
          <w:szCs w:val="24"/>
        </w:rPr>
        <w:t xml:space="preserve"> = 3). Some studies focused only on paracetamol self-poisoning, while others assessed trends in self-poisoning across substances including paracetamol, other analgesics or over-the-counter medications and prescription drugs.</w:t>
      </w:r>
    </w:p>
    <w:p w14:paraId="088AB55F" w14:textId="77777777" w:rsidR="00574EB4" w:rsidRPr="0091560A" w:rsidRDefault="00574EB4" w:rsidP="00574EB4">
      <w:pPr>
        <w:spacing w:after="0"/>
        <w:rPr>
          <w:rFonts w:cs="Times New Roman"/>
          <w:szCs w:val="24"/>
        </w:rPr>
      </w:pPr>
    </w:p>
    <w:p w14:paraId="4C5CC046" w14:textId="77777777" w:rsidR="00574EB4" w:rsidRPr="0091560A" w:rsidRDefault="00574EB4" w:rsidP="00574EB4">
      <w:pPr>
        <w:spacing w:after="0"/>
        <w:rPr>
          <w:rFonts w:cs="Times New Roman"/>
          <w:szCs w:val="24"/>
        </w:rPr>
      </w:pPr>
      <w:r w:rsidRPr="0091560A">
        <w:rPr>
          <w:rFonts w:cs="Times New Roman"/>
          <w:szCs w:val="24"/>
        </w:rPr>
        <w:t>The vast majority of studies were observational (</w:t>
      </w:r>
      <w:r w:rsidRPr="0091560A">
        <w:rPr>
          <w:rFonts w:cs="Times New Roman"/>
          <w:i/>
          <w:iCs/>
          <w:szCs w:val="24"/>
        </w:rPr>
        <w:t xml:space="preserve">n </w:t>
      </w:r>
      <w:r w:rsidRPr="0091560A">
        <w:rPr>
          <w:rFonts w:cs="Times New Roman"/>
          <w:szCs w:val="24"/>
        </w:rPr>
        <w:t>= 55), examining administrative datasets with samples ranging from 34-549,807 participants. The remaining studies were qualitative interview studies (</w:t>
      </w:r>
      <w:r w:rsidRPr="0091560A">
        <w:rPr>
          <w:rFonts w:cs="Times New Roman"/>
          <w:i/>
          <w:iCs/>
          <w:szCs w:val="24"/>
        </w:rPr>
        <w:t>n</w:t>
      </w:r>
      <w:r w:rsidRPr="0091560A">
        <w:rPr>
          <w:rFonts w:cs="Times New Roman"/>
          <w:szCs w:val="24"/>
        </w:rPr>
        <w:t xml:space="preserve"> = 5), case-control studies (</w:t>
      </w:r>
      <w:r w:rsidRPr="0091560A">
        <w:rPr>
          <w:rFonts w:cs="Times New Roman"/>
          <w:i/>
          <w:iCs/>
          <w:szCs w:val="24"/>
        </w:rPr>
        <w:t>n</w:t>
      </w:r>
      <w:r w:rsidRPr="0091560A">
        <w:rPr>
          <w:rFonts w:cs="Times New Roman"/>
          <w:szCs w:val="24"/>
        </w:rPr>
        <w:t xml:space="preserve"> = 3) or cross-sectional surveys (</w:t>
      </w:r>
      <w:r w:rsidRPr="0091560A">
        <w:rPr>
          <w:rFonts w:cs="Times New Roman"/>
          <w:i/>
          <w:iCs/>
          <w:szCs w:val="24"/>
        </w:rPr>
        <w:t>n</w:t>
      </w:r>
      <w:r w:rsidRPr="0091560A">
        <w:rPr>
          <w:rFonts w:cs="Times New Roman"/>
          <w:szCs w:val="24"/>
        </w:rPr>
        <w:t xml:space="preserve"> =3). These remaining studies tended to have smaller samples than observational studies, ranging from 60-280 participants for qualitative interview studies and 95-582 participants for case-control and cross-sectional studies. The study populations varied across studies and included emergency department presentations, hospitalisations, deaths, or a combination of these events. The studies also spanned a range of age groups, with some studies including participants of all ages from infants to older adults, while others focused on paediatric or adult populations.  </w:t>
      </w:r>
    </w:p>
    <w:p w14:paraId="1D491134" w14:textId="77777777" w:rsidR="00574EB4" w:rsidRPr="0091560A" w:rsidRDefault="00574EB4" w:rsidP="00574EB4">
      <w:pPr>
        <w:spacing w:after="0"/>
        <w:rPr>
          <w:rFonts w:cs="Times New Roman"/>
          <w:szCs w:val="24"/>
        </w:rPr>
      </w:pPr>
    </w:p>
    <w:p w14:paraId="1725AE37" w14:textId="6C328C4E" w:rsidR="00574EB4" w:rsidRPr="0091560A" w:rsidRDefault="003649BB" w:rsidP="00574EB4">
      <w:pPr>
        <w:spacing w:after="0"/>
        <w:rPr>
          <w:rFonts w:cs="Times New Roman"/>
          <w:szCs w:val="24"/>
        </w:rPr>
      </w:pPr>
      <w:r>
        <w:rPr>
          <w:rFonts w:cs="Times New Roman"/>
          <w:szCs w:val="24"/>
        </w:rPr>
        <w:fldChar w:fldCharType="begin"/>
      </w:r>
      <w:r>
        <w:rPr>
          <w:rFonts w:cs="Times New Roman"/>
          <w:szCs w:val="24"/>
        </w:rPr>
        <w:instrText xml:space="preserve"> REF _Ref110167665 \h </w:instrText>
      </w:r>
      <w:r>
        <w:rPr>
          <w:rFonts w:cs="Times New Roman"/>
          <w:szCs w:val="24"/>
        </w:rPr>
      </w:r>
      <w:r>
        <w:rPr>
          <w:rFonts w:cs="Times New Roman"/>
          <w:szCs w:val="24"/>
        </w:rPr>
        <w:fldChar w:fldCharType="separate"/>
      </w:r>
      <w:r w:rsidR="0091734E">
        <w:t xml:space="preserve">Table </w:t>
      </w:r>
      <w:r w:rsidR="0091734E">
        <w:rPr>
          <w:noProof/>
        </w:rPr>
        <w:t>31</w:t>
      </w:r>
      <w:r>
        <w:rPr>
          <w:rFonts w:cs="Times New Roman"/>
          <w:szCs w:val="24"/>
        </w:rPr>
        <w:fldChar w:fldCharType="end"/>
      </w:r>
      <w:r>
        <w:rPr>
          <w:rFonts w:cs="Times New Roman"/>
          <w:szCs w:val="24"/>
        </w:rPr>
        <w:t xml:space="preserve"> </w:t>
      </w:r>
      <w:r w:rsidR="00574EB4" w:rsidRPr="0091560A">
        <w:rPr>
          <w:rFonts w:cs="Times New Roman"/>
          <w:szCs w:val="24"/>
        </w:rPr>
        <w:t xml:space="preserve">presents the findings of studies assessing the demographic and clinical characteristics of people engaging in self-poisoning via paracetamol or other non-opioid analgesics. </w:t>
      </w:r>
    </w:p>
    <w:p w14:paraId="1B9941E9" w14:textId="77777777" w:rsidR="00574EB4" w:rsidRPr="0091560A" w:rsidRDefault="00574EB4" w:rsidP="00574EB4">
      <w:pPr>
        <w:spacing w:after="0"/>
        <w:rPr>
          <w:rFonts w:cs="Times New Roman"/>
          <w:szCs w:val="24"/>
        </w:rPr>
      </w:pPr>
    </w:p>
    <w:p w14:paraId="61823786" w14:textId="3CC6DB5F" w:rsidR="00574EB4" w:rsidRPr="0091560A" w:rsidRDefault="5903DD7B" w:rsidP="11F138D4">
      <w:pPr>
        <w:spacing w:after="0"/>
        <w:rPr>
          <w:rFonts w:cs="Times New Roman"/>
        </w:rPr>
      </w:pPr>
      <w:r w:rsidRPr="11F138D4">
        <w:rPr>
          <w:rFonts w:cs="Times New Roman"/>
          <w:b/>
          <w:bCs/>
        </w:rPr>
        <w:t xml:space="preserve">Demographic characteristics: </w:t>
      </w:r>
      <w:r w:rsidRPr="11F138D4">
        <w:rPr>
          <w:rFonts w:cs="Times New Roman"/>
        </w:rPr>
        <w:t xml:space="preserve">Of the </w:t>
      </w:r>
      <w:r w:rsidR="00A87EFA">
        <w:rPr>
          <w:rFonts w:cs="Times New Roman"/>
        </w:rPr>
        <w:t>thirty-seven</w:t>
      </w:r>
      <w:r w:rsidRPr="11F138D4">
        <w:rPr>
          <w:rFonts w:cs="Times New Roman"/>
        </w:rPr>
        <w:t xml:space="preserve"> studies that examined sex, the vast majority found that intentional self-poisoning with paracetamol and similar medications was more common among females than males </w:t>
      </w:r>
      <w:r w:rsidR="00574EB4" w:rsidRPr="11F138D4">
        <w:rPr>
          <w:rFonts w:cs="Times New Roman"/>
        </w:rPr>
        <w:fldChar w:fldCharType="begin">
          <w:fldData xml:space="preserve">ZXM+PHZvbHVtZT4xMDE8L3ZvbHVtZT48ZGF0ZXM+PHllYXI+MjAxNzwveWVhcj48L2RhdGVzPjx1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</w:fldData>
        </w:fldChar>
      </w:r>
      <w:r w:rsidR="00AA79F3" w:rsidRPr="11F138D4">
        <w:rPr>
          <w:rFonts w:cs="Times New Roman"/>
        </w:rPr>
        <w:instrText xml:space="preserve"> ADDIN EN.CITE </w:instrText>
      </w:r>
      <w:r w:rsidR="00AA79F3" w:rsidRPr="11F138D4">
        <w:rPr>
          <w:rFonts w:cs="Times New Roman"/>
        </w:rPr>
        <w:fldChar w:fldCharType="begin">
          <w:fldData xml:space="preserve">PEVuZE5vdGU+PENpdGU+PEF1dGhvcj5BbGFuZGVyPC9BdXRob3I+PFllYXI+MjAwMDwvWWVhcj48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==
</w:fldData>
        </w:fldChar>
      </w:r>
      <w:r w:rsidR="00AA79F3" w:rsidRPr="11F138D4">
        <w:rPr>
          <w:rFonts w:cs="Times New Roman"/>
        </w:rPr>
        <w:instrText xml:space="preserve"> ADDIN EN.CITE.DATA </w:instrText>
      </w:r>
      <w:r w:rsidR="00AA79F3" w:rsidRPr="11F138D4">
        <w:rPr>
          <w:rFonts w:cs="Times New Roman"/>
        </w:rPr>
      </w:r>
      <w:r w:rsidR="00AA79F3" w:rsidRPr="11F138D4">
        <w:rPr>
          <w:rFonts w:cs="Times New Roman"/>
        </w:rPr>
        <w:fldChar w:fldCharType="end"/>
      </w:r>
      <w:r w:rsidR="00AA79F3" w:rsidRPr="11F138D4">
        <w:rPr>
          <w:rFonts w:cs="Times New Roman"/>
        </w:rPr>
        <w:fldChar w:fldCharType="begin">
          <w:fldData xml:space="preserve">ZXM+PHZvbHVtZT4xMDE8L3ZvbHVtZT48ZGF0ZXM+PHllYXI+MjAxNzwveWVhcj48L2RhdGVzPjx1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</w:fldData>
        </w:fldChar>
      </w:r>
      <w:r w:rsidR="00AA79F3" w:rsidRPr="11F138D4">
        <w:rPr>
          <w:rFonts w:cs="Times New Roman"/>
        </w:rPr>
        <w:instrText xml:space="preserve"> ADDIN EN.CITE.DATA </w:instrText>
      </w:r>
      <w:r w:rsidR="00AA79F3" w:rsidRPr="11F138D4">
        <w:rPr>
          <w:rFonts w:cs="Times New Roman"/>
        </w:rPr>
      </w:r>
      <w:r w:rsidR="00AA79F3" w:rsidRPr="11F138D4">
        <w:rPr>
          <w:rFonts w:cs="Times New Roman"/>
        </w:rPr>
        <w:fldChar w:fldCharType="end"/>
      </w:r>
      <w:r w:rsidR="00574EB4" w:rsidRPr="11F138D4">
        <w:rPr>
          <w:rFonts w:cs="Times New Roman"/>
        </w:rPr>
      </w:r>
      <w:r w:rsidR="00574EB4" w:rsidRPr="11F138D4">
        <w:rPr>
          <w:rFonts w:cs="Times New Roman"/>
        </w:rPr>
        <w:fldChar w:fldCharType="separate"/>
      </w:r>
      <w:r w:rsidR="24704731" w:rsidRPr="11F138D4">
        <w:rPr>
          <w:rFonts w:cs="Times New Roman"/>
          <w:noProof/>
        </w:rPr>
        <w:t>(Alander, Dowd, Bratton, &amp; Kearns, 2000; Alaniz &amp; Janusz, 2007; Angalakuditi, Coley, &amp; Krenzelok, 2006; Bloch, Drachmann, &amp; Pedersen, 2013; Budnitz, Lovegrove, &amp; Crosby, 2011; Cairns et al., 2019; Caroll et al., 2015; Casey et al., 2020; Daly et al., 2018; Daly et al., 2021a; Fridriksdottir Th et al., 2021; Gedeborg et al., 2017; Gyamlani &amp; Parikh, 2002; K. Hawton et al., 2007; K. Hawton, Simkin, &amp; Deeks, 2003; K. Hawton et al., 1996; Hopkins et al., 2020; Kaur, McFaull, &amp; Bang, 2020; Kjartansdottir, Bergmann, Arnadottir, &amp; Bjornsson, 2012; Kominek, Pawlowska-Kamieniak, Mroczkowska-Juchkiewicz, Krawiec, &amp; Pac-Kozuchowska, 2015; Kummer, Muller, Exadaktylos, Krahenbuhl, &amp; Liakoni, 2021; Makin &amp; Williams, 2000; Manthripragada, 2011; Myers, Li, &amp; Shaheen, 2007; Nourjah, Ahmad, Karwoski, &amp; Willy, 2006; Pezzia, Sanders, Welch, Bowling, &amp; Lee, 2017; Piotrowska et al., 2019; Schiodt, Rochling, Casey, &amp; Lee, 1997; Shah, Uren, Baker, &amp; Majeed, 2002; Shekunov, Lewis, Vande Voort, Bostwick, &amp; Romanowicz, 2021; L. G. Taylor, Xie, Meyer, &amp; Coster, 2012)</w:t>
      </w:r>
      <w:r w:rsidR="00574EB4" w:rsidRPr="11F138D4">
        <w:rPr>
          <w:rFonts w:cs="Times New Roman"/>
        </w:rPr>
        <w:fldChar w:fldCharType="end"/>
      </w:r>
      <w:r w:rsidRPr="11F138D4">
        <w:rPr>
          <w:rFonts w:cs="Times New Roman"/>
        </w:rPr>
        <w:t xml:space="preserve">. Three of these studies also found that this sex difference favouring females narrowed in older age groups </w:t>
      </w:r>
      <w:r w:rsidR="00574EB4" w:rsidRPr="11F138D4">
        <w:rPr>
          <w:rFonts w:cs="Times New Roman"/>
        </w:rPr>
        <w:fldChar w:fldCharType="begin">
          <w:fldData xml:space="preserve">PEVuZE5vdGU+PENpdGU+PEF1dGhvcj5CdWRuaXR6PC9BdXRob3I+PFllYXI+MjAxMTwvWWVhcj48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</w:fldData>
        </w:fldChar>
      </w:r>
      <w:r w:rsidR="005C4946" w:rsidRPr="11F138D4">
        <w:rPr>
          <w:rFonts w:cs="Times New Roman"/>
        </w:rPr>
        <w:instrText xml:space="preserve"> ADDIN EN.CITE </w:instrText>
      </w:r>
      <w:r w:rsidR="005C4946" w:rsidRPr="11F138D4">
        <w:rPr>
          <w:rFonts w:cs="Times New Roman"/>
        </w:rPr>
        <w:fldChar w:fldCharType="begin">
          <w:fldData xml:space="preserve">PEVuZE5vdGU+PENpdGU+PEF1dGhvcj5CdWRuaXR6PC9BdXRob3I+PFllYXI+MjAxMTwvWWVhcj48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</w:fldData>
        </w:fldChar>
      </w:r>
      <w:r w:rsidR="005C4946" w:rsidRPr="11F138D4">
        <w:rPr>
          <w:rFonts w:cs="Times New Roman"/>
        </w:rPr>
        <w:instrText xml:space="preserve"> ADDIN EN.CITE.DATA </w:instrText>
      </w:r>
      <w:r w:rsidR="005C4946" w:rsidRPr="11F138D4">
        <w:rPr>
          <w:rFonts w:cs="Times New Roman"/>
        </w:rPr>
      </w:r>
      <w:r w:rsidR="005C4946"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(Budnitz et al., 2011; Hopkins et al., 2020)</w:t>
      </w:r>
      <w:r w:rsidR="00574EB4" w:rsidRPr="11F138D4">
        <w:rPr>
          <w:rFonts w:cs="Times New Roman"/>
        </w:rPr>
        <w:fldChar w:fldCharType="end"/>
      </w:r>
      <w:r w:rsidRPr="11F138D4">
        <w:rPr>
          <w:rFonts w:cs="Times New Roman"/>
        </w:rPr>
        <w:t xml:space="preserve"> or in adult samples compared to paediatric samples </w:t>
      </w:r>
      <w:r w:rsidR="00574EB4" w:rsidRPr="11F138D4">
        <w:rPr>
          <w:rFonts w:cs="Times New Roman"/>
        </w:rPr>
        <w:fldChar w:fldCharType="begin"/>
      </w:r>
      <w:r w:rsidR="00D709C3" w:rsidRPr="11F138D4">
        <w:rPr>
          <w:rFonts w:cs="Times New Roman"/>
        </w:rPr>
        <w:instrText xml:space="preserve"> ADDIN EN.CITE &lt;EndNote&gt;&lt;Cite&gt;&lt;Author&gt;Alaniz&lt;/Author&gt;&lt;Year&gt;2007&lt;/Year&gt;&lt;RecNum&gt;849&lt;/RecNum&gt;&lt;DisplayText&gt;(Alaniz &amp;amp; Janusz, 2007)&lt;/DisplayText&gt;&lt;record&gt;&lt;rec-number&gt;849&lt;/rec-number&gt;&lt;foreign-keys&gt;&lt;key app="EN" db-id="90p22wx96ddedpe0r9pxtt9gzz05dd5ev299" timestamp="1657000537"&gt;849&lt;/key&gt;&lt;/foreign-keys&gt;&lt;ref-type name="Journal Article"&gt;17&lt;/ref-type&gt;&lt;contributors&gt;&lt;authors&gt;&lt;author&gt;Alaniz, C.&lt;/author&gt;&lt;author&gt;Janusz, J.&lt;/author&gt;&lt;/authors&gt;&lt;/contributors&gt;&lt;titles&gt;&lt;title&gt;A retrospective study of the etiologies and outcomes of patients admitted to a university hospital with presumed acetaminophen toxicity&lt;/title&gt;&lt;secondary-title&gt;Hospital Pharmacy&lt;/secondary-title&gt;&lt;/titles&gt;&lt;pages&gt;126-132&lt;/pages&gt;&lt;volume&gt;42&lt;/volume&gt;&lt;number&gt;2&lt;/number&gt;&lt;dates&gt;&lt;year&gt;2007&lt;/year&gt;&lt;/dates&gt;&lt;urls&gt;&lt;related-urls&gt;&lt;url&gt;http://ovidsp.ovid.com/ovidweb.cgi?T=JS&amp;amp;PAGE=reference&amp;amp;D=emed10&amp;amp;NEWS=N&amp;amp;AN=46374181&lt;/url&gt;&lt;/related-urls&gt;&lt;/urls&gt;&lt;electronic-resource-num&gt;http://dx.doi.org/10.1310/hpj4202-126&lt;/electronic-resource-num&gt;&lt;/record&gt;&lt;/Cite&gt;&lt;/EndNote&gt;</w:instrText>
      </w:r>
      <w:r w:rsidR="00574EB4" w:rsidRPr="11F138D4">
        <w:rPr>
          <w:rFonts w:cs="Times New Roman"/>
        </w:rPr>
        <w:fldChar w:fldCharType="separate"/>
      </w:r>
      <w:r w:rsidRPr="11F138D4">
        <w:rPr>
          <w:rFonts w:cs="Times New Roman"/>
          <w:noProof/>
        </w:rPr>
        <w:t>(Alaniz &amp; Janusz, 2007)</w:t>
      </w:r>
      <w:r w:rsidR="00574EB4" w:rsidRPr="11F138D4">
        <w:rPr>
          <w:rFonts w:cs="Times New Roman"/>
        </w:rPr>
        <w:fldChar w:fldCharType="end"/>
      </w:r>
      <w:r w:rsidRPr="11F138D4">
        <w:rPr>
          <w:rFonts w:cs="Times New Roman"/>
        </w:rPr>
        <w:t>. However,</w:t>
      </w:r>
      <w:r w:rsidRPr="11F138D4" w:rsidDel="000D29D9">
        <w:rPr>
          <w:rFonts w:cs="Times New Roman"/>
        </w:rPr>
        <w:t xml:space="preserve"> </w:t>
      </w:r>
      <w:r w:rsidRPr="11F138D4">
        <w:rPr>
          <w:rFonts w:cs="Times New Roman"/>
        </w:rPr>
        <w:t xml:space="preserve">six studies did not find a gender difference in the use of paracetamol </w:t>
      </w:r>
      <w:r w:rsidR="00574EB4" w:rsidRPr="11F138D4">
        <w:rPr>
          <w:rFonts w:cs="Times New Roman"/>
        </w:rPr>
        <w:fldChar w:fldCharType="begin">
          <w:fldData xml:space="preserve">PEVuZE5vdGU+PENpdGU+PEF1dGhvcj5CZWF1dHJhaXM8L0F1dGhvcj48WWVhcj4xOTk4PC9ZZWFy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</w:fldData>
        </w:fldChar>
      </w:r>
      <w:r w:rsidR="00D709C3" w:rsidRPr="11F138D4">
        <w:rPr>
          <w:rFonts w:cs="Times New Roman"/>
        </w:rPr>
        <w:instrText xml:space="preserve"> ADDIN EN.CITE </w:instrText>
      </w:r>
      <w:r w:rsidR="00D709C3" w:rsidRPr="11F138D4">
        <w:rPr>
          <w:rFonts w:cs="Times New Roman"/>
        </w:rPr>
        <w:fldChar w:fldCharType="begin">
          <w:fldData xml:space="preserve">PEVuZE5vdGU+PENpdGU+PEF1dGhvcj5CZWF1dHJhaXM8L0F1dGhvcj48WWVhcj4xOTk4PC9ZZWFy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</w:fldData>
        </w:fldChar>
      </w:r>
      <w:r w:rsidR="00D709C3" w:rsidRPr="11F138D4">
        <w:rPr>
          <w:rFonts w:cs="Times New Roman"/>
        </w:rPr>
        <w:instrText xml:space="preserve"> ADDIN EN.CITE.DATA </w:instrText>
      </w:r>
      <w:r w:rsidR="00D709C3" w:rsidRPr="11F138D4">
        <w:rPr>
          <w:rFonts w:cs="Times New Roman"/>
        </w:rPr>
      </w:r>
      <w:r w:rsidR="00D709C3"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(Beautrais, Joyce, &amp; Mulder, 1998; Craig et al., 2011; K. Hawton, Harriss, L., 2008; Townsend, Hawton, Harriss, Bale, &amp; Bond, 2001)</w:t>
      </w:r>
      <w:r w:rsidR="00574EB4" w:rsidRPr="11F138D4">
        <w:rPr>
          <w:rFonts w:cs="Times New Roman"/>
        </w:rPr>
        <w:fldChar w:fldCharType="end"/>
      </w:r>
      <w:r w:rsidRPr="11F138D4">
        <w:rPr>
          <w:rFonts w:cs="Times New Roman"/>
        </w:rPr>
        <w:t xml:space="preserve"> or similar medications </w:t>
      </w:r>
      <w:r w:rsidR="00574EB4" w:rsidRPr="11F138D4">
        <w:rPr>
          <w:rFonts w:cs="Times New Roman"/>
        </w:rPr>
        <w:fldChar w:fldCharType="begin">
          <w:fldData xml:space="preserve">PEVuZE5vdGU+PENpdGU+PEF1dGhvcj5SaG9kZXM8L0F1dGhvcj48WWVhcj4yMDA4PC9ZZWFyPjxS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</w:fldData>
        </w:fldChar>
      </w:r>
      <w:r w:rsidR="00D709C3" w:rsidRPr="11F138D4">
        <w:rPr>
          <w:rFonts w:cs="Times New Roman"/>
        </w:rPr>
        <w:instrText xml:space="preserve"> ADDIN EN.CITE </w:instrText>
      </w:r>
      <w:r w:rsidR="00D709C3" w:rsidRPr="11F138D4">
        <w:rPr>
          <w:rFonts w:cs="Times New Roman"/>
        </w:rPr>
        <w:fldChar w:fldCharType="begin">
          <w:fldData xml:space="preserve">PEVuZE5vdGU+PENpdGU+PEF1dGhvcj5SaG9kZXM8L0F1dGhvcj48WWVhcj4yMDA4PC9ZZWFyPjxS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</w:fldData>
        </w:fldChar>
      </w:r>
      <w:r w:rsidR="00D709C3" w:rsidRPr="11F138D4">
        <w:rPr>
          <w:rFonts w:cs="Times New Roman"/>
        </w:rPr>
        <w:instrText xml:space="preserve"> ADDIN EN.CITE.DATA </w:instrText>
      </w:r>
      <w:r w:rsidR="00D709C3" w:rsidRPr="11F138D4">
        <w:rPr>
          <w:rFonts w:cs="Times New Roman"/>
        </w:rPr>
      </w:r>
      <w:r w:rsidR="00D709C3"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(A. E. Rhodes et al., 2008; Vancayseele, Rotsaert, Portzky, &amp; Van Heeringen, 2019)</w:t>
      </w:r>
      <w:r w:rsidR="00574EB4" w:rsidRPr="11F138D4">
        <w:rPr>
          <w:rFonts w:cs="Times New Roman"/>
        </w:rPr>
        <w:fldChar w:fldCharType="end"/>
      </w:r>
      <w:r w:rsidRPr="11F138D4">
        <w:rPr>
          <w:rFonts w:cs="Times New Roman"/>
        </w:rPr>
        <w:t xml:space="preserve"> in intentional self-poisoning. Four studies also found that the gender ratio did not differ between intentional and unintentional self-poisoning cases </w:t>
      </w:r>
      <w:r w:rsidR="00574EB4" w:rsidRPr="11F138D4">
        <w:rPr>
          <w:rFonts w:cs="Times New Roman"/>
        </w:rPr>
        <w:fldChar w:fldCharType="begin">
          <w:fldData xml:space="preserve">PEVuZE5vdGU+PENpdGU+PEF1dGhvcj5DcmFpZzwvQXV0aG9yPjxZZWFyPjIwMTE8L1llYXI+PFJl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</w:fldData>
        </w:fldChar>
      </w:r>
      <w:r w:rsidR="006E08D8" w:rsidRPr="11F138D4">
        <w:rPr>
          <w:rFonts w:cs="Times New Roman"/>
        </w:rPr>
        <w:instrText xml:space="preserve"> ADDIN EN.CITE </w:instrText>
      </w:r>
      <w:r w:rsidR="006E08D8" w:rsidRPr="11F138D4">
        <w:rPr>
          <w:rFonts w:cs="Times New Roman"/>
        </w:rPr>
        <w:fldChar w:fldCharType="begin">
          <w:fldData xml:space="preserve">PEVuZE5vdGU+PENpdGU+PEF1dGhvcj5DcmFpZzwvQXV0aG9yPjxZZWFyPjIwMTE8L1llYXI+PFJl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</w:fldData>
        </w:fldChar>
      </w:r>
      <w:r w:rsidR="006E08D8" w:rsidRPr="11F138D4">
        <w:rPr>
          <w:rFonts w:cs="Times New Roman"/>
        </w:rPr>
        <w:instrText xml:space="preserve"> ADDIN EN.CITE.DATA </w:instrText>
      </w:r>
      <w:r w:rsidR="006E08D8" w:rsidRPr="11F138D4">
        <w:rPr>
          <w:rFonts w:cs="Times New Roman"/>
        </w:rPr>
      </w:r>
      <w:r w:rsidR="006E08D8"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(Craig et al., 2011; Gyamlani &amp; Parikh, 2002; Kjartansdottir et al., 2012; A. E. Rhodes et al., 2008)</w:t>
      </w:r>
      <w:r w:rsidR="00574EB4" w:rsidRPr="11F138D4">
        <w:rPr>
          <w:rFonts w:cs="Times New Roman"/>
        </w:rPr>
        <w:fldChar w:fldCharType="end"/>
      </w:r>
      <w:r w:rsidRPr="11F138D4">
        <w:rPr>
          <w:rFonts w:cs="Times New Roman"/>
        </w:rPr>
        <w:t>.</w:t>
      </w:r>
    </w:p>
    <w:p w14:paraId="5B98EC24" w14:textId="77777777" w:rsidR="00574EB4" w:rsidRPr="0091560A" w:rsidRDefault="00574EB4" w:rsidP="00574EB4">
      <w:pPr>
        <w:spacing w:after="0"/>
        <w:rPr>
          <w:rFonts w:cs="Times New Roman"/>
          <w:szCs w:val="24"/>
        </w:rPr>
      </w:pPr>
    </w:p>
    <w:p w14:paraId="14A80077" w14:textId="7F9C1A4D" w:rsidR="00574EB4" w:rsidRPr="0091560A" w:rsidRDefault="5903DD7B" w:rsidP="11F138D4">
      <w:pPr>
        <w:spacing w:after="0"/>
        <w:rPr>
          <w:rFonts w:cs="Times New Roman"/>
        </w:rPr>
      </w:pPr>
      <w:r w:rsidRPr="11F138D4">
        <w:rPr>
          <w:rFonts w:cs="Times New Roman"/>
        </w:rPr>
        <w:t>Studies were highly varied in the age group included (</w:t>
      </w:r>
      <w:r w:rsidRPr="00085CD2">
        <w:rPr>
          <w:rFonts w:cs="Times New Roman"/>
        </w:rPr>
        <w:t xml:space="preserve">see </w:t>
      </w:r>
      <w:r w:rsidR="003649BB">
        <w:rPr>
          <w:rFonts w:cs="Times New Roman"/>
        </w:rPr>
        <w:fldChar w:fldCharType="begin"/>
      </w:r>
      <w:r w:rsidR="003649BB">
        <w:rPr>
          <w:rFonts w:cs="Times New Roman"/>
        </w:rPr>
        <w:instrText xml:space="preserve"> REF _Ref110167665 \h </w:instrText>
      </w:r>
      <w:r w:rsidR="003649BB">
        <w:rPr>
          <w:rFonts w:cs="Times New Roman"/>
        </w:rPr>
      </w:r>
      <w:r w:rsidR="003649BB">
        <w:rPr>
          <w:rFonts w:cs="Times New Roman"/>
        </w:rPr>
        <w:fldChar w:fldCharType="separate"/>
      </w:r>
      <w:r w:rsidR="0091734E">
        <w:t xml:space="preserve">Table </w:t>
      </w:r>
      <w:r w:rsidR="0091734E">
        <w:rPr>
          <w:noProof/>
        </w:rPr>
        <w:t>31</w:t>
      </w:r>
      <w:r w:rsidR="003649BB">
        <w:rPr>
          <w:rFonts w:cs="Times New Roman"/>
        </w:rPr>
        <w:fldChar w:fldCharType="end"/>
      </w:r>
      <w:r w:rsidRPr="11F138D4">
        <w:rPr>
          <w:rFonts w:cs="Times New Roman"/>
        </w:rPr>
        <w:t xml:space="preserve">). Many studies found that the highest incidence of intentional self-poisoning with paracetamol and similar medications occurred in younger age groups, particularly adolescents and/or young adults under 25 years of age </w:t>
      </w:r>
      <w:r w:rsidR="00574EB4" w:rsidRPr="11F138D4">
        <w:rPr>
          <w:rFonts w:cs="Times New Roman"/>
        </w:rPr>
        <w:fldChar w:fldCharType="begin">
          <w:fldData xml:space="preserve">PEVuZE5vdGU+PENpdGU+PEF1dGhvcj5CbG9jaDwvQXV0aG9yPjxZZWFyPjIwMTM8L1llYXI+PFJl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</w:fldData>
        </w:fldChar>
      </w:r>
      <w:r w:rsidR="006E08D8" w:rsidRPr="11F138D4">
        <w:rPr>
          <w:rFonts w:cs="Times New Roman"/>
        </w:rPr>
        <w:instrText xml:space="preserve"> ADDIN EN.CITE </w:instrText>
      </w:r>
      <w:r w:rsidR="006E08D8" w:rsidRPr="11F138D4">
        <w:rPr>
          <w:rFonts w:cs="Times New Roman"/>
        </w:rPr>
        <w:fldChar w:fldCharType="begin">
          <w:fldData xml:space="preserve">PEVuZE5vdGU+PENpdGU+PEF1dGhvcj5CbG9jaDwvQXV0aG9yPjxZZWFyPjIwMTM8L1llYXI+PFJl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</w:fldData>
        </w:fldChar>
      </w:r>
      <w:r w:rsidR="006E08D8" w:rsidRPr="11F138D4">
        <w:rPr>
          <w:rFonts w:cs="Times New Roman"/>
        </w:rPr>
        <w:instrText xml:space="preserve"> ADDIN EN.CITE.DATA </w:instrText>
      </w:r>
      <w:r w:rsidR="006E08D8" w:rsidRPr="11F138D4">
        <w:rPr>
          <w:rFonts w:cs="Times New Roman"/>
        </w:rPr>
      </w:r>
      <w:r w:rsidR="006E08D8" w:rsidRPr="11F138D4">
        <w:rPr>
          <w:rFonts w:cs="Times New Roman"/>
        </w:rPr>
        <w:fldChar w:fldCharType="end"/>
      </w:r>
      <w:r w:rsidR="00574EB4" w:rsidRPr="11F138D4">
        <w:rPr>
          <w:rFonts w:cs="Times New Roman"/>
        </w:rPr>
      </w:r>
      <w:r w:rsidR="00574EB4" w:rsidRPr="11F138D4">
        <w:rPr>
          <w:rFonts w:cs="Times New Roman"/>
        </w:rPr>
        <w:fldChar w:fldCharType="separate"/>
      </w:r>
      <w:r w:rsidR="340B4170" w:rsidRPr="11F138D4">
        <w:rPr>
          <w:rFonts w:cs="Times New Roman"/>
          <w:noProof/>
        </w:rPr>
        <w:t>(Bloch et al., 2013; Budnitz et al., 2011; Daly et al., 2018; Daly et al., 2021a; Downes, Lovett, &amp; Isbister, 2021; Fridriksdottir Th et al., 2021; Gedeborg et al., 2017; Graudins, 2015; Hopkins et al., 2020; Kaur et al., 2020; Kummer et al., 2021; Mikhail et al., 2018; Myers, Li, &amp; Shaheen, 2007; Neilson &amp; Morrison, 2012; Smith, 1995; L. G. Taylor et al., 2012; Ticehurst et al., 2002; Townsend et al., 2001)</w:t>
      </w:r>
      <w:r w:rsidR="00574EB4" w:rsidRPr="11F138D4">
        <w:rPr>
          <w:rFonts w:cs="Times New Roman"/>
        </w:rPr>
        <w:fldChar w:fldCharType="end"/>
      </w:r>
      <w:r w:rsidRPr="11F138D4">
        <w:rPr>
          <w:rFonts w:cs="Times New Roman"/>
        </w:rPr>
        <w:t xml:space="preserve">. Similarly, three studies reported that the prevalence of intentional self-poisoning with paracetamol and similar medications declined with increasing age </w:t>
      </w:r>
      <w:r w:rsidR="00574EB4" w:rsidRPr="11F138D4">
        <w:rPr>
          <w:rFonts w:cs="Times New Roman"/>
        </w:rPr>
        <w:fldChar w:fldCharType="begin">
          <w:fldData xml:space="preserve">PEVuZE5vdGU+PENpdGU+PEF1dGhvcj5CdWRuaXR6PC9BdXRob3I+PFllYXI+MjAxMTwvWWVhcj48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</w:fldData>
        </w:fldChar>
      </w:r>
      <w:r w:rsidR="006E5557" w:rsidRPr="11F138D4">
        <w:rPr>
          <w:rFonts w:cs="Times New Roman"/>
        </w:rPr>
        <w:instrText xml:space="preserve"> ADDIN EN.CITE </w:instrText>
      </w:r>
      <w:r w:rsidR="006E5557" w:rsidRPr="11F138D4">
        <w:rPr>
          <w:rFonts w:cs="Times New Roman"/>
        </w:rPr>
        <w:fldChar w:fldCharType="begin">
          <w:fldData xml:space="preserve">PEVuZE5vdGU+PENpdGU+PEF1dGhvcj5CdWRuaXR6PC9BdXRob3I+PFllYXI+MjAxMTwvWWVhcj48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</w:fldData>
        </w:fldChar>
      </w:r>
      <w:r w:rsidR="006E5557" w:rsidRPr="11F138D4">
        <w:rPr>
          <w:rFonts w:cs="Times New Roman"/>
        </w:rPr>
        <w:instrText xml:space="preserve"> ADDIN EN.CITE.DATA </w:instrText>
      </w:r>
      <w:r w:rsidR="006E5557" w:rsidRPr="11F138D4">
        <w:rPr>
          <w:rFonts w:cs="Times New Roman"/>
        </w:rPr>
      </w:r>
      <w:r w:rsidR="006E5557"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(Budnitz et al., 2011; K. Hawton et al., 2007; Smith, 1995)</w:t>
      </w:r>
      <w:r w:rsidR="00574EB4" w:rsidRPr="11F138D4">
        <w:rPr>
          <w:rFonts w:cs="Times New Roman"/>
        </w:rPr>
        <w:fldChar w:fldCharType="end"/>
      </w:r>
      <w:r w:rsidRPr="11F138D4">
        <w:rPr>
          <w:rFonts w:cs="Times New Roman"/>
        </w:rPr>
        <w:t xml:space="preserve">. In contrast, one study found that the use of paracetamol alone increased with age, but this study was primarily focused on self-poisonings with co-proxamol </w:t>
      </w:r>
      <w:r w:rsidR="00574EB4" w:rsidRPr="11F138D4">
        <w:rPr>
          <w:rFonts w:cs="Times New Roman"/>
        </w:rPr>
        <w:fldChar w:fldCharType="begin"/>
      </w:r>
      <w:r w:rsidR="00D709C3" w:rsidRPr="11F138D4">
        <w:rPr>
          <w:rFonts w:cs="Times New Roman"/>
        </w:rPr>
        <w:instrText xml:space="preserve"> ADDIN EN.CITE &lt;EndNote&gt;&lt;Cite&gt;&lt;Author&gt;Hawton&lt;/Author&gt;&lt;Year&gt;2003&lt;/Year&gt;&lt;RecNum&gt;882&lt;/RecNum&gt;&lt;DisplayText&gt;(K. Hawton et al., 2003)&lt;/DisplayText&gt;&lt;record&gt;&lt;rec-number&gt;882&lt;/rec-number&gt;&lt;foreign-keys&gt;&lt;key app="EN" db-id="90p22wx96ddedpe0r9pxtt9gzz05dd5ev299" timestamp="1657000537"&gt;882&lt;/key&gt;&lt;/foreign-keys&gt;&lt;ref-type name="Journal Article"&gt;17&lt;/ref-type&gt;&lt;contributors&gt;&lt;authors&gt;&lt;author&gt;Hawton, K.&lt;/author&gt;&lt;author&gt;Simkin, S.&lt;/author&gt;&lt;author&gt;Deeks, J.&lt;/author&gt;&lt;/authors&gt;&lt;/contributors&gt;&lt;titles&gt;&lt;title&gt;Co-proxamol and suicide: A study of national mortality statistics and local non-fatal self poisonings&lt;/title&gt;&lt;secondary-title&gt;British Medical Journal&lt;/secondary-title&gt;&lt;/titles&gt;&lt;pages&gt;1006-1008&lt;/pages&gt;&lt;volume&gt;326&lt;/volume&gt;&lt;number&gt;7397&lt;/number&gt;&lt;dates&gt;&lt;year&gt;2003&lt;/year&gt;&lt;/dates&gt;&lt;urls&gt;&lt;related-urls&gt;&lt;url&gt;http://www.bmj.com/http://ovidsp.ovid.com/ovidweb.cgi?T=JS&amp;amp;PAGE=reference&amp;amp;D=emed22&amp;amp;NEWS=N&amp;amp;AN=36566857&lt;/url&gt;&lt;/related-urls&gt;&lt;/urls&gt;&lt;electronic-resource-num&gt;http://dx.doi.org/10.1136/bmj.326.7397.1006&lt;/electronic-resource-num&gt;&lt;/record&gt;&lt;/Cite&gt;&lt;/EndNote&gt;</w:instrText>
      </w:r>
      <w:r w:rsidR="00574EB4" w:rsidRPr="11F138D4">
        <w:rPr>
          <w:rFonts w:cs="Times New Roman"/>
        </w:rPr>
        <w:fldChar w:fldCharType="separate"/>
      </w:r>
      <w:r w:rsidRPr="11F138D4">
        <w:rPr>
          <w:rFonts w:cs="Times New Roman"/>
          <w:noProof/>
        </w:rPr>
        <w:t>(K. Hawton et al., 2003)</w:t>
      </w:r>
      <w:r w:rsidR="00574EB4" w:rsidRPr="11F138D4">
        <w:rPr>
          <w:rFonts w:cs="Times New Roman"/>
        </w:rPr>
        <w:fldChar w:fldCharType="end"/>
      </w:r>
      <w:r w:rsidRPr="11F138D4">
        <w:rPr>
          <w:rFonts w:cs="Times New Roman"/>
        </w:rPr>
        <w:t xml:space="preserve">. Studies that compared the prevalence of intentional and unintentional self-poisonings found that intentional poisoning was more common in older adolescents than in younger children, whose poisonings were more often unintentional </w:t>
      </w:r>
      <w:r w:rsidR="00574EB4" w:rsidRPr="11F138D4">
        <w:rPr>
          <w:rFonts w:cs="Times New Roman"/>
        </w:rPr>
        <w:fldChar w:fldCharType="begin">
          <w:fldData xml:space="preserve">PEVuZE5vdGU+PENpdGU+PEF1dGhvcj5BbGFuZGVyPC9BdXRob3I+PFllYXI+MjAwMDwvWWVhcj48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</w:fldData>
        </w:fldChar>
      </w:r>
      <w:r w:rsidR="00D709C3" w:rsidRPr="11F138D4">
        <w:rPr>
          <w:rFonts w:cs="Times New Roman"/>
        </w:rPr>
        <w:instrText xml:space="preserve"> ADDIN EN.CITE </w:instrText>
      </w:r>
      <w:r w:rsidR="00D709C3" w:rsidRPr="11F138D4">
        <w:rPr>
          <w:rFonts w:cs="Times New Roman"/>
        </w:rPr>
        <w:fldChar w:fldCharType="begin">
          <w:fldData xml:space="preserve">PEVuZE5vdGU+PENpdGU+PEF1dGhvcj5BbGFuZGVyPC9BdXRob3I+PFllYXI+MjAwMDwvWWVhcj48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</w:fldData>
        </w:fldChar>
      </w:r>
      <w:r w:rsidR="00D709C3" w:rsidRPr="11F138D4">
        <w:rPr>
          <w:rFonts w:cs="Times New Roman"/>
        </w:rPr>
        <w:instrText xml:space="preserve"> ADDIN EN.CITE.DATA </w:instrText>
      </w:r>
      <w:r w:rsidR="00D709C3" w:rsidRPr="11F138D4">
        <w:rPr>
          <w:rFonts w:cs="Times New Roman"/>
        </w:rPr>
      </w:r>
      <w:r w:rsidR="00D709C3"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(Alander et al., 2000; Myers, Li, Fong, Shaheen, &amp; Quan, 2007; Neilson &amp; Morrison, 2012)</w:t>
      </w:r>
      <w:r w:rsidR="00574EB4" w:rsidRPr="11F138D4">
        <w:rPr>
          <w:rFonts w:cs="Times New Roman"/>
        </w:rPr>
        <w:fldChar w:fldCharType="end"/>
      </w:r>
      <w:r w:rsidRPr="11F138D4">
        <w:rPr>
          <w:rFonts w:cs="Times New Roman"/>
        </w:rPr>
        <w:t xml:space="preserve">. The ratio of intentional to unintentional self-poisoning was also greater in adolescents and young adults compared to older adults </w:t>
      </w:r>
      <w:r w:rsidR="00574EB4" w:rsidRPr="11F138D4">
        <w:rPr>
          <w:rFonts w:cs="Times New Roman"/>
        </w:rPr>
        <w:fldChar w:fldCharType="begin">
          <w:fldData xml:space="preserve">PEVuZE5vdGU+PENpdGU+PEF1dGhvcj5DcmFpZzwvQXV0aG9yPjxZZWFyPjIwMTE8L1llYXI+PFJl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</w:fldData>
        </w:fldChar>
      </w:r>
      <w:r w:rsidR="006E08D8" w:rsidRPr="11F138D4">
        <w:rPr>
          <w:rFonts w:cs="Times New Roman"/>
        </w:rPr>
        <w:instrText xml:space="preserve"> ADDIN EN.CITE </w:instrText>
      </w:r>
      <w:r w:rsidR="006E08D8" w:rsidRPr="11F138D4">
        <w:rPr>
          <w:rFonts w:cs="Times New Roman"/>
        </w:rPr>
        <w:fldChar w:fldCharType="begin">
          <w:fldData xml:space="preserve">PEVuZE5vdGU+PENpdGU+PEF1dGhvcj5DcmFpZzwvQXV0aG9yPjxZZWFyPjIwMTE8L1llYXI+PFJl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</w:fldData>
        </w:fldChar>
      </w:r>
      <w:r w:rsidR="006E08D8" w:rsidRPr="11F138D4">
        <w:rPr>
          <w:rFonts w:cs="Times New Roman"/>
        </w:rPr>
        <w:instrText xml:space="preserve"> ADDIN EN.CITE.DATA </w:instrText>
      </w:r>
      <w:r w:rsidR="006E08D8" w:rsidRPr="11F138D4">
        <w:rPr>
          <w:rFonts w:cs="Times New Roman"/>
        </w:rPr>
      </w:r>
      <w:r w:rsidR="006E08D8"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(Craig et al., 2011; Graudins, 2015; Gyamlani &amp; Parikh, 2002; Kjartansdottir et al., 2012; Myers, Li, Fong, et al., 2007)</w:t>
      </w:r>
      <w:r w:rsidR="00574EB4" w:rsidRPr="11F138D4">
        <w:rPr>
          <w:rFonts w:cs="Times New Roman"/>
        </w:rPr>
        <w:fldChar w:fldCharType="end"/>
      </w:r>
      <w:r w:rsidRPr="11F138D4">
        <w:rPr>
          <w:rFonts w:cs="Times New Roman"/>
        </w:rPr>
        <w:t xml:space="preserve">. Some studies also found that younger people tended to use paracetamol more often in comparison to other drugs </w:t>
      </w:r>
      <w:r w:rsidR="00574EB4" w:rsidRPr="11F138D4">
        <w:rPr>
          <w:rFonts w:cs="Times New Roman"/>
        </w:rPr>
        <w:fldChar w:fldCharType="begin">
          <w:fldData xml:space="preserve">PEVuZE5vdGU+PENpdGU+PEF1dGhvcj5CZWF1dHJhaXM8L0F1dGhvcj48WWVhcj4xOTk4PC9ZZWFy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</w:fldData>
        </w:fldChar>
      </w:r>
      <w:r w:rsidR="006E08D8" w:rsidRPr="11F138D4">
        <w:rPr>
          <w:rFonts w:cs="Times New Roman"/>
        </w:rPr>
        <w:instrText xml:space="preserve"> ADDIN EN.CITE </w:instrText>
      </w:r>
      <w:r w:rsidR="006E08D8" w:rsidRPr="11F138D4">
        <w:rPr>
          <w:rFonts w:cs="Times New Roman"/>
        </w:rPr>
        <w:fldChar w:fldCharType="begin">
          <w:fldData xml:space="preserve">PEVuZE5vdGU+PENpdGU+PEF1dGhvcj5CZWF1dHJhaXM8L0F1dGhvcj48WWVhcj4xOTk4PC9ZZWFy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</w:fldData>
        </w:fldChar>
      </w:r>
      <w:r w:rsidR="006E08D8" w:rsidRPr="11F138D4">
        <w:rPr>
          <w:rFonts w:cs="Times New Roman"/>
        </w:rPr>
        <w:instrText xml:space="preserve"> ADDIN EN.CITE.DATA </w:instrText>
      </w:r>
      <w:r w:rsidR="006E08D8" w:rsidRPr="11F138D4">
        <w:rPr>
          <w:rFonts w:cs="Times New Roman"/>
        </w:rPr>
      </w:r>
      <w:r w:rsidR="006E08D8"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(Beautrais et al., 1998; Caroll et al., 2015; K. Hawton et al., 2007; Townsend et al., 2001)</w:t>
      </w:r>
      <w:r w:rsidR="00574EB4" w:rsidRPr="11F138D4">
        <w:rPr>
          <w:rFonts w:cs="Times New Roman"/>
        </w:rPr>
        <w:fldChar w:fldCharType="end"/>
      </w:r>
      <w:r w:rsidRPr="11F138D4">
        <w:rPr>
          <w:rFonts w:cs="Times New Roman"/>
        </w:rPr>
        <w:t xml:space="preserve"> or were more likely to take paracetamol or similar analgesics on their own rather than in compound forms or in combination with other drugs </w:t>
      </w:r>
      <w:r w:rsidR="00574EB4" w:rsidRPr="11F138D4">
        <w:rPr>
          <w:rFonts w:cs="Times New Roman"/>
        </w:rPr>
        <w:fldChar w:fldCharType="begin">
          <w:fldData xml:space="preserve">PEVuZE5vdGU+PENpdGU+PEF1dGhvcj5BbHNlbjwvQXV0aG9yPjxZZWFyPjE5OTQ8L1llYXI+PFJl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</w:fldData>
        </w:fldChar>
      </w:r>
      <w:r w:rsidR="006E08D8" w:rsidRPr="11F138D4">
        <w:rPr>
          <w:rFonts w:cs="Times New Roman"/>
        </w:rPr>
        <w:instrText xml:space="preserve"> ADDIN EN.CITE </w:instrText>
      </w:r>
      <w:r w:rsidR="006E08D8" w:rsidRPr="11F138D4">
        <w:rPr>
          <w:rFonts w:cs="Times New Roman"/>
        </w:rPr>
        <w:fldChar w:fldCharType="begin">
          <w:fldData xml:space="preserve">PEVuZE5vdGU+PENpdGU+PEF1dGhvcj5BbHNlbjwvQXV0aG9yPjxZZWFyPjE5OTQ8L1llYXI+PFJl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</w:fldData>
        </w:fldChar>
      </w:r>
      <w:r w:rsidR="006E08D8" w:rsidRPr="11F138D4">
        <w:rPr>
          <w:rFonts w:cs="Times New Roman"/>
        </w:rPr>
        <w:instrText xml:space="preserve"> ADDIN EN.CITE.DATA </w:instrText>
      </w:r>
      <w:r w:rsidR="006E08D8" w:rsidRPr="11F138D4">
        <w:rPr>
          <w:rFonts w:cs="Times New Roman"/>
        </w:rPr>
      </w:r>
      <w:r w:rsidR="006E08D8" w:rsidRPr="11F138D4">
        <w:rPr>
          <w:rFonts w:cs="Times New Roman"/>
        </w:rPr>
        <w:fldChar w:fldCharType="end"/>
      </w:r>
      <w:r w:rsidR="00574EB4" w:rsidRPr="11F138D4">
        <w:rPr>
          <w:rFonts w:cs="Times New Roman"/>
        </w:rPr>
      </w:r>
      <w:r w:rsidR="00574EB4" w:rsidRPr="11F138D4">
        <w:rPr>
          <w:rFonts w:cs="Times New Roman"/>
        </w:rPr>
        <w:fldChar w:fldCharType="separate"/>
      </w:r>
      <w:r w:rsidRPr="11F138D4">
        <w:rPr>
          <w:rFonts w:cs="Times New Roman"/>
          <w:noProof/>
        </w:rPr>
        <w:t>(Alsen et al., 1994; Casey et al., 2020)</w:t>
      </w:r>
      <w:r w:rsidR="00574EB4" w:rsidRPr="11F138D4">
        <w:rPr>
          <w:rFonts w:cs="Times New Roman"/>
        </w:rPr>
        <w:fldChar w:fldCharType="end"/>
      </w:r>
      <w:r w:rsidRPr="11F138D4">
        <w:rPr>
          <w:rFonts w:cs="Times New Roman"/>
        </w:rPr>
        <w:t xml:space="preserve">. </w:t>
      </w:r>
    </w:p>
    <w:p w14:paraId="0C26917A" w14:textId="77777777" w:rsidR="00574EB4" w:rsidRPr="0091560A" w:rsidRDefault="00574EB4" w:rsidP="00574EB4">
      <w:pPr>
        <w:spacing w:after="0"/>
        <w:rPr>
          <w:rFonts w:cs="Times New Roman"/>
          <w:szCs w:val="24"/>
        </w:rPr>
      </w:pPr>
    </w:p>
    <w:p w14:paraId="3EA7AA4C" w14:textId="7268E836" w:rsidR="00574EB4" w:rsidRPr="0091560A" w:rsidRDefault="00574EB4" w:rsidP="00574EB4">
      <w:pPr>
        <w:spacing w:after="0"/>
        <w:rPr>
          <w:rFonts w:cs="Times New Roman"/>
          <w:szCs w:val="24"/>
        </w:rPr>
      </w:pPr>
      <w:r w:rsidRPr="0091560A">
        <w:rPr>
          <w:rFonts w:cs="Times New Roman"/>
          <w:szCs w:val="24"/>
        </w:rPr>
        <w:t xml:space="preserve">Two studies from the US and two studies from Canada reported on ethnicity. Both US studies found that intentional self-poisoning with paracetamol was more common among white or Caucasian people compared to Hispanic or Latinx people </w:t>
      </w:r>
      <w:r w:rsidRPr="0091560A">
        <w:rPr>
          <w:rFonts w:cs="Times New Roman"/>
          <w:szCs w:val="24"/>
        </w:rPr>
        <w:fldChar w:fldCharType="begin"/>
      </w:r>
      <w:r w:rsidR="00D709C3" w:rsidRPr="0091560A">
        <w:rPr>
          <w:rFonts w:cs="Times New Roman"/>
          <w:szCs w:val="24"/>
        </w:rPr>
        <w:instrText xml:space="preserve"> ADDIN EN.CITE &lt;EndNote&gt;&lt;Cite&gt;&lt;Author&gt;Pezzia&lt;/Author&gt;&lt;Year&gt;2017&lt;/Year&gt;&lt;RecNum&gt;906&lt;/RecNum&gt;&lt;DisplayText&gt;(Pezzia et al., 2017)&lt;/DisplayText&gt;&lt;record&gt;&lt;rec-number&gt;906&lt;/rec-number&gt;&lt;foreign-keys&gt;&lt;key app="EN" db-id="90p22wx96ddedpe0r9pxtt9gzz05dd5ev299" timestamp="1657000537"&gt;906&lt;/key&gt;&lt;/foreign-keys&gt;&lt;ref-type name="Journal Article"&gt;17&lt;/ref-type&gt;&lt;contributors&gt;&lt;authors&gt;&lt;author&gt;Pezzia, C.&lt;/author&gt;&lt;author&gt;Sanders, C.&lt;/author&gt;&lt;author&gt;Welch, S.&lt;/author&gt;&lt;author&gt;Bowling, A.&lt;/author&gt;&lt;author&gt;Lee, W. M.&lt;/author&gt;&lt;/authors&gt;&lt;/contributors&gt;&lt;titles&gt;&lt;title&gt;Psychosocial and behavioral factors in acetaminophen-related acute liver failure and liver injury&lt;/title&gt;&lt;secondary-title&gt;Journal of Psychosomatic Research&lt;/secondary-title&gt;&lt;/titles&gt;&lt;pages&gt;51-57&lt;/pages&gt;&lt;volume&gt;101&lt;/volume&gt;&lt;dates&gt;&lt;year&gt;2017&lt;/year&gt;&lt;/dates&gt;&lt;urls&gt;&lt;related-urls&gt;&lt;url&gt;http://www.elsevier.com/locate/jpsychoreshttp://ovidsp.ovid.com/ovidweb.cgi?T=JS&amp;amp;PAGE=reference&amp;amp;D=emed18&amp;amp;NEWS=N&amp;amp;AN=617691979&lt;/url&gt;&lt;/related-urls&gt;&lt;/urls&gt;&lt;electronic-resource-num&gt;http://dx.doi.org/10.1016/j.jpsychores.2017.08.006&lt;/electronic-resource-num&gt;&lt;/record&gt;&lt;/Cite&gt;&lt;/EndNote&gt;</w:instrText>
      </w:r>
      <w:r w:rsidRPr="0091560A">
        <w:rPr>
          <w:rFonts w:cs="Times New Roman"/>
          <w:szCs w:val="24"/>
        </w:rPr>
        <w:fldChar w:fldCharType="separate"/>
      </w:r>
      <w:r w:rsidRPr="0091560A">
        <w:rPr>
          <w:rFonts w:cs="Times New Roman"/>
          <w:noProof/>
          <w:szCs w:val="24"/>
        </w:rPr>
        <w:t>(Pezzia et al., 2017)</w:t>
      </w:r>
      <w:r w:rsidRPr="0091560A">
        <w:rPr>
          <w:rFonts w:cs="Times New Roman"/>
          <w:szCs w:val="24"/>
        </w:rPr>
        <w:fldChar w:fldCharType="end"/>
      </w:r>
      <w:r w:rsidRPr="0091560A">
        <w:rPr>
          <w:rFonts w:cs="Times New Roman"/>
          <w:szCs w:val="24"/>
        </w:rPr>
        <w:t xml:space="preserve">, or other ethnicities </w:t>
      </w:r>
      <w:r w:rsidRPr="0091560A">
        <w:rPr>
          <w:rFonts w:cs="Times New Roman"/>
          <w:szCs w:val="24"/>
        </w:rPr>
        <w:fldChar w:fldCharType="begin"/>
      </w:r>
      <w:r w:rsidR="00D709C3" w:rsidRPr="0091560A">
        <w:rPr>
          <w:rFonts w:cs="Times New Roman"/>
          <w:szCs w:val="24"/>
        </w:rPr>
        <w:instrText xml:space="preserve"> ADDIN EN.CITE &lt;EndNote&gt;&lt;Cite&gt;&lt;Author&gt;Schiodt&lt;/Author&gt;&lt;Year&gt;1997&lt;/Year&gt;&lt;RecNum&gt;911&lt;/RecNum&gt;&lt;DisplayText&gt;(Schiodt et al., 1997)&lt;/DisplayText&gt;&lt;record&gt;&lt;rec-number&gt;911&lt;/rec-number&gt;&lt;foreign-keys&gt;&lt;key app="EN" db-id="90p22wx96ddedpe0r9pxtt9gzz05dd5ev299" timestamp="1657000537"&gt;911&lt;/key&gt;&lt;/foreign-keys&gt;&lt;ref-type name="Journal Article"&gt;17&lt;/ref-type&gt;&lt;contributors&gt;&lt;authors&gt;&lt;author&gt;Schiodt, F. V.&lt;/author&gt;&lt;author&gt;Rochling, F. A.&lt;/author&gt;&lt;author&gt;Casey, D. L.&lt;/author&gt;&lt;author&gt;Lee, W. M.&lt;/author&gt;&lt;/authors&gt;&lt;/contributors&gt;&lt;titles&gt;&lt;title&gt;Acetaminophen toxicity in an urban county hospital&lt;/title&gt;&lt;secondary-title&gt;New England Journal of Medicine&lt;/secondary-title&gt;&lt;/titles&gt;&lt;pages&gt;1112-1117&lt;/pages&gt;&lt;volume&gt;337&lt;/volume&gt;&lt;number&gt;16&lt;/number&gt;&lt;dates&gt;&lt;year&gt;1997&lt;/year&gt;&lt;/dates&gt;&lt;urls&gt;&lt;related-urls&gt;&lt;url&gt;http://ovidsp.ovid.com/ovidweb.cgi?T=JS&amp;amp;PAGE=reference&amp;amp;D=emed6&amp;amp;NEWS=N&amp;amp;AN=27444101&lt;/url&gt;&lt;/related-urls&gt;&lt;/urls&gt;&lt;electronic-resource-num&gt;http://dx.doi.org/10.1056/NEJM199710163371602&lt;/electronic-resource-num&gt;&lt;/record&gt;&lt;/Cite&gt;&lt;/EndNote&gt;</w:instrText>
      </w:r>
      <w:r w:rsidRPr="0091560A">
        <w:rPr>
          <w:rFonts w:cs="Times New Roman"/>
          <w:szCs w:val="24"/>
        </w:rPr>
        <w:fldChar w:fldCharType="separate"/>
      </w:r>
      <w:r w:rsidRPr="0091560A">
        <w:rPr>
          <w:rFonts w:cs="Times New Roman"/>
          <w:noProof/>
          <w:szCs w:val="24"/>
        </w:rPr>
        <w:t>(Schiodt et al., 1997)</w:t>
      </w:r>
      <w:r w:rsidRPr="0091560A">
        <w:rPr>
          <w:rFonts w:cs="Times New Roman"/>
          <w:szCs w:val="24"/>
        </w:rPr>
        <w:fldChar w:fldCharType="end"/>
      </w:r>
      <w:r w:rsidRPr="0091560A">
        <w:rPr>
          <w:rFonts w:cs="Times New Roman"/>
          <w:szCs w:val="24"/>
        </w:rPr>
        <w:t xml:space="preserve">. In contrast, one Canadian study found that self-poisoning with similar over-the-counter drugs was more common for people of non-Caucasian ethnicity </w:t>
      </w:r>
      <w:r w:rsidRPr="0091560A">
        <w:rPr>
          <w:rFonts w:cs="Times New Roman"/>
          <w:szCs w:val="24"/>
        </w:rPr>
        <w:fldChar w:fldCharType="begin"/>
      </w:r>
      <w:r w:rsidR="00D709C3" w:rsidRPr="0091560A">
        <w:rPr>
          <w:rFonts w:cs="Times New Roman"/>
          <w:szCs w:val="24"/>
        </w:rPr>
        <w:instrText xml:space="preserve"> ADDIN EN.CITE &lt;EndNote&gt;&lt;Cite&gt;&lt;Author&gt;Mikhail&lt;/Author&gt;&lt;Year&gt;2018&lt;/Year&gt;&lt;RecNum&gt;897&lt;/RecNum&gt;&lt;DisplayText&gt;(Mikhail et al., 2018)&lt;/DisplayText&gt;&lt;record&gt;&lt;rec-number&gt;897&lt;/rec-number&gt;&lt;foreign-keys&gt;&lt;key app="EN" db-id="90p22wx96ddedpe0r9pxtt9gzz05dd5ev299" timestamp="1657000537"&gt;897&lt;/key&gt;&lt;/foreign-keys&gt;&lt;ref-type name="Journal Article"&gt;17&lt;/ref-type&gt;&lt;contributors&gt;&lt;authors&gt;&lt;author&gt;Mikhail, Alexandre&lt;/author&gt;&lt;author&gt;Tanoli, Omaid&lt;/author&gt;&lt;author&gt;Légaré, Gilles&lt;/author&gt;&lt;author&gt;Dubé, Pierre-André&lt;/author&gt;&lt;author&gt;Habel, Youssef&lt;/author&gt;&lt;author&gt;Lesage, Alain&lt;/author&gt;&lt;author&gt;Low, Nancy C. P.&lt;/author&gt;&lt;author&gt;Lamarre, Suzanne&lt;/author&gt;&lt;author&gt;Singh, Santokh&lt;/author&gt;&lt;author&gt;Rahme, Elham&lt;/author&gt;&lt;/authors&gt;&lt;/contributors&gt;&lt;titles&gt;&lt;title&gt;Over-the-Counter Drugs and Other Substances Used in Attempted Suicide Presented to Emergency Departments in Montreal, Canada&lt;/title&gt;&lt;secondary-title&gt;Crisis: The Journal of Crisis Intervention &amp;amp; Suicide Prevention&lt;/secondary-title&gt;&lt;/titles&gt;&lt;pages&gt;1-10&lt;/pages&gt;&lt;dates&gt;&lt;year&gt;2018&lt;/year&gt;&lt;/dates&gt;&lt;accession-num&gt;131893270. Language: English. Entry Date: In Process. Revision Date: 20200111. Publication Type: journal article. Journal Subset: Biomedical&lt;/accession-num&gt;&lt;urls&gt;&lt;related-urls&gt;&lt;url&gt;https://search.ebscohost.com/login.aspx?direct=true&amp;amp;db=cin20&amp;amp;AN=131893270&amp;amp;site=ehost-live&lt;/url&gt;&lt;/related-urls&gt;&lt;/urls&gt;&lt;electronic-resource-num&gt;10.1027/0227-5910/a000545&lt;/electronic-resource-num&gt;&lt;/record&gt;&lt;/Cite&gt;&lt;/EndNote&gt;</w:instrText>
      </w:r>
      <w:r w:rsidRPr="0091560A">
        <w:rPr>
          <w:rFonts w:cs="Times New Roman"/>
          <w:szCs w:val="24"/>
        </w:rPr>
        <w:fldChar w:fldCharType="separate"/>
      </w:r>
      <w:r w:rsidRPr="0091560A">
        <w:rPr>
          <w:rFonts w:cs="Times New Roman"/>
          <w:noProof/>
          <w:szCs w:val="24"/>
        </w:rPr>
        <w:t>(Mikhail et al., 2018)</w:t>
      </w:r>
      <w:r w:rsidRPr="0091560A">
        <w:rPr>
          <w:rFonts w:cs="Times New Roman"/>
          <w:szCs w:val="24"/>
        </w:rPr>
        <w:fldChar w:fldCharType="end"/>
      </w:r>
      <w:r w:rsidRPr="0091560A">
        <w:rPr>
          <w:rFonts w:cs="Times New Roman"/>
          <w:szCs w:val="24"/>
        </w:rPr>
        <w:t xml:space="preserve">. The other Canadian study found that intentional paracetamol self-poisoning was more common for non-Indigenous people compared to Indigenous people </w:t>
      </w:r>
      <w:r w:rsidRPr="0091560A">
        <w:rPr>
          <w:rFonts w:cs="Times New Roman"/>
          <w:szCs w:val="24"/>
        </w:rPr>
        <w:fldChar w:fldCharType="begin"/>
      </w:r>
      <w:r w:rsidR="00D709C3" w:rsidRPr="0091560A">
        <w:rPr>
          <w:rFonts w:cs="Times New Roman"/>
          <w:szCs w:val="24"/>
        </w:rPr>
        <w:instrText xml:space="preserve"> ADDIN EN.CITE &lt;EndNote&gt;&lt;Cite&gt;&lt;Author&gt;Myers&lt;/Author&gt;&lt;Year&gt;2007&lt;/Year&gt;&lt;RecNum&gt;902&lt;/RecNum&gt;&lt;DisplayText&gt;(Myers, Li, &amp;amp; Shaheen, 2007)&lt;/DisplayText&gt;&lt;record&gt;&lt;rec-number&gt;902&lt;/rec-number&gt;&lt;foreign-keys&gt;&lt;key app="EN" db-id="90p22wx96ddedpe0r9pxtt9gzz05dd5ev299" timestamp="1657000537"&gt;902&lt;/key&gt;&lt;/foreign-keys&gt;&lt;ref-type name="Journal Article"&gt;17&lt;/ref-type&gt;&lt;contributors&gt;&lt;authors&gt;&lt;author&gt;Myers, R. P.&lt;/author&gt;&lt;author&gt;Li, B.&lt;/author&gt;&lt;author&gt;Shaheen, A. A. M.&lt;/author&gt;&lt;/authors&gt;&lt;/contributors&gt;&lt;titles&gt;&lt;title&gt;Emergency department visits for acetaminophen overdose: A Canadian population-based epidemiology study (1997-2002)&lt;/title&gt;&lt;secondary-title&gt;Canadian Journal of Emergency Medicine&lt;/secondary-title&gt;&lt;/titles&gt;&lt;pages&gt;267-274&lt;/pages&gt;&lt;volume&gt;9&lt;/volume&gt;&lt;number&gt;4&lt;/number&gt;&lt;dates&gt;&lt;year&gt;2007&lt;/year&gt;&lt;/dates&gt;&lt;urls&gt;&lt;related-urls&gt;&lt;url&gt;http://caep.ca/CMS/get_file.asp?id=3AB253360F624E1BB2305ABFEEE22EF4&amp;amp;ext=.pdf&amp;amp;name=pg267.pdfhttp://ovidsp.ovid.com/ovidweb.cgi?T=JS&amp;amp;PAGE=reference&amp;amp;D=emed10&amp;amp;NEWS=N&amp;amp;AN=47232892&lt;/url&gt;&lt;/related-urls&gt;&lt;/urls&gt;&lt;electronic-resource-num&gt;http://dx.doi.org/10.1017/s1481803500015153&lt;/electronic-resource-num&gt;&lt;/record&gt;&lt;/Cite&gt;&lt;/EndNote&gt;</w:instrText>
      </w:r>
      <w:r w:rsidRPr="0091560A">
        <w:rPr>
          <w:rFonts w:cs="Times New Roman"/>
          <w:szCs w:val="24"/>
        </w:rPr>
        <w:fldChar w:fldCharType="separate"/>
      </w:r>
      <w:r w:rsidRPr="0091560A">
        <w:rPr>
          <w:rFonts w:cs="Times New Roman"/>
          <w:noProof/>
          <w:szCs w:val="24"/>
        </w:rPr>
        <w:t>(Myers, Li, &amp; Shaheen, 2007)</w:t>
      </w:r>
      <w:r w:rsidRPr="0091560A">
        <w:rPr>
          <w:rFonts w:cs="Times New Roman"/>
          <w:szCs w:val="24"/>
        </w:rPr>
        <w:fldChar w:fldCharType="end"/>
      </w:r>
      <w:r w:rsidRPr="0091560A">
        <w:rPr>
          <w:rFonts w:cs="Times New Roman"/>
          <w:szCs w:val="24"/>
        </w:rPr>
        <w:t xml:space="preserve">. </w:t>
      </w:r>
    </w:p>
    <w:p w14:paraId="413CE932" w14:textId="77777777" w:rsidR="00574EB4" w:rsidRPr="0091560A" w:rsidRDefault="00574EB4" w:rsidP="00574EB4">
      <w:pPr>
        <w:spacing w:after="0" w:line="240" w:lineRule="auto"/>
        <w:rPr>
          <w:rFonts w:cs="Times New Roman"/>
          <w:szCs w:val="24"/>
        </w:rPr>
      </w:pPr>
    </w:p>
    <w:p w14:paraId="58CAF6DC" w14:textId="40FCC0A4" w:rsidR="00574EB4" w:rsidRPr="0091560A" w:rsidRDefault="00574EB4" w:rsidP="00574EB4">
      <w:pPr>
        <w:spacing w:after="0"/>
        <w:rPr>
          <w:rFonts w:cs="Times New Roman"/>
          <w:szCs w:val="24"/>
        </w:rPr>
      </w:pPr>
      <w:r w:rsidRPr="0091560A">
        <w:rPr>
          <w:rFonts w:cs="Times New Roman"/>
          <w:b/>
          <w:bCs/>
          <w:szCs w:val="24"/>
        </w:rPr>
        <w:t xml:space="preserve">Clinical characteristics: </w:t>
      </w:r>
      <w:r w:rsidRPr="0091560A">
        <w:rPr>
          <w:rFonts w:cs="Times New Roman"/>
          <w:szCs w:val="24"/>
        </w:rPr>
        <w:t>Regarding suicidal intent, the majority of studies found that over 80% of people who had intentionally overdosed with paracetamol or similar medications had suicidal intentions</w:t>
      </w:r>
      <w:r w:rsidR="00104490">
        <w:rPr>
          <w:rFonts w:cs="Times New Roman"/>
          <w:szCs w:val="24"/>
        </w:rPr>
        <w:t xml:space="preserve"> </w:t>
      </w:r>
      <w:r w:rsidRPr="0091560A">
        <w:rPr>
          <w:rFonts w:cs="Times New Roman"/>
          <w:szCs w:val="24"/>
        </w:rPr>
        <w:fldChar w:fldCharType="begin">
          <w:fldData xml:space="preserve">PEVuZE5vdGU+PENpdGU+PEF1dGhvcj5BbGFuaXo8L0F1dGhvcj48WWVhcj4yMDA3PC9ZZWFyPjxS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</w:fldData>
        </w:fldChar>
      </w:r>
      <w:r w:rsidR="005C4946">
        <w:rPr>
          <w:rFonts w:cs="Times New Roman"/>
          <w:szCs w:val="24"/>
        </w:rPr>
        <w:instrText xml:space="preserve"> ADDIN EN.CITE </w:instrText>
      </w:r>
      <w:r w:rsidR="005C4946">
        <w:rPr>
          <w:rFonts w:cs="Times New Roman"/>
          <w:szCs w:val="24"/>
        </w:rPr>
        <w:fldChar w:fldCharType="begin">
          <w:fldData xml:space="preserve">PEVuZE5vdGU+PENpdGU+PEF1dGhvcj5BbGFuaXo8L0F1dGhvcj48WWVhcj4yMDA3PC9ZZWFyPjxS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</w:fldData>
        </w:fldChar>
      </w:r>
      <w:r w:rsidR="005C4946">
        <w:rPr>
          <w:rFonts w:cs="Times New Roman"/>
          <w:szCs w:val="24"/>
        </w:rPr>
        <w:instrText xml:space="preserve"> ADDIN EN.CITE.DATA </w:instrText>
      </w:r>
      <w:r w:rsidR="005C4946">
        <w:rPr>
          <w:rFonts w:cs="Times New Roman"/>
          <w:szCs w:val="24"/>
        </w:rPr>
      </w:r>
      <w:r w:rsidR="005C4946">
        <w:rPr>
          <w:rFonts w:cs="Times New Roman"/>
          <w:szCs w:val="24"/>
        </w:rPr>
        <w:fldChar w:fldCharType="end"/>
      </w:r>
      <w:r w:rsidRPr="0091560A">
        <w:rPr>
          <w:rFonts w:cs="Times New Roman"/>
          <w:szCs w:val="24"/>
        </w:rPr>
      </w:r>
      <w:r w:rsidRPr="0091560A">
        <w:rPr>
          <w:rFonts w:cs="Times New Roman"/>
          <w:szCs w:val="24"/>
        </w:rPr>
        <w:fldChar w:fldCharType="separate"/>
      </w:r>
      <w:r w:rsidRPr="0091560A">
        <w:rPr>
          <w:rFonts w:cs="Times New Roman"/>
          <w:noProof/>
          <w:szCs w:val="24"/>
        </w:rPr>
        <w:t>(Alaniz &amp; Janusz, 2007; Alsen et al., 1994; Angalakuditi et al., 2006; Gyamlani &amp; Parikh, 2002; Hedeland et al., 2013; Hedeland, Teilmann, Jorgensen, Thiesen, &amp; Andersen, 2016; Hopkins et al., 2020; Makin &amp; Williams, 2000; Mikhail et al., 2018; Pezzia et al., 2017; Piotrowska et al., 2019; Schiodt et al., 1997)</w:t>
      </w:r>
      <w:r w:rsidRPr="0091560A">
        <w:rPr>
          <w:rFonts w:cs="Times New Roman"/>
          <w:szCs w:val="24"/>
        </w:rPr>
        <w:fldChar w:fldCharType="end"/>
      </w:r>
      <w:r w:rsidRPr="0091560A">
        <w:rPr>
          <w:rFonts w:cs="Times New Roman"/>
          <w:szCs w:val="24"/>
        </w:rPr>
        <w:t xml:space="preserve">. Exceptions included one study in which patients hospitalised for paracetamol self-poisoning were recruited to participate in a structured interview </w:t>
      </w:r>
      <w:r w:rsidRPr="0091560A">
        <w:rPr>
          <w:rFonts w:cs="Times New Roman"/>
          <w:szCs w:val="24"/>
        </w:rPr>
        <w:fldChar w:fldCharType="begin"/>
      </w:r>
      <w:r w:rsidR="00D709C3" w:rsidRPr="0091560A">
        <w:rPr>
          <w:rFonts w:cs="Times New Roman"/>
          <w:szCs w:val="24"/>
        </w:rPr>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rPr>
          <w:rFonts w:cs="Times New Roman"/>
          <w:szCs w:val="24"/>
        </w:rPr>
        <w:fldChar w:fldCharType="separate"/>
      </w:r>
      <w:r w:rsidRPr="0091560A">
        <w:rPr>
          <w:rFonts w:cs="Times New Roman"/>
          <w:noProof/>
          <w:szCs w:val="24"/>
        </w:rPr>
        <w:t>(K. Hawton et al., 1996)</w:t>
      </w:r>
      <w:r w:rsidRPr="0091560A">
        <w:rPr>
          <w:rFonts w:cs="Times New Roman"/>
          <w:szCs w:val="24"/>
        </w:rPr>
        <w:fldChar w:fldCharType="end"/>
      </w:r>
      <w:r w:rsidRPr="0091560A">
        <w:rPr>
          <w:rFonts w:cs="Times New Roman"/>
          <w:szCs w:val="24"/>
        </w:rPr>
        <w:t xml:space="preserve">, and another study in 12-19 year-olds in which 44% of cases had suicidal intent </w:t>
      </w:r>
      <w:r w:rsidRPr="0091560A">
        <w:rPr>
          <w:rFonts w:cs="Times New Roman"/>
          <w:szCs w:val="24"/>
        </w:rPr>
        <w:fldChar w:fldCharType="begin"/>
      </w:r>
      <w:r w:rsidR="00D709C3" w:rsidRPr="0091560A">
        <w:rPr>
          <w:rFonts w:cs="Times New Roman"/>
          <w:szCs w:val="24"/>
        </w:rPr>
        <w:instrText xml:space="preserve"> ADDIN EN.CITE &lt;EndNote&gt;&lt;Cite&gt;&lt;Author&gt;Schmidt&lt;/Author&gt;&lt;Year&gt;2001&lt;/Year&gt;&lt;RecNum&gt;912&lt;/RecNum&gt;&lt;DisplayText&gt;(Schmidt, 2001)&lt;/DisplayText&gt;&lt;record&gt;&lt;rec-number&gt;912&lt;/rec-number&gt;&lt;foreign-keys&gt;&lt;key app="EN" db-id="90p22wx96ddedpe0r9pxtt9gzz05dd5ev299" timestamp="1657000537"&gt;912&lt;/key&gt;&lt;/foreign-keys&gt;&lt;ref-type name="Journal Article"&gt;17&lt;/ref-type&gt;&lt;contributors&gt;&lt;authors&gt;&lt;author&gt;Schmidt, L. E.&lt;/author&gt;&lt;/authors&gt;&lt;/contributors&gt;&lt;titles&gt;&lt;title&gt;Paracetamol self-poisoning among adolescents in a department of hepatology&lt;/title&gt;&lt;secondary-title&gt;International Journal of Adolescent Medicine and Health&lt;/secondary-title&gt;&lt;/titles&gt;&lt;pages&gt;327-334&lt;/pages&gt;&lt;volume&gt;13&lt;/volume&gt;&lt;number&gt;4&lt;/number&gt;&lt;dates&gt;&lt;year&gt;2001&lt;/year&gt;&lt;/dates&gt;&lt;urls&gt;&lt;related-urls&gt;&lt;url&gt;http://ovidsp.ovid.com/ovidweb.cgi?T=JS&amp;amp;PAGE=reference&amp;amp;D=emed7&amp;amp;NEWS=N&amp;amp;AN=33133949&lt;/url&gt;&lt;/related-urls&gt;&lt;/urls&gt;&lt;electronic-resource-num&gt;http://dx.doi.org/10.1515/IJAMH.2001.13.4.327&lt;/electronic-resource-num&gt;&lt;/record&gt;&lt;/Cite&gt;&lt;/EndNote&gt;</w:instrText>
      </w:r>
      <w:r w:rsidRPr="0091560A">
        <w:rPr>
          <w:rFonts w:cs="Times New Roman"/>
          <w:szCs w:val="24"/>
        </w:rPr>
        <w:fldChar w:fldCharType="separate"/>
      </w:r>
      <w:r w:rsidRPr="0091560A">
        <w:rPr>
          <w:rFonts w:cs="Times New Roman"/>
          <w:noProof/>
          <w:szCs w:val="24"/>
        </w:rPr>
        <w:t>(Schmidt, 2001)</w:t>
      </w:r>
      <w:r w:rsidRPr="0091560A">
        <w:rPr>
          <w:rFonts w:cs="Times New Roman"/>
          <w:szCs w:val="24"/>
        </w:rPr>
        <w:fldChar w:fldCharType="end"/>
      </w:r>
      <w:r w:rsidRPr="0091560A">
        <w:rPr>
          <w:rFonts w:cs="Times New Roman"/>
          <w:szCs w:val="24"/>
        </w:rPr>
        <w:t xml:space="preserve">. One study reported that people who self-poisoned with paracetamol had significantly lower median scores on the Suicidal Intent Scale (SIS) than people who self-poisoned with salicylates, gas, or opiates and recreational drugs </w:t>
      </w:r>
      <w:r w:rsidRPr="0091560A">
        <w:rPr>
          <w:rFonts w:cs="Times New Roman"/>
          <w:szCs w:val="24"/>
        </w:rPr>
        <w:fldChar w:fldCharType="begin"/>
      </w:r>
      <w:r w:rsidR="00D709C3" w:rsidRPr="0091560A">
        <w:rPr>
          <w:rFonts w:cs="Times New Roman"/>
          <w:szCs w:val="24"/>
        </w:rPr>
        <w:instrText xml:space="preserve"> ADDIN EN.CITE &lt;EndNote&gt;&lt;Cite&gt;&lt;Author&gt;Haw&lt;/Author&gt;&lt;Year&gt;2015&lt;/Year&gt;&lt;RecNum&gt;875&lt;/RecNum&gt;&lt;DisplayText&gt;(Haw, Casey, Holmes, &amp;amp; Hawton, 2015)&lt;/DisplayText&gt;&lt;record&gt;&lt;rec-number&gt;875&lt;/rec-number&gt;&lt;foreign-keys&gt;&lt;key app="EN" db-id="90p22wx96ddedpe0r9pxtt9gzz05dd5ev299" timestamp="1657000537"&gt;875&lt;/key&gt;&lt;/foreign-keys&gt;&lt;ref-type name="Journal Article"&gt;17&lt;/ref-type&gt;&lt;contributors&gt;&lt;authors&gt;&lt;author&gt;Haw, C.&lt;/author&gt;&lt;author&gt;Casey, D.&lt;/author&gt;&lt;author&gt;Holmes, J.&lt;/author&gt;&lt;author&gt;Hawton, K.&lt;/author&gt;&lt;/authors&gt;&lt;/contributors&gt;&lt;titles&gt;&lt;title&gt;Suicidal Intent and Method of Self-Harm: A Large-scale Study of Self-Harm Patients Presenting to a General Hospital&lt;/title&gt;&lt;secondary-title&gt;Suicide &amp;amp; life-threatening behavior&lt;/secondary-title&gt;&lt;/titles&gt;&lt;pages&gt;732-746&lt;/pages&gt;&lt;volume&gt;45&lt;/volume&gt;&lt;number&gt;6&lt;/number&gt;&lt;dates&gt;&lt;year&gt;2015&lt;/year&gt;&lt;/dates&gt;&lt;urls&gt;&lt;related-urls&gt;&lt;url&gt;http://ovidsp.ovid.com/ovidweb.cgi?T=JS&amp;amp;PAGE=reference&amp;amp;D=emed16&amp;amp;NEWS=N&amp;amp;AN=611791816&lt;/url&gt;&lt;/related-urls&gt;&lt;/urls&gt;&lt;electronic-resource-num&gt;http://dx.doi.org/10.1111/sltb.12168&lt;/electronic-resource-num&gt;&lt;/record&gt;&lt;/Cite&gt;&lt;/EndNote&gt;</w:instrText>
      </w:r>
      <w:r w:rsidRPr="0091560A">
        <w:rPr>
          <w:rFonts w:cs="Times New Roman"/>
          <w:szCs w:val="24"/>
        </w:rPr>
        <w:fldChar w:fldCharType="separate"/>
      </w:r>
      <w:r w:rsidRPr="0091560A">
        <w:rPr>
          <w:rFonts w:cs="Times New Roman"/>
          <w:noProof/>
          <w:szCs w:val="24"/>
        </w:rPr>
        <w:t>(Haw, Casey, Holmes, &amp; Hawton, 2015)</w:t>
      </w:r>
      <w:r w:rsidRPr="0091560A">
        <w:rPr>
          <w:rFonts w:cs="Times New Roman"/>
          <w:szCs w:val="24"/>
        </w:rPr>
        <w:fldChar w:fldCharType="end"/>
      </w:r>
      <w:r w:rsidRPr="0091560A">
        <w:rPr>
          <w:rFonts w:cs="Times New Roman"/>
          <w:szCs w:val="24"/>
        </w:rPr>
        <w:t xml:space="preserve">. There were no differences in suicidal intent between those who self-poisoned with paracetamol and those self-poisoning with prescription medication, including antidepressants </w:t>
      </w:r>
      <w:r w:rsidRPr="0091560A">
        <w:rPr>
          <w:rFonts w:cs="Times New Roman"/>
          <w:szCs w:val="24"/>
        </w:rPr>
        <w:fldChar w:fldCharType="begin"/>
      </w:r>
      <w:r w:rsidR="00D709C3" w:rsidRPr="0091560A">
        <w:rPr>
          <w:rFonts w:cs="Times New Roman"/>
          <w:szCs w:val="24"/>
        </w:rPr>
        <w:instrText xml:space="preserve"> ADDIN EN.CITE &lt;EndNote&gt;&lt;Cite&gt;&lt;Author&gt;Haw&lt;/Author&gt;&lt;Year&gt;2015&lt;/Year&gt;&lt;RecNum&gt;875&lt;/RecNum&gt;&lt;DisplayText&gt;(Haw et al., 2015)&lt;/DisplayText&gt;&lt;record&gt;&lt;rec-number&gt;875&lt;/rec-number&gt;&lt;foreign-keys&gt;&lt;key app="EN" db-id="90p22wx96ddedpe0r9pxtt9gzz05dd5ev299" timestamp="1657000537"&gt;875&lt;/key&gt;&lt;/foreign-keys&gt;&lt;ref-type name="Journal Article"&gt;17&lt;/ref-type&gt;&lt;contributors&gt;&lt;authors&gt;&lt;author&gt;Haw, C.&lt;/author&gt;&lt;author&gt;Casey, D.&lt;/author&gt;&lt;author&gt;Holmes, J.&lt;/author&gt;&lt;author&gt;Hawton, K.&lt;/author&gt;&lt;/authors&gt;&lt;/contributors&gt;&lt;titles&gt;&lt;title&gt;Suicidal Intent and Method of Self-Harm: A Large-scale Study of Self-Harm Patients Presenting to a General Hospital&lt;/title&gt;&lt;secondary-title&gt;Suicide &amp;amp; life-threatening behavior&lt;/secondary-title&gt;&lt;/titles&gt;&lt;pages&gt;732-746&lt;/pages&gt;&lt;volume&gt;45&lt;/volume&gt;&lt;number&gt;6&lt;/number&gt;&lt;dates&gt;&lt;year&gt;2015&lt;/year&gt;&lt;/dates&gt;&lt;urls&gt;&lt;related-urls&gt;&lt;url&gt;http://ovidsp.ovid.com/ovidweb.cgi?T=JS&amp;amp;PAGE=reference&amp;amp;D=emed16&amp;amp;NEWS=N&amp;amp;AN=611791816&lt;/url&gt;&lt;/related-urls&gt;&lt;/urls&gt;&lt;electronic-resource-num&gt;http://dx.doi.org/10.1111/sltb.12168&lt;/electronic-resource-num&gt;&lt;/record&gt;&lt;/Cite&gt;&lt;/EndNote&gt;</w:instrText>
      </w:r>
      <w:r w:rsidRPr="0091560A">
        <w:rPr>
          <w:rFonts w:cs="Times New Roman"/>
          <w:szCs w:val="24"/>
        </w:rPr>
        <w:fldChar w:fldCharType="separate"/>
      </w:r>
      <w:r w:rsidRPr="0091560A">
        <w:rPr>
          <w:rFonts w:cs="Times New Roman"/>
          <w:noProof/>
          <w:szCs w:val="24"/>
        </w:rPr>
        <w:t>(Haw et al., 2015)</w:t>
      </w:r>
      <w:r w:rsidRPr="0091560A">
        <w:rPr>
          <w:rFonts w:cs="Times New Roman"/>
          <w:szCs w:val="24"/>
        </w:rPr>
        <w:fldChar w:fldCharType="end"/>
      </w:r>
      <w:r w:rsidRPr="0091560A">
        <w:rPr>
          <w:rFonts w:cs="Times New Roman"/>
          <w:szCs w:val="24"/>
        </w:rPr>
        <w:t xml:space="preserve">. Two additional studies measured suicidal intent using the SIS </w:t>
      </w:r>
      <w:r w:rsidRPr="0091560A">
        <w:rPr>
          <w:rFonts w:cs="Times New Roman"/>
          <w:szCs w:val="24"/>
        </w:rPr>
        <w:fldChar w:fldCharType="begin">
          <w:fldData xml:space="preserve">PEVuZE5vdGU+PENpdGU+PEF1dGhvcj5TaW1raW48L0F1dGhvcj48WWVhcj4yMDEyPC9ZZWFyPjxS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</w:fldData>
        </w:fldChar>
      </w:r>
      <w:r w:rsidR="00D709C3" w:rsidRPr="0091560A">
        <w:rPr>
          <w:rFonts w:cs="Times New Roman"/>
          <w:szCs w:val="24"/>
        </w:rPr>
        <w:instrText xml:space="preserve"> ADDIN EN.CITE </w:instrText>
      </w:r>
      <w:r w:rsidR="00D709C3" w:rsidRPr="0091560A">
        <w:rPr>
          <w:rFonts w:cs="Times New Roman"/>
          <w:szCs w:val="24"/>
        </w:rPr>
        <w:fldChar w:fldCharType="begin">
          <w:fldData xml:space="preserve">PEVuZE5vdGU+PENpdGU+PEF1dGhvcj5TaW1raW48L0F1dGhvcj48WWVhcj4yMDEyPC9ZZWFyPjxS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</w:fldData>
        </w:fldChar>
      </w:r>
      <w:r w:rsidR="00D709C3" w:rsidRPr="0091560A">
        <w:rPr>
          <w:rFonts w:cs="Times New Roman"/>
          <w:szCs w:val="24"/>
        </w:rPr>
        <w:instrText xml:space="preserve"> ADDIN EN.CITE.DATA </w:instrText>
      </w:r>
      <w:r w:rsidR="00D709C3" w:rsidRPr="0091560A">
        <w:rPr>
          <w:rFonts w:cs="Times New Roman"/>
          <w:szCs w:val="24"/>
        </w:rPr>
      </w:r>
      <w:r w:rsidR="00D709C3" w:rsidRPr="0091560A">
        <w:rPr>
          <w:rFonts w:cs="Times New Roman"/>
          <w:szCs w:val="24"/>
        </w:rPr>
        <w:fldChar w:fldCharType="end"/>
      </w:r>
      <w:r w:rsidRPr="0091560A">
        <w:rPr>
          <w:rFonts w:cs="Times New Roman"/>
          <w:szCs w:val="24"/>
        </w:rPr>
      </w:r>
      <w:r w:rsidRPr="0091560A">
        <w:rPr>
          <w:rFonts w:cs="Times New Roman"/>
          <w:szCs w:val="24"/>
        </w:rPr>
        <w:fldChar w:fldCharType="separate"/>
      </w:r>
      <w:r w:rsidRPr="0091560A">
        <w:rPr>
          <w:rFonts w:cs="Times New Roman"/>
          <w:noProof/>
          <w:szCs w:val="24"/>
        </w:rPr>
        <w:t>(Simkin, Hawton, Kapur, &amp; Gunnell, 2012; Townsend et al., 2001)</w:t>
      </w:r>
      <w:r w:rsidRPr="0091560A">
        <w:rPr>
          <w:rFonts w:cs="Times New Roman"/>
          <w:szCs w:val="24"/>
        </w:rPr>
        <w:fldChar w:fldCharType="end"/>
      </w:r>
      <w:r w:rsidRPr="0091560A">
        <w:rPr>
          <w:rFonts w:cs="Times New Roman"/>
          <w:szCs w:val="24"/>
        </w:rPr>
        <w:t xml:space="preserve">. </w:t>
      </w:r>
    </w:p>
    <w:p w14:paraId="7D6D2BA3" w14:textId="77777777" w:rsidR="00574EB4" w:rsidRPr="0091560A" w:rsidRDefault="00574EB4" w:rsidP="00574EB4">
      <w:pPr>
        <w:spacing w:after="0"/>
        <w:rPr>
          <w:rFonts w:cs="Times New Roman"/>
          <w:szCs w:val="24"/>
        </w:rPr>
      </w:pPr>
    </w:p>
    <w:p w14:paraId="6030049F" w14:textId="3B2695A1" w:rsidR="00574EB4" w:rsidRPr="0091560A" w:rsidRDefault="00574EB4" w:rsidP="00E40DB5">
      <w:r w:rsidRPr="0091560A">
        <w:t xml:space="preserve">Regarding self-harm history, studies of young people engaging in </w:t>
      </w:r>
      <w:r w:rsidR="007B436A">
        <w:t>intentional</w:t>
      </w:r>
      <w:r w:rsidR="007B436A" w:rsidRPr="0091560A">
        <w:t xml:space="preserve"> </w:t>
      </w:r>
      <w:r w:rsidRPr="0091560A">
        <w:t xml:space="preserve">self-poisoning with paracetamol reported lower rates of previous suicide attempts (21-32%) </w:t>
      </w:r>
      <w:r w:rsidRPr="0091560A">
        <w:fldChar w:fldCharType="begin">
          <w:fldData xml:space="preserve">PEVuZE5vdGU+PENpdGU+PEF1dGhvcj5IZWRlbGFuZDwvQXV0aG9yPjxZZWFyPjIwMTM8L1llYXI+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</w:fldData>
        </w:fldChar>
      </w:r>
      <w:r w:rsidR="006E08D8">
        <w:instrText xml:space="preserve"> ADDIN EN.CITE </w:instrText>
      </w:r>
      <w:r w:rsidR="006E08D8">
        <w:fldChar w:fldCharType="begin">
          <w:fldData xml:space="preserve">PEVuZE5vdGU+PENpdGU+PEF1dGhvcj5IZWRlbGFuZDwvQXV0aG9yPjxZZWFyPjIwMTM8L1llYXI+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</w:fldData>
        </w:fldChar>
      </w:r>
      <w:r w:rsidR="006E08D8">
        <w:instrText xml:space="preserve"> ADDIN EN.CITE.DATA </w:instrText>
      </w:r>
      <w:r w:rsidR="006E08D8">
        <w:fldChar w:fldCharType="end"/>
      </w:r>
      <w:r w:rsidRPr="0091560A">
        <w:fldChar w:fldCharType="separate"/>
      </w:r>
      <w:r w:rsidRPr="0091560A">
        <w:t>(Hedeland et al., 2013; Hedeland et al., 2016; Shekunov et al., 2021)</w:t>
      </w:r>
      <w:r w:rsidRPr="0091560A">
        <w:fldChar w:fldCharType="end"/>
      </w:r>
      <w:r w:rsidRPr="0091560A">
        <w:t xml:space="preserve"> compared to studies with broad age ranges (38-67%) </w:t>
      </w:r>
      <w:r w:rsidRPr="0091560A">
        <w:fldChar w:fldCharType="begin">
          <w:fldData xml:space="preserve">PEVuZE5vdGU+PENpdGU+PEF1dGhvcj5DYXJvbGw8L0F1dGhvcj48WWVhcj4yMDE1PC9ZZWFyPjxS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</w:fldData>
        </w:fldChar>
      </w:r>
      <w:r w:rsidR="006E08D8">
        <w:instrText xml:space="preserve"> ADDIN EN.CITE </w:instrText>
      </w:r>
      <w:r w:rsidR="006E08D8">
        <w:fldChar w:fldCharType="begin">
          <w:fldData xml:space="preserve">PEVuZE5vdGU+PENpdGU+PEF1dGhvcj5DYXJvbGw8L0F1dGhvcj48WWVhcj4yMDE1PC9ZZWFyPjxS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</w:fldData>
        </w:fldChar>
      </w:r>
      <w:r w:rsidR="006E08D8">
        <w:instrText xml:space="preserve"> ADDIN EN.CITE.DATA </w:instrText>
      </w:r>
      <w:r w:rsidR="006E08D8">
        <w:fldChar w:fldCharType="end"/>
      </w:r>
      <w:r w:rsidRPr="0091560A">
        <w:fldChar w:fldCharType="separate"/>
      </w:r>
      <w:r w:rsidRPr="0091560A">
        <w:t>(Caroll et al., 2015; Casey et al., 2020; Cowman &amp; Bakheet, 2017; K. Hawton et al., 1996; Simkin et al., 2012)</w:t>
      </w:r>
      <w:r w:rsidRPr="0091560A">
        <w:fldChar w:fldCharType="end"/>
      </w:r>
      <w:r w:rsidRPr="0091560A">
        <w:t xml:space="preserve">. One study reported that 29% of patients who had been admitted to hospital for </w:t>
      </w:r>
      <w:r w:rsidR="00D62584">
        <w:t>intentional</w:t>
      </w:r>
      <w:r w:rsidR="00D62584" w:rsidRPr="0091560A">
        <w:t xml:space="preserve"> </w:t>
      </w:r>
      <w:r w:rsidRPr="0091560A">
        <w:t xml:space="preserve">paracetamol self-poisoning had previously taken a paracetamol overdose </w:t>
      </w:r>
      <w:r w:rsidRPr="0091560A">
        <w:fldChar w:fldCharType="begin"/>
      </w:r>
      <w:r w:rsidR="00D709C3" w:rsidRPr="0091560A">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fldChar w:fldCharType="separate"/>
      </w:r>
      <w:r w:rsidRPr="0091560A">
        <w:t>(K. Hawton et al., 1996)</w:t>
      </w:r>
      <w:r w:rsidRPr="0091560A">
        <w:fldChar w:fldCharType="end"/>
      </w:r>
      <w:r w:rsidRPr="0091560A">
        <w:t xml:space="preserve">, while another study reported that 49% of patients had had a repeated paracetamol self-poisoning event </w:t>
      </w:r>
      <w:r w:rsidRPr="0091560A">
        <w:fldChar w:fldCharType="begin"/>
      </w:r>
      <w:r w:rsidR="00D709C3" w:rsidRPr="0091560A">
        <w:instrText xml:space="preserve"> ADDIN EN.CITE &lt;EndNote&gt;&lt;Cite&gt;&lt;Author&gt;Payne&lt;/Author&gt;&lt;Year&gt;2009&lt;/Year&gt;&lt;RecNum&gt;905&lt;/RecNum&gt;&lt;DisplayText&gt;(Payne, Oliver, Bain, Elders, &amp;amp; Bateman, 2009)&lt;/DisplayText&gt;&lt;record&gt;&lt;rec-number&gt;905&lt;/rec-number&gt;&lt;foreign-keys&gt;&lt;key app="EN" db-id="90p22wx96ddedpe0r9pxtt9gzz05dd5ev299" timestamp="1657000537"&gt;905&lt;/key&gt;&lt;/foreign-keys&gt;&lt;ref-type name="Journal Article"&gt;17&lt;/ref-type&gt;&lt;contributors&gt;&lt;authors&gt;&lt;author&gt;Payne, R. A.&lt;/author&gt;&lt;author&gt;Oliver, J. J.&lt;/author&gt;&lt;author&gt;Bain, M.&lt;/author&gt;&lt;author&gt;Elders, A.&lt;/author&gt;&lt;author&gt;Bateman, D. N.&lt;/author&gt;&lt;/authors&gt;&lt;/contributors&gt;&lt;titles&gt;&lt;title&gt;Patterns and predictors of re-admission to hospital with self-poisoning in Scotland&lt;/title&gt;&lt;secondary-title&gt;Public Health&lt;/secondary-title&gt;&lt;/titles&gt;&lt;pages&gt;134-137&lt;/pages&gt;&lt;volume&gt;123&lt;/volume&gt;&lt;number&gt;2&lt;/number&gt;&lt;dates&gt;&lt;year&gt;2009&lt;/year&gt;&lt;/dates&gt;&lt;urls&gt;&lt;related-urls&gt;&lt;url&gt;http://ovidsp.ovid.com/ovidweb.cgi?T=JS&amp;amp;PAGE=reference&amp;amp;D=emed11&amp;amp;NEWS=N&amp;amp;AN=50407846&lt;/url&gt;&lt;/related-urls&gt;&lt;/urls&gt;&lt;electronic-resource-num&gt;http://dx.doi.org/10.1016/j.puhe.2008.12.002&lt;/electronic-resource-num&gt;&lt;/record&gt;&lt;/Cite&gt;&lt;/EndNote&gt;</w:instrText>
      </w:r>
      <w:r w:rsidRPr="0091560A">
        <w:fldChar w:fldCharType="separate"/>
      </w:r>
      <w:r w:rsidRPr="0091560A">
        <w:t>(Payne, Oliver, Bain, Elders, &amp; Bateman, 2009)</w:t>
      </w:r>
      <w:r w:rsidRPr="0091560A">
        <w:fldChar w:fldCharType="end"/>
      </w:r>
      <w:r w:rsidRPr="0091560A">
        <w:t xml:space="preserve">. There was some evidence to suggest that paracetamol and similar analgesics were more commonly used in the first episode of self-harm compared to in a repeat self-harm episode </w:t>
      </w:r>
      <w:r w:rsidRPr="0091560A">
        <w:fldChar w:fldCharType="begin"/>
      </w:r>
      <w:r w:rsidR="00D709C3" w:rsidRPr="0091560A">
        <w:instrText xml:space="preserve"> ADDIN EN.CITE &lt;EndNote&gt;&lt;Cite&gt;&lt;Author&gt;Alsen&lt;/Author&gt;&lt;Year&gt;1994&lt;/Year&gt;&lt;RecNum&gt;850&lt;/RecNum&gt;&lt;DisplayText&gt;(Alsen et al., 1994; Townsend et al., 2001)&lt;/DisplayText&gt;&lt;record&gt;&lt;rec-number&gt;850&lt;/rec-number&gt;&lt;foreign-keys&gt;&lt;key app="EN" db-id="90p22wx96ddedpe0r9pxtt9gzz05dd5ev299" timestamp="1657000537"&gt;850&lt;/key&gt;&lt;/foreign-keys&gt;&lt;ref-type name="Journal Article"&gt;17&lt;/ref-type&gt;&lt;contributors&gt;&lt;authors&gt;&lt;author&gt;Alsen, M.&lt;/author&gt;&lt;author&gt;Ekedahl, A.&lt;/author&gt;&lt;author&gt;Lowenhielm, P.&lt;/author&gt;&lt;author&gt;Nimeus, A.&lt;/author&gt;&lt;author&gt;Regnell, G.&lt;/author&gt;&lt;author&gt;Traskman-Bendz, L.&lt;/author&gt;&lt;/authors&gt;&lt;/contributors&gt;&lt;titles&gt;&lt;title&gt;Medicine self-poisoning and the sources of the drugs in Lund, Sweden&lt;/title&gt;&lt;secondary-title&gt;Acta Psychiatrica Scandinavica&lt;/secondary-title&gt;&lt;/titles&gt;&lt;pages&gt;255-261&lt;/pages&gt;&lt;volume&gt;89&lt;/volume&gt;&lt;number&gt;4&lt;/number&gt;&lt;dates&gt;&lt;year&gt;1994&lt;/year&gt;&lt;/dates&gt;&lt;urls&gt;&lt;related-urls&gt;&lt;url&gt;http://ovidsp.ovid.com/ovidweb.cgi?T=JS&amp;amp;PAGE=reference&amp;amp;D=emed5&amp;amp;NEWS=N&amp;amp;AN=24134686&lt;/url&gt;&lt;/related-urls&gt;&lt;/urls&gt;&lt;/record&gt;&lt;/Cite&gt;&lt;Cite&gt;&lt;Author&gt;Townsend&lt;/Author&gt;&lt;Year&gt;2001&lt;/Year&gt;&lt;RecNum&gt;919&lt;/RecNum&gt;&lt;record&gt;&lt;rec-number&gt;919&lt;/rec-number&gt;&lt;foreign-keys&gt;&lt;key app="EN" db-id="90p22wx96ddedpe0r9pxtt9gzz05dd5ev299" timestamp="1657000537"&gt;919&lt;/key&gt;&lt;/foreign-keys&gt;&lt;ref-type name="Journal Article"&gt;17&lt;/ref-type&gt;&lt;contributors&gt;&lt;authors&gt;&lt;author&gt;Townsend, E.&lt;/author&gt;&lt;author&gt;Hawton, K.&lt;/author&gt;&lt;author&gt;Harriss, L.&lt;/author&gt;&lt;author&gt;Bale, E.&lt;/author&gt;&lt;author&gt;Bond, A.&lt;/author&gt;&lt;/authors&gt;&lt;/contributors&gt;&lt;titles&gt;&lt;title&gt;Substances used in deliberate self-poisoning 1985-1997: Trends and associations with age, gender, repetition and suicide intent&lt;/title&gt;&lt;secondary-title&gt;Social Psychiatry and Psychiatric Epidemiology&lt;/secondary-title&gt;&lt;/titles&gt;&lt;pages&gt;228-234&lt;/pages&gt;&lt;volume&gt;36&lt;/volume&gt;&lt;number&gt;5&lt;/number&gt;&lt;dates&gt;&lt;year&gt;2001&lt;/year&gt;&lt;/dates&gt;&lt;urls&gt;&lt;related-urls&gt;&lt;url&gt;http://ovidsp.ovid.com/ovidweb.cgi?T=JS&amp;amp;PAGE=reference&amp;amp;D=emed7&amp;amp;NEWS=N&amp;amp;AN=32694467&lt;/url&gt;&lt;/related-urls&gt;&lt;/urls&gt;&lt;electronic-resource-num&gt;http://dx.doi.org/10.1007/s001270170053&lt;/electronic-resource-num&gt;&lt;/record&gt;&lt;/Cite&gt;&lt;/EndNote&gt;</w:instrText>
      </w:r>
      <w:r w:rsidRPr="0091560A">
        <w:fldChar w:fldCharType="separate"/>
      </w:r>
      <w:r w:rsidRPr="0091560A">
        <w:t>(Alsen et al., 1994; Townsend et al., 2001)</w:t>
      </w:r>
      <w:r w:rsidRPr="0091560A">
        <w:fldChar w:fldCharType="end"/>
      </w:r>
      <w:r w:rsidRPr="0091560A">
        <w:t xml:space="preserve">. However, two Australian studies found that patients presenting to hospital for a repeat self-poisoning episode were more likely to ingest paracetamol compared to patients who self-poisoned on a single occasion </w:t>
      </w:r>
      <w:r w:rsidRPr="0091560A">
        <w:fldChar w:fldCharType="begin">
          <w:fldData xml:space="preserve">PEVuZE5vdGU+PENpdGU+PEF1dGhvcj5NYXJ0aW48L0F1dGhvcj48WWVhcj4yMDEyPC9ZZWFyPjxS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</w:fldData>
        </w:fldChar>
      </w:r>
      <w:r w:rsidR="00D709C3" w:rsidRPr="0091560A">
        <w:instrText xml:space="preserve"> ADDIN EN.CITE </w:instrText>
      </w:r>
      <w:r w:rsidR="00D709C3" w:rsidRPr="0091560A">
        <w:fldChar w:fldCharType="begin">
          <w:fldData xml:space="preserve">PEVuZE5vdGU+PENpdGU+PEF1dGhvcj5NYXJ0aW48L0F1dGhvcj48WWVhcj4yMDEyPC9ZZWFyPjxS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</w:fldData>
        </w:fldChar>
      </w:r>
      <w:r w:rsidR="00D709C3" w:rsidRPr="0091560A">
        <w:instrText xml:space="preserve"> ADDIN EN.CITE.DATA </w:instrText>
      </w:r>
      <w:r w:rsidR="00D709C3" w:rsidRPr="0091560A">
        <w:fldChar w:fldCharType="end"/>
      </w:r>
      <w:r w:rsidRPr="0091560A">
        <w:fldChar w:fldCharType="separate"/>
      </w:r>
      <w:r w:rsidRPr="0091560A">
        <w:t>(Martin, Chapman, Rahman, &amp; Graudins, 2012; D. M. Taylor, Cameron, &amp; Eddey, 1998)</w:t>
      </w:r>
      <w:r w:rsidRPr="0091560A">
        <w:fldChar w:fldCharType="end"/>
      </w:r>
      <w:r w:rsidRPr="0091560A">
        <w:t xml:space="preserve">. Further, one study found that analgesics and antipyretics were more likely to be used in a first-time self-harm attempt in comparison to other drugs </w:t>
      </w:r>
      <w:r w:rsidRPr="0091560A">
        <w:fldChar w:fldCharType="begin"/>
      </w:r>
      <w:r w:rsidR="00D709C3" w:rsidRPr="0091560A">
        <w:instrText xml:space="preserve"> ADDIN EN.CITE &lt;EndNote&gt;&lt;Cite&gt;&lt;Author&gt;Vancayseele&lt;/Author&gt;&lt;Year&gt;2019&lt;/Year&gt;&lt;RecNum&gt;921&lt;/RecNum&gt;&lt;DisplayText&gt;(Vancayseele et al., 2019)&lt;/DisplayText&gt;&lt;record&gt;&lt;rec-number&gt;921&lt;/rec-number&gt;&lt;foreign-keys&gt;&lt;key app="EN" db-id="90p22wx96ddedpe0r9pxtt9gzz05dd5ev299" timestamp="1657000537"&gt;921&lt;/key&gt;&lt;/foreign-keys&gt;&lt;ref-type name="Journal Article"&gt;17&lt;/ref-type&gt;&lt;contributors&gt;&lt;authors&gt;&lt;author&gt;Vancayseele, N.&lt;/author&gt;&lt;author&gt;Rotsaert, I.&lt;/author&gt;&lt;author&gt;Portzky, G.&lt;/author&gt;&lt;author&gt;Van Heeringen, K.&lt;/author&gt;&lt;/authors&gt;&lt;/contributors&gt;&lt;titles&gt;&lt;title&gt;Medication used in intentional drug overdose in Flanders 2008-2013&lt;/title&gt;&lt;secondary-title&gt;PLoS ONE&lt;/secondary-title&gt;&lt;/titles&gt;&lt;periodical&gt;&lt;full-title&gt;PLoS One&lt;/full-title&gt;&lt;/periodical&gt;&lt;pages&gt;e0216317&lt;/pages&gt;&lt;volume&gt;14&lt;/volume&gt;&lt;number&gt;5&lt;/number&gt;&lt;dates&gt;&lt;year&gt;2019&lt;/year&gt;&lt;/dates&gt;&lt;urls&gt;&lt;related-urls&gt;&lt;url&gt;https://journals.plos.org/plosone/article/file?id=10.1371/journal.pone.0216317&amp;amp;type=printablehttp://ovidsp.ovid.com/ovidweb.cgi?T=JS&amp;amp;PAGE=reference&amp;amp;D=emed20&amp;amp;NEWS=N&amp;amp;AN=2001958215&lt;/url&gt;&lt;/related-urls&gt;&lt;/urls&gt;&lt;electronic-resource-num&gt;http://dx.doi.org/10.1371/journal.pone.0216317&lt;/electronic-resource-num&gt;&lt;/record&gt;&lt;/Cite&gt;&lt;/EndNote&gt;</w:instrText>
      </w:r>
      <w:r w:rsidRPr="0091560A">
        <w:fldChar w:fldCharType="separate"/>
      </w:r>
      <w:r w:rsidRPr="0091560A">
        <w:t>(Vancayseele et al., 2019)</w:t>
      </w:r>
      <w:r w:rsidRPr="0091560A">
        <w:fldChar w:fldCharType="end"/>
      </w:r>
      <w:r w:rsidRPr="0091560A">
        <w:t xml:space="preserve">. In contrast, another study found that history of self-harm did not differ for paracetamol in comparison to other drugs </w:t>
      </w:r>
      <w:r w:rsidRPr="0091560A">
        <w:fldChar w:fldCharType="begin"/>
      </w:r>
      <w:r w:rsidR="006E08D8">
        <w:instrText xml:space="preserve"> ADDIN EN.CITE &lt;EndNote&gt;&lt;Cite&gt;&lt;Author&gt;Caroll&lt;/Author&gt;&lt;Year&gt;2015&lt;/Year&gt;&lt;RecNum&gt;861&lt;/RecNum&gt;&lt;DisplayText&gt;(Caroll et al., 2015)&lt;/DisplayText&gt;&lt;record&gt;&lt;rec-number&gt;861&lt;/rec-number&gt;&lt;foreign-keys&gt;&lt;key app="EN" db-id="90p22wx96ddedpe0r9pxtt9gzz05dd5ev299" timestamp="1657000537"&gt;861&lt;/key&gt;&lt;/foreign-keys&gt;&lt;ref-type name="Journal Article"&gt;17&lt;/ref-type&gt;&lt;contributors&gt;&lt;authors&gt;&lt;author&gt;Caroll, R.&lt;/author&gt;&lt;author&gt;Benger, J.&lt;/author&gt;&lt;author&gt;Bramley, K.&lt;/author&gt;&lt;author&gt;Williams, S.&lt;/author&gt;&lt;author&gt;Griffin, L.&lt;/author&gt;&lt;author&gt;Potokar, J.&lt;/author&gt;&lt;author&gt;Gunnell, D.&lt;/author&gt;&lt;/authors&gt;&lt;/contributors&gt;&lt;titles&gt;&lt;title&gt;Epidemiology, management and outcome of paracetamol poisoning in an inner city emergency department&lt;/title&gt;&lt;secondary-title&gt;Emergency Medicine Journal&lt;/secondary-title&gt;&lt;/titles&gt;&lt;pages&gt;155-160&lt;/pages&gt;&lt;volume&gt;32&lt;/volume&gt;&lt;number&gt;2&lt;/number&gt;&lt;dates&gt;&lt;year&gt;2015&lt;/year&gt;&lt;/dates&gt;&lt;urls&gt;&lt;related-urls&gt;&lt;url&gt;http://emj.bmj.com/content/32/2/155.full.pdf+htmlhttp://ovidsp.ovid.com/ovidweb.cgi?T=JS&amp;amp;PAGE=reference&amp;amp;D=emed16&amp;amp;NEWS=N&amp;amp;AN=52825596&lt;/url&gt;&lt;/related-urls&gt;&lt;/urls&gt;&lt;electronic-resource-num&gt;http://dx.doi.org/10.1136/emermed-2013-202518&lt;/electronic-resource-num&gt;&lt;/record&gt;&lt;/Cite&gt;&lt;/EndNote&gt;</w:instrText>
      </w:r>
      <w:r w:rsidRPr="0091560A">
        <w:fldChar w:fldCharType="separate"/>
      </w:r>
      <w:r w:rsidRPr="0091560A">
        <w:t>(Caroll et al., 2015)</w:t>
      </w:r>
      <w:r w:rsidRPr="0091560A">
        <w:fldChar w:fldCharType="end"/>
      </w:r>
      <w:r w:rsidRPr="0091560A">
        <w:t>.</w:t>
      </w:r>
      <w:r w:rsidRPr="0091560A" w:rsidDel="5ED5074A">
        <w:t xml:space="preserve"> </w:t>
      </w:r>
      <w:r w:rsidRPr="0091560A">
        <w:t xml:space="preserve">A study by Daly and colleagues </w:t>
      </w:r>
      <w:r w:rsidRPr="0091560A">
        <w:fldChar w:fldCharType="begin"/>
      </w:r>
      <w:r w:rsidR="00D709C3" w:rsidRPr="0091560A">
        <w:instrText xml:space="preserve"> ADDIN EN.CITE &lt;EndNote&gt;&lt;Cite&gt;&lt;Author&gt;Daly&lt;/Author&gt;&lt;Year&gt;2020&lt;/Year&gt;&lt;RecNum&gt;869&lt;/RecNum&gt;&lt;DisplayText&gt;(Daly et al., 2020)&lt;/DisplayText&gt;&lt;record&gt;&lt;rec-number&gt;869&lt;/rec-number&gt;&lt;foreign-keys&gt;&lt;key app="EN" db-id="90p22wx96ddedpe0r9pxtt9gzz05dd5ev299" timestamp="1657000537"&gt;869&lt;/key&gt;&lt;/foreign-keys&gt;&lt;ref-type name="Journal Article"&gt;17&lt;/ref-type&gt;&lt;contributors&gt;&lt;authors&gt;&lt;author&gt;Daly, C.&lt;/author&gt;&lt;author&gt;Griffin, E.&lt;/author&gt;&lt;author&gt;McMahon, E.&lt;/author&gt;&lt;author&gt;Corcoran, P.&lt;/author&gt;&lt;author&gt;Webb, R. T.&lt;/author&gt;&lt;author&gt;Witt, K.&lt;/author&gt;&lt;author&gt;Ashcroft, D. M.&lt;/author&gt;&lt;author&gt;Arensman, E.&lt;/author&gt;&lt;/authors&gt;&lt;/contributors&gt;&lt;titles&gt;&lt;title&gt;Repeat self-harm following hospital-presenting intentional drug overdose among young people-a national registry study&lt;/title&gt;&lt;secondary-title&gt;International Journal of Environmental Research and Public Health&lt;/secondary-title&gt;&lt;/titles&gt;&lt;pages&gt;1-16&lt;/pages&gt;&lt;volume&gt;17&lt;/volume&gt;&lt;number&gt;17&lt;/number&gt;&lt;dates&gt;&lt;year&gt;2020&lt;/year&gt;&lt;/dates&gt;&lt;urls&gt;&lt;related-urls&gt;&lt;url&gt;https://www.mdpi.com/1660-4601/17/17/6159/pdfhttp://ovidsp.ovid.com/ovidweb.cgi?T=JS&amp;amp;PAGE=reference&amp;amp;D=emed21&amp;amp;NEWS=N&amp;amp;AN=2004961430&lt;/url&gt;&lt;/related-urls&gt;&lt;/urls&gt;&lt;electronic-resource-num&gt;http://dx.doi.org/10.3390/ijerph17176159&lt;/electronic-resource-num&gt;&lt;/record&gt;&lt;/Cite&gt;&lt;/EndNote&gt;</w:instrText>
      </w:r>
      <w:r w:rsidRPr="0091560A">
        <w:fldChar w:fldCharType="separate"/>
      </w:r>
      <w:r w:rsidRPr="0091560A">
        <w:t>(Daly et al., 2020)</w:t>
      </w:r>
      <w:r w:rsidRPr="0091560A">
        <w:fldChar w:fldCharType="end"/>
      </w:r>
      <w:r w:rsidRPr="0091560A">
        <w:t xml:space="preserve"> found that 11% of people who intentionally </w:t>
      </w:r>
      <w:r w:rsidR="0037232E">
        <w:t>self-poisoned</w:t>
      </w:r>
      <w:r w:rsidRPr="0091560A">
        <w:t xml:space="preserve"> with an analgesic had a repeat episode, and that 15.4% of these cases switched method within 12 months of their index attempt. Finally, a study by Payne and colleagues </w:t>
      </w:r>
      <w:r w:rsidRPr="0091560A">
        <w:fldChar w:fldCharType="begin"/>
      </w:r>
      <w:r w:rsidR="00D709C3" w:rsidRPr="0091560A">
        <w:instrText xml:space="preserve"> ADDIN EN.CITE &lt;EndNote&gt;&lt;Cite&gt;&lt;Author&gt;Payne&lt;/Author&gt;&lt;Year&gt;2009&lt;/Year&gt;&lt;RecNum&gt;905&lt;/RecNum&gt;&lt;DisplayText&gt;(Payne et al., 2009)&lt;/DisplayText&gt;&lt;record&gt;&lt;rec-number&gt;905&lt;/rec-number&gt;&lt;foreign-keys&gt;&lt;key app="EN" db-id="90p22wx96ddedpe0r9pxtt9gzz05dd5ev299" timestamp="1657000537"&gt;905&lt;/key&gt;&lt;/foreign-keys&gt;&lt;ref-type name="Journal Article"&gt;17&lt;/ref-type&gt;&lt;contributors&gt;&lt;authors&gt;&lt;author&gt;Payne, R. A.&lt;/author&gt;&lt;author&gt;Oliver, J. J.&lt;/author&gt;&lt;author&gt;Bain, M.&lt;/author&gt;&lt;author&gt;Elders, A.&lt;/author&gt;&lt;author&gt;Bateman, D. N.&lt;/author&gt;&lt;/authors&gt;&lt;/contributors&gt;&lt;titles&gt;&lt;title&gt;Patterns and predictors of re-admission to hospital with self-poisoning in Scotland&lt;/title&gt;&lt;secondary-title&gt;Public Health&lt;/secondary-title&gt;&lt;/titles&gt;&lt;pages&gt;134-137&lt;/pages&gt;&lt;volume&gt;123&lt;/volume&gt;&lt;number&gt;2&lt;/number&gt;&lt;dates&gt;&lt;year&gt;2009&lt;/year&gt;&lt;/dates&gt;&lt;urls&gt;&lt;related-urls&gt;&lt;url&gt;http://ovidsp.ovid.com/ovidweb.cgi?T=JS&amp;amp;PAGE=reference&amp;amp;D=emed11&amp;amp;NEWS=N&amp;amp;AN=50407846&lt;/url&gt;&lt;/related-urls&gt;&lt;/urls&gt;&lt;electronic-resource-num&gt;http://dx.doi.org/10.1016/j.puhe.2008.12.002&lt;/electronic-resource-num&gt;&lt;/record&gt;&lt;/Cite&gt;&lt;/EndNote&gt;</w:instrText>
      </w:r>
      <w:r w:rsidRPr="0091560A">
        <w:fldChar w:fldCharType="separate"/>
      </w:r>
      <w:r w:rsidRPr="0091560A">
        <w:t>(Payne et al., 2009)</w:t>
      </w:r>
      <w:r w:rsidRPr="0091560A">
        <w:fldChar w:fldCharType="end"/>
      </w:r>
      <w:r w:rsidRPr="0091560A">
        <w:t xml:space="preserve"> reported that compared to anticonvulsants, antidepressants, antidiabetic drugs, benzodiazepines, and opiates, paracetamol was associated with a decreased risk of re-admission for self-poisoning, but risk of readmission did not differ between paracetamol and other drug categories, such as anticoagulants, antihistamines and salicylates. </w:t>
      </w:r>
    </w:p>
    <w:p w14:paraId="2D2E4412" w14:textId="77777777" w:rsidR="00574EB4" w:rsidRPr="0091560A" w:rsidRDefault="00574EB4" w:rsidP="00574EB4">
      <w:pPr>
        <w:spacing w:after="0"/>
        <w:rPr>
          <w:rFonts w:cs="Times New Roman"/>
          <w:szCs w:val="24"/>
        </w:rPr>
      </w:pPr>
    </w:p>
    <w:p w14:paraId="62F62720" w14:textId="067C7FB2" w:rsidR="00574EB4" w:rsidRPr="0091560A" w:rsidRDefault="00574EB4" w:rsidP="00E40DB5">
      <w:r w:rsidRPr="0091560A">
        <w:t xml:space="preserve">Amongst studies that assessed psychiatric history, the proportion of cases with current symptoms and past psychiatric diagnoses varied from 46% to 95% </w:t>
      </w:r>
      <w:r w:rsidRPr="0091560A">
        <w:fldChar w:fldCharType="begin">
          <w:fldData xml:space="preserve">PEVuZE5vdGU+PENpdGU+PEF1dGhvcj5Db3dtYW48L0F1dGhvcj48WWVhcj4yMDE3PC9ZZWFyPjxS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</w:fldData>
        </w:fldChar>
      </w:r>
      <w:r w:rsidR="006E08D8">
        <w:instrText xml:space="preserve"> ADDIN EN.CITE </w:instrText>
      </w:r>
      <w:r w:rsidR="006E08D8">
        <w:fldChar w:fldCharType="begin">
          <w:fldData xml:space="preserve">PEVuZE5vdGU+PENpdGU+PEF1dGhvcj5Db3dtYW48L0F1dGhvcj48WWVhcj4yMDE3PC9ZZWFyPjxS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</w:fldData>
        </w:fldChar>
      </w:r>
      <w:r w:rsidR="006E08D8">
        <w:instrText xml:space="preserve"> ADDIN EN.CITE.DATA </w:instrText>
      </w:r>
      <w:r w:rsidR="006E08D8">
        <w:fldChar w:fldCharType="end"/>
      </w:r>
      <w:r w:rsidRPr="0091560A">
        <w:fldChar w:fldCharType="separate"/>
      </w:r>
      <w:r w:rsidRPr="0091560A">
        <w:t>(Cowman &amp; Bakheet, 2017; Craig et al., 2011; K. Hawton et al., 1996; Pezzia et al., 2017; Piotrowska et al., 2019; Shekunov et al., 2021; Simkin et al., 2012)</w:t>
      </w:r>
      <w:r w:rsidRPr="0091560A">
        <w:fldChar w:fldCharType="end"/>
      </w:r>
      <w:r w:rsidRPr="0091560A">
        <w:t xml:space="preserve">. </w:t>
      </w:r>
      <w:r w:rsidR="004D13E1">
        <w:t xml:space="preserve">Notably, studies varied in how they assessed psychiatric history. </w:t>
      </w:r>
      <w:r w:rsidRPr="0091560A">
        <w:t xml:space="preserve">Three studies examining history of psychiatric treatment reported rates between 26-40% </w:t>
      </w:r>
      <w:r w:rsidRPr="0091560A">
        <w:fldChar w:fldCharType="begin">
          <w:fldData xml:space="preserve">PEVuZE5vdGU+PENpdGU+PEF1dGhvcj5DYXJvbGw8L0F1dGhvcj48WWVhcj4yMDE1PC9ZZWFyPjxS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</w:fldData>
        </w:fldChar>
      </w:r>
      <w:r w:rsidR="006E08D8">
        <w:instrText xml:space="preserve"> ADDIN EN.CITE </w:instrText>
      </w:r>
      <w:r w:rsidR="006E08D8">
        <w:fldChar w:fldCharType="begin">
          <w:fldData xml:space="preserve">PEVuZE5vdGU+PENpdGU+PEF1dGhvcj5DYXJvbGw8L0F1dGhvcj48WWVhcj4yMDE1PC9ZZWFyPjxS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</w:fldData>
        </w:fldChar>
      </w:r>
      <w:r w:rsidR="006E08D8">
        <w:instrText xml:space="preserve"> ADDIN EN.CITE.DATA </w:instrText>
      </w:r>
      <w:r w:rsidR="006E08D8">
        <w:fldChar w:fldCharType="end"/>
      </w:r>
      <w:r w:rsidRPr="0091560A">
        <w:fldChar w:fldCharType="separate"/>
      </w:r>
      <w:r w:rsidRPr="0091560A">
        <w:t>(Caroll et al., 2015; Casey et al., 2020; Pezzia et al., 2017; Schiodt et al., 1997)</w:t>
      </w:r>
      <w:r w:rsidRPr="0091560A">
        <w:fldChar w:fldCharType="end"/>
      </w:r>
      <w:r w:rsidRPr="0091560A">
        <w:t xml:space="preserve">, with one of these studies finding no difference in receipt of past psychiatric treatment between people who had an intentional overdose with paracetamol compared to other drugs </w:t>
      </w:r>
      <w:r w:rsidRPr="0091560A">
        <w:fldChar w:fldCharType="begin"/>
      </w:r>
      <w:r w:rsidR="006E08D8">
        <w:instrText xml:space="preserve"> ADDIN EN.CITE &lt;EndNote&gt;&lt;Cite&gt;&lt;Author&gt;Caroll&lt;/Author&gt;&lt;Year&gt;2015&lt;/Year&gt;&lt;RecNum&gt;861&lt;/RecNum&gt;&lt;DisplayText&gt;(Caroll et al., 2015)&lt;/DisplayText&gt;&lt;record&gt;&lt;rec-number&gt;861&lt;/rec-number&gt;&lt;foreign-keys&gt;&lt;key app="EN" db-id="90p22wx96ddedpe0r9pxtt9gzz05dd5ev299" timestamp="1657000537"&gt;861&lt;/key&gt;&lt;/foreign-keys&gt;&lt;ref-type name="Journal Article"&gt;17&lt;/ref-type&gt;&lt;contributors&gt;&lt;authors&gt;&lt;author&gt;Caroll, R.&lt;/author&gt;&lt;author&gt;Benger, J.&lt;/author&gt;&lt;author&gt;Bramley, K.&lt;/author&gt;&lt;author&gt;Williams, S.&lt;/author&gt;&lt;author&gt;Griffin, L.&lt;/author&gt;&lt;author&gt;Potokar, J.&lt;/author&gt;&lt;author&gt;Gunnell, D.&lt;/author&gt;&lt;/authors&gt;&lt;/contributors&gt;&lt;titles&gt;&lt;title&gt;Epidemiology, management and outcome of paracetamol poisoning in an inner city emergency department&lt;/title&gt;&lt;secondary-title&gt;Emergency Medicine Journal&lt;/secondary-title&gt;&lt;/titles&gt;&lt;pages&gt;155-160&lt;/pages&gt;&lt;volume&gt;32&lt;/volume&gt;&lt;number&gt;2&lt;/number&gt;&lt;dates&gt;&lt;year&gt;2015&lt;/year&gt;&lt;/dates&gt;&lt;urls&gt;&lt;related-urls&gt;&lt;url&gt;http://emj.bmj.com/content/32/2/155.full.pdf+htmlhttp://ovidsp.ovid.com/ovidweb.cgi?T=JS&amp;amp;PAGE=reference&amp;amp;D=emed16&amp;amp;NEWS=N&amp;amp;AN=52825596&lt;/url&gt;&lt;/related-urls&gt;&lt;/urls&gt;&lt;electronic-resource-num&gt;http://dx.doi.org/10.1136/emermed-2013-202518&lt;/electronic-resource-num&gt;&lt;/record&gt;&lt;/Cite&gt;&lt;/EndNote&gt;</w:instrText>
      </w:r>
      <w:r w:rsidRPr="0091560A">
        <w:fldChar w:fldCharType="separate"/>
      </w:r>
      <w:r w:rsidRPr="0091560A">
        <w:t>(Caroll et al., 2015)</w:t>
      </w:r>
      <w:r w:rsidRPr="0091560A">
        <w:fldChar w:fldCharType="end"/>
      </w:r>
      <w:r w:rsidRPr="0091560A">
        <w:t xml:space="preserve">. A small number of studies investigating the presence of chronic alcohol or substance abuse reported ranges from 11-42.7% </w:t>
      </w:r>
      <w:r w:rsidRPr="0091560A">
        <w:fldChar w:fldCharType="begin">
          <w:fldData xml:space="preserve">PEVuZE5vdGU+PENpdGU+PEF1dGhvcj5DYXJvbGw8L0F1dGhvcj48WWVhcj4yMDE1PC9ZZWFyPjxS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</w:fldData>
        </w:fldChar>
      </w:r>
      <w:r w:rsidR="006E08D8">
        <w:instrText xml:space="preserve"> ADDIN EN.CITE </w:instrText>
      </w:r>
      <w:r w:rsidR="006E08D8">
        <w:fldChar w:fldCharType="begin">
          <w:fldData xml:space="preserve">PEVuZE5vdGU+PENpdGU+PEF1dGhvcj5DYXJvbGw8L0F1dGhvcj48WWVhcj4yMDE1PC9ZZWFyPjxS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</w:fldData>
        </w:fldChar>
      </w:r>
      <w:r w:rsidR="006E08D8">
        <w:instrText xml:space="preserve"> ADDIN EN.CITE.DATA </w:instrText>
      </w:r>
      <w:r w:rsidR="006E08D8">
        <w:fldChar w:fldCharType="end"/>
      </w:r>
      <w:r w:rsidRPr="0091560A">
        <w:fldChar w:fldCharType="separate"/>
      </w:r>
      <w:r w:rsidRPr="0091560A">
        <w:t>(Caroll et al., 2015; Craig et al., 2011; Gyamlani &amp; Parikh, 2002; Kjartansdottir et al., 2012; Mikhail et al., 2018)</w:t>
      </w:r>
      <w:r w:rsidRPr="0091560A">
        <w:fldChar w:fldCharType="end"/>
      </w:r>
      <w:r w:rsidRPr="0091560A">
        <w:t xml:space="preserve">. Findings regarding how the prevalence of chronic alcohol abuse differs between people engaging in intentional and </w:t>
      </w:r>
      <w:r w:rsidR="0012648F">
        <w:t xml:space="preserve">those engaging in </w:t>
      </w:r>
      <w:r w:rsidRPr="0091560A">
        <w:t xml:space="preserve">unintentional </w:t>
      </w:r>
      <w:r w:rsidR="0012648F">
        <w:t>self-</w:t>
      </w:r>
      <w:r w:rsidR="00E4718A">
        <w:t>poisoning were</w:t>
      </w:r>
      <w:r w:rsidRPr="0091560A">
        <w:t xml:space="preserve"> mixed </w:t>
      </w:r>
      <w:r w:rsidRPr="0091560A">
        <w:fldChar w:fldCharType="begin">
          <w:fldData xml:space="preserve">PEVuZE5vdGU+PENpdGU+PEF1dGhvcj5DcmFpZzwvQXV0aG9yPjxZZWFyPjIwMTE8L1llYXI+PFJl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</w:fldData>
        </w:fldChar>
      </w:r>
      <w:r w:rsidR="006E08D8">
        <w:instrText xml:space="preserve"> ADDIN EN.CITE </w:instrText>
      </w:r>
      <w:r w:rsidR="006E08D8">
        <w:fldChar w:fldCharType="begin">
          <w:fldData xml:space="preserve">PEVuZE5vdGU+PENpdGU+PEF1dGhvcj5DcmFpZzwvQXV0aG9yPjxZZWFyPjIwMTE8L1llYXI+PFJl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</w:fldData>
        </w:fldChar>
      </w:r>
      <w:r w:rsidR="006E08D8">
        <w:instrText xml:space="preserve"> ADDIN EN.CITE.DATA </w:instrText>
      </w:r>
      <w:r w:rsidR="006E08D8">
        <w:fldChar w:fldCharType="end"/>
      </w:r>
      <w:r w:rsidRPr="0091560A">
        <w:fldChar w:fldCharType="separate"/>
      </w:r>
      <w:r w:rsidRPr="0091560A">
        <w:t>(Craig et al., 2011; Gyamlani &amp; Parikh, 2002; Kjartansdottir et al., 2012; Myers, Li, &amp; Shaheen, 2007; Pezzia et al., 2017; Schiodt et al., 1997)</w:t>
      </w:r>
      <w:r w:rsidRPr="0091560A">
        <w:fldChar w:fldCharType="end"/>
      </w:r>
      <w:r w:rsidRPr="0091560A">
        <w:t xml:space="preserve">. Two studies reported that the use of over-the-counter drugs in overdose was associated with the absence of a substance use disorder, relative to the use of other substances (e.g., prescription drugs) </w:t>
      </w:r>
      <w:r w:rsidRPr="0091560A">
        <w:fldChar w:fldCharType="begin">
          <w:fldData xml:space="preserve">PEVuZE5vdGU+PENpdGU+PEF1dGhvcj5MbzwvQXV0aG9yPjxZZWFyPjIwMDM8L1llYXI+PFJlY051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</w:fldData>
        </w:fldChar>
      </w:r>
      <w:r w:rsidR="00D709C3" w:rsidRPr="0091560A">
        <w:instrText xml:space="preserve"> ADDIN EN.CITE </w:instrText>
      </w:r>
      <w:r w:rsidR="00D709C3" w:rsidRPr="0091560A">
        <w:fldChar w:fldCharType="begin">
          <w:fldData xml:space="preserve">PEVuZE5vdGU+PENpdGU+PEF1dGhvcj5MbzwvQXV0aG9yPjxZZWFyPjIwMDM8L1llYXI+PFJlY051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</w:fldData>
        </w:fldChar>
      </w:r>
      <w:r w:rsidR="00D709C3" w:rsidRPr="0091560A">
        <w:instrText xml:space="preserve"> ADDIN EN.CITE.DATA </w:instrText>
      </w:r>
      <w:r w:rsidR="00D709C3" w:rsidRPr="0091560A">
        <w:fldChar w:fldCharType="end"/>
      </w:r>
      <w:r w:rsidRPr="0091560A">
        <w:fldChar w:fldCharType="separate"/>
      </w:r>
      <w:r w:rsidRPr="0091560A">
        <w:t>(Lo, Shalansky, Leung, Hollander, &amp; Raboud, 2003; Mikhail et al., 2018)</w:t>
      </w:r>
      <w:r w:rsidRPr="0091560A">
        <w:fldChar w:fldCharType="end"/>
      </w:r>
      <w:r w:rsidRPr="0091560A">
        <w:t xml:space="preserve">.  </w:t>
      </w:r>
    </w:p>
    <w:p w14:paraId="1847E67F" w14:textId="77777777" w:rsidR="00574EB4" w:rsidRPr="0091560A" w:rsidRDefault="00574EB4" w:rsidP="00574EB4">
      <w:pPr>
        <w:spacing w:after="0"/>
        <w:rPr>
          <w:rFonts w:cs="Times New Roman"/>
          <w:szCs w:val="24"/>
        </w:rPr>
      </w:pPr>
      <w:r w:rsidRPr="0091560A">
        <w:rPr>
          <w:rFonts w:cs="Times New Roman"/>
          <w:szCs w:val="24"/>
        </w:rPr>
        <w:t xml:space="preserve"> </w:t>
      </w:r>
    </w:p>
    <w:p w14:paraId="196250E2" w14:textId="66C9B692" w:rsidR="00574EB4" w:rsidRPr="0091560A" w:rsidRDefault="5903DD7B" w:rsidP="00E40DB5">
      <w:r w:rsidRPr="11F138D4">
        <w:rPr>
          <w:b/>
        </w:rPr>
        <w:t xml:space="preserve">Dose characteristics: </w:t>
      </w:r>
      <w:r w:rsidRPr="11F138D4">
        <w:t xml:space="preserve">Across the </w:t>
      </w:r>
      <w:r w:rsidR="00802C54">
        <w:t>twelve</w:t>
      </w:r>
      <w:r w:rsidR="46DA8ABB" w:rsidRPr="11F138D4">
        <w:t xml:space="preserve"> </w:t>
      </w:r>
      <w:r w:rsidRPr="11F138D4">
        <w:t xml:space="preserve">studies that reported dosage in grams or by number of tablets, the mean or median dosage reported in intentional </w:t>
      </w:r>
      <w:r w:rsidR="3ED9BAE8" w:rsidRPr="11F138D4">
        <w:t>self-poisoning</w:t>
      </w:r>
      <w:r w:rsidRPr="11F138D4">
        <w:t xml:space="preserve"> ranged from approximately 9</w:t>
      </w:r>
      <w:r w:rsidR="005715AE">
        <w:t xml:space="preserve"> </w:t>
      </w:r>
      <w:r w:rsidRPr="11F138D4">
        <w:t xml:space="preserve">g or 18 tablets </w:t>
      </w:r>
      <w:r w:rsidR="00574EB4" w:rsidRPr="11F138D4">
        <w:fldChar w:fldCharType="begin"/>
      </w:r>
      <w:r w:rsidR="006E08D8" w:rsidRPr="11F138D4">
        <w:instrText xml:space="preserve"> ADDIN EN.CITE &lt;EndNote&gt;&lt;Cite&gt;&lt;Author&gt;Casey&lt;/Author&gt;&lt;Year&gt;2020&lt;/Year&gt;&lt;RecNum&gt;862&lt;/RecNum&gt;&lt;DisplayText&gt;(Casey et al., 2020)&lt;/DisplayText&gt;&lt;record&gt;&lt;rec-number&gt;862&lt;/rec-number&gt;&lt;foreign-keys&gt;&lt;key app="EN" db-id="90p22wx96ddedpe0r9pxtt9gzz05dd5ev299" timestamp="1657000537"&gt;862&lt;/key&gt;&lt;/foreign-keys&gt;&lt;ref-type name="Journal Article"&gt;17&lt;/ref-type&gt;&lt;contributors&gt;&lt;authors&gt;&lt;author&gt;Casey, D.&lt;/author&gt;&lt;author&gt;Geulayov, G.&lt;/author&gt;&lt;author&gt;Bale, E.&lt;/author&gt;&lt;author&gt;Brand, F.&lt;/author&gt;&lt;author&gt;Clements, C.&lt;/author&gt;&lt;author&gt;Kapur, N.&lt;/author&gt;&lt;author&gt;Ness, J.&lt;/author&gt;&lt;author&gt;Patel, A.&lt;/author&gt;&lt;author&gt;Waters, K.&lt;/author&gt;&lt;author&gt;Hawton, K.&lt;/author&gt;&lt;/authors&gt;&lt;/contributors&gt;&lt;titles&gt;&lt;title&gt;Paracetamol self-poisoning: Epidemiological study of trends and patient characteristics from the multicentre study of self-harm in England&lt;/title&gt;&lt;secondary-title&gt;Journal of Affective Disorders&lt;/secondary-title&gt;&lt;/titles&gt;&lt;pages&gt;699-706&lt;/pages&gt;&lt;volume&gt;276&lt;/volume&gt;&lt;dates&gt;&lt;year&gt;2020&lt;/year&gt;&lt;/dates&gt;&lt;urls&gt;&lt;related-urls&gt;&lt;url&gt;http://www.elsevier.com/locate/jadhttp://ovidsp.ovid.com/ovidweb.cgi?T=JS&amp;amp;PAGE=reference&amp;amp;D=emed21&amp;amp;NEWS=N&amp;amp;AN=2007229364&lt;/url&gt;&lt;/related-urls&gt;&lt;/urls&gt;&lt;electronic-resource-num&gt;http://dx.doi.org/10.1016/j.jad.2020.07.091&lt;/electronic-resource-num&gt;&lt;/record&gt;&lt;/Cite&gt;&lt;/EndNote&gt;</w:instrText>
      </w:r>
      <w:r w:rsidR="00574EB4" w:rsidRPr="11F138D4">
        <w:fldChar w:fldCharType="separate"/>
      </w:r>
      <w:r w:rsidRPr="11F138D4">
        <w:t>(Casey et al., 2020)</w:t>
      </w:r>
      <w:r w:rsidR="00574EB4" w:rsidRPr="11F138D4">
        <w:fldChar w:fldCharType="end"/>
      </w:r>
      <w:r w:rsidRPr="11F138D4">
        <w:t xml:space="preserve"> to 27.5</w:t>
      </w:r>
      <w:r w:rsidR="005715AE">
        <w:t xml:space="preserve"> </w:t>
      </w:r>
      <w:r w:rsidRPr="11F138D4">
        <w:t xml:space="preserve">g or 55 tablets </w:t>
      </w:r>
      <w:r w:rsidR="00574EB4" w:rsidRPr="11F138D4">
        <w:fldChar w:fldCharType="begin"/>
      </w:r>
      <w:r w:rsidR="00D709C3" w:rsidRPr="11F138D4">
        <w:instrText xml:space="preserve"> ADDIN EN.CITE &lt;EndNote&gt;&lt;Cite&gt;&lt;Author&gt;Craig&lt;/Author&gt;&lt;Year&gt;2011&lt;/Year&gt;&lt;RecNum&gt;866&lt;/RecNum&gt;&lt;DisplayText&gt;(Craig et al., 2011)&lt;/DisplayText&gt;&lt;record&gt;&lt;rec-number&gt;866&lt;/rec-number&gt;&lt;foreign-keys&gt;&lt;key app="EN" db-id="90p22wx96ddedpe0r9pxtt9gzz05dd5ev299" timestamp="1657000537"&gt;866&lt;/key&gt;&lt;/foreign-keys&gt;&lt;ref-type name="Journal Article"&gt;17&lt;/ref-type&gt;&lt;contributors&gt;&lt;authors&gt;&lt;author&gt;Craig, D. G. N.&lt;/author&gt;&lt;author&gt;Bates, C. M.&lt;/author&gt;&lt;author&gt;Davidson, J. S.&lt;/author&gt;&lt;author&gt;Martin, K. G.&lt;/author&gt;&lt;author&gt;Hayes, P. C.&lt;/author&gt;&lt;author&gt;Simpson, K. J.&lt;/author&gt;&lt;/authors&gt;&lt;/contributors&gt;&lt;titles&gt;&lt;title&gt;Overdose pattern and outcome in paracetamol-induced acute severe hepatotoxicity&lt;/title&gt;&lt;secondary-title&gt;British Journal of Clinical Pharmacology&lt;/secondary-title&gt;&lt;/titles&gt;&lt;pages&gt;273-282&lt;/pages&gt;&lt;volume&gt;71&lt;/volume&gt;&lt;number&gt;2&lt;/number&gt;&lt;dates&gt;&lt;year&gt;2011&lt;/year&gt;&lt;/dates&gt;&lt;urls&gt;&lt;related-urls&gt;&lt;url&gt;http://ovidsp.ovid.com/ovidweb.cgi?T=JS&amp;amp;PAGE=reference&amp;amp;D=emed12&amp;amp;NEWS=N&amp;amp;AN=361061369&lt;/url&gt;&lt;/related-urls&gt;&lt;/urls&gt;&lt;electronic-resource-num&gt;http://dx.doi.org/10.1111/j.1365-2125.2010.03819.x&lt;/electronic-resource-num&gt;&lt;/record&gt;&lt;/Cite&gt;&lt;/EndNote&gt;</w:instrText>
      </w:r>
      <w:r w:rsidR="00574EB4" w:rsidRPr="11F138D4">
        <w:fldChar w:fldCharType="separate"/>
      </w:r>
      <w:r w:rsidRPr="11F138D4">
        <w:t>(Craig et al., 2011)</w:t>
      </w:r>
      <w:r w:rsidR="00574EB4" w:rsidRPr="11F138D4">
        <w:fldChar w:fldCharType="end"/>
      </w:r>
      <w:r w:rsidRPr="11F138D4">
        <w:t xml:space="preserve">, with a number of studies reporting median doses in this range </w:t>
      </w:r>
      <w:r w:rsidR="00574EB4" w:rsidRPr="11F138D4">
        <w:fldChar w:fldCharType="begin">
          <w:fldData xml:space="preserve">PEVuZE5vdGU+PENpdGU+PEF1dGhvcj5DYWlybnM8L0F1dGhvcj48WWVhcj4yMDE5PC9ZZWFyPjxS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</w:fldData>
        </w:fldChar>
      </w:r>
      <w:r w:rsidR="00AA79F3" w:rsidRPr="11F138D4">
        <w:instrText xml:space="preserve"> ADDIN EN.CITE </w:instrText>
      </w:r>
      <w:r w:rsidR="00AA79F3" w:rsidRPr="11F138D4">
        <w:fldChar w:fldCharType="begin">
          <w:fldData xml:space="preserve">PEVuZE5vdGU+PENpdGU+PEF1dGhvcj5DYWlybnM8L0F1dGhvcj48WWVhcj4yMDE5PC9ZZWFyPjxS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</w:fldData>
        </w:fldChar>
      </w:r>
      <w:r w:rsidR="00AA79F3" w:rsidRPr="11F138D4">
        <w:instrText xml:space="preserve"> ADDIN EN.CITE.DATA </w:instrText>
      </w:r>
      <w:r w:rsidR="00AA79F3" w:rsidRPr="11F138D4">
        <w:fldChar w:fldCharType="end"/>
      </w:r>
      <w:r w:rsidR="00574EB4" w:rsidRPr="11F138D4">
        <w:fldChar w:fldCharType="separate"/>
      </w:r>
      <w:r w:rsidR="24704731" w:rsidRPr="11F138D4">
        <w:t>(Cairns et al., 2019; Daly et al., 2021a; Graudins, 2015; Hedeland et al., 2013; Hedeland et al., 2016; E.-K. Kumpula, Lambie, Quigley, Nada-Raja, &amp; Norris, 2020; Pezzia et al., 2017; Piotrowska et al., 2019; Schiodt et al., 1997; Shekunov et al., 2021)</w:t>
      </w:r>
      <w:r w:rsidR="00574EB4" w:rsidRPr="11F138D4">
        <w:fldChar w:fldCharType="end"/>
      </w:r>
      <w:r w:rsidRPr="11F138D4">
        <w:t>. Other studies reported dose in milligrams per kilogram of body weight (192-262</w:t>
      </w:r>
      <w:r w:rsidR="009E38FE">
        <w:t xml:space="preserve"> </w:t>
      </w:r>
      <w:r w:rsidRPr="11F138D4">
        <w:t xml:space="preserve">mg/kg) </w:t>
      </w:r>
      <w:r w:rsidR="00574EB4" w:rsidRPr="11F138D4">
        <w:fldChar w:fldCharType="begin"/>
      </w:r>
      <w:r w:rsidR="00D709C3" w:rsidRPr="11F138D4">
        <w:instrText xml:space="preserve"> ADDIN EN.CITE &lt;EndNote&gt;&lt;Cite&gt;&lt;Author&gt;Bailey&lt;/Author&gt;&lt;Year&gt;2001&lt;/Year&gt;&lt;RecNum&gt;852&lt;/RecNum&gt;&lt;DisplayText&gt;(Bailey, Lalkin, Kapur, &amp;amp; Koren, 2001; Kominek et al., 2015)&lt;/DisplayText&gt;&lt;record&gt;&lt;rec-number&gt;852&lt;/rec-number&gt;&lt;foreign-keys&gt;&lt;key app="EN" db-id="90p22wx96ddedpe0r9pxtt9gzz05dd5ev299" timestamp="1657000537"&gt;852&lt;/key&gt;&lt;/foreign-keys&gt;&lt;ref-type name="Journal Article"&gt;17&lt;/ref-type&gt;&lt;contributors&gt;&lt;authors&gt;&lt;author&gt;Bailey, B.&lt;/author&gt;&lt;author&gt;Lalkin, A.&lt;/author&gt;&lt;author&gt;Kapur, B. M.&lt;/author&gt;&lt;author&gt;Koren, G.&lt;/author&gt;&lt;/authors&gt;&lt;/contributors&gt;&lt;titles&gt;&lt;title&gt;Is chronic poisoning with acetaminophen in children a frequent occurrence in Toronto?&lt;/title&gt;&lt;secondary-title&gt;Canadian Journal of Clinical Pharmacology&lt;/secondary-title&gt;&lt;/titles&gt;&lt;pages&gt;96-101&lt;/pages&gt;&lt;volume&gt;8&lt;/volume&gt;&lt;number&gt;2&lt;/number&gt;&lt;dates&gt;&lt;year&gt;2001&lt;/year&gt;&lt;/dates&gt;&lt;urls&gt;&lt;related-urls&gt;&lt;url&gt;http://www.cjcp.ca/hm/http://ovidsp.ovid.com/ovidweb.cgi?T=JS&amp;amp;PAGE=reference&amp;amp;D=emed7&amp;amp;NEWS=N&amp;amp;AN=32776861&lt;/url&gt;&lt;/related-urls&gt;&lt;/urls&gt;&lt;/record&gt;&lt;/Cite&gt;&lt;Cite&gt;&lt;Author&gt;Kominek&lt;/Author&gt;&lt;Year&gt;2015&lt;/Year&gt;&lt;RecNum&gt;890&lt;/RecNum&gt;&lt;record&gt;&lt;rec-number&gt;890&lt;/rec-number&gt;&lt;foreign-keys&gt;&lt;key app="EN" db-id="90p22wx96ddedpe0r9pxtt9gzz05dd5ev299" timestamp="1657000537"&gt;890&lt;/key&gt;&lt;/foreign-keys&gt;&lt;ref-type name="Journal Article"&gt;17&lt;/ref-type&gt;&lt;contributors&gt;&lt;authors&gt;&lt;author&gt;Kominek, K.&lt;/author&gt;&lt;author&gt;Pawlowska-Kamieniak, A.&lt;/author&gt;&lt;author&gt;Mroczkowska-Juchkiewicz, A.&lt;/author&gt;&lt;author&gt;Krawiec, P.&lt;/author&gt;&lt;author&gt;Pac-Kozuchowska, E.&lt;/author&gt;&lt;/authors&gt;&lt;/contributors&gt;&lt;titles&gt;&lt;title&gt;Intentional and accidental paracetamol poisoning in childhood - a retrospective analysis&lt;/title&gt;&lt;secondary-title&gt;Postepy higieny i medycyny doswiadczalnej (Online)&lt;/secondary-title&gt;&lt;/titles&gt;&lt;pages&gt;452-456&lt;/pages&gt;&lt;volume&gt;69&lt;/volume&gt;&lt;dates&gt;&lt;year&gt;2015&lt;/year&gt;&lt;/dates&gt;&lt;urls&gt;&lt;related-urls&gt;&lt;url&gt;http://ovidsp.ovid.com/ovidweb.cgi?T=JS&amp;amp;PAGE=reference&amp;amp;D=emed16&amp;amp;NEWS=N&amp;amp;AN=605612688&lt;/url&gt;&lt;/related-urls&gt;&lt;/urls&gt;&lt;/record&gt;&lt;/Cite&gt;&lt;/EndNote&gt;</w:instrText>
      </w:r>
      <w:r w:rsidR="00574EB4" w:rsidRPr="11F138D4">
        <w:fldChar w:fldCharType="separate"/>
      </w:r>
      <w:r w:rsidRPr="11F138D4">
        <w:t>(Bailey, Lalkin, Kapur, &amp; Koren, 2001; Kominek et al., 2015)</w:t>
      </w:r>
      <w:r w:rsidR="00574EB4" w:rsidRPr="11F138D4">
        <w:fldChar w:fldCharType="end"/>
      </w:r>
      <w:r w:rsidRPr="11F138D4">
        <w:t xml:space="preserve">, defined daily dose (2.2) </w:t>
      </w:r>
      <w:r w:rsidR="00574EB4" w:rsidRPr="11F138D4">
        <w:fldChar w:fldCharType="begin"/>
      </w:r>
      <w:r w:rsidR="00D709C3" w:rsidRPr="11F138D4">
        <w:instrText xml:space="preserve"> ADDIN EN.CITE &lt;EndNote&gt;&lt;Cite&gt;&lt;Author&gt;Martin&lt;/Author&gt;&lt;Year&gt;2012&lt;/Year&gt;&lt;RecNum&gt;896&lt;/RecNum&gt;&lt;DisplayText&gt;(Martin et al., 2012)&lt;/DisplayText&gt;&lt;record&gt;&lt;rec-number&gt;896&lt;/rec-number&gt;&lt;foreign-keys&gt;&lt;key app="EN" db-id="90p22wx96ddedpe0r9pxtt9gzz05dd5ev299" timestamp="1657000537"&gt;896&lt;/key&gt;&lt;/foreign-keys&gt;&lt;ref-type name="Journal Article"&gt;17&lt;/ref-type&gt;&lt;contributors&gt;&lt;authors&gt;&lt;author&gt;Martin, Catherine A.&lt;/author&gt;&lt;author&gt;Chapman, Rose&lt;/author&gt;&lt;author&gt;Rahman, Asheq&lt;/author&gt;&lt;author&gt;Graudins, Andis&lt;/author&gt;&lt;/authors&gt;&lt;/contributors&gt;&lt;titles&gt;&lt;title&gt;A retrospective descriptive study of the characteristics of deliberate self-poisoning patients with single or repeat presentations to an Australian emergency medicine network in a one year period&lt;/title&gt;&lt;secondary-title&gt;BMC Emergency Medicine&lt;/secondary-title&gt;&lt;/titles&gt;&lt;pages&gt;21-21&lt;/pages&gt;&lt;volume&gt;12&lt;/volume&gt;&lt;number&gt;1&lt;/number&gt;&lt;dates&gt;&lt;year&gt;2012&lt;/year&gt;&lt;/dates&gt;&lt;accession-num&gt;109679391. Language: English. Entry Date: 20141010. Revision Date: 20211030. Publication Type: journal article. Journal Subset: Biomedical&lt;/accession-num&gt;&lt;urls&gt;&lt;related-urls&gt;&lt;url&gt;https://search.ebscohost.com/login.aspx?direct=true&amp;amp;db=cin20&amp;amp;AN=109679391&amp;amp;site=ehost-live&lt;/url&gt;&lt;/related-urls&gt;&lt;/urls&gt;&lt;electronic-resource-num&gt;10.1186/1471-227X-14-21&lt;/electronic-resource-num&gt;&lt;/record&gt;&lt;/Cite&gt;&lt;/EndNote&gt;</w:instrText>
      </w:r>
      <w:r w:rsidR="00574EB4" w:rsidRPr="11F138D4">
        <w:fldChar w:fldCharType="separate"/>
      </w:r>
      <w:r w:rsidRPr="11F138D4">
        <w:t>(Martin et al., 2012)</w:t>
      </w:r>
      <w:r w:rsidR="00574EB4" w:rsidRPr="11F138D4">
        <w:fldChar w:fldCharType="end"/>
      </w:r>
      <w:r w:rsidRPr="11F138D4">
        <w:t xml:space="preserve">, or provided information about the distribution of the sample </w:t>
      </w:r>
      <w:r w:rsidR="00574EB4" w:rsidRPr="11F138D4">
        <w:fldChar w:fldCharType="begin"/>
      </w:r>
      <w:r w:rsidR="00D709C3" w:rsidRPr="11F138D4">
        <w:instrText xml:space="preserve"> ADDIN EN.CITE &lt;EndNote&gt;&lt;Cite&gt;&lt;Author&gt;Makin&lt;/Author&gt;&lt;Year&gt;2000&lt;/Year&gt;&lt;RecNum&gt;895&lt;/RecNum&gt;&lt;DisplayText&gt;(Makin &amp;amp; Williams, 2000; Simkin et al., 2012)&lt;/DisplayText&gt;&lt;record&gt;&lt;rec-number&gt;895&lt;/rec-number&gt;&lt;foreign-keys&gt;&lt;key app="EN" db-id="90p22wx96ddedpe0r9pxtt9gzz05dd5ev299" timestamp="1657000537"&gt;895&lt;/key&gt;&lt;/foreign-keys&gt;&lt;ref-type name="Journal Article"&gt;17&lt;/ref-type&gt;&lt;contributors&gt;&lt;authors&gt;&lt;author&gt;Makin, A.&lt;/author&gt;&lt;author&gt;Williams, R.&lt;/author&gt;&lt;/authors&gt;&lt;/contributors&gt;&lt;titles&gt;&lt;title&gt;Paracetamol hepatotoxicity and alcohol consumption in deliberate and accidental overdose&lt;/title&gt;&lt;secondary-title&gt;QJM - Monthly Journal of the Association of Physicians&lt;/secondary-title&gt;&lt;/titles&gt;&lt;pages&gt;341-349&lt;/pages&gt;&lt;volume&gt;93&lt;/volume&gt;&lt;number&gt;6&lt;/number&gt;&lt;dates&gt;&lt;year&gt;2000&lt;/year&gt;&lt;/dates&gt;&lt;urls&gt;&lt;related-urls&gt;&lt;url&gt;http://qjmed.oxfordjournals.org/http://ovidsp.ovid.com/ovidweb.cgi?T=JS&amp;amp;PAGE=reference&amp;amp;D=emed22&amp;amp;NEWS=N&amp;amp;AN=30386805&lt;/url&gt;&lt;/related-urls&gt;&lt;/urls&gt;&lt;electronic-resource-num&gt;http://dx.doi.org/10.1093/qjmed/93.6.341&lt;/electronic-resource-num&gt;&lt;/record&gt;&lt;/Cite&gt;&lt;Cite&gt;&lt;Author&gt;Simkin&lt;/Author&gt;&lt;Year&gt;2012&lt;/Year&gt;&lt;RecNum&gt;916&lt;/RecNum&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00574EB4" w:rsidRPr="11F138D4">
        <w:fldChar w:fldCharType="separate"/>
      </w:r>
      <w:r w:rsidRPr="11F138D4">
        <w:t>(Makin &amp; Williams, 2000; Simkin et al., 2012)</w:t>
      </w:r>
      <w:r w:rsidR="00574EB4" w:rsidRPr="11F138D4">
        <w:fldChar w:fldCharType="end"/>
      </w:r>
      <w:r w:rsidRPr="11F138D4">
        <w:t xml:space="preserve">. Some studies examined whether dosage varied by other participant characteristics, but results were mixed. While three studies found that a larger dose was associated with greater suicidal intent </w:t>
      </w:r>
      <w:r w:rsidR="00574EB4" w:rsidRPr="11F138D4">
        <w:fldChar w:fldCharType="begin">
          <w:fldData xml:space="preserve">PEVuZE5vdGU+PENpdGU+PEF1dGhvcj5IYXd0b248L0F1dGhvcj48WWVhcj4xOTk2PC9ZZWFyPjxS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</w:fldData>
        </w:fldChar>
      </w:r>
      <w:r w:rsidR="00D709C3" w:rsidRPr="11F138D4">
        <w:instrText xml:space="preserve"> ADDIN EN.CITE </w:instrText>
      </w:r>
      <w:r w:rsidR="00D709C3" w:rsidRPr="11F138D4">
        <w:fldChar w:fldCharType="begin">
          <w:fldData xml:space="preserve">PEVuZE5vdGU+PENpdGU+PEF1dGhvcj5IYXd0b248L0F1dGhvcj48WWVhcj4xOTk2PC9ZZWFyPjxS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</w:fldData>
        </w:fldChar>
      </w:r>
      <w:r w:rsidR="00D709C3" w:rsidRPr="11F138D4">
        <w:instrText xml:space="preserve"> ADDIN EN.CITE.DATA </w:instrText>
      </w:r>
      <w:r w:rsidR="00D709C3" w:rsidRPr="11F138D4">
        <w:fldChar w:fldCharType="end"/>
      </w:r>
      <w:r w:rsidR="00574EB4" w:rsidRPr="11F138D4">
        <w:fldChar w:fldCharType="separate"/>
      </w:r>
      <w:r w:rsidRPr="11F138D4">
        <w:t>(K. Hawton et al., 1996; Schiodt et al., 1997)</w:t>
      </w:r>
      <w:r w:rsidR="00574EB4" w:rsidRPr="11F138D4">
        <w:fldChar w:fldCharType="end"/>
      </w:r>
      <w:r w:rsidRPr="11F138D4">
        <w:t xml:space="preserve"> or that dose was greater for intentional than accidental self-poisonings </w:t>
      </w:r>
      <w:r w:rsidR="00574EB4" w:rsidRPr="11F138D4">
        <w:fldChar w:fldCharType="begin"/>
      </w:r>
      <w:r w:rsidR="00D709C3" w:rsidRPr="11F138D4">
        <w:instrText xml:space="preserve"> ADDIN EN.CITE &lt;EndNote&gt;&lt;Cite&gt;&lt;Author&gt;Craig&lt;/Author&gt;&lt;Year&gt;2011&lt;/Year&gt;&lt;RecNum&gt;866&lt;/RecNum&gt;&lt;DisplayText&gt;(Craig et al., 2011)&lt;/DisplayText&gt;&lt;record&gt;&lt;rec-number&gt;866&lt;/rec-number&gt;&lt;foreign-keys&gt;&lt;key app="EN" db-id="90p22wx96ddedpe0r9pxtt9gzz05dd5ev299" timestamp="1657000537"&gt;866&lt;/key&gt;&lt;/foreign-keys&gt;&lt;ref-type name="Journal Article"&gt;17&lt;/ref-type&gt;&lt;contributors&gt;&lt;authors&gt;&lt;author&gt;Craig, D. G. N.&lt;/author&gt;&lt;author&gt;Bates, C. M.&lt;/author&gt;&lt;author&gt;Davidson, J. S.&lt;/author&gt;&lt;author&gt;Martin, K. G.&lt;/author&gt;&lt;author&gt;Hayes, P. C.&lt;/author&gt;&lt;author&gt;Simpson, K. J.&lt;/author&gt;&lt;/authors&gt;&lt;/contributors&gt;&lt;titles&gt;&lt;title&gt;Overdose pattern and outcome in paracetamol-induced acute severe hepatotoxicity&lt;/title&gt;&lt;secondary-title&gt;British Journal of Clinical Pharmacology&lt;/secondary-title&gt;&lt;/titles&gt;&lt;pages&gt;273-282&lt;/pages&gt;&lt;volume&gt;71&lt;/volume&gt;&lt;number&gt;2&lt;/number&gt;&lt;dates&gt;&lt;year&gt;2011&lt;/year&gt;&lt;/dates&gt;&lt;urls&gt;&lt;related-urls&gt;&lt;url&gt;http://ovidsp.ovid.com/ovidweb.cgi?T=JS&amp;amp;PAGE=reference&amp;amp;D=emed12&amp;amp;NEWS=N&amp;amp;AN=361061369&lt;/url&gt;&lt;/related-urls&gt;&lt;/urls&gt;&lt;electronic-resource-num&gt;http://dx.doi.org/10.1111/j.1365-2125.2010.03819.x&lt;/electronic-resource-num&gt;&lt;/record&gt;&lt;/Cite&gt;&lt;/EndNote&gt;</w:instrText>
      </w:r>
      <w:r w:rsidR="00574EB4" w:rsidRPr="11F138D4">
        <w:fldChar w:fldCharType="separate"/>
      </w:r>
      <w:r w:rsidRPr="11F138D4">
        <w:t>(Craig et al., 2011)</w:t>
      </w:r>
      <w:r w:rsidR="00574EB4" w:rsidRPr="11F138D4">
        <w:fldChar w:fldCharType="end"/>
      </w:r>
      <w:r w:rsidRPr="11F138D4">
        <w:t>, two other studies found that dosage did not differ between accidental and intentional</w:t>
      </w:r>
      <w:r w:rsidR="3ED9BAE8" w:rsidRPr="11F138D4">
        <w:t xml:space="preserve"> self-poisoning</w:t>
      </w:r>
      <w:r w:rsidRPr="11F138D4">
        <w:t xml:space="preserve">s </w:t>
      </w:r>
      <w:r w:rsidR="00574EB4" w:rsidRPr="11F138D4">
        <w:fldChar w:fldCharType="begin"/>
      </w:r>
      <w:r w:rsidR="00D709C3" w:rsidRPr="11F138D4">
        <w:instrText xml:space="preserve"> ADDIN EN.CITE &lt;EndNote&gt;&lt;Cite&gt;&lt;Author&gt;Alander&lt;/Author&gt;&lt;Year&gt;2000&lt;/Year&gt;&lt;RecNum&gt;848&lt;/RecNum&gt;&lt;DisplayText&gt;(Alander et al., 2000; Alaniz &amp;amp; Janusz, 2007)&lt;/DisplayText&gt;&lt;record&gt;&lt;rec-number&gt;848&lt;/rec-number&gt;&lt;foreign-keys&gt;&lt;key app="EN" db-id="90p22wx96ddedpe0r9pxtt9gzz05dd5ev299" timestamp="1657000537"&gt;848&lt;/key&gt;&lt;/foreign-keys&gt;&lt;ref-type name="Journal Article"&gt;17&lt;/ref-type&gt;&lt;contributors&gt;&lt;authors&gt;&lt;author&gt;Alander, S. W.&lt;/author&gt;&lt;author&gt;Dowd, M. D.&lt;/author&gt;&lt;author&gt;Bratton, S. L.&lt;/author&gt;&lt;author&gt;Kearns, G. L.&lt;/author&gt;&lt;/authors&gt;&lt;/contributors&gt;&lt;titles&gt;&lt;title&gt;Pediatric acetaminophen overdose: Risk factors associated with hepatocellular injury&lt;/title&gt;&lt;secondary-title&gt;Archives of Pediatrics and Adolescent Medicine&lt;/secondary-title&gt;&lt;/titles&gt;&lt;pages&gt;346-350&lt;/pages&gt;&lt;volume&gt;154&lt;/volume&gt;&lt;number&gt;4&lt;/number&gt;&lt;dates&gt;&lt;year&gt;2000&lt;/year&gt;&lt;/dates&gt;&lt;urls&gt;&lt;related-urls&gt;&lt;url&gt;http://ovidsp.ovid.com/ovidweb.cgi?T=JS&amp;amp;PAGE=reference&amp;amp;D=emed7&amp;amp;NEWS=N&amp;amp;AN=30198480&lt;/url&gt;&lt;/related-urls&gt;&lt;/urls&gt;&lt;electronic-resource-num&gt;http://dx.doi.org/10.1001/archpedi.154.4.346&lt;/electronic-resource-num&gt;&lt;/record&gt;&lt;/Cite&gt;&lt;Cite&gt;&lt;Author&gt;Alaniz&lt;/Author&gt;&lt;Year&gt;2007&lt;/Year&gt;&lt;RecNum&gt;849&lt;/RecNum&gt;&lt;record&gt;&lt;rec-number&gt;849&lt;/rec-number&gt;&lt;foreign-keys&gt;&lt;key app="EN" db-id="90p22wx96ddedpe0r9pxtt9gzz05dd5ev299" timestamp="1657000537"&gt;849&lt;/key&gt;&lt;/foreign-keys&gt;&lt;ref-type name="Journal Article"&gt;17&lt;/ref-type&gt;&lt;contributors&gt;&lt;authors&gt;&lt;author&gt;Alaniz, C.&lt;/author&gt;&lt;author&gt;Janusz, J.&lt;/author&gt;&lt;/authors&gt;&lt;/contributors&gt;&lt;titles&gt;&lt;title&gt;A retrospective study of the etiologies and outcomes of patients admitted to a university hospital with presumed acetaminophen toxicity&lt;/title&gt;&lt;secondary-title&gt;Hospital Pharmacy&lt;/secondary-title&gt;&lt;/titles&gt;&lt;pages&gt;126-132&lt;/pages&gt;&lt;volume&gt;42&lt;/volume&gt;&lt;number&gt;2&lt;/number&gt;&lt;dates&gt;&lt;year&gt;2007&lt;/year&gt;&lt;/dates&gt;&lt;urls&gt;&lt;related-urls&gt;&lt;url&gt;http://ovidsp.ovid.com/ovidweb.cgi?T=JS&amp;amp;PAGE=reference&amp;amp;D=emed10&amp;amp;NEWS=N&amp;amp;AN=46374181&lt;/url&gt;&lt;/related-urls&gt;&lt;/urls&gt;&lt;electronic-resource-num&gt;http://dx.doi.org/10.1310/hpj4202-126&lt;/electronic-resource-num&gt;&lt;/record&gt;&lt;/Cite&gt;&lt;/EndNote&gt;</w:instrText>
      </w:r>
      <w:r w:rsidR="00574EB4" w:rsidRPr="11F138D4">
        <w:fldChar w:fldCharType="separate"/>
      </w:r>
      <w:r w:rsidRPr="11F138D4">
        <w:t>(Alander et al., 2000; Alaniz &amp; Janusz, 2007)</w:t>
      </w:r>
      <w:r w:rsidR="00574EB4" w:rsidRPr="11F138D4">
        <w:fldChar w:fldCharType="end"/>
      </w:r>
      <w:r w:rsidRPr="11F138D4">
        <w:t xml:space="preserve"> and one found that the duration of suicidality was not associated with dosage </w:t>
      </w:r>
      <w:r w:rsidR="00574EB4" w:rsidRPr="11F138D4">
        <w:fldChar w:fldCharType="begin"/>
      </w:r>
      <w:r w:rsidR="00D709C3" w:rsidRPr="11F138D4">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00574EB4" w:rsidRPr="11F138D4">
        <w:fldChar w:fldCharType="separate"/>
      </w:r>
      <w:r w:rsidRPr="11F138D4">
        <w:t>(Hedeland et al., 2016)</w:t>
      </w:r>
      <w:r w:rsidR="00574EB4" w:rsidRPr="11F138D4">
        <w:fldChar w:fldCharType="end"/>
      </w:r>
      <w:r w:rsidRPr="11F138D4">
        <w:t xml:space="preserve">. Findings were mixed as to the association between dosage and both age </w:t>
      </w:r>
      <w:r w:rsidR="00574EB4" w:rsidRPr="11F138D4">
        <w:fldChar w:fldCharType="begin">
          <w:fldData xml:space="preserve">PEVuZE5vdGU+PENpdGU+PEF1dGhvcj5CdWRuaXR6PC9BdXRob3I+PFllYXI+MjAxMTwvWWVhcj48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</w:fldData>
        </w:fldChar>
      </w:r>
      <w:r w:rsidR="006E08D8" w:rsidRPr="11F138D4">
        <w:instrText xml:space="preserve"> ADDIN EN.CITE </w:instrText>
      </w:r>
      <w:r w:rsidR="006E08D8" w:rsidRPr="11F138D4">
        <w:fldChar w:fldCharType="begin">
          <w:fldData xml:space="preserve">PEVuZE5vdGU+PENpdGU+PEF1dGhvcj5CdWRuaXR6PC9BdXRob3I+PFllYXI+MjAxMTwvWWVhcj48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</w:fldData>
        </w:fldChar>
      </w:r>
      <w:r w:rsidR="006E08D8" w:rsidRPr="11F138D4">
        <w:instrText xml:space="preserve"> ADDIN EN.CITE.DATA </w:instrText>
      </w:r>
      <w:r w:rsidR="006E08D8" w:rsidRPr="11F138D4">
        <w:fldChar w:fldCharType="end"/>
      </w:r>
      <w:r w:rsidR="00574EB4" w:rsidRPr="11F138D4">
        <w:fldChar w:fldCharType="separate"/>
      </w:r>
      <w:r w:rsidR="340B4170" w:rsidRPr="11F138D4">
        <w:t>(Budnitz et al., 2011; Daly et al., 2021a)</w:t>
      </w:r>
      <w:r w:rsidR="00574EB4" w:rsidRPr="11F138D4">
        <w:fldChar w:fldCharType="end"/>
      </w:r>
      <w:r w:rsidRPr="11F138D4">
        <w:t xml:space="preserve"> and gender </w:t>
      </w:r>
      <w:r w:rsidR="00574EB4" w:rsidRPr="11F138D4">
        <w:fldChar w:fldCharType="begin">
          <w:fldData xml:space="preserve">PEVuZE5vdGU+PENpdGU+PEF1dGhvcj5DYXNleTwvQXV0aG9yPjxZZWFyPjIwMjA8L1llYXI+PFJl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</w:fldData>
        </w:fldChar>
      </w:r>
      <w:r w:rsidR="006E08D8" w:rsidRPr="11F138D4">
        <w:instrText xml:space="preserve"> ADDIN EN.CITE </w:instrText>
      </w:r>
      <w:r w:rsidR="006E08D8" w:rsidRPr="11F138D4">
        <w:fldChar w:fldCharType="begin">
          <w:fldData xml:space="preserve">PEVuZE5vdGU+PENpdGU+PEF1dGhvcj5DYXNleTwvQXV0aG9yPjxZZWFyPjIwMjA8L1llYXI+PFJl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</w:fldData>
        </w:fldChar>
      </w:r>
      <w:r w:rsidR="006E08D8" w:rsidRPr="11F138D4">
        <w:instrText xml:space="preserve"> ADDIN EN.CITE.DATA </w:instrText>
      </w:r>
      <w:r w:rsidR="006E08D8" w:rsidRPr="11F138D4">
        <w:fldChar w:fldCharType="end"/>
      </w:r>
      <w:r w:rsidR="00574EB4" w:rsidRPr="11F138D4">
        <w:fldChar w:fldCharType="separate"/>
      </w:r>
      <w:r w:rsidR="340B4170" w:rsidRPr="11F138D4">
        <w:t>(Casey et al., 2020; Daly et al., 2021a; Hedeland et al., 2016)</w:t>
      </w:r>
      <w:r w:rsidR="00574EB4" w:rsidRPr="11F138D4">
        <w:fldChar w:fldCharType="end"/>
      </w:r>
      <w:r w:rsidRPr="11F138D4">
        <w:t xml:space="preserve">. One study found that </w:t>
      </w:r>
      <w:r w:rsidR="3ED9BAE8" w:rsidRPr="11F138D4">
        <w:t>self-poisonings using</w:t>
      </w:r>
      <w:r w:rsidRPr="11F138D4">
        <w:t xml:space="preserve"> modified release paracetamol tended to be larger than those with immediate release paracetamol </w:t>
      </w:r>
      <w:r w:rsidR="00574EB4" w:rsidRPr="11F138D4">
        <w:fldChar w:fldCharType="begin"/>
      </w:r>
      <w:r w:rsidR="00AA79F3" w:rsidRPr="11F138D4">
        <w:instrText xml:space="preserve"> ADDIN EN.CITE &lt;EndNote&gt;&lt;Cite&gt;&lt;Author&gt;Cairns&lt;/Author&gt;&lt;Year&gt;2019&lt;/Year&gt;&lt;RecNum&gt;859&lt;/RecNum&gt;&lt;DisplayText&gt;(Cairns et al., 2019)&lt;/DisplayText&gt;&lt;record&gt;&lt;rec-number&gt;859&lt;/rec-number&gt;&lt;foreign-keys&gt;&lt;key app="EN" db-id="90p22wx96ddedpe0r9pxtt9gzz05dd5ev299" timestamp="1657000537"&gt;859&lt;/key&gt;&lt;/foreign-keys&gt;&lt;ref-type name="Journal Article"&gt;17&lt;/ref-type&gt;&lt;contributors&gt;&lt;authors&gt;&lt;author&gt;Cairns, R.&lt;/author&gt;&lt;author&gt;Brown, J. A.&lt;/author&gt;&lt;author&gt;Wylie, C. E.&lt;/author&gt;&lt;author&gt;Dawson, A. H.&lt;/author&gt;&lt;author&gt;Isbister, G. K.&lt;/author&gt;&lt;author&gt;Buckley, N. A.&lt;/author&gt;&lt;/authors&gt;&lt;/contributors&gt;&lt;titles&gt;&lt;title&gt;Paracetamol poisoning-related hospital admissions and deaths in Australia, 2004-2017&lt;/title&gt;&lt;secondary-title&gt;Medical Journal of Australia&lt;/secondary-title&gt;&lt;/titles&gt;&lt;pages&gt;218-223&lt;/pages&gt;&lt;volume&gt;211&lt;/volume&gt;&lt;number&gt;5&lt;/number&gt;&lt;dates&gt;&lt;year&gt;2019&lt;/year&gt;&lt;/dates&gt;&lt;urls&gt;&lt;related-urls&gt;&lt;url&gt;http://www.mja.com.auhttp://ovidsp.ovid.com/ovidweb.cgi?T=JS&amp;amp;PAGE=reference&amp;amp;D=emed20&amp;amp;NEWS=N&amp;amp;AN=2002465907&lt;/url&gt;&lt;/related-urls&gt;&lt;/urls&gt;&lt;electronic-resource-num&gt;http://dx.doi.org/10.5694/mja2.50296&lt;/electronic-resource-num&gt;&lt;/record&gt;&lt;/Cite&gt;&lt;/EndNote&gt;</w:instrText>
      </w:r>
      <w:r w:rsidR="00574EB4" w:rsidRPr="11F138D4">
        <w:fldChar w:fldCharType="separate"/>
      </w:r>
      <w:r w:rsidR="24704731" w:rsidRPr="11F138D4">
        <w:t>(Cairns et al., 2019)</w:t>
      </w:r>
      <w:r w:rsidR="00574EB4" w:rsidRPr="11F138D4">
        <w:fldChar w:fldCharType="end"/>
      </w:r>
      <w:r w:rsidRPr="11F138D4">
        <w:t xml:space="preserve">. Only a few studies examined the relationship between access to paracetamol and dosage consumed, with one reporting that 58% of people took all available tablets in their </w:t>
      </w:r>
      <w:r w:rsidR="3ED9BAE8" w:rsidRPr="11F138D4">
        <w:t>self-poisoning episode</w:t>
      </w:r>
      <w:r w:rsidR="00574EB4" w:rsidRPr="11F138D4">
        <w:fldChar w:fldCharType="begin"/>
      </w:r>
      <w:r w:rsidR="00D709C3" w:rsidRPr="11F138D4">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00574EB4" w:rsidRPr="11F138D4">
        <w:fldChar w:fldCharType="separate"/>
      </w:r>
      <w:r w:rsidRPr="11F138D4">
        <w:t>(Simkin et al., 2012)</w:t>
      </w:r>
      <w:r w:rsidR="00574EB4" w:rsidRPr="11F138D4">
        <w:fldChar w:fldCharType="end"/>
      </w:r>
      <w:r w:rsidRPr="11F138D4">
        <w:t xml:space="preserve"> and another reporting that 26% of people ingested the equivalent of one pack or multiples of a pack of tablets </w:t>
      </w:r>
      <w:r w:rsidR="00574EB4" w:rsidRPr="11F138D4">
        <w:fldChar w:fldCharType="begin"/>
      </w:r>
      <w:r w:rsidR="006E08D8" w:rsidRPr="11F138D4">
        <w:instrText xml:space="preserve"> ADDIN EN.CITE &lt;EndNote&gt;&lt;Cite&gt;&lt;Author&gt;Casey&lt;/Author&gt;&lt;Year&gt;2020&lt;/Year&gt;&lt;RecNum&gt;862&lt;/RecNum&gt;&lt;DisplayText&gt;(Casey et al., 2020)&lt;/DisplayText&gt;&lt;record&gt;&lt;rec-number&gt;862&lt;/rec-number&gt;&lt;foreign-keys&gt;&lt;key app="EN" db-id="90p22wx96ddedpe0r9pxtt9gzz05dd5ev299" timestamp="1657000537"&gt;862&lt;/key&gt;&lt;/foreign-keys&gt;&lt;ref-type name="Journal Article"&gt;17&lt;/ref-type&gt;&lt;contributors&gt;&lt;authors&gt;&lt;author&gt;Casey, D.&lt;/author&gt;&lt;author&gt;Geulayov, G.&lt;/author&gt;&lt;author&gt;Bale, E.&lt;/author&gt;&lt;author&gt;Brand, F.&lt;/author&gt;&lt;author&gt;Clements, C.&lt;/author&gt;&lt;author&gt;Kapur, N.&lt;/author&gt;&lt;author&gt;Ness, J.&lt;/author&gt;&lt;author&gt;Patel, A.&lt;/author&gt;&lt;author&gt;Waters, K.&lt;/author&gt;&lt;author&gt;Hawton, K.&lt;/author&gt;&lt;/authors&gt;&lt;/contributors&gt;&lt;titles&gt;&lt;title&gt;Paracetamol self-poisoning: Epidemiological study of trends and patient characteristics from the multicentre study of self-harm in England&lt;/title&gt;&lt;secondary-title&gt;Journal of Affective Disorders&lt;/secondary-title&gt;&lt;/titles&gt;&lt;pages&gt;699-706&lt;/pages&gt;&lt;volume&gt;276&lt;/volume&gt;&lt;dates&gt;&lt;year&gt;2020&lt;/year&gt;&lt;/dates&gt;&lt;urls&gt;&lt;related-urls&gt;&lt;url&gt;http://www.elsevier.com/locate/jadhttp://ovidsp.ovid.com/ovidweb.cgi?T=JS&amp;amp;PAGE=reference&amp;amp;D=emed21&amp;amp;NEWS=N&amp;amp;AN=2007229364&lt;/url&gt;&lt;/related-urls&gt;&lt;/urls&gt;&lt;electronic-resource-num&gt;http://dx.doi.org/10.1016/j.jad.2020.07.091&lt;/electronic-resource-num&gt;&lt;/record&gt;&lt;/Cite&gt;&lt;/EndNote&gt;</w:instrText>
      </w:r>
      <w:r w:rsidR="00574EB4" w:rsidRPr="11F138D4">
        <w:fldChar w:fldCharType="separate"/>
      </w:r>
      <w:r w:rsidRPr="11F138D4">
        <w:t>(Casey et al., 2020)</w:t>
      </w:r>
      <w:r w:rsidR="00574EB4" w:rsidRPr="11F138D4">
        <w:fldChar w:fldCharType="end"/>
      </w:r>
      <w:r w:rsidRPr="11F138D4">
        <w:t xml:space="preserve">. Finally, two studies reported that staggered rather than acute </w:t>
      </w:r>
      <w:r w:rsidR="3ED9BAE8" w:rsidRPr="11F138D4">
        <w:t>self-</w:t>
      </w:r>
      <w:r w:rsidR="3C0F5E7F" w:rsidRPr="11F138D4">
        <w:t>poisoning</w:t>
      </w:r>
      <w:r w:rsidRPr="11F138D4">
        <w:t xml:space="preserve"> occurred in 11% </w:t>
      </w:r>
      <w:r w:rsidR="00574EB4" w:rsidRPr="11F138D4">
        <w:fldChar w:fldCharType="begin"/>
      </w:r>
      <w:r w:rsidR="00D709C3" w:rsidRPr="11F138D4">
        <w:instrText xml:space="preserve"> ADDIN EN.CITE &lt;EndNote&gt;&lt;Cite&gt;&lt;Author&gt;Craig&lt;/Author&gt;&lt;Year&gt;2011&lt;/Year&gt;&lt;RecNum&gt;866&lt;/RecNum&gt;&lt;DisplayText&gt;(Craig et al., 2011)&lt;/DisplayText&gt;&lt;record&gt;&lt;rec-number&gt;866&lt;/rec-number&gt;&lt;foreign-keys&gt;&lt;key app="EN" db-id="90p22wx96ddedpe0r9pxtt9gzz05dd5ev299" timestamp="1657000537"&gt;866&lt;/key&gt;&lt;/foreign-keys&gt;&lt;ref-type name="Journal Article"&gt;17&lt;/ref-type&gt;&lt;contributors&gt;&lt;authors&gt;&lt;author&gt;Craig, D. G. N.&lt;/author&gt;&lt;author&gt;Bates, C. M.&lt;/author&gt;&lt;author&gt;Davidson, J. S.&lt;/author&gt;&lt;author&gt;Martin, K. G.&lt;/author&gt;&lt;author&gt;Hayes, P. C.&lt;/author&gt;&lt;author&gt;Simpson, K. J.&lt;/author&gt;&lt;/authors&gt;&lt;/contributors&gt;&lt;titles&gt;&lt;title&gt;Overdose pattern and outcome in paracetamol-induced acute severe hepatotoxicity&lt;/title&gt;&lt;secondary-title&gt;British Journal of Clinical Pharmacology&lt;/secondary-title&gt;&lt;/titles&gt;&lt;pages&gt;273-282&lt;/pages&gt;&lt;volume&gt;71&lt;/volume&gt;&lt;number&gt;2&lt;/number&gt;&lt;dates&gt;&lt;year&gt;2011&lt;/year&gt;&lt;/dates&gt;&lt;urls&gt;&lt;related-urls&gt;&lt;url&gt;http://ovidsp.ovid.com/ovidweb.cgi?T=JS&amp;amp;PAGE=reference&amp;amp;D=emed12&amp;amp;NEWS=N&amp;amp;AN=361061369&lt;/url&gt;&lt;/related-urls&gt;&lt;/urls&gt;&lt;electronic-resource-num&gt;http://dx.doi.org/10.1111/j.1365-2125.2010.03819.x&lt;/electronic-resource-num&gt;&lt;/record&gt;&lt;/Cite&gt;&lt;/EndNote&gt;</w:instrText>
      </w:r>
      <w:r w:rsidR="00574EB4" w:rsidRPr="11F138D4">
        <w:fldChar w:fldCharType="separate"/>
      </w:r>
      <w:r w:rsidRPr="11F138D4">
        <w:t>(Craig et al., 2011)</w:t>
      </w:r>
      <w:r w:rsidR="00574EB4" w:rsidRPr="11F138D4">
        <w:fldChar w:fldCharType="end"/>
      </w:r>
      <w:r w:rsidRPr="11F138D4">
        <w:t xml:space="preserve"> and 13% </w:t>
      </w:r>
      <w:r w:rsidR="00574EB4" w:rsidRPr="11F138D4">
        <w:fldChar w:fldCharType="begin"/>
      </w:r>
      <w:r w:rsidR="00D709C3" w:rsidRPr="11F138D4">
        <w:instrText xml:space="preserve"> ADDIN EN.CITE &lt;EndNote&gt;&lt;Cite&gt;&lt;Author&gt;Piotrowska&lt;/Author&gt;&lt;Year&gt;2019&lt;/Year&gt;&lt;RecNum&gt;907&lt;/RecNum&gt;&lt;DisplayText&gt;(Piotrowska et al., 2019)&lt;/DisplayText&gt;&lt;record&gt;&lt;rec-number&gt;907&lt;/rec-number&gt;&lt;foreign-keys&gt;&lt;key app="EN" db-id="90p22wx96ddedpe0r9pxtt9gzz05dd5ev299" timestamp="1657000537"&gt;907&lt;/key&gt;&lt;/foreign-keys&gt;&lt;ref-type name="Journal Article"&gt;17&lt;/ref-type&gt;&lt;contributors&gt;&lt;authors&gt;&lt;author&gt;Piotrowska, N.&lt;/author&gt;&lt;author&gt;Klukowska-Rotzler, J.&lt;/author&gt;&lt;author&gt;Lehmann, B.&lt;/author&gt;&lt;author&gt;Krummrey, G.&lt;/author&gt;&lt;author&gt;Haschke, M.&lt;/author&gt;&lt;author&gt;Exadaktylos, A. K.&lt;/author&gt;&lt;author&gt;Liakoni, E.&lt;/author&gt;&lt;/authors&gt;&lt;/contributors&gt;&lt;titles&gt;&lt;title&gt;Presentations Related to Acute Paracetamol Intoxication in an Urban Emergency Department in Switzerland&lt;/title&gt;&lt;secondary-title&gt;Emergency Medicine International&lt;/secondary-title&gt;&lt;/titles&gt;&lt;pages&gt;3130843&lt;/pages&gt;&lt;volume&gt;2019&lt;/volume&gt;&lt;dates&gt;&lt;year&gt;2019&lt;/year&gt;&lt;/dates&gt;&lt;urls&gt;&lt;related-urls&gt;&lt;url&gt;http://www.hindawi.com/journals/emi/http://ovidsp.ovid.com/ovidweb.cgi?T=JS&amp;amp;PAGE=reference&amp;amp;D=emed20&amp;amp;NEWS=N&amp;amp;AN=2004392883&lt;/url&gt;&lt;/related-urls&gt;&lt;/urls&gt;&lt;electronic-resource-num&gt;http://dx.doi.org/10.1155/2019/3130843&lt;/electronic-resource-num&gt;&lt;/record&gt;&lt;/Cite&gt;&lt;/EndNote&gt;</w:instrText>
      </w:r>
      <w:r w:rsidR="00574EB4" w:rsidRPr="11F138D4">
        <w:fldChar w:fldCharType="separate"/>
      </w:r>
      <w:r w:rsidRPr="11F138D4">
        <w:t>(Piotrowska et al., 2019)</w:t>
      </w:r>
      <w:r w:rsidR="00574EB4" w:rsidRPr="11F138D4">
        <w:fldChar w:fldCharType="end"/>
      </w:r>
      <w:r w:rsidRPr="11F138D4">
        <w:t xml:space="preserve"> of cases respectively. </w:t>
      </w:r>
    </w:p>
    <w:p w14:paraId="6BC5B129" w14:textId="77777777" w:rsidR="00574EB4" w:rsidRPr="0091560A" w:rsidRDefault="00574EB4" w:rsidP="00574EB4">
      <w:pPr>
        <w:spacing w:after="0"/>
        <w:rPr>
          <w:rFonts w:cs="Times New Roman"/>
          <w:szCs w:val="24"/>
        </w:rPr>
      </w:pPr>
    </w:p>
    <w:p w14:paraId="1A2A618A" w14:textId="636DF31A" w:rsidR="00574EB4" w:rsidRPr="0091560A" w:rsidRDefault="00574EB4" w:rsidP="00E40DB5">
      <w:r w:rsidRPr="0091560A">
        <w:t xml:space="preserve">Of the included studies, </w:t>
      </w:r>
      <w:r w:rsidR="00600599">
        <w:t>twelve</w:t>
      </w:r>
      <w:r w:rsidRPr="0091560A">
        <w:t xml:space="preserve"> reported on substances co-ingested in intentional overdose of paracetamol or over-the-counter analgesics. The majority of these studies reported that between 25% and 68% of cases involved co-ingestion of other drugs </w:t>
      </w:r>
      <w:r w:rsidRPr="0091560A">
        <w:fldChar w:fldCharType="begin">
          <w:fldData xml:space="preserve">PEVuZE5vdGU+PENpdGU+PEF1dGhvcj5CdWRuaXR6PC9BdXRob3I+PFllYXI+MjAxMTwvWWVhcj48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</w:fldData>
        </w:fldChar>
      </w:r>
      <w:r w:rsidR="006E08D8">
        <w:instrText xml:space="preserve"> ADDIN EN.CITE </w:instrText>
      </w:r>
      <w:r w:rsidR="006E08D8">
        <w:fldChar w:fldCharType="begin">
          <w:fldData xml:space="preserve">PEVuZE5vdGU+PENpdGU+PEF1dGhvcj5CdWRuaXR6PC9BdXRob3I+PFllYXI+MjAxMTwvWWVhcj48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</w:fldData>
        </w:fldChar>
      </w:r>
      <w:r w:rsidR="006E08D8">
        <w:instrText xml:space="preserve"> ADDIN EN.CITE.DATA </w:instrText>
      </w:r>
      <w:r w:rsidR="006E08D8">
        <w:fldChar w:fldCharType="end"/>
      </w:r>
      <w:r w:rsidRPr="0091560A">
        <w:fldChar w:fldCharType="separate"/>
      </w:r>
      <w:r w:rsidR="00B567D3">
        <w:t>(Budnitz et al., 2011; Craig et al., 2011; Daly et al., 2021a; K. Hawton et al., 1996; Hopkins et al., 2020; Kjartansdottir et al., 2012; Piotrowska et al., 2019; Simkin et al., 2012; Weir &amp; Ardagh, 1998)</w:t>
      </w:r>
      <w:r w:rsidRPr="0091560A">
        <w:fldChar w:fldCharType="end"/>
      </w:r>
      <w:r w:rsidRPr="0091560A">
        <w:t xml:space="preserve">, however one Swedish study reported that 88% of people used paracetamol in combination with other drugs </w:t>
      </w:r>
      <w:r w:rsidRPr="0091560A">
        <w:fldChar w:fldCharType="begin"/>
      </w:r>
      <w:r w:rsidR="00D709C3" w:rsidRPr="0091560A">
        <w:instrText xml:space="preserve"> ADDIN EN.CITE &lt;EndNote&gt;&lt;Cite&gt;&lt;Author&gt;Alsen&lt;/Author&gt;&lt;Year&gt;1994&lt;/Year&gt;&lt;RecNum&gt;850&lt;/RecNum&gt;&lt;DisplayText&gt;(Alsen et al., 1994)&lt;/DisplayText&gt;&lt;record&gt;&lt;rec-number&gt;850&lt;/rec-number&gt;&lt;foreign-keys&gt;&lt;key app="EN" db-id="90p22wx96ddedpe0r9pxtt9gzz05dd5ev299" timestamp="1657000537"&gt;850&lt;/key&gt;&lt;/foreign-keys&gt;&lt;ref-type name="Journal Article"&gt;17&lt;/ref-type&gt;&lt;contributors&gt;&lt;authors&gt;&lt;author&gt;Alsen, M.&lt;/author&gt;&lt;author&gt;Ekedahl, A.&lt;/author&gt;&lt;author&gt;Lowenhielm, P.&lt;/author&gt;&lt;author&gt;Nimeus, A.&lt;/author&gt;&lt;author&gt;Regnell, G.&lt;/author&gt;&lt;author&gt;Traskman-Bendz, L.&lt;/author&gt;&lt;/authors&gt;&lt;/contributors&gt;&lt;titles&gt;&lt;title&gt;Medicine self-poisoning and the sources of the drugs in Lund, Sweden&lt;/title&gt;&lt;secondary-title&gt;Acta Psychiatrica Scandinavica&lt;/secondary-title&gt;&lt;/titles&gt;&lt;pages&gt;255-261&lt;/pages&gt;&lt;volume&gt;89&lt;/volume&gt;&lt;number&gt;4&lt;/number&gt;&lt;dates&gt;&lt;year&gt;1994&lt;/year&gt;&lt;/dates&gt;&lt;urls&gt;&lt;related-urls&gt;&lt;url&gt;http://ovidsp.ovid.com/ovidweb.cgi?T=JS&amp;amp;PAGE=reference&amp;amp;D=emed5&amp;amp;NEWS=N&amp;amp;AN=24134686&lt;/url&gt;&lt;/related-urls&gt;&lt;/urls&gt;&lt;/record&gt;&lt;/Cite&gt;&lt;/EndNote&gt;</w:instrText>
      </w:r>
      <w:r w:rsidRPr="0091560A">
        <w:fldChar w:fldCharType="separate"/>
      </w:r>
      <w:r w:rsidRPr="0091560A">
        <w:t>(Alsen et al., 1994)</w:t>
      </w:r>
      <w:r w:rsidRPr="0091560A">
        <w:fldChar w:fldCharType="end"/>
      </w:r>
      <w:r w:rsidRPr="0091560A">
        <w:t xml:space="preserve">, while another study in adolescents reported that 13% of cases co-ingested over-the-counter medication with prescription medication </w:t>
      </w:r>
      <w:r w:rsidRPr="0091560A">
        <w:fldChar w:fldCharType="begin"/>
      </w:r>
      <w:r w:rsidR="00D709C3" w:rsidRPr="0091560A">
        <w:instrText xml:space="preserve"> ADDIN EN.CITE &lt;EndNote&gt;&lt;Cite&gt;&lt;Author&gt;Larson&lt;/Author&gt;&lt;Year&gt;2022&lt;/Year&gt;&lt;RecNum&gt;893&lt;/RecNum&gt;&lt;DisplayText&gt;(Larson, Johnson, &amp;amp; Sheridan, 2022)&lt;/DisplayText&gt;&lt;record&gt;&lt;rec-number&gt;893&lt;/rec-number&gt;&lt;foreign-keys&gt;&lt;key app="EN" db-id="90p22wx96ddedpe0r9pxtt9gzz05dd5ev299" timestamp="1657000537"&gt;893&lt;/key&gt;&lt;/foreign-keys&gt;&lt;ref-type name="Journal Article"&gt;17&lt;/ref-type&gt;&lt;contributors&gt;&lt;authors&gt;&lt;author&gt;Larson, Emma K.&lt;/author&gt;&lt;author&gt;Johnson, Kyle P.&lt;/author&gt;&lt;author&gt;Sheridan, David C.&lt;/author&gt;&lt;/authors&gt;&lt;/contributors&gt;&lt;titles&gt;&lt;title&gt;Sources of Medications Used by Children and Adolescents for Intentional Ingestion: A Retrospective Chart Review&lt;/title&gt;&lt;secondary-title&gt;Pediatric emergency care&lt;/secondary-title&gt;&lt;/titles&gt;&lt;pages&gt;e1213-e1216&lt;/pages&gt;&lt;volume&gt;38&lt;/volume&gt;&lt;number&gt;4&lt;/number&gt;&lt;dates&gt;&lt;year&gt;2022&lt;/year&gt;&lt;/dates&gt;&lt;urls&gt;&lt;related-urls&gt;&lt;url&gt;http://ovidsp.ovid.com/ovidweb.cgi?T=JS&amp;amp;PAGE=reference&amp;amp;D=med20&amp;amp;NEWS=N&amp;amp;AN=34608059&lt;/url&gt;&lt;/related-urls&gt;&lt;/urls&gt;&lt;electronic-resource-num&gt;https://dx.doi.org/10.1097/PEC.0000000000002553&lt;/electronic-resource-num&gt;&lt;/record&gt;&lt;/Cite&gt;&lt;/EndNote&gt;</w:instrText>
      </w:r>
      <w:r w:rsidRPr="0091560A">
        <w:fldChar w:fldCharType="separate"/>
      </w:r>
      <w:r w:rsidRPr="0091560A">
        <w:t>(Larson, Johnson, &amp; Sheridan, 2022)</w:t>
      </w:r>
      <w:r w:rsidRPr="0091560A">
        <w:fldChar w:fldCharType="end"/>
      </w:r>
      <w:r w:rsidRPr="0091560A">
        <w:t xml:space="preserve">. One study reported an average number of medications ingested of 1.51 </w:t>
      </w:r>
      <w:r w:rsidRPr="0091560A">
        <w:fldChar w:fldCharType="begin"/>
      </w:r>
      <w:r w:rsidR="006E08D8">
        <w:instrText xml:space="preserve"> ADDIN EN.CITE &lt;EndNote&gt;&lt;Cite&gt;&lt;Author&gt;Shekunov&lt;/Author&gt;&lt;Year&gt;2021&lt;/Year&gt;&lt;RecNum&gt;914&lt;/RecNum&gt;&lt;DisplayText&gt;(Shekunov et al., 2021)&lt;/DisplayText&gt;&lt;record&gt;&lt;rec-number&gt;914&lt;/rec-number&gt;&lt;foreign-keys&gt;&lt;key app="EN" db-id="90p22wx96ddedpe0r9pxtt9gzz05dd5ev299" timestamp="1657000537"&gt;914&lt;/key&gt;&lt;/foreign-keys&gt;&lt;ref-type name="Journal Article"&gt;17&lt;/ref-type&gt;&lt;contributors&gt;&lt;authors&gt;&lt;author&gt;Shekunov, J.&lt;/author&gt;&lt;author&gt;Lewis, C. P.&lt;/author&gt;&lt;author&gt;Vande Voort, J. L.&lt;/author&gt;&lt;author&gt;Bostwick, J. M.&lt;/author&gt;&lt;author&gt;Romanowicz, M.&lt;/author&gt;&lt;/authors&gt;&lt;/contributors&gt;&lt;titles&gt;&lt;title&gt;Clinical Characteristics, Outcomes, Disposition, and Acute Care of Children and Adolescents Treated for Acetaminophen Toxicity&lt;/title&gt;&lt;secondary-title&gt;Psychiatric services (Washington, D.C.)&lt;/secondary-title&gt;&lt;/titles&gt;&lt;pages&gt;758-765&lt;/pages&gt;&lt;volume&gt;72&lt;/volume&gt;&lt;number&gt;7&lt;/number&gt;&lt;dates&gt;&lt;year&gt;2021&lt;/year&gt;&lt;/dates&gt;&lt;urls&gt;&lt;related-urls&gt;&lt;url&gt;http://ovidsp.ovid.com/ovidweb.cgi?T=JS&amp;amp;PAGE=reference&amp;amp;D=emexa&amp;amp;NEWS=N&amp;amp;AN=634871191&lt;/url&gt;&lt;/related-urls&gt;&lt;/urls&gt;&lt;electronic-resource-num&gt;http://dx.doi.org/10.1176/appi.ps.202000081&lt;/electronic-resource-num&gt;&lt;/record&gt;&lt;/Cite&gt;&lt;/EndNote&gt;</w:instrText>
      </w:r>
      <w:r w:rsidRPr="0091560A">
        <w:fldChar w:fldCharType="separate"/>
      </w:r>
      <w:r w:rsidRPr="0091560A">
        <w:t>(Shekunov et al., 2021)</w:t>
      </w:r>
      <w:r w:rsidRPr="0091560A">
        <w:fldChar w:fldCharType="end"/>
      </w:r>
      <w:r w:rsidRPr="0091560A">
        <w:t xml:space="preserve">. Two studies found evidence to suggest that single ingredient paracetamol was more often used on its own for younger age groups </w:t>
      </w:r>
      <w:r w:rsidRPr="0091560A">
        <w:fldChar w:fldCharType="begin">
          <w:fldData xml:space="preserve">PEVuZE5vdGU+PENpdGU+PEF1dGhvcj5CdWRuaXR6PC9BdXRob3I+PFllYXI+MjAxMTwvWWVhcj48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</w:fldData>
        </w:fldChar>
      </w:r>
      <w:r w:rsidR="006E08D8">
        <w:instrText xml:space="preserve"> ADDIN EN.CITE </w:instrText>
      </w:r>
      <w:r w:rsidR="006E08D8">
        <w:fldChar w:fldCharType="begin">
          <w:fldData xml:space="preserve">PEVuZE5vdGU+PENpdGU+PEF1dGhvcj5CdWRuaXR6PC9BdXRob3I+PFllYXI+MjAxMTwvWWVhcj48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</w:fldData>
        </w:fldChar>
      </w:r>
      <w:r w:rsidR="006E08D8">
        <w:instrText xml:space="preserve"> ADDIN EN.CITE.DATA </w:instrText>
      </w:r>
      <w:r w:rsidR="006E08D8">
        <w:fldChar w:fldCharType="end"/>
      </w:r>
      <w:r w:rsidRPr="0091560A">
        <w:fldChar w:fldCharType="separate"/>
      </w:r>
      <w:r w:rsidR="00B567D3">
        <w:t>(Budnitz et al., 2011; Daly et al., 2021a)</w:t>
      </w:r>
      <w:r w:rsidRPr="0091560A">
        <w:fldChar w:fldCharType="end"/>
      </w:r>
      <w:r w:rsidRPr="0091560A">
        <w:t xml:space="preserve">. Finally, one study reported that other analgesics </w:t>
      </w:r>
      <w:r w:rsidRPr="0091560A">
        <w:fldChar w:fldCharType="begin"/>
      </w:r>
      <w:r w:rsidR="00D709C3" w:rsidRPr="0091560A">
        <w:instrText xml:space="preserve"> ADDIN EN.CITE &lt;EndNote&gt;&lt;Cite&gt;&lt;Author&gt;Alsen&lt;/Author&gt;&lt;Year&gt;1994&lt;/Year&gt;&lt;RecNum&gt;850&lt;/RecNum&gt;&lt;DisplayText&gt;(Alsen et al., 1994)&lt;/DisplayText&gt;&lt;record&gt;&lt;rec-number&gt;850&lt;/rec-number&gt;&lt;foreign-keys&gt;&lt;key app="EN" db-id="90p22wx96ddedpe0r9pxtt9gzz05dd5ev299" timestamp="1657000537"&gt;850&lt;/key&gt;&lt;/foreign-keys&gt;&lt;ref-type name="Journal Article"&gt;17&lt;/ref-type&gt;&lt;contributors&gt;&lt;authors&gt;&lt;author&gt;Alsen, M.&lt;/author&gt;&lt;author&gt;Ekedahl, A.&lt;/author&gt;&lt;author&gt;Lowenhielm, P.&lt;/author&gt;&lt;author&gt;Nimeus, A.&lt;/author&gt;&lt;author&gt;Regnell, G.&lt;/author&gt;&lt;author&gt;Traskman-Bendz, L.&lt;/author&gt;&lt;/authors&gt;&lt;/contributors&gt;&lt;titles&gt;&lt;title&gt;Medicine self-poisoning and the sources of the drugs in Lund, Sweden&lt;/title&gt;&lt;secondary-title&gt;Acta Psychiatrica Scandinavica&lt;/secondary-title&gt;&lt;/titles&gt;&lt;pages&gt;255-261&lt;/pages&gt;&lt;volume&gt;89&lt;/volume&gt;&lt;number&gt;4&lt;/number&gt;&lt;dates&gt;&lt;year&gt;1994&lt;/year&gt;&lt;/dates&gt;&lt;urls&gt;&lt;related-urls&gt;&lt;url&gt;http://ovidsp.ovid.com/ovidweb.cgi?T=JS&amp;amp;PAGE=reference&amp;amp;D=emed5&amp;amp;NEWS=N&amp;amp;AN=24134686&lt;/url&gt;&lt;/related-urls&gt;&lt;/urls&gt;&lt;/record&gt;&lt;/Cite&gt;&lt;/EndNote&gt;</w:instrText>
      </w:r>
      <w:r w:rsidRPr="0091560A">
        <w:fldChar w:fldCharType="separate"/>
      </w:r>
      <w:r w:rsidRPr="0091560A">
        <w:t>(Alsen et al., 1994)</w:t>
      </w:r>
      <w:r w:rsidRPr="0091560A">
        <w:fldChar w:fldCharType="end"/>
      </w:r>
      <w:r w:rsidRPr="0091560A">
        <w:t xml:space="preserve"> were the most common drugs co-ingested with paracetamol. </w:t>
      </w:r>
    </w:p>
    <w:p w14:paraId="66ECB77C" w14:textId="77777777" w:rsidR="00574EB4" w:rsidRPr="0091560A" w:rsidRDefault="00574EB4" w:rsidP="00574EB4">
      <w:pPr>
        <w:spacing w:after="0"/>
        <w:rPr>
          <w:rFonts w:cs="Times New Roman"/>
          <w:szCs w:val="24"/>
        </w:rPr>
      </w:pPr>
    </w:p>
    <w:p w14:paraId="2247ED69" w14:textId="02885FEC" w:rsidR="00574EB4" w:rsidRPr="0091560A" w:rsidRDefault="00574EB4" w:rsidP="00E40DB5">
      <w:r w:rsidRPr="0091560A">
        <w:t xml:space="preserve">Most studies examining co-ingestion of alcohol reported that between 23% and 54% of people ingested alcohol at the time of intentional self-poisoning with paracetamol or similar medications </w:t>
      </w:r>
      <w:r w:rsidRPr="0091560A">
        <w:fldChar w:fldCharType="begin">
          <w:fldData xml:space="preserve">PEVuZE5vdGU+PENpdGU+PEF1dGhvcj5DYXNleTwvQXV0aG9yPjxZZWFyPjIwMjA8L1llYXI+PFJl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</w:fldData>
        </w:fldChar>
      </w:r>
      <w:r w:rsidR="006E08D8">
        <w:instrText xml:space="preserve"> ADDIN EN.CITE </w:instrText>
      </w:r>
      <w:r w:rsidR="006E08D8">
        <w:fldChar w:fldCharType="begin">
          <w:fldData xml:space="preserve">PEVuZE5vdGU+PENpdGU+PEF1dGhvcj5DYXNleTwvQXV0aG9yPjxZZWFyPjIwMjA8L1llYXI+PFJl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</w:fldData>
        </w:fldChar>
      </w:r>
      <w:r w:rsidR="006E08D8">
        <w:instrText xml:space="preserve"> ADDIN EN.CITE.DATA </w:instrText>
      </w:r>
      <w:r w:rsidR="006E08D8">
        <w:fldChar w:fldCharType="end"/>
      </w:r>
      <w:r w:rsidRPr="0091560A">
        <w:fldChar w:fldCharType="separate"/>
      </w:r>
      <w:r w:rsidR="00B567D3">
        <w:t>(Casey et al., 2020; Craig et al., 2011; Daly et al., 2021a; Gyamlani &amp; Parikh, 2002; K. Hawton et al., 1996; John et al., 2016; Pezzia et al., 2017; Schiodt et al., 1997; Simkin et al., 2012)</w:t>
      </w:r>
      <w:r w:rsidRPr="0091560A">
        <w:fldChar w:fldCharType="end"/>
      </w:r>
      <w:r w:rsidRPr="0091560A">
        <w:t xml:space="preserve">. However, one study conducted in Switzerland found that only 13% of intentional paracetamol self-poisoning patients co-ingested alcohol </w:t>
      </w:r>
      <w:r w:rsidRPr="0091560A">
        <w:fldChar w:fldCharType="begin"/>
      </w:r>
      <w:r w:rsidR="00D709C3" w:rsidRPr="0091560A">
        <w:instrText xml:space="preserve"> ADDIN EN.CITE &lt;EndNote&gt;&lt;Cite&gt;&lt;Author&gt;Piotrowska&lt;/Author&gt;&lt;Year&gt;2019&lt;/Year&gt;&lt;RecNum&gt;907&lt;/RecNum&gt;&lt;DisplayText&gt;(Piotrowska et al., 2019)&lt;/DisplayText&gt;&lt;record&gt;&lt;rec-number&gt;907&lt;/rec-number&gt;&lt;foreign-keys&gt;&lt;key app="EN" db-id="90p22wx96ddedpe0r9pxtt9gzz05dd5ev299" timestamp="1657000537"&gt;907&lt;/key&gt;&lt;/foreign-keys&gt;&lt;ref-type name="Journal Article"&gt;17&lt;/ref-type&gt;&lt;contributors&gt;&lt;authors&gt;&lt;author&gt;Piotrowska, N.&lt;/author&gt;&lt;author&gt;Klukowska-Rotzler, J.&lt;/author&gt;&lt;author&gt;Lehmann, B.&lt;/author&gt;&lt;author&gt;Krummrey, G.&lt;/author&gt;&lt;author&gt;Haschke, M.&lt;/author&gt;&lt;author&gt;Exadaktylos, A. K.&lt;/author&gt;&lt;author&gt;Liakoni, E.&lt;/author&gt;&lt;/authors&gt;&lt;/contributors&gt;&lt;titles&gt;&lt;title&gt;Presentations Related to Acute Paracetamol Intoxication in an Urban Emergency Department in Switzerland&lt;/title&gt;&lt;secondary-title&gt;Emergency Medicine International&lt;/secondary-title&gt;&lt;/titles&gt;&lt;pages&gt;3130843&lt;/pages&gt;&lt;volume&gt;2019&lt;/volume&gt;&lt;dates&gt;&lt;year&gt;2019&lt;/year&gt;&lt;/dates&gt;&lt;urls&gt;&lt;related-urls&gt;&lt;url&gt;http://www.hindawi.com/journals/emi/http://ovidsp.ovid.com/ovidweb.cgi?T=JS&amp;amp;PAGE=reference&amp;amp;D=emed20&amp;amp;NEWS=N&amp;amp;AN=2004392883&lt;/url&gt;&lt;/related-urls&gt;&lt;/urls&gt;&lt;electronic-resource-num&gt;http://dx.doi.org/10.1155/2019/3130843&lt;/electronic-resource-num&gt;&lt;/record&gt;&lt;/Cite&gt;&lt;/EndNote&gt;</w:instrText>
      </w:r>
      <w:r w:rsidRPr="0091560A">
        <w:fldChar w:fldCharType="separate"/>
      </w:r>
      <w:r w:rsidRPr="0091560A">
        <w:t>(Piotrowska et al., 2019)</w:t>
      </w:r>
      <w:r w:rsidRPr="0091560A">
        <w:fldChar w:fldCharType="end"/>
      </w:r>
      <w:r w:rsidRPr="0091560A">
        <w:t xml:space="preserve">. Two of these studies also found that males were more likely than females to consume alcohol at the time of self-poisoning </w:t>
      </w:r>
      <w:r w:rsidRPr="0091560A">
        <w:fldChar w:fldCharType="begin">
          <w:fldData xml:space="preserve">PEVuZE5vdGU+PENpdGU+PEF1dGhvcj5DYXNleTwvQXV0aG9yPjxZZWFyPjIwMjA8L1llYXI+PFJl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</w:fldData>
        </w:fldChar>
      </w:r>
      <w:r w:rsidR="006E08D8">
        <w:instrText xml:space="preserve"> ADDIN EN.CITE </w:instrText>
      </w:r>
      <w:r w:rsidR="006E08D8">
        <w:fldChar w:fldCharType="begin">
          <w:fldData xml:space="preserve">PEVuZE5vdGU+PENpdGU+PEF1dGhvcj5DYXNleTwvQXV0aG9yPjxZZWFyPjIwMjA8L1llYXI+PFJl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</w:fldData>
        </w:fldChar>
      </w:r>
      <w:r w:rsidR="006E08D8">
        <w:instrText xml:space="preserve"> ADDIN EN.CITE.DATA </w:instrText>
      </w:r>
      <w:r w:rsidR="006E08D8">
        <w:fldChar w:fldCharType="end"/>
      </w:r>
      <w:r w:rsidRPr="0091560A">
        <w:fldChar w:fldCharType="separate"/>
      </w:r>
      <w:r w:rsidR="00B567D3">
        <w:t>(Casey et al., 2020; Daly et al., 2021a)</w:t>
      </w:r>
      <w:r w:rsidRPr="0091560A">
        <w:fldChar w:fldCharType="end"/>
      </w:r>
      <w:r w:rsidRPr="0091560A">
        <w:t xml:space="preserve">. There were mixed findings as to whether the prevalence of alcohol co-ingestion was different for intentional compared to unintentional self-poisoning cases </w:t>
      </w:r>
      <w:r w:rsidRPr="0091560A">
        <w:fldChar w:fldCharType="begin">
          <w:fldData xml:space="preserve">PEVuZE5vdGU+PENpdGU+PEF1dGhvcj5DcmFpZzwvQXV0aG9yPjxZZWFyPjIwMTE8L1llYXI+PFJl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</w:fldData>
        </w:fldChar>
      </w:r>
      <w:r w:rsidR="006E08D8">
        <w:instrText xml:space="preserve"> ADDIN EN.CITE </w:instrText>
      </w:r>
      <w:r w:rsidR="006E08D8">
        <w:fldChar w:fldCharType="begin">
          <w:fldData xml:space="preserve">PEVuZE5vdGU+PENpdGU+PEF1dGhvcj5DcmFpZzwvQXV0aG9yPjxZZWFyPjIwMTE8L1llYXI+PFJl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</w:fldData>
        </w:fldChar>
      </w:r>
      <w:r w:rsidR="006E08D8">
        <w:instrText xml:space="preserve"> ADDIN EN.CITE.DATA </w:instrText>
      </w:r>
      <w:r w:rsidR="006E08D8">
        <w:fldChar w:fldCharType="end"/>
      </w:r>
      <w:r w:rsidRPr="0091560A">
        <w:fldChar w:fldCharType="separate"/>
      </w:r>
      <w:r w:rsidRPr="0091560A">
        <w:t>(Craig et al., 2011; Kjartansdottir et al., 2012)</w:t>
      </w:r>
      <w:r w:rsidRPr="0091560A">
        <w:fldChar w:fldCharType="end"/>
      </w:r>
      <w:r w:rsidRPr="0091560A">
        <w:t xml:space="preserve">. One study found that rates of alcohol co-ingestion did not differ depending on whether the drug used in the intentional overdose was paracetamol or another drug </w:t>
      </w:r>
      <w:r w:rsidRPr="0091560A">
        <w:fldChar w:fldCharType="begin"/>
      </w:r>
      <w:r w:rsidR="006E08D8">
        <w:instrText xml:space="preserve"> ADDIN EN.CITE &lt;EndNote&gt;&lt;Cite&gt;&lt;Author&gt;Caroll&lt;/Author&gt;&lt;Year&gt;2015&lt;/Year&gt;&lt;RecNum&gt;861&lt;/RecNum&gt;&lt;DisplayText&gt;(Caroll et al., 2015)&lt;/DisplayText&gt;&lt;record&gt;&lt;rec-number&gt;861&lt;/rec-number&gt;&lt;foreign-keys&gt;&lt;key app="EN" db-id="90p22wx96ddedpe0r9pxtt9gzz05dd5ev299" timestamp="1657000537"&gt;861&lt;/key&gt;&lt;/foreign-keys&gt;&lt;ref-type name="Journal Article"&gt;17&lt;/ref-type&gt;&lt;contributors&gt;&lt;authors&gt;&lt;author&gt;Caroll, R.&lt;/author&gt;&lt;author&gt;Benger, J.&lt;/author&gt;&lt;author&gt;Bramley, K.&lt;/author&gt;&lt;author&gt;Williams, S.&lt;/author&gt;&lt;author&gt;Griffin, L.&lt;/author&gt;&lt;author&gt;Potokar, J.&lt;/author&gt;&lt;author&gt;Gunnell, D.&lt;/author&gt;&lt;/authors&gt;&lt;/contributors&gt;&lt;titles&gt;&lt;title&gt;Epidemiology, management and outcome of paracetamol poisoning in an inner city emergency department&lt;/title&gt;&lt;secondary-title&gt;Emergency Medicine Journal&lt;/secondary-title&gt;&lt;/titles&gt;&lt;pages&gt;155-160&lt;/pages&gt;&lt;volume&gt;32&lt;/volume&gt;&lt;number&gt;2&lt;/number&gt;&lt;dates&gt;&lt;year&gt;2015&lt;/year&gt;&lt;/dates&gt;&lt;urls&gt;&lt;related-urls&gt;&lt;url&gt;http://emj.bmj.com/content/32/2/155.full.pdf+htmlhttp://ovidsp.ovid.com/ovidweb.cgi?T=JS&amp;amp;PAGE=reference&amp;amp;D=emed16&amp;amp;NEWS=N&amp;amp;AN=52825596&lt;/url&gt;&lt;/related-urls&gt;&lt;/urls&gt;&lt;electronic-resource-num&gt;http://dx.doi.org/10.1136/emermed-2013-202518&lt;/electronic-resource-num&gt;&lt;/record&gt;&lt;/Cite&gt;&lt;/EndNote&gt;</w:instrText>
      </w:r>
      <w:r w:rsidRPr="0091560A">
        <w:fldChar w:fldCharType="separate"/>
      </w:r>
      <w:r w:rsidRPr="0091560A">
        <w:t>(Caroll et al., 2015)</w:t>
      </w:r>
      <w:r w:rsidRPr="0091560A">
        <w:fldChar w:fldCharType="end"/>
      </w:r>
      <w:r w:rsidRPr="0091560A">
        <w:t xml:space="preserve">. Another study found that use of analgesics or antipyretics rather than other self-harm methods was associated with alcohol co-ingestion among males </w:t>
      </w:r>
      <w:r w:rsidRPr="0091560A">
        <w:fldChar w:fldCharType="begin"/>
      </w:r>
      <w:r w:rsidR="00D709C3" w:rsidRPr="0091560A">
        <w:instrText xml:space="preserve"> ADDIN EN.CITE &lt;EndNote&gt;&lt;Cite&gt;&lt;Author&gt;Vancayseele&lt;/Author&gt;&lt;Year&gt;2019&lt;/Year&gt;&lt;RecNum&gt;921&lt;/RecNum&gt;&lt;DisplayText&gt;(Vancayseele et al., 2019)&lt;/DisplayText&gt;&lt;record&gt;&lt;rec-number&gt;921&lt;/rec-number&gt;&lt;foreign-keys&gt;&lt;key app="EN" db-id="90p22wx96ddedpe0r9pxtt9gzz05dd5ev299" timestamp="1657000537"&gt;921&lt;/key&gt;&lt;/foreign-keys&gt;&lt;ref-type name="Journal Article"&gt;17&lt;/ref-type&gt;&lt;contributors&gt;&lt;authors&gt;&lt;author&gt;Vancayseele, N.&lt;/author&gt;&lt;author&gt;Rotsaert, I.&lt;/author&gt;&lt;author&gt;Portzky, G.&lt;/author&gt;&lt;author&gt;Van Heeringen, K.&lt;/author&gt;&lt;/authors&gt;&lt;/contributors&gt;&lt;titles&gt;&lt;title&gt;Medication used in intentional drug overdose in Flanders 2008-2013&lt;/title&gt;&lt;secondary-title&gt;PLoS ONE&lt;/secondary-title&gt;&lt;/titles&gt;&lt;periodical&gt;&lt;full-title&gt;PLoS One&lt;/full-title&gt;&lt;/periodical&gt;&lt;pages&gt;e0216317&lt;/pages&gt;&lt;volume&gt;14&lt;/volume&gt;&lt;number&gt;5&lt;/number&gt;&lt;dates&gt;&lt;year&gt;2019&lt;/year&gt;&lt;/dates&gt;&lt;urls&gt;&lt;related-urls&gt;&lt;url&gt;https://journals.plos.org/plosone/article/file?id=10.1371/journal.pone.0216317&amp;amp;type=printablehttp://ovidsp.ovid.com/ovidweb.cgi?T=JS&amp;amp;PAGE=reference&amp;amp;D=emed20&amp;amp;NEWS=N&amp;amp;AN=2001958215&lt;/url&gt;&lt;/related-urls&gt;&lt;/urls&gt;&lt;electronic-resource-num&gt;http://dx.doi.org/10.1371/journal.pone.0216317&lt;/electronic-resource-num&gt;&lt;/record&gt;&lt;/Cite&gt;&lt;/EndNote&gt;</w:instrText>
      </w:r>
      <w:r w:rsidRPr="0091560A">
        <w:fldChar w:fldCharType="separate"/>
      </w:r>
      <w:r w:rsidRPr="0091560A">
        <w:t>(Vancayseele et al., 2019)</w:t>
      </w:r>
      <w:r w:rsidRPr="0091560A">
        <w:fldChar w:fldCharType="end"/>
      </w:r>
      <w:r w:rsidRPr="0091560A">
        <w:t xml:space="preserve">. </w:t>
      </w:r>
    </w:p>
    <w:p w14:paraId="3C6B950F" w14:textId="77777777" w:rsidR="00574EB4" w:rsidRPr="0091560A" w:rsidRDefault="00574EB4" w:rsidP="00574EB4">
      <w:pPr>
        <w:spacing w:after="0"/>
        <w:rPr>
          <w:rFonts w:cs="Times New Roman"/>
          <w:szCs w:val="24"/>
        </w:rPr>
      </w:pPr>
    </w:p>
    <w:p w14:paraId="064237F8" w14:textId="697792EA" w:rsidR="00574EB4" w:rsidRPr="0091560A" w:rsidRDefault="00574EB4" w:rsidP="00574EB4">
      <w:pPr>
        <w:spacing w:after="0"/>
        <w:rPr>
          <w:rFonts w:cs="Times New Roman"/>
          <w:szCs w:val="24"/>
        </w:rPr>
      </w:pPr>
      <w:r w:rsidRPr="0091560A">
        <w:rPr>
          <w:rFonts w:cs="Times New Roman"/>
          <w:b/>
          <w:bCs/>
          <w:szCs w:val="24"/>
        </w:rPr>
        <w:t xml:space="preserve">Other characteristics: </w:t>
      </w:r>
      <w:r w:rsidRPr="0091560A">
        <w:rPr>
          <w:rFonts w:cs="Times New Roman"/>
          <w:szCs w:val="24"/>
        </w:rPr>
        <w:t xml:space="preserve">For some characteristics, there were insufficient studies to draw conclusions. Only two studies examined previous exposure to suicide </w:t>
      </w:r>
      <w:r w:rsidRPr="0091560A">
        <w:rPr>
          <w:rFonts w:cs="Times New Roman"/>
          <w:szCs w:val="24"/>
        </w:rPr>
        <w:fldChar w:fldCharType="begin">
          <w:fldData xml:space="preserve">PEVuZE5vdGU+PENpdGU+PEF1dGhvcj5IZWRlbGFuZDwvQXV0aG9yPjxZZWFyPjIwMTM8L1llYXI+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</w:fldData>
        </w:fldChar>
      </w:r>
      <w:r w:rsidR="00D709C3" w:rsidRPr="0091560A">
        <w:rPr>
          <w:rFonts w:cs="Times New Roman"/>
          <w:szCs w:val="24"/>
        </w:rPr>
        <w:instrText xml:space="preserve"> ADDIN EN.CITE </w:instrText>
      </w:r>
      <w:r w:rsidR="00D709C3" w:rsidRPr="0091560A">
        <w:rPr>
          <w:rFonts w:cs="Times New Roman"/>
          <w:szCs w:val="24"/>
        </w:rPr>
        <w:fldChar w:fldCharType="begin">
          <w:fldData xml:space="preserve">PEVuZE5vdGU+PENpdGU+PEF1dGhvcj5IZWRlbGFuZDwvQXV0aG9yPjxZZWFyPjIwMTM8L1llYXI+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</w:fldData>
        </w:fldChar>
      </w:r>
      <w:r w:rsidR="00D709C3" w:rsidRPr="0091560A">
        <w:rPr>
          <w:rFonts w:cs="Times New Roman"/>
          <w:szCs w:val="24"/>
        </w:rPr>
        <w:instrText xml:space="preserve"> ADDIN EN.CITE.DATA </w:instrText>
      </w:r>
      <w:r w:rsidR="00D709C3" w:rsidRPr="0091560A">
        <w:rPr>
          <w:rFonts w:cs="Times New Roman"/>
          <w:szCs w:val="24"/>
        </w:rPr>
      </w:r>
      <w:r w:rsidR="00D709C3" w:rsidRPr="0091560A">
        <w:rPr>
          <w:rFonts w:cs="Times New Roman"/>
          <w:szCs w:val="24"/>
        </w:rPr>
        <w:fldChar w:fldCharType="end"/>
      </w:r>
      <w:r w:rsidRPr="0091560A">
        <w:rPr>
          <w:rFonts w:cs="Times New Roman"/>
          <w:szCs w:val="24"/>
        </w:rPr>
      </w:r>
      <w:r w:rsidRPr="0091560A">
        <w:rPr>
          <w:rFonts w:cs="Times New Roman"/>
          <w:szCs w:val="24"/>
        </w:rPr>
        <w:fldChar w:fldCharType="separate"/>
      </w:r>
      <w:r w:rsidRPr="0091560A">
        <w:rPr>
          <w:rFonts w:cs="Times New Roman"/>
          <w:noProof/>
          <w:szCs w:val="24"/>
        </w:rPr>
        <w:t>(Hedeland et al., 2013; Hedeland et al., 2016)</w:t>
      </w:r>
      <w:r w:rsidRPr="0091560A">
        <w:rPr>
          <w:rFonts w:cs="Times New Roman"/>
          <w:szCs w:val="24"/>
        </w:rPr>
        <w:fldChar w:fldCharType="end"/>
      </w:r>
      <w:r w:rsidRPr="0091560A">
        <w:rPr>
          <w:rFonts w:cs="Times New Roman"/>
          <w:szCs w:val="24"/>
        </w:rPr>
        <w:t xml:space="preserve">. Only one study reported on each of rurality </w:t>
      </w:r>
      <w:r w:rsidRPr="0091560A">
        <w:rPr>
          <w:rFonts w:cs="Times New Roman"/>
          <w:szCs w:val="24"/>
        </w:rPr>
        <w:fldChar w:fldCharType="begin"/>
      </w:r>
      <w:r w:rsidR="00D709C3" w:rsidRPr="0091560A">
        <w:rPr>
          <w:rFonts w:cs="Times New Roman"/>
          <w:szCs w:val="24"/>
        </w:rPr>
        <w:instrText xml:space="preserve"> ADDIN EN.CITE &lt;EndNote&gt;&lt;Cite&gt;&lt;Author&gt;Rhodes&lt;/Author&gt;&lt;Year&gt;2008&lt;/Year&gt;&lt;RecNum&gt;908&lt;/RecNum&gt;&lt;DisplayText&gt;(A. Rhodes et al., 2008)&lt;/DisplayText&gt;&lt;record&gt;&lt;rec-number&gt;908&lt;/rec-number&gt;&lt;foreign-keys&gt;&lt;key app="EN" db-id="90p22wx96ddedpe0r9pxtt9gzz05dd5ev299" timestamp="1657000537"&gt;908&lt;/key&gt;&lt;/foreign-keys&gt;&lt;ref-type name="Journal Article"&gt;17&lt;/ref-type&gt;&lt;contributors&gt;&lt;authors&gt;&lt;author&gt;Rhodes, Anne&lt;/author&gt;&lt;author&gt;Bethell, Jennifer&lt;/author&gt;&lt;author&gt;Jaakkimainen, R. Liisa&lt;/author&gt;&lt;author&gt;Thurlow, Julie&lt;/author&gt;&lt;author&gt;Spence, Julie&lt;/author&gt;&lt;author&gt;Links, Paul S.&lt;/author&gt;&lt;author&gt;Streiner, David L.&lt;/author&gt;&lt;/authors&gt;&lt;/contributors&gt;&lt;titles&gt;&lt;title&gt;The impact of rural residence on medically serious medicinal self-poisonings&lt;/title&gt;&lt;secondary-title&gt;General hospital psychiatry&lt;/secondary-title&gt;&lt;/titles&gt;&lt;pages&gt;552-60&lt;/pages&gt;&lt;volume&gt;30&lt;/volume&gt;&lt;number&gt;6&lt;/number&gt;&lt;dates&gt;&lt;year&gt;2008&lt;/year&gt;&lt;/dates&gt;&lt;urls&gt;&lt;related-urls&gt;&lt;url&gt;http://ovidsp.ovid.com/ovidweb.cgi?T=JS&amp;amp;PAGE=reference&amp;amp;D=med7&amp;amp;NEWS=N&amp;amp;AN=19061682&lt;/url&gt;&lt;/related-urls&gt;&lt;/urls&gt;&lt;electronic-resource-num&gt;https://dx.doi.org/10.1016/j.genhosppsych.2008.06.012&lt;/electronic-resource-num&gt;&lt;/record&gt;&lt;/Cite&gt;&lt;/EndNote&gt;</w:instrText>
      </w:r>
      <w:r w:rsidRPr="0091560A">
        <w:rPr>
          <w:rFonts w:cs="Times New Roman"/>
          <w:szCs w:val="24"/>
        </w:rPr>
        <w:fldChar w:fldCharType="separate"/>
      </w:r>
      <w:r w:rsidRPr="0091560A">
        <w:rPr>
          <w:rFonts w:cs="Times New Roman"/>
          <w:noProof/>
          <w:szCs w:val="24"/>
        </w:rPr>
        <w:t>(A. Rhodes et al., 2008)</w:t>
      </w:r>
      <w:r w:rsidRPr="0091560A">
        <w:rPr>
          <w:rFonts w:cs="Times New Roman"/>
          <w:szCs w:val="24"/>
        </w:rPr>
        <w:fldChar w:fldCharType="end"/>
      </w:r>
      <w:r w:rsidRPr="0091560A">
        <w:rPr>
          <w:rFonts w:cs="Times New Roman"/>
          <w:szCs w:val="24"/>
        </w:rPr>
        <w:t xml:space="preserve">, living situation </w:t>
      </w:r>
      <w:r w:rsidRPr="0091560A">
        <w:rPr>
          <w:rFonts w:cs="Times New Roman"/>
          <w:szCs w:val="24"/>
        </w:rPr>
        <w:fldChar w:fldCharType="begin"/>
      </w:r>
      <w:r w:rsidR="00D709C3" w:rsidRPr="0091560A">
        <w:rPr>
          <w:rFonts w:cs="Times New Roman"/>
          <w:szCs w:val="24"/>
        </w:rPr>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rPr>
          <w:rFonts w:cs="Times New Roman"/>
          <w:szCs w:val="24"/>
        </w:rPr>
        <w:fldChar w:fldCharType="separate"/>
      </w:r>
      <w:r w:rsidRPr="0091560A">
        <w:rPr>
          <w:rFonts w:cs="Times New Roman"/>
          <w:noProof/>
          <w:szCs w:val="24"/>
        </w:rPr>
        <w:t>(Hedeland et al., 2016)</w:t>
      </w:r>
      <w:r w:rsidRPr="0091560A">
        <w:rPr>
          <w:rFonts w:cs="Times New Roman"/>
          <w:szCs w:val="24"/>
        </w:rPr>
        <w:fldChar w:fldCharType="end"/>
      </w:r>
      <w:r w:rsidRPr="0091560A">
        <w:rPr>
          <w:rFonts w:cs="Times New Roman"/>
          <w:szCs w:val="24"/>
        </w:rPr>
        <w:t xml:space="preserve">, parental status </w:t>
      </w:r>
      <w:r w:rsidRPr="0091560A">
        <w:rPr>
          <w:rFonts w:cs="Times New Roman"/>
          <w:szCs w:val="24"/>
        </w:rPr>
        <w:fldChar w:fldCharType="begin"/>
      </w:r>
      <w:r w:rsidR="00D709C3" w:rsidRPr="0091560A">
        <w:rPr>
          <w:rFonts w:cs="Times New Roman"/>
          <w:szCs w:val="24"/>
        </w:rPr>
        <w:instrText xml:space="preserve"> ADDIN EN.CITE &lt;EndNote&gt;&lt;Cite&gt;&lt;Author&gt;Mikhail&lt;/Author&gt;&lt;Year&gt;2018&lt;/Year&gt;&lt;RecNum&gt;897&lt;/RecNum&gt;&lt;DisplayText&gt;(Mikhail et al., 2018)&lt;/DisplayText&gt;&lt;record&gt;&lt;rec-number&gt;897&lt;/rec-number&gt;&lt;foreign-keys&gt;&lt;key app="EN" db-id="90p22wx96ddedpe0r9pxtt9gzz05dd5ev299" timestamp="1657000537"&gt;897&lt;/key&gt;&lt;/foreign-keys&gt;&lt;ref-type name="Journal Article"&gt;17&lt;/ref-type&gt;&lt;contributors&gt;&lt;authors&gt;&lt;author&gt;Mikhail, Alexandre&lt;/author&gt;&lt;author&gt;Tanoli, Omaid&lt;/author&gt;&lt;author&gt;Légaré, Gilles&lt;/author&gt;&lt;author&gt;Dubé, Pierre-André&lt;/author&gt;&lt;author&gt;Habel, Youssef&lt;/author&gt;&lt;author&gt;Lesage, Alain&lt;/author&gt;&lt;author&gt;Low, Nancy C. P.&lt;/author&gt;&lt;author&gt;Lamarre, Suzanne&lt;/author&gt;&lt;author&gt;Singh, Santokh&lt;/author&gt;&lt;author&gt;Rahme, Elham&lt;/author&gt;&lt;/authors&gt;&lt;/contributors&gt;&lt;titles&gt;&lt;title&gt;Over-the-Counter Drugs and Other Substances Used in Attempted Suicide Presented to Emergency Departments in Montreal, Canada&lt;/title&gt;&lt;secondary-title&gt;Crisis: The Journal of Crisis Intervention &amp;amp; Suicide Prevention&lt;/secondary-title&gt;&lt;/titles&gt;&lt;pages&gt;1-10&lt;/pages&gt;&lt;dates&gt;&lt;year&gt;2018&lt;/year&gt;&lt;/dates&gt;&lt;accession-num&gt;131893270. Language: English. Entry Date: In Process. Revision Date: 20200111. Publication Type: journal article. Journal Subset: Biomedical&lt;/accession-num&gt;&lt;urls&gt;&lt;related-urls&gt;&lt;url&gt;https://search.ebscohost.com/login.aspx?direct=true&amp;amp;db=cin20&amp;amp;AN=131893270&amp;amp;site=ehost-live&lt;/url&gt;&lt;/related-urls&gt;&lt;/urls&gt;&lt;electronic-resource-num&gt;10.1027/0227-5910/a000545&lt;/electronic-resource-num&gt;&lt;/record&gt;&lt;/Cite&gt;&lt;/EndNote&gt;</w:instrText>
      </w:r>
      <w:r w:rsidRPr="0091560A">
        <w:rPr>
          <w:rFonts w:cs="Times New Roman"/>
          <w:szCs w:val="24"/>
        </w:rPr>
        <w:fldChar w:fldCharType="separate"/>
      </w:r>
      <w:r w:rsidRPr="0091560A">
        <w:rPr>
          <w:rFonts w:cs="Times New Roman"/>
          <w:noProof/>
          <w:szCs w:val="24"/>
        </w:rPr>
        <w:t>(Mikhail et al., 2018)</w:t>
      </w:r>
      <w:r w:rsidRPr="0091560A">
        <w:rPr>
          <w:rFonts w:cs="Times New Roman"/>
          <w:szCs w:val="24"/>
        </w:rPr>
        <w:fldChar w:fldCharType="end"/>
      </w:r>
      <w:r w:rsidRPr="0091560A">
        <w:rPr>
          <w:rFonts w:cs="Times New Roman"/>
          <w:szCs w:val="24"/>
        </w:rPr>
        <w:t xml:space="preserve">, marital status </w:t>
      </w:r>
      <w:r w:rsidRPr="0091560A">
        <w:rPr>
          <w:rFonts w:cs="Times New Roman"/>
          <w:szCs w:val="24"/>
        </w:rPr>
        <w:fldChar w:fldCharType="begin"/>
      </w:r>
      <w:r w:rsidR="00D709C3" w:rsidRPr="0091560A">
        <w:rPr>
          <w:rFonts w:cs="Times New Roman"/>
          <w:szCs w:val="24"/>
        </w:rPr>
        <w:instrText xml:space="preserve"> ADDIN EN.CITE &lt;EndNote&gt;&lt;Cite&gt;&lt;Author&gt;Pezzia&lt;/Author&gt;&lt;Year&gt;2017&lt;/Year&gt;&lt;RecNum&gt;906&lt;/RecNum&gt;&lt;DisplayText&gt;(Pezzia et al., 2017)&lt;/DisplayText&gt;&lt;record&gt;&lt;rec-number&gt;906&lt;/rec-number&gt;&lt;foreign-keys&gt;&lt;key app="EN" db-id="90p22wx96ddedpe0r9pxtt9gzz05dd5ev299" timestamp="1657000537"&gt;906&lt;/key&gt;&lt;/foreign-keys&gt;&lt;ref-type name="Journal Article"&gt;17&lt;/ref-type&gt;&lt;contributors&gt;&lt;authors&gt;&lt;author&gt;Pezzia, C.&lt;/author&gt;&lt;author&gt;Sanders, C.&lt;/author&gt;&lt;author&gt;Welch, S.&lt;/author&gt;&lt;author&gt;Bowling, A.&lt;/author&gt;&lt;author&gt;Lee, W. M.&lt;/author&gt;&lt;/authors&gt;&lt;/contributors&gt;&lt;titles&gt;&lt;title&gt;Psychosocial and behavioral factors in acetaminophen-related acute liver failure and liver injury&lt;/title&gt;&lt;secondary-title&gt;Journal of Psychosomatic Research&lt;/secondary-title&gt;&lt;/titles&gt;&lt;pages&gt;51-57&lt;/pages&gt;&lt;volume&gt;101&lt;/volume&gt;&lt;dates&gt;&lt;year&gt;2017&lt;/year&gt;&lt;/dates&gt;&lt;urls&gt;&lt;related-urls&gt;&lt;url&gt;http://www.elsevier.com/locate/jpsychoreshttp://ovidsp.ovid.com/ovidweb.cgi?T=JS&amp;amp;PAGE=reference&amp;amp;D=emed18&amp;amp;NEWS=N&amp;amp;AN=617691979&lt;/url&gt;&lt;/related-urls&gt;&lt;/urls&gt;&lt;electronic-resource-num&gt;http://dx.doi.org/10.1016/j.jpsychores.2017.08.006&lt;/electronic-resource-num&gt;&lt;/record&gt;&lt;/Cite&gt;&lt;/EndNote&gt;</w:instrText>
      </w:r>
      <w:r w:rsidRPr="0091560A">
        <w:rPr>
          <w:rFonts w:cs="Times New Roman"/>
          <w:szCs w:val="24"/>
        </w:rPr>
        <w:fldChar w:fldCharType="separate"/>
      </w:r>
      <w:r w:rsidRPr="0091560A">
        <w:rPr>
          <w:rFonts w:cs="Times New Roman"/>
          <w:noProof/>
          <w:szCs w:val="24"/>
        </w:rPr>
        <w:t>(Pezzia et al., 2017)</w:t>
      </w:r>
      <w:r w:rsidRPr="0091560A">
        <w:rPr>
          <w:rFonts w:cs="Times New Roman"/>
          <w:szCs w:val="24"/>
        </w:rPr>
        <w:fldChar w:fldCharType="end"/>
      </w:r>
      <w:r w:rsidRPr="0091560A">
        <w:rPr>
          <w:rFonts w:cs="Times New Roman"/>
          <w:szCs w:val="24"/>
        </w:rPr>
        <w:t xml:space="preserve">, physical health </w:t>
      </w:r>
      <w:r w:rsidRPr="0091560A">
        <w:rPr>
          <w:rFonts w:cs="Times New Roman"/>
          <w:szCs w:val="24"/>
        </w:rPr>
        <w:fldChar w:fldCharType="begin"/>
      </w:r>
      <w:r w:rsidR="00D709C3" w:rsidRPr="0091560A">
        <w:rPr>
          <w:rFonts w:cs="Times New Roman"/>
          <w:szCs w:val="24"/>
        </w:rPr>
        <w:instrText xml:space="preserve"> ADDIN EN.CITE &lt;EndNote&gt;&lt;Cite&gt;&lt;Author&gt;Mikhail&lt;/Author&gt;&lt;Year&gt;2018&lt;/Year&gt;&lt;RecNum&gt;897&lt;/RecNum&gt;&lt;DisplayText&gt;(Mikhail et al., 2018)&lt;/DisplayText&gt;&lt;record&gt;&lt;rec-number&gt;897&lt;/rec-number&gt;&lt;foreign-keys&gt;&lt;key app="EN" db-id="90p22wx96ddedpe0r9pxtt9gzz05dd5ev299" timestamp="1657000537"&gt;897&lt;/key&gt;&lt;/foreign-keys&gt;&lt;ref-type name="Journal Article"&gt;17&lt;/ref-type&gt;&lt;contributors&gt;&lt;authors&gt;&lt;author&gt;Mikhail, Alexandre&lt;/author&gt;&lt;author&gt;Tanoli, Omaid&lt;/author&gt;&lt;author&gt;Légaré, Gilles&lt;/author&gt;&lt;author&gt;Dubé, Pierre-André&lt;/author&gt;&lt;author&gt;Habel, Youssef&lt;/author&gt;&lt;author&gt;Lesage, Alain&lt;/author&gt;&lt;author&gt;Low, Nancy C. P.&lt;/author&gt;&lt;author&gt;Lamarre, Suzanne&lt;/author&gt;&lt;author&gt;Singh, Santokh&lt;/author&gt;&lt;author&gt;Rahme, Elham&lt;/author&gt;&lt;/authors&gt;&lt;/contributors&gt;&lt;titles&gt;&lt;title&gt;Over-the-Counter Drugs and Other Substances Used in Attempted Suicide Presented to Emergency Departments in Montreal, Canada&lt;/title&gt;&lt;secondary-title&gt;Crisis: The Journal of Crisis Intervention &amp;amp; Suicide Prevention&lt;/secondary-title&gt;&lt;/titles&gt;&lt;pages&gt;1-10&lt;/pages&gt;&lt;dates&gt;&lt;year&gt;2018&lt;/year&gt;&lt;/dates&gt;&lt;accession-num&gt;131893270. Language: English. Entry Date: In Process. Revision Date: 20200111. Publication Type: journal article. Journal Subset: Biomedical&lt;/accession-num&gt;&lt;urls&gt;&lt;related-urls&gt;&lt;url&gt;https://search.ebscohost.com/login.aspx?direct=true&amp;amp;db=cin20&amp;amp;AN=131893270&amp;amp;site=ehost-live&lt;/url&gt;&lt;/related-urls&gt;&lt;/urls&gt;&lt;electronic-resource-num&gt;10.1027/0227-5910/a000545&lt;/electronic-resource-num&gt;&lt;/record&gt;&lt;/Cite&gt;&lt;/EndNote&gt;</w:instrText>
      </w:r>
      <w:r w:rsidRPr="0091560A">
        <w:rPr>
          <w:rFonts w:cs="Times New Roman"/>
          <w:szCs w:val="24"/>
        </w:rPr>
        <w:fldChar w:fldCharType="separate"/>
      </w:r>
      <w:r w:rsidRPr="0091560A">
        <w:rPr>
          <w:rFonts w:cs="Times New Roman"/>
          <w:noProof/>
          <w:szCs w:val="24"/>
        </w:rPr>
        <w:t>(Mikhail et al., 2018)</w:t>
      </w:r>
      <w:r w:rsidRPr="0091560A">
        <w:rPr>
          <w:rFonts w:cs="Times New Roman"/>
          <w:szCs w:val="24"/>
        </w:rPr>
        <w:fldChar w:fldCharType="end"/>
      </w:r>
      <w:r w:rsidRPr="0091560A">
        <w:rPr>
          <w:rFonts w:cs="Times New Roman"/>
          <w:szCs w:val="24"/>
        </w:rPr>
        <w:t xml:space="preserve">, discovery of suicide attempt </w:t>
      </w:r>
      <w:r w:rsidRPr="0091560A">
        <w:rPr>
          <w:rFonts w:cs="Times New Roman"/>
          <w:szCs w:val="24"/>
        </w:rPr>
        <w:fldChar w:fldCharType="begin"/>
      </w:r>
      <w:r w:rsidR="00D709C3" w:rsidRPr="0091560A">
        <w:rPr>
          <w:rFonts w:cs="Times New Roman"/>
          <w:szCs w:val="24"/>
        </w:rPr>
        <w:instrText xml:space="preserve"> ADDIN EN.CITE &lt;EndNote&gt;&lt;Cite&gt;&lt;Author&gt;Hedeland&lt;/Author&gt;&lt;Year&gt;2013&lt;/Year&gt;&lt;RecNum&gt;884&lt;/RecNum&gt;&lt;DisplayText&gt;(Hedeland et al., 2013)&lt;/DisplayText&gt;&lt;record&gt;&lt;rec-number&gt;884&lt;/rec-number&gt;&lt;foreign-keys&gt;&lt;key app="EN" db-id="90p22wx96ddedpe0r9pxtt9gzz05dd5ev299" timestamp="1657000537"&gt;884&lt;/key&gt;&lt;/foreign-keys&gt;&lt;ref-type name="Journal Article"&gt;17&lt;/ref-type&gt;&lt;contributors&gt;&lt;authors&gt;&lt;author&gt;Hedeland, R. L.&lt;/author&gt;&lt;author&gt;Jorgensen, M. H.&lt;/author&gt;&lt;author&gt;Teilmann, G.&lt;/author&gt;&lt;author&gt;Thiesen, L. R.&lt;/author&gt;&lt;author&gt;Valentiner, M.&lt;/author&gt;&lt;author&gt;Iskandar, A.&lt;/author&gt;&lt;author&gt;Morthorst, B.&lt;/author&gt;&lt;author&gt;Andersen, J.&lt;/author&gt;&lt;/authors&gt;&lt;/contributors&gt;&lt;titles&gt;&lt;title&gt;Childhood suicide attempts with acetaminophen in Denmark: characteristics, social behaviour, trends and risk factors&lt;/title&gt;&lt;secondary-title&gt;Scandinavian journal of public health&lt;/secondary-title&gt;&lt;/titles&gt;&lt;pages&gt;240-246&lt;/pages&gt;&lt;volume&gt;41&lt;/volume&gt;&lt;number&gt;3&lt;/number&gt;&lt;dates&gt;&lt;year&gt;2013&lt;/year&gt;&lt;/dates&gt;&lt;urls&gt;&lt;related-urls&gt;&lt;url&gt;http://ovidsp.ovid.com/ovidweb.cgi?T=JS&amp;amp;PAGE=reference&amp;amp;D=emed14&amp;amp;NEWS=N&amp;amp;AN=369160785&lt;/url&gt;&lt;/related-urls&gt;&lt;/urls&gt;&lt;electronic-resource-num&gt;http://dx.doi.org/10.1177/1403494812474122&lt;/electronic-resource-num&gt;&lt;/record&gt;&lt;/Cite&gt;&lt;/EndNote&gt;</w:instrText>
      </w:r>
      <w:r w:rsidRPr="0091560A">
        <w:rPr>
          <w:rFonts w:cs="Times New Roman"/>
          <w:szCs w:val="24"/>
        </w:rPr>
        <w:fldChar w:fldCharType="separate"/>
      </w:r>
      <w:r w:rsidRPr="0091560A">
        <w:rPr>
          <w:rFonts w:cs="Times New Roman"/>
          <w:noProof/>
          <w:szCs w:val="24"/>
        </w:rPr>
        <w:t>(Hedeland et al., 2013)</w:t>
      </w:r>
      <w:r w:rsidRPr="0091560A">
        <w:rPr>
          <w:rFonts w:cs="Times New Roman"/>
          <w:szCs w:val="24"/>
        </w:rPr>
        <w:fldChar w:fldCharType="end"/>
      </w:r>
      <w:r w:rsidRPr="0091560A">
        <w:rPr>
          <w:rFonts w:cs="Times New Roman"/>
          <w:szCs w:val="24"/>
        </w:rPr>
        <w:t xml:space="preserve">, location of self-poisoning </w:t>
      </w:r>
      <w:r w:rsidRPr="0091560A">
        <w:rPr>
          <w:rFonts w:cs="Times New Roman"/>
          <w:szCs w:val="24"/>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rFonts w:cs="Times New Roman"/>
          <w:szCs w:val="24"/>
        </w:rPr>
        <w:instrText xml:space="preserve"> ADDIN EN.CITE </w:instrText>
      </w:r>
      <w:r w:rsidR="005C4946">
        <w:rPr>
          <w:rFonts w:cs="Times New Roman"/>
          <w:szCs w:val="24"/>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rFonts w:cs="Times New Roman"/>
          <w:szCs w:val="24"/>
        </w:rPr>
        <w:instrText xml:space="preserve"> ADDIN EN.CITE.DATA </w:instrText>
      </w:r>
      <w:r w:rsidR="005C4946">
        <w:rPr>
          <w:rFonts w:cs="Times New Roman"/>
          <w:szCs w:val="24"/>
        </w:rPr>
      </w:r>
      <w:r w:rsidR="005C4946">
        <w:rPr>
          <w:rFonts w:cs="Times New Roman"/>
          <w:szCs w:val="24"/>
        </w:rPr>
        <w:fldChar w:fldCharType="end"/>
      </w:r>
      <w:r w:rsidRPr="0091560A">
        <w:rPr>
          <w:rFonts w:cs="Times New Roman"/>
          <w:szCs w:val="24"/>
        </w:rPr>
      </w:r>
      <w:r w:rsidRPr="0091560A">
        <w:rPr>
          <w:rFonts w:cs="Times New Roman"/>
          <w:szCs w:val="24"/>
        </w:rPr>
        <w:fldChar w:fldCharType="separate"/>
      </w:r>
      <w:r w:rsidRPr="0091560A">
        <w:rPr>
          <w:rFonts w:cs="Times New Roman"/>
          <w:noProof/>
          <w:szCs w:val="24"/>
        </w:rPr>
        <w:t>(Hopkins et al., 2020)</w:t>
      </w:r>
      <w:r w:rsidRPr="0091560A">
        <w:rPr>
          <w:rFonts w:cs="Times New Roman"/>
          <w:szCs w:val="24"/>
        </w:rPr>
        <w:fldChar w:fldCharType="end"/>
      </w:r>
      <w:r w:rsidRPr="0091560A">
        <w:rPr>
          <w:rFonts w:cs="Times New Roman"/>
          <w:szCs w:val="24"/>
        </w:rPr>
        <w:t xml:space="preserve">, duration of suicidal ideation </w:t>
      </w:r>
      <w:r w:rsidRPr="0091560A">
        <w:rPr>
          <w:rFonts w:cs="Times New Roman"/>
          <w:szCs w:val="24"/>
        </w:rPr>
        <w:fldChar w:fldCharType="begin"/>
      </w:r>
      <w:r w:rsidR="00D709C3" w:rsidRPr="0091560A">
        <w:rPr>
          <w:rFonts w:cs="Times New Roman"/>
          <w:szCs w:val="24"/>
        </w:rPr>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rPr>
          <w:rFonts w:cs="Times New Roman"/>
          <w:szCs w:val="24"/>
        </w:rPr>
        <w:fldChar w:fldCharType="separate"/>
      </w:r>
      <w:r w:rsidRPr="0091560A">
        <w:rPr>
          <w:rFonts w:cs="Times New Roman"/>
          <w:noProof/>
          <w:szCs w:val="24"/>
        </w:rPr>
        <w:t>(Hedeland et al., 2016)</w:t>
      </w:r>
      <w:r w:rsidRPr="0091560A">
        <w:rPr>
          <w:rFonts w:cs="Times New Roman"/>
          <w:szCs w:val="24"/>
        </w:rPr>
        <w:fldChar w:fldCharType="end"/>
      </w:r>
      <w:r w:rsidRPr="0091560A">
        <w:rPr>
          <w:rFonts w:cs="Times New Roman"/>
          <w:szCs w:val="24"/>
        </w:rPr>
        <w:t xml:space="preserve">, presence or absence of a prescription for other medications </w:t>
      </w:r>
      <w:r w:rsidRPr="0091560A">
        <w:rPr>
          <w:rFonts w:cs="Times New Roman"/>
          <w:szCs w:val="24"/>
        </w:rPr>
        <w:fldChar w:fldCharType="begin"/>
      </w:r>
      <w:r w:rsidR="00D709C3" w:rsidRPr="0091560A">
        <w:rPr>
          <w:rFonts w:cs="Times New Roman"/>
          <w:szCs w:val="24"/>
        </w:rPr>
        <w:instrText xml:space="preserve"> ADDIN EN.CITE &lt;EndNote&gt;&lt;Cite&gt;&lt;Author&gt;Vancayseele&lt;/Author&gt;&lt;Year&gt;2019&lt;/Year&gt;&lt;RecNum&gt;921&lt;/RecNum&gt;&lt;DisplayText&gt;(Vancayseele et al., 2019)&lt;/DisplayText&gt;&lt;record&gt;&lt;rec-number&gt;921&lt;/rec-number&gt;&lt;foreign-keys&gt;&lt;key app="EN" db-id="90p22wx96ddedpe0r9pxtt9gzz05dd5ev299" timestamp="1657000537"&gt;921&lt;/key&gt;&lt;/foreign-keys&gt;&lt;ref-type name="Journal Article"&gt;17&lt;/ref-type&gt;&lt;contributors&gt;&lt;authors&gt;&lt;author&gt;Vancayseele, N.&lt;/author&gt;&lt;author&gt;Rotsaert, I.&lt;/author&gt;&lt;author&gt;Portzky, G.&lt;/author&gt;&lt;author&gt;Van Heeringen, K.&lt;/author&gt;&lt;/authors&gt;&lt;/contributors&gt;&lt;titles&gt;&lt;title&gt;Medication used in intentional drug overdose in Flanders 2008-2013&lt;/title&gt;&lt;secondary-title&gt;PLoS ONE&lt;/secondary-title&gt;&lt;/titles&gt;&lt;periodical&gt;&lt;full-title&gt;PLoS One&lt;/full-title&gt;&lt;/periodical&gt;&lt;pages&gt;e0216317&lt;/pages&gt;&lt;volume&gt;14&lt;/volume&gt;&lt;number&gt;5&lt;/number&gt;&lt;dates&gt;&lt;year&gt;2019&lt;/year&gt;&lt;/dates&gt;&lt;urls&gt;&lt;related-urls&gt;&lt;url&gt;https://journals.plos.org/plosone/article/file?id=10.1371/journal.pone.0216317&amp;amp;type=printablehttp://ovidsp.ovid.com/ovidweb.cgi?T=JS&amp;amp;PAGE=reference&amp;amp;D=emed20&amp;amp;NEWS=N&amp;amp;AN=2001958215&lt;/url&gt;&lt;/related-urls&gt;&lt;/urls&gt;&lt;electronic-resource-num&gt;http://dx.doi.org/10.1371/journal.pone.0216317&lt;/electronic-resource-num&gt;&lt;/record&gt;&lt;/Cite&gt;&lt;/EndNote&gt;</w:instrText>
      </w:r>
      <w:r w:rsidRPr="0091560A">
        <w:rPr>
          <w:rFonts w:cs="Times New Roman"/>
          <w:szCs w:val="24"/>
        </w:rPr>
        <w:fldChar w:fldCharType="separate"/>
      </w:r>
      <w:r w:rsidRPr="0091560A">
        <w:rPr>
          <w:rFonts w:cs="Times New Roman"/>
          <w:noProof/>
          <w:szCs w:val="24"/>
        </w:rPr>
        <w:t>(Vancayseele et al., 2019)</w:t>
      </w:r>
      <w:r w:rsidRPr="0091560A">
        <w:rPr>
          <w:rFonts w:cs="Times New Roman"/>
          <w:szCs w:val="24"/>
        </w:rPr>
        <w:fldChar w:fldCharType="end"/>
      </w:r>
      <w:r w:rsidRPr="0091560A">
        <w:rPr>
          <w:rFonts w:cs="Times New Roman"/>
          <w:szCs w:val="24"/>
        </w:rPr>
        <w:t xml:space="preserve">, and whether other self-harm methods were used in conjunction with self-poisoning </w:t>
      </w:r>
      <w:r w:rsidRPr="0091560A">
        <w:rPr>
          <w:rFonts w:cs="Times New Roman"/>
          <w:szCs w:val="24"/>
        </w:rPr>
        <w:fldChar w:fldCharType="begin"/>
      </w:r>
      <w:r w:rsidR="006E08D8">
        <w:rPr>
          <w:rFonts w:cs="Times New Roman"/>
          <w:szCs w:val="24"/>
        </w:rPr>
        <w:instrText xml:space="preserve"> ADDIN EN.CITE &lt;EndNote&gt;&lt;Cite&gt;&lt;Author&gt;Daly&lt;/Author&gt;&lt;Year&gt;2021&lt;/Year&gt;&lt;RecNum&gt;868&lt;/RecNum&gt;&lt;DisplayText&gt;(Daly et al., 2021a)&lt;/DisplayText&gt;&lt;record&gt;&lt;rec-number&gt;868&lt;/rec-number&gt;&lt;foreign-keys&gt;&lt;key app="EN" db-id="90p22wx96ddedpe0r9pxtt9gzz05dd5ev299" timestamp="1657000537"&gt;868&lt;/key&gt;&lt;/foreign-keys&gt;&lt;ref-type name="Journal Article"&gt;17&lt;/ref-type&gt;&lt;contributors&gt;&lt;authors&gt;&lt;author&gt;Daly, C.&lt;/author&gt;&lt;author&gt;Griffin, E.&lt;/author&gt;&lt;author&gt;McMahon, E.&lt;/author&gt;&lt;author&gt;Corcoran, P.&lt;/author&gt;&lt;author&gt;Webb, R. T.&lt;/author&gt;&lt;author&gt;Ashcroft, D. M.&lt;/author&gt;&lt;author&gt;Arensman, E.&lt;/author&gt;&lt;/authors&gt;&lt;/contributors&gt;&lt;titles&gt;&lt;title&gt;Paracetamol-related intentional drug overdose among young people: a national registry study of characteristics, incidence and trends, 2007-2018&lt;/title&gt;&lt;secondary-title&gt;Social psychiatry and psychiatric epidemiology&lt;/secondary-title&gt;&lt;/titles&gt;&lt;pages&gt;773-781&lt;/pages&gt;&lt;volume&gt;56&lt;/volume&gt;&lt;number&gt;5&lt;/number&gt;&lt;dates&gt;&lt;year&gt;2021&lt;/year&gt;&lt;/dates&gt;&lt;urls&gt;&lt;related-urls&gt;&lt;url&gt;http://ovidsp.ovid.com/ovidweb.cgi?T=JS&amp;amp;PAGE=reference&amp;amp;D=emed22&amp;amp;NEWS=N&amp;amp;AN=633342926&lt;/url&gt;&lt;/related-urls&gt;&lt;/urls&gt;&lt;electronic-resource-num&gt;http://dx.doi.org/10.1007/s00127-020-01981-y&lt;/electronic-resource-num&gt;&lt;/record&gt;&lt;/Cite&gt;&lt;/EndNote&gt;</w:instrText>
      </w:r>
      <w:r w:rsidRPr="0091560A">
        <w:rPr>
          <w:rFonts w:cs="Times New Roman"/>
          <w:szCs w:val="24"/>
        </w:rPr>
        <w:fldChar w:fldCharType="separate"/>
      </w:r>
      <w:r w:rsidR="00B567D3">
        <w:rPr>
          <w:rFonts w:cs="Times New Roman"/>
          <w:noProof/>
          <w:szCs w:val="24"/>
        </w:rPr>
        <w:t>(Daly et al., 2021a)</w:t>
      </w:r>
      <w:r w:rsidRPr="0091560A">
        <w:rPr>
          <w:rFonts w:cs="Times New Roman"/>
          <w:szCs w:val="24"/>
        </w:rPr>
        <w:fldChar w:fldCharType="end"/>
      </w:r>
      <w:r w:rsidRPr="0091560A">
        <w:rPr>
          <w:rFonts w:cs="Times New Roman"/>
          <w:szCs w:val="24"/>
        </w:rPr>
        <w:t xml:space="preserve">. </w:t>
      </w:r>
    </w:p>
    <w:p w14:paraId="3569DE91" w14:textId="77777777" w:rsidR="00574EB4" w:rsidRPr="0091560A" w:rsidRDefault="00574EB4" w:rsidP="00574EB4">
      <w:pPr>
        <w:spacing w:after="0"/>
        <w:rPr>
          <w:rFonts w:cs="Times New Roman"/>
          <w:b/>
          <w:bCs/>
          <w:szCs w:val="24"/>
        </w:rPr>
      </w:pPr>
    </w:p>
    <w:p w14:paraId="398C205E" w14:textId="196A4D01" w:rsidR="00574EB4" w:rsidRPr="0091560A" w:rsidRDefault="00574EB4" w:rsidP="00E40DB5">
      <w:r w:rsidRPr="0091560A">
        <w:rPr>
          <w:b/>
        </w:rPr>
        <w:t xml:space="preserve">Table </w:t>
      </w:r>
      <w:r w:rsidR="00325413">
        <w:rPr>
          <w:b/>
        </w:rPr>
        <w:t>32</w:t>
      </w:r>
      <w:r w:rsidRPr="0091560A">
        <w:t xml:space="preserve"> presents the findings of studies that assessed the motivations, behavioural characteristics and knowledge of people engaging in self-poisoning via paracetamol or other non-opioid analgesics and tended to include outcomes such as self-poisoning motives, planning, access, impulsiveness of the self-poisoning behaviour, and knowledge of the effects and harms of paracetamol.</w:t>
      </w:r>
    </w:p>
    <w:p w14:paraId="4FC278C2" w14:textId="77777777" w:rsidR="00574EB4" w:rsidRPr="0091560A" w:rsidRDefault="00574EB4" w:rsidP="00574EB4">
      <w:pPr>
        <w:spacing w:after="0"/>
        <w:rPr>
          <w:rFonts w:cs="Times New Roman"/>
          <w:szCs w:val="24"/>
        </w:rPr>
      </w:pPr>
    </w:p>
    <w:p w14:paraId="729F96AC" w14:textId="2436642D" w:rsidR="00574EB4" w:rsidRPr="0091560A" w:rsidRDefault="00574EB4" w:rsidP="00E40DB5">
      <w:r w:rsidRPr="0091560A">
        <w:rPr>
          <w:b/>
        </w:rPr>
        <w:t xml:space="preserve">Method choice: </w:t>
      </w:r>
      <w:r w:rsidRPr="0091560A">
        <w:t xml:space="preserve">Two of the identified studies assessed the reasons people choose to self-harm with paracetamol and found that the availability and ready access of paracetamol (both in the home and to purchase) was a key driver to its use, as well as an awareness that it could be dangerous and an effective method of self-poisoning </w:t>
      </w:r>
      <w:r w:rsidRPr="0091560A">
        <w:fldChar w:fldCharType="begin"/>
      </w:r>
      <w:r w:rsidR="00D709C3" w:rsidRPr="0091560A">
        <w:instrText xml:space="preserve"> ADDIN EN.CITE &lt;EndNote&gt;&lt;Cite&gt;&lt;Author&gt;Hawton&lt;/Author&gt;&lt;Year&gt;1995&lt;/Year&gt;&lt;RecNum&gt;922&lt;/RecNum&gt;&lt;DisplayText&gt;(K. Hawton et al., 1995; Simkin et al., 2012)&lt;/DisplayText&gt;&lt;record&gt;&lt;rec-number&gt;922&lt;/rec-number&gt;&lt;foreign-keys&gt;&lt;key app="EN" db-id="90p22wx96ddedpe0r9pxtt9gzz05dd5ev299" timestamp="1657000537"&gt;922&lt;/key&gt;&lt;/foreign-keys&gt;&lt;ref-type name="Journal Article"&gt;17&lt;/ref-type&gt;&lt;contributors&gt;&lt;authors&gt;&lt;author&gt;Hawton, Keith&lt;/author&gt;&lt;author&gt;Ware, Christopher&lt;/author&gt;&lt;author&gt;Mistry, Hamant&lt;/author&gt;&lt;author&gt;Hewitt, Jonathan&lt;/author&gt;&lt;author&gt;Kingsbury, Stephen&lt;/author&gt;&lt;author&gt;Roberts, Dave&lt;/author&gt;&lt;author&gt;Weitzel, Heather&lt;/author&gt;&lt;/authors&gt;&lt;/contributors&gt;&lt;titles&gt;&lt;title&gt;Why patients choose paracetamol for self poisoning and their knowledge of its dangers&lt;/title&gt;&lt;secondary-title&gt;BMJ&lt;/secondary-title&gt;&lt;/titles&gt;&lt;pages&gt;164&lt;/pages&gt;&lt;volume&gt;310&lt;/volume&gt;&lt;number&gt;6973&lt;/number&gt;&lt;dates&gt;&lt;year&gt;1995&lt;/year&gt;&lt;/dates&gt;&lt;urls&gt;&lt;related-urls&gt;&lt;url&gt;http://www.bmj.com/content/310/6973/164.1.abstract&lt;/url&gt;&lt;/related-urls&gt;&lt;/urls&gt;&lt;electronic-resource-num&gt;10.1136/bmj.310.6973.164&lt;/electronic-resource-num&gt;&lt;/record&gt;&lt;/Cite&gt;&lt;Cite&gt;&lt;Author&gt;Simkin&lt;/Author&gt;&lt;Year&gt;2012&lt;/Year&gt;&lt;RecNum&gt;916&lt;/RecNum&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(K. Hawton et al., 1995; Simkin et al., 2012)</w:t>
      </w:r>
      <w:r w:rsidRPr="0091560A">
        <w:fldChar w:fldCharType="end"/>
      </w:r>
      <w:r w:rsidRPr="0091560A">
        <w:t>. Knowing someone else who had</w:t>
      </w:r>
      <w:r w:rsidR="004E5607">
        <w:t xml:space="preserve"> self-poisoned with</w:t>
      </w:r>
      <w:r w:rsidRPr="0091560A">
        <w:t xml:space="preserve"> paracetamol was also a reason why some people chose to self-poison with paracetamol, as well as identifying it as a method of self-harm on the internet or reading or seeing it in the media </w:t>
      </w:r>
      <w:r w:rsidRPr="0091560A">
        <w:fldChar w:fldCharType="begin"/>
      </w:r>
      <w:r w:rsidR="00D709C3" w:rsidRPr="0091560A">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(Simkin et al., 2012)</w:t>
      </w:r>
      <w:r w:rsidRPr="0091560A">
        <w:fldChar w:fldCharType="end"/>
      </w:r>
      <w:r w:rsidRPr="0091560A">
        <w:t xml:space="preserve">.  </w:t>
      </w:r>
    </w:p>
    <w:p w14:paraId="6F642969" w14:textId="77777777" w:rsidR="00574EB4" w:rsidRPr="0091560A" w:rsidRDefault="00574EB4" w:rsidP="00574EB4">
      <w:pPr>
        <w:spacing w:after="0"/>
        <w:rPr>
          <w:rFonts w:cs="Times New Roman"/>
          <w:szCs w:val="24"/>
        </w:rPr>
      </w:pPr>
    </w:p>
    <w:p w14:paraId="709594C2" w14:textId="27FCA26D" w:rsidR="00574EB4" w:rsidRPr="0091560A" w:rsidRDefault="00574EB4" w:rsidP="00E40DB5">
      <w:r w:rsidRPr="0091560A">
        <w:rPr>
          <w:b/>
        </w:rPr>
        <w:t>Access to paracetamol:</w:t>
      </w:r>
      <w:r w:rsidRPr="0091560A">
        <w:t xml:space="preserve"> Seven studies reported on access to paracetamol, with a recent study conducted with adolescents aged 11-17 years finding that 65.8% of participants self-poisoned with an over-the-counter medication that was available in their home </w:t>
      </w:r>
      <w:r w:rsidRPr="0091560A">
        <w:fldChar w:fldCharType="begin"/>
      </w:r>
      <w:r w:rsidR="00D709C3" w:rsidRPr="0091560A">
        <w:instrText xml:space="preserve"> ADDIN EN.CITE &lt;EndNote&gt;&lt;Cite&gt;&lt;Author&gt;Larson&lt;/Author&gt;&lt;Year&gt;2022&lt;/Year&gt;&lt;RecNum&gt;893&lt;/RecNum&gt;&lt;DisplayText&gt;(Larson et al., 2022)&lt;/DisplayText&gt;&lt;record&gt;&lt;rec-number&gt;893&lt;/rec-number&gt;&lt;foreign-keys&gt;&lt;key app="EN" db-id="90p22wx96ddedpe0r9pxtt9gzz05dd5ev299" timestamp="1657000537"&gt;893&lt;/key&gt;&lt;/foreign-keys&gt;&lt;ref-type name="Journal Article"&gt;17&lt;/ref-type&gt;&lt;contributors&gt;&lt;authors&gt;&lt;author&gt;Larson, Emma K.&lt;/author&gt;&lt;author&gt;Johnson, Kyle P.&lt;/author&gt;&lt;author&gt;Sheridan, David C.&lt;/author&gt;&lt;/authors&gt;&lt;/contributors&gt;&lt;titles&gt;&lt;title&gt;Sources of Medications Used by Children and Adolescents for Intentional Ingestion: A Retrospective Chart Review&lt;/title&gt;&lt;secondary-title&gt;Pediatric emergency care&lt;/secondary-title&gt;&lt;/titles&gt;&lt;pages&gt;e1213-e1216&lt;/pages&gt;&lt;volume&gt;38&lt;/volume&gt;&lt;number&gt;4&lt;/number&gt;&lt;dates&gt;&lt;year&gt;2022&lt;/year&gt;&lt;/dates&gt;&lt;urls&gt;&lt;related-urls&gt;&lt;url&gt;http://ovidsp.ovid.com/ovidweb.cgi?T=JS&amp;amp;PAGE=reference&amp;amp;D=med20&amp;amp;NEWS=N&amp;amp;AN=34608059&lt;/url&gt;&lt;/related-urls&gt;&lt;/urls&gt;&lt;electronic-resource-num&gt;https://dx.doi.org/10.1097/PEC.0000000000002553&lt;/electronic-resource-num&gt;&lt;/record&gt;&lt;/Cite&gt;&lt;/EndNote&gt;</w:instrText>
      </w:r>
      <w:r w:rsidRPr="0091560A">
        <w:fldChar w:fldCharType="separate"/>
      </w:r>
      <w:r w:rsidRPr="0091560A">
        <w:t>(Larson et al., 2022)</w:t>
      </w:r>
      <w:r w:rsidRPr="0091560A">
        <w:fldChar w:fldCharType="end"/>
      </w:r>
      <w:r w:rsidRPr="0091560A">
        <w:t xml:space="preserve">. Another study in adults found that 53.3% of participants self-poisoned with paracetamol that was already in the home, while 35% accessed paracetamol from a supermarket, 28.3% from a pharmacy, and 13.3% from a local shop </w:t>
      </w:r>
      <w:r w:rsidRPr="0091560A">
        <w:fldChar w:fldCharType="begin"/>
      </w:r>
      <w:r w:rsidR="00D709C3" w:rsidRPr="0091560A">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(Simkin et al., 2012)</w:t>
      </w:r>
      <w:r w:rsidRPr="0091560A">
        <w:fldChar w:fldCharType="end"/>
      </w:r>
      <w:r w:rsidRPr="0091560A">
        <w:t xml:space="preserve">. Three studies further reported that 52%-58.3% of participants purchased paracetamol specifically for </w:t>
      </w:r>
      <w:r w:rsidR="004E5607">
        <w:t>intentional self-poisoning</w:t>
      </w:r>
      <w:r w:rsidRPr="0091560A">
        <w:t xml:space="preserve"> </w:t>
      </w:r>
      <w:r w:rsidRPr="0091560A">
        <w:fldChar w:fldCharType="begin">
          <w:fldData xml:space="preserve">PEVuZE5vdGU+PENpdGU+PEF1dGhvcj5IYXd0b248L0F1dGhvcj48WWVhcj4xOTk1PC9ZZWFyPjxS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</w:fldData>
        </w:fldChar>
      </w:r>
      <w:r w:rsidR="00D709C3" w:rsidRPr="0091560A">
        <w:instrText xml:space="preserve"> ADDIN EN.CITE </w:instrText>
      </w:r>
      <w:r w:rsidR="00D709C3" w:rsidRPr="0091560A">
        <w:fldChar w:fldCharType="begin">
          <w:fldData xml:space="preserve">PEVuZE5vdGU+PENpdGU+PEF1dGhvcj5IYXd0b248L0F1dGhvcj48WWVhcj4xOTk1PC9ZZWFyPjxS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</w:fldData>
        </w:fldChar>
      </w:r>
      <w:r w:rsidR="00D709C3" w:rsidRPr="0091560A">
        <w:instrText xml:space="preserve"> ADDIN EN.CITE.DATA </w:instrText>
      </w:r>
      <w:r w:rsidR="00D709C3" w:rsidRPr="0091560A">
        <w:fldChar w:fldCharType="end"/>
      </w:r>
      <w:r w:rsidRPr="0091560A">
        <w:fldChar w:fldCharType="separate"/>
      </w:r>
      <w:r w:rsidRPr="0091560A">
        <w:t>(K. Hawton et al., 1995; K. Hawton et al., 1996; Simkin et al., 2012)</w:t>
      </w:r>
      <w:r w:rsidRPr="0091560A">
        <w:fldChar w:fldCharType="end"/>
      </w:r>
      <w:r w:rsidRPr="0091560A">
        <w:t xml:space="preserve">. The ready access to paracetamol in the home, particularly among young people, was supported by a study by Gilbertson and colleagues </w:t>
      </w:r>
      <w:r w:rsidRPr="0091560A">
        <w:fldChar w:fldCharType="begin"/>
      </w:r>
      <w:r w:rsidR="006E5557">
        <w:instrText xml:space="preserve"> ADDIN EN.CITE &lt;EndNote&gt;&lt;Cite&gt;&lt;Author&gt;Gilbertson&lt;/Author&gt;&lt;Year&gt;1996&lt;/Year&gt;&lt;RecNum&gt;872&lt;/RecNum&gt;&lt;DisplayText&gt;(Gilbertson, Harris, Pandey, Kelly, &amp;amp; Myers, 1996)&lt;/DisplayText&gt;&lt;record&gt;&lt;rec-number&gt;872&lt;/rec-number&gt;&lt;foreign-keys&gt;&lt;key app="EN" db-id="90p22wx96ddedpe0r9pxtt9gzz05dd5ev299" timestamp="1657000537"&gt;872&lt;/key&gt;&lt;/foreign-keys&gt;&lt;ref-type name="Journal Article"&gt;17&lt;/ref-type&gt;&lt;contributors&gt;&lt;authors&gt;&lt;author&gt;Gilbertson, R. J.&lt;/author&gt;&lt;author&gt;Harris, E.&lt;/author&gt;&lt;author&gt;Pandey, S. K.&lt;/author&gt;&lt;author&gt;Kelly, P.&lt;/author&gt;&lt;author&gt;Myers, W.&lt;/author&gt;&lt;/authors&gt;&lt;/contributors&gt;&lt;titles&gt;&lt;title&gt;Paracetamol use, availability, and knowledge of toxicity among British and American adolescents&lt;/title&gt;&lt;secondary-title&gt;Archives of Disease in Childhood&lt;/secondary-title&gt;&lt;/titles&gt;&lt;periodical&gt;&lt;full-title&gt;Archives of Disease in Childhood&lt;/full-title&gt;&lt;/periodical&gt;&lt;pages&gt;194-198&lt;/pages&gt;&lt;volume&gt;75&lt;/volume&gt;&lt;number&gt;3&lt;/number&gt;&lt;dates&gt;&lt;year&gt;1996&lt;/year&gt;&lt;/dates&gt;&lt;urls&gt;&lt;related-urls&gt;&lt;url&gt;http://ovidsp.ovid.com/ovidweb.cgi?T=JS&amp;amp;PAGE=reference&amp;amp;D=emed6&amp;amp;NEWS=N&amp;amp;AN=26313262&lt;/url&gt;&lt;/related-urls&gt;&lt;/urls&gt;&lt;electronic-resource-num&gt;http://dx.doi.org/10.1136/adc.75.3.194&lt;/electronic-resource-num&gt;&lt;/record&gt;&lt;/Cite&gt;&lt;/EndNote&gt;</w:instrText>
      </w:r>
      <w:r w:rsidRPr="0091560A">
        <w:fldChar w:fldCharType="separate"/>
      </w:r>
      <w:r w:rsidRPr="0091560A">
        <w:t>(Gilbertson, Harris, Pandey, Kelly, &amp; Myers, 1996)</w:t>
      </w:r>
      <w:r w:rsidRPr="0091560A">
        <w:fldChar w:fldCharType="end"/>
      </w:r>
      <w:r w:rsidRPr="0091560A">
        <w:t xml:space="preserve"> who reported that 86%-94% of students in the US</w:t>
      </w:r>
      <w:r w:rsidR="00415868">
        <w:t>A</w:t>
      </w:r>
      <w:r w:rsidRPr="0091560A">
        <w:t xml:space="preserve"> and UK reported having access to paracetamol in their homes. Two other studies also found that people who use over-the-counter medications and analgesics to self-harm are less likely to possess a prescription for psychotropic medications </w:t>
      </w:r>
      <w:r w:rsidRPr="0091560A">
        <w:fldChar w:fldCharType="begin">
          <w:fldData xml:space="preserve">PEVuZE5vdGU+PENpdGU+PEF1dGhvcj5Db3Jjb3JhbjwvQXV0aG9yPjxZZWFyPjIwMTM8L1llYXI+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</w:fldData>
        </w:fldChar>
      </w:r>
      <w:r w:rsidR="00D709C3" w:rsidRPr="0091560A">
        <w:instrText xml:space="preserve"> ADDIN EN.CITE </w:instrText>
      </w:r>
      <w:r w:rsidR="00D709C3" w:rsidRPr="0091560A">
        <w:fldChar w:fldCharType="begin">
          <w:fldData xml:space="preserve">PEVuZE5vdGU+PENpdGU+PEF1dGhvcj5Db3Jjb3JhbjwvQXV0aG9yPjxZZWFyPjIwMTM8L1llYXI+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</w:fldData>
        </w:fldChar>
      </w:r>
      <w:r w:rsidR="00D709C3" w:rsidRPr="0091560A">
        <w:instrText xml:space="preserve"> ADDIN EN.CITE.DATA </w:instrText>
      </w:r>
      <w:r w:rsidR="00D709C3" w:rsidRPr="0091560A">
        <w:fldChar w:fldCharType="end"/>
      </w:r>
      <w:r w:rsidRPr="0091560A">
        <w:fldChar w:fldCharType="separate"/>
      </w:r>
      <w:r w:rsidRPr="0091560A">
        <w:t>(Corcoran, Heavey, Griffin, Perry, &amp; Arensman, 2013; Lo et al., 2003)</w:t>
      </w:r>
      <w:r w:rsidRPr="0091560A">
        <w:fldChar w:fldCharType="end"/>
      </w:r>
      <w:r w:rsidRPr="0091560A">
        <w:t>.</w:t>
      </w:r>
    </w:p>
    <w:p w14:paraId="3578BACE" w14:textId="77777777" w:rsidR="00574EB4" w:rsidRPr="0091560A" w:rsidRDefault="00574EB4" w:rsidP="00574EB4">
      <w:pPr>
        <w:spacing w:after="0"/>
        <w:rPr>
          <w:rFonts w:cs="Times New Roman"/>
          <w:szCs w:val="24"/>
        </w:rPr>
      </w:pPr>
    </w:p>
    <w:p w14:paraId="73A35310" w14:textId="5B683932" w:rsidR="00574EB4" w:rsidRPr="0091560A" w:rsidRDefault="00574EB4" w:rsidP="00E40DB5">
      <w:r w:rsidRPr="0091560A">
        <w:rPr>
          <w:b/>
        </w:rPr>
        <w:t xml:space="preserve">Planning and impulsivity: </w:t>
      </w:r>
      <w:r w:rsidRPr="0091560A">
        <w:t xml:space="preserve">For the vast majority of people (73.3%-80%) who self-poison with paracetamol the period of planning or contemplation of the act occurs within 24 hours and for a proportion of these people (41%-50%) the period is even shorter and reported to be less than an hour </w:t>
      </w:r>
      <w:r w:rsidRPr="0091560A">
        <w:fldChar w:fldCharType="begin">
          <w:fldData xml:space="preserve">PEVuZE5vdGU+PENpdGU+PEF1dGhvcj5IYXd0b248L0F1dGhvcj48WWVhcj4xOTk2PC9ZZWFyPjxS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</w:fldData>
        </w:fldChar>
      </w:r>
      <w:r w:rsidR="00D709C3" w:rsidRPr="0091560A">
        <w:instrText xml:space="preserve"> ADDIN EN.CITE </w:instrText>
      </w:r>
      <w:r w:rsidR="00D709C3" w:rsidRPr="0091560A">
        <w:fldChar w:fldCharType="begin">
          <w:fldData xml:space="preserve">PEVuZE5vdGU+PENpdGU+PEF1dGhvcj5IYXd0b248L0F1dGhvcj48WWVhcj4xOTk2PC9ZZWFyPjxS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</w:fldData>
        </w:fldChar>
      </w:r>
      <w:r w:rsidR="00D709C3" w:rsidRPr="0091560A">
        <w:instrText xml:space="preserve"> ADDIN EN.CITE.DATA </w:instrText>
      </w:r>
      <w:r w:rsidR="00D709C3" w:rsidRPr="0091560A">
        <w:fldChar w:fldCharType="end"/>
      </w:r>
      <w:r w:rsidRPr="0091560A">
        <w:fldChar w:fldCharType="separate"/>
      </w:r>
      <w:r w:rsidRPr="0091560A">
        <w:t>(K. Hawton et al., 1996; Simkin et al., 2012)</w:t>
      </w:r>
      <w:r w:rsidRPr="0091560A">
        <w:fldChar w:fldCharType="end"/>
      </w:r>
      <w:r w:rsidRPr="0091560A">
        <w:t xml:space="preserve">. Similar levels of planning or impulsivity have been reported in studies conducted with young people. In one study of adolescents aged 10-17 years, only 21% of intentional self-poisonings with paracetamol were planned for more than 24 hours </w:t>
      </w:r>
      <w:r w:rsidRPr="0091560A">
        <w:fldChar w:fldCharType="begin"/>
      </w:r>
      <w:r w:rsidR="00D709C3" w:rsidRPr="0091560A">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fldChar w:fldCharType="separate"/>
      </w:r>
      <w:r w:rsidRPr="0091560A">
        <w:t>(Hedeland et al., 2016)</w:t>
      </w:r>
      <w:r w:rsidRPr="0091560A">
        <w:fldChar w:fldCharType="end"/>
      </w:r>
      <w:r w:rsidRPr="0091560A">
        <w:t xml:space="preserve">, while in a second study with young people aged 11-15 years the rate was even lower with only 12.5% of self-poisonings planned </w:t>
      </w:r>
      <w:r w:rsidRPr="0091560A">
        <w:fldChar w:fldCharType="begin"/>
      </w:r>
      <w:r w:rsidR="00D709C3" w:rsidRPr="0091560A">
        <w:instrText xml:space="preserve"> ADDIN EN.CITE &lt;EndNote&gt;&lt;Cite&gt;&lt;Author&gt;Hedeland&lt;/Author&gt;&lt;Year&gt;2013&lt;/Year&gt;&lt;RecNum&gt;884&lt;/RecNum&gt;&lt;DisplayText&gt;(Hedeland et al., 2013)&lt;/DisplayText&gt;&lt;record&gt;&lt;rec-number&gt;884&lt;/rec-number&gt;&lt;foreign-keys&gt;&lt;key app="EN" db-id="90p22wx96ddedpe0r9pxtt9gzz05dd5ev299" timestamp="1657000537"&gt;884&lt;/key&gt;&lt;/foreign-keys&gt;&lt;ref-type name="Journal Article"&gt;17&lt;/ref-type&gt;&lt;contributors&gt;&lt;authors&gt;&lt;author&gt;Hedeland, R. L.&lt;/author&gt;&lt;author&gt;Jorgensen, M. H.&lt;/author&gt;&lt;author&gt;Teilmann, G.&lt;/author&gt;&lt;author&gt;Thiesen, L. R.&lt;/author&gt;&lt;author&gt;Valentiner, M.&lt;/author&gt;&lt;author&gt;Iskandar, A.&lt;/author&gt;&lt;author&gt;Morthorst, B.&lt;/author&gt;&lt;author&gt;Andersen, J.&lt;/author&gt;&lt;/authors&gt;&lt;/contributors&gt;&lt;titles&gt;&lt;title&gt;Childhood suicide attempts with acetaminophen in Denmark: characteristics, social behaviour, trends and risk factors&lt;/title&gt;&lt;secondary-title&gt;Scandinavian journal of public health&lt;/secondary-title&gt;&lt;/titles&gt;&lt;pages&gt;240-246&lt;/pages&gt;&lt;volume&gt;41&lt;/volume&gt;&lt;number&gt;3&lt;/number&gt;&lt;dates&gt;&lt;year&gt;2013&lt;/year&gt;&lt;/dates&gt;&lt;urls&gt;&lt;related-urls&gt;&lt;url&gt;http://ovidsp.ovid.com/ovidweb.cgi?T=JS&amp;amp;PAGE=reference&amp;amp;D=emed14&amp;amp;NEWS=N&amp;amp;AN=369160785&lt;/url&gt;&lt;/related-urls&gt;&lt;/urls&gt;&lt;electronic-resource-num&gt;http://dx.doi.org/10.1177/1403494812474122&lt;/electronic-resource-num&gt;&lt;/record&gt;&lt;/Cite&gt;&lt;/EndNote&gt;</w:instrText>
      </w:r>
      <w:r w:rsidRPr="0091560A">
        <w:fldChar w:fldCharType="separate"/>
      </w:r>
      <w:r w:rsidRPr="0091560A">
        <w:t>(Hedeland et al., 2013)</w:t>
      </w:r>
      <w:r w:rsidRPr="0091560A">
        <w:fldChar w:fldCharType="end"/>
      </w:r>
      <w:r w:rsidRPr="0091560A">
        <w:t xml:space="preserve">. According to a study by Simkin and colleagues </w:t>
      </w:r>
      <w:r w:rsidRPr="0091560A">
        <w:fldChar w:fldCharType="begin"/>
      </w:r>
      <w:r w:rsidR="00D709C3" w:rsidRPr="0091560A">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(Simkin et al., 2012)</w:t>
      </w:r>
      <w:r w:rsidRPr="0091560A">
        <w:fldChar w:fldCharType="end"/>
      </w:r>
      <w:r w:rsidRPr="0091560A">
        <w:t xml:space="preserve">, people who took impulsive overdoses (within an hour of thinking about it) were more likely (63.3%) to take tablets already available in the home. </w:t>
      </w:r>
    </w:p>
    <w:p w14:paraId="5BB69209" w14:textId="77777777" w:rsidR="00574EB4" w:rsidRPr="0091560A" w:rsidRDefault="00574EB4" w:rsidP="00574EB4">
      <w:pPr>
        <w:spacing w:after="0"/>
        <w:rPr>
          <w:rFonts w:cs="Times New Roman"/>
          <w:szCs w:val="24"/>
        </w:rPr>
      </w:pPr>
    </w:p>
    <w:p w14:paraId="060D3B9D" w14:textId="2743752C" w:rsidR="00574EB4" w:rsidRPr="0091560A" w:rsidRDefault="00574EB4" w:rsidP="00E40DB5">
      <w:r w:rsidRPr="0091560A">
        <w:rPr>
          <w:b/>
        </w:rPr>
        <w:t xml:space="preserve">Motivations: </w:t>
      </w:r>
      <w:r w:rsidRPr="0091560A">
        <w:t xml:space="preserve">Six of the identified studies assessed participant motives for paracetamol self-poisoning </w:t>
      </w:r>
      <w:r w:rsidRPr="0091560A">
        <w:fldChar w:fldCharType="begin">
          <w:fldData xml:space="preserve">PEVuZE5vdGU+PENpdGU+PEF1dGhvcj5IYXd0b248L0F1dGhvcj48WWVhcj4xOTk2PC9ZZWFyPjxS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</w:fldData>
        </w:fldChar>
      </w:r>
      <w:r w:rsidR="00D709C3" w:rsidRPr="0091560A">
        <w:instrText xml:space="preserve"> ADDIN EN.CITE </w:instrText>
      </w:r>
      <w:r w:rsidR="00D709C3" w:rsidRPr="0091560A">
        <w:fldChar w:fldCharType="begin">
          <w:fldData xml:space="preserve">PEVuZE5vdGU+PENpdGU+PEF1dGhvcj5IYXd0b248L0F1dGhvcj48WWVhcj4xOTk2PC9ZZWFyPjxS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</w:fldData>
        </w:fldChar>
      </w:r>
      <w:r w:rsidR="00D709C3" w:rsidRPr="0091560A">
        <w:instrText xml:space="preserve"> ADDIN EN.CITE.DATA </w:instrText>
      </w:r>
      <w:r w:rsidR="00D709C3" w:rsidRPr="0091560A">
        <w:fldChar w:fldCharType="end"/>
      </w:r>
      <w:r w:rsidRPr="0091560A">
        <w:fldChar w:fldCharType="separate"/>
      </w:r>
      <w:r w:rsidRPr="0091560A">
        <w:t>(K. Hawton et al., 1996; Hedeland et al., 2013; Hedeland et al., 2016; Makin &amp; Williams, 2000; Schmidt, 2001; Simkin et al., 2012)</w:t>
      </w:r>
      <w:r w:rsidRPr="0091560A">
        <w:fldChar w:fldCharType="end"/>
      </w:r>
      <w:r w:rsidRPr="0091560A">
        <w:t xml:space="preserve">, with three focused only on young people aged 19 years and under. Some of the more common motives included a desire to die, to relieve a terrible state of mind or escape an intolerable situation, to make other people understand how desperate they were feeling, and to seek help </w:t>
      </w:r>
      <w:r w:rsidRPr="0091560A">
        <w:fldChar w:fldCharType="begin">
          <w:fldData xml:space="preserve">PEVuZE5vdGU+PENpdGU+PEF1dGhvcj5IYXd0b248L0F1dGhvcj48WWVhcj4xOTk2PC9ZZWFyPjxS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</w:fldData>
        </w:fldChar>
      </w:r>
      <w:r w:rsidR="00D709C3" w:rsidRPr="0091560A">
        <w:instrText xml:space="preserve"> ADDIN EN.CITE </w:instrText>
      </w:r>
      <w:r w:rsidR="00D709C3" w:rsidRPr="0091560A">
        <w:fldChar w:fldCharType="begin">
          <w:fldData xml:space="preserve">PEVuZE5vdGU+PENpdGU+PEF1dGhvcj5IYXd0b248L0F1dGhvcj48WWVhcj4xOTk2PC9ZZWFyPjxS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</w:fldData>
        </w:fldChar>
      </w:r>
      <w:r w:rsidR="00D709C3" w:rsidRPr="0091560A">
        <w:instrText xml:space="preserve"> ADDIN EN.CITE.DATA </w:instrText>
      </w:r>
      <w:r w:rsidR="00D709C3" w:rsidRPr="0091560A">
        <w:fldChar w:fldCharType="end"/>
      </w:r>
      <w:r w:rsidRPr="0091560A">
        <w:fldChar w:fldCharType="separate"/>
      </w:r>
      <w:r w:rsidRPr="0091560A">
        <w:t>(K. Hawton et al., 1996; Hedeland et al., 2013; Hedeland et al., 2016; Simkin et al., 2012)</w:t>
      </w:r>
      <w:r w:rsidRPr="0091560A">
        <w:fldChar w:fldCharType="end"/>
      </w:r>
      <w:r w:rsidRPr="0091560A">
        <w:t xml:space="preserve">. A smaller proportion of people reported self-poisoning to influence others or make them feel sorry </w:t>
      </w:r>
      <w:r w:rsidRPr="0091560A">
        <w:fldChar w:fldCharType="begin">
          <w:fldData xml:space="preserve">PEVuZE5vdGU+PENpdGU+PEF1dGhvcj5IYXd0b248L0F1dGhvcj48WWVhcj4xOTk2PC9ZZWFyPjxS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</w:fldData>
        </w:fldChar>
      </w:r>
      <w:r w:rsidR="00D709C3" w:rsidRPr="0091560A">
        <w:instrText xml:space="preserve"> ADDIN EN.CITE </w:instrText>
      </w:r>
      <w:r w:rsidR="00D709C3" w:rsidRPr="0091560A">
        <w:fldChar w:fldCharType="begin">
          <w:fldData xml:space="preserve">PEVuZE5vdGU+PENpdGU+PEF1dGhvcj5IYXd0b248L0F1dGhvcj48WWVhcj4xOTk2PC9ZZWFyPjxS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</w:fldData>
        </w:fldChar>
      </w:r>
      <w:r w:rsidR="00D709C3" w:rsidRPr="0091560A">
        <w:instrText xml:space="preserve"> ADDIN EN.CITE.DATA </w:instrText>
      </w:r>
      <w:r w:rsidR="00D709C3" w:rsidRPr="0091560A">
        <w:fldChar w:fldCharType="end"/>
      </w:r>
      <w:r w:rsidRPr="0091560A">
        <w:fldChar w:fldCharType="separate"/>
      </w:r>
      <w:r w:rsidRPr="0091560A">
        <w:t>(K. Hawton et al., 1996; Hedeland et al., 2013; Simkin et al., 2012)</w:t>
      </w:r>
      <w:r w:rsidRPr="0091560A">
        <w:fldChar w:fldCharType="end"/>
      </w:r>
      <w:r w:rsidRPr="0091560A">
        <w:t xml:space="preserve">. The act of self-poisoning was also reported as being an impulsive response to adverse life events </w:t>
      </w:r>
      <w:r w:rsidRPr="0091560A">
        <w:fldChar w:fldCharType="begin"/>
      </w:r>
      <w:r w:rsidR="00D709C3" w:rsidRPr="0091560A">
        <w:instrText xml:space="preserve"> ADDIN EN.CITE &lt;EndNote&gt;&lt;Cite&gt;&lt;Author&gt;Makin&lt;/Author&gt;&lt;Year&gt;2000&lt;/Year&gt;&lt;RecNum&gt;895&lt;/RecNum&gt;&lt;DisplayText&gt;(Makin &amp;amp; Williams, 2000; Schmidt, 2001)&lt;/DisplayText&gt;&lt;record&gt;&lt;rec-number&gt;895&lt;/rec-number&gt;&lt;foreign-keys&gt;&lt;key app="EN" db-id="90p22wx96ddedpe0r9pxtt9gzz05dd5ev299" timestamp="1657000537"&gt;895&lt;/key&gt;&lt;/foreign-keys&gt;&lt;ref-type name="Journal Article"&gt;17&lt;/ref-type&gt;&lt;contributors&gt;&lt;authors&gt;&lt;author&gt;Makin, A.&lt;/author&gt;&lt;author&gt;Williams, R.&lt;/author&gt;&lt;/authors&gt;&lt;/contributors&gt;&lt;titles&gt;&lt;title&gt;Paracetamol hepatotoxicity and alcohol consumption in deliberate and accidental overdose&lt;/title&gt;&lt;secondary-title&gt;QJM - Monthly Journal of the Association of Physicians&lt;/secondary-title&gt;&lt;/titles&gt;&lt;pages&gt;341-349&lt;/pages&gt;&lt;volume&gt;93&lt;/volume&gt;&lt;number&gt;6&lt;/number&gt;&lt;dates&gt;&lt;year&gt;2000&lt;/year&gt;&lt;/dates&gt;&lt;urls&gt;&lt;related-urls&gt;&lt;url&gt;http://qjmed.oxfordjournals.org/http://ovidsp.ovid.com/ovidweb.cgi?T=JS&amp;amp;PAGE=reference&amp;amp;D=emed22&amp;amp;NEWS=N&amp;amp;AN=30386805&lt;/url&gt;&lt;/related-urls&gt;&lt;/urls&gt;&lt;electronic-resource-num&gt;http://dx.doi.org/10.1093/qjmed/93.6.341&lt;/electronic-resource-num&gt;&lt;/record&gt;&lt;/Cite&gt;&lt;Cite&gt;&lt;Author&gt;Schmidt&lt;/Author&gt;&lt;Year&gt;2001&lt;/Year&gt;&lt;RecNum&gt;912&lt;/RecNum&gt;&lt;record&gt;&lt;rec-number&gt;912&lt;/rec-number&gt;&lt;foreign-keys&gt;&lt;key app="EN" db-id="90p22wx96ddedpe0r9pxtt9gzz05dd5ev299" timestamp="1657000537"&gt;912&lt;/key&gt;&lt;/foreign-keys&gt;&lt;ref-type name="Journal Article"&gt;17&lt;/ref-type&gt;&lt;contributors&gt;&lt;authors&gt;&lt;author&gt;Schmidt, L. E.&lt;/author&gt;&lt;/authors&gt;&lt;/contributors&gt;&lt;titles&gt;&lt;title&gt;Paracetamol self-poisoning among adolescents in a department of hepatology&lt;/title&gt;&lt;secondary-title&gt;International Journal of Adolescent Medicine and Health&lt;/secondary-title&gt;&lt;/titles&gt;&lt;pages&gt;327-334&lt;/pages&gt;&lt;volume&gt;13&lt;/volume&gt;&lt;number&gt;4&lt;/number&gt;&lt;dates&gt;&lt;year&gt;2001&lt;/year&gt;&lt;/dates&gt;&lt;urls&gt;&lt;related-urls&gt;&lt;url&gt;http://ovidsp.ovid.com/ovidweb.cgi?T=JS&amp;amp;PAGE=reference&amp;amp;D=emed7&amp;amp;NEWS=N&amp;amp;AN=33133949&lt;/url&gt;&lt;/related-urls&gt;&lt;/urls&gt;&lt;electronic-resource-num&gt;http://dx.doi.org/10.1515/IJAMH.2001.13.4.327&lt;/electronic-resource-num&gt;&lt;/record&gt;&lt;/Cite&gt;&lt;/EndNote&gt;</w:instrText>
      </w:r>
      <w:r w:rsidRPr="0091560A">
        <w:fldChar w:fldCharType="separate"/>
      </w:r>
      <w:r w:rsidRPr="0091560A">
        <w:t>(Makin &amp; Williams, 2000; Schmidt, 2001)</w:t>
      </w:r>
      <w:r w:rsidRPr="0091560A">
        <w:fldChar w:fldCharType="end"/>
      </w:r>
      <w:r w:rsidRPr="0091560A">
        <w:t xml:space="preserve">, as a result of psychiatric disorders </w:t>
      </w:r>
      <w:r w:rsidRPr="0091560A">
        <w:fldChar w:fldCharType="begin"/>
      </w:r>
      <w:r w:rsidR="00D709C3" w:rsidRPr="0091560A">
        <w:instrText xml:space="preserve"> ADDIN EN.CITE &lt;EndNote&gt;&lt;Cite&gt;&lt;Author&gt;Makin&lt;/Author&gt;&lt;Year&gt;2000&lt;/Year&gt;&lt;RecNum&gt;895&lt;/RecNum&gt;&lt;DisplayText&gt;(Makin &amp;amp; Williams, 2000; Schmidt, 2001)&lt;/DisplayText&gt;&lt;record&gt;&lt;rec-number&gt;895&lt;/rec-number&gt;&lt;foreign-keys&gt;&lt;key app="EN" db-id="90p22wx96ddedpe0r9pxtt9gzz05dd5ev299" timestamp="1657000537"&gt;895&lt;/key&gt;&lt;/foreign-keys&gt;&lt;ref-type name="Journal Article"&gt;17&lt;/ref-type&gt;&lt;contributors&gt;&lt;authors&gt;&lt;author&gt;Makin, A.&lt;/author&gt;&lt;author&gt;Williams, R.&lt;/author&gt;&lt;/authors&gt;&lt;/contributors&gt;&lt;titles&gt;&lt;title&gt;Paracetamol hepatotoxicity and alcohol consumption in deliberate and accidental overdose&lt;/title&gt;&lt;secondary-title&gt;QJM - Monthly Journal of the Association of Physicians&lt;/secondary-title&gt;&lt;/titles&gt;&lt;pages&gt;341-349&lt;/pages&gt;&lt;volume&gt;93&lt;/volume&gt;&lt;number&gt;6&lt;/number&gt;&lt;dates&gt;&lt;year&gt;2000&lt;/year&gt;&lt;/dates&gt;&lt;urls&gt;&lt;related-urls&gt;&lt;url&gt;http://qjmed.oxfordjournals.org/http://ovidsp.ovid.com/ovidweb.cgi?T=JS&amp;amp;PAGE=reference&amp;amp;D=emed22&amp;amp;NEWS=N&amp;amp;AN=30386805&lt;/url&gt;&lt;/related-urls&gt;&lt;/urls&gt;&lt;electronic-resource-num&gt;http://dx.doi.org/10.1093/qjmed/93.6.341&lt;/electronic-resource-num&gt;&lt;/record&gt;&lt;/Cite&gt;&lt;Cite&gt;&lt;Author&gt;Schmidt&lt;/Author&gt;&lt;Year&gt;2001&lt;/Year&gt;&lt;RecNum&gt;912&lt;/RecNum&gt;&lt;record&gt;&lt;rec-number&gt;912&lt;/rec-number&gt;&lt;foreign-keys&gt;&lt;key app="EN" db-id="90p22wx96ddedpe0r9pxtt9gzz05dd5ev299" timestamp="1657000537"&gt;912&lt;/key&gt;&lt;/foreign-keys&gt;&lt;ref-type name="Journal Article"&gt;17&lt;/ref-type&gt;&lt;contributors&gt;&lt;authors&gt;&lt;author&gt;Schmidt, L. E.&lt;/author&gt;&lt;/authors&gt;&lt;/contributors&gt;&lt;titles&gt;&lt;title&gt;Paracetamol self-poisoning among adolescents in a department of hepatology&lt;/title&gt;&lt;secondary-title&gt;International Journal of Adolescent Medicine and Health&lt;/secondary-title&gt;&lt;/titles&gt;&lt;pages&gt;327-334&lt;/pages&gt;&lt;volume&gt;13&lt;/volume&gt;&lt;number&gt;4&lt;/number&gt;&lt;dates&gt;&lt;year&gt;2001&lt;/year&gt;&lt;/dates&gt;&lt;urls&gt;&lt;related-urls&gt;&lt;url&gt;http://ovidsp.ovid.com/ovidweb.cgi?T=JS&amp;amp;PAGE=reference&amp;amp;D=emed7&amp;amp;NEWS=N&amp;amp;AN=33133949&lt;/url&gt;&lt;/related-urls&gt;&lt;/urls&gt;&lt;electronic-resource-num&gt;http://dx.doi.org/10.1515/IJAMH.2001.13.4.327&lt;/electronic-resource-num&gt;&lt;/record&gt;&lt;/Cite&gt;&lt;/EndNote&gt;</w:instrText>
      </w:r>
      <w:r w:rsidRPr="0091560A">
        <w:fldChar w:fldCharType="separate"/>
      </w:r>
      <w:r w:rsidRPr="0091560A">
        <w:t>(Makin &amp; Williams, 2000; Schmidt, 2001)</w:t>
      </w:r>
      <w:r w:rsidRPr="0091560A">
        <w:fldChar w:fldCharType="end"/>
      </w:r>
      <w:r w:rsidRPr="0091560A">
        <w:t xml:space="preserve">, or social problems with parents, friends, or school </w:t>
      </w:r>
      <w:r w:rsidRPr="0091560A">
        <w:fldChar w:fldCharType="begin">
          <w:fldData xml:space="preserve">PEVuZE5vdGU+PENpdGU+PEF1dGhvcj5IZWRlbGFuZDwvQXV0aG9yPjxZZWFyPjIwMTM8L1llYXI+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</w:fldData>
        </w:fldChar>
      </w:r>
      <w:r w:rsidR="00D709C3" w:rsidRPr="0091560A">
        <w:instrText xml:space="preserve"> ADDIN EN.CITE </w:instrText>
      </w:r>
      <w:r w:rsidR="00D709C3" w:rsidRPr="0091560A">
        <w:fldChar w:fldCharType="begin">
          <w:fldData xml:space="preserve">PEVuZE5vdGU+PENpdGU+PEF1dGhvcj5IZWRlbGFuZDwvQXV0aG9yPjxZZWFyPjIwMTM8L1llYXI+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</w:fldData>
        </w:fldChar>
      </w:r>
      <w:r w:rsidR="00D709C3" w:rsidRPr="0091560A">
        <w:instrText xml:space="preserve"> ADDIN EN.CITE.DATA </w:instrText>
      </w:r>
      <w:r w:rsidR="00D709C3" w:rsidRPr="0091560A">
        <w:fldChar w:fldCharType="end"/>
      </w:r>
      <w:r w:rsidRPr="0091560A">
        <w:fldChar w:fldCharType="separate"/>
      </w:r>
      <w:r w:rsidRPr="0091560A">
        <w:t>(Hedeland et al., 2013; Hedeland et al., 2016; Schmidt, 2001)</w:t>
      </w:r>
      <w:r w:rsidRPr="0091560A">
        <w:fldChar w:fldCharType="end"/>
      </w:r>
      <w:r w:rsidRPr="0091560A">
        <w:t xml:space="preserve">. In the most recent study with young people aged 10-17 years </w:t>
      </w:r>
      <w:r w:rsidRPr="0091560A">
        <w:fldChar w:fldCharType="begin"/>
      </w:r>
      <w:r w:rsidR="00D709C3" w:rsidRPr="0091560A">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fldChar w:fldCharType="separate"/>
      </w:r>
      <w:r w:rsidRPr="0091560A">
        <w:t>(Hedeland et al., 2016)</w:t>
      </w:r>
      <w:r w:rsidRPr="0091560A">
        <w:fldChar w:fldCharType="end"/>
      </w:r>
      <w:r w:rsidRPr="0091560A">
        <w:t xml:space="preserve">, 46.5% reported the purpose of their overdose was to die, 28.5% wanted to obtain relief from their thoughts, and 18.5% wanted to show how badly they were feeling. The most common reasons for </w:t>
      </w:r>
      <w:r w:rsidR="00AD57D3">
        <w:t>self-poisoning</w:t>
      </w:r>
      <w:r w:rsidRPr="0091560A">
        <w:t xml:space="preserve"> were problems with parents (66%), problems with boyfriend/girlfriend (17%), non-academic problems in school (e.g., bullying; 17%), problems with friends (14.5%), and loneliness (12%). In terms of perceived support, 62% of cases reported feeling not heard or understood when they attempted to talk to their parents or another adult about their problems up to two months before </w:t>
      </w:r>
      <w:r w:rsidR="00AD57D3">
        <w:t xml:space="preserve">their </w:t>
      </w:r>
      <w:r w:rsidR="00FA5D39">
        <w:t>self-poisoning episode</w:t>
      </w:r>
      <w:r w:rsidRPr="0091560A">
        <w:t xml:space="preserve">. Compared to age and gender-matched controls, young people who self-poisoned with paracetamol tended to report less close relationships with parents, siblings and friends </w:t>
      </w:r>
      <w:r w:rsidRPr="0091560A">
        <w:fldChar w:fldCharType="begin"/>
      </w:r>
      <w:r w:rsidR="00D709C3" w:rsidRPr="0091560A">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fldChar w:fldCharType="separate"/>
      </w:r>
      <w:r w:rsidRPr="0091560A">
        <w:t>(Hedeland et al., 2016)</w:t>
      </w:r>
      <w:r w:rsidRPr="0091560A">
        <w:fldChar w:fldCharType="end"/>
      </w:r>
      <w:r w:rsidRPr="0091560A">
        <w:t xml:space="preserve">.  </w:t>
      </w:r>
    </w:p>
    <w:p w14:paraId="44B4AF6E" w14:textId="77777777" w:rsidR="00574EB4" w:rsidRPr="0091560A" w:rsidRDefault="00574EB4" w:rsidP="00574EB4">
      <w:pPr>
        <w:spacing w:after="0"/>
        <w:rPr>
          <w:rFonts w:cs="Times New Roman"/>
          <w:szCs w:val="24"/>
        </w:rPr>
      </w:pPr>
    </w:p>
    <w:p w14:paraId="718837E0" w14:textId="77777777" w:rsidR="000F0F47" w:rsidRDefault="00574EB4" w:rsidP="00AD31D4">
      <w:r w:rsidRPr="0091560A">
        <w:rPr>
          <w:b/>
        </w:rPr>
        <w:t xml:space="preserve">Knowledge: </w:t>
      </w:r>
      <w:r w:rsidRPr="0091560A">
        <w:t xml:space="preserve">Four of the identified studies reported on participant knowledge of paracetamol and its associated effects and potential for physical harm or death </w:t>
      </w:r>
      <w:r w:rsidRPr="0091560A">
        <w:fldChar w:fldCharType="begin">
          <w:fldData xml:space="preserve">PEVuZE5vdGU+PENpdGU+PEF1dGhvcj5Cb2xnZXI8L0F1dGhvcj48WWVhcj4yMDA0PC9ZZWFyPjxS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</w:fldData>
        </w:fldChar>
      </w:r>
      <w:r w:rsidR="006E5557">
        <w:instrText xml:space="preserve"> ADDIN EN.CITE </w:instrText>
      </w:r>
      <w:r w:rsidR="006E5557">
        <w:fldChar w:fldCharType="begin">
          <w:fldData xml:space="preserve">PEVuZE5vdGU+PENpdGU+PEF1dGhvcj5Cb2xnZXI8L0F1dGhvcj48WWVhcj4yMDA0PC9ZZWFyPjxS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</w:fldData>
        </w:fldChar>
      </w:r>
      <w:r w:rsidR="006E5557">
        <w:instrText xml:space="preserve"> ADDIN EN.CITE.DATA </w:instrText>
      </w:r>
      <w:r w:rsidR="006E5557">
        <w:fldChar w:fldCharType="end"/>
      </w:r>
      <w:r w:rsidRPr="0091560A">
        <w:fldChar w:fldCharType="separate"/>
      </w:r>
      <w:r w:rsidRPr="0091560A">
        <w:t>(Bolger, O'Connor, Malone, &amp; Fitzpatrick, 2004; Gilbertson et al., 1996; K. Hawton et al., 1995; Simkin et al., 2012)</w:t>
      </w:r>
      <w:r w:rsidRPr="0091560A">
        <w:fldChar w:fldCharType="end"/>
      </w:r>
      <w:r w:rsidRPr="0091560A">
        <w:t xml:space="preserve">. Participants reported knowing that a paracetamol overdose could cause death and that it could cause harm to the liver, although the level of knowledge differed across studies </w:t>
      </w:r>
      <w:r w:rsidRPr="0091560A">
        <w:fldChar w:fldCharType="begin"/>
      </w:r>
      <w:r w:rsidR="00D709C3" w:rsidRPr="0091560A">
        <w:instrText xml:space="preserve"> ADDIN EN.CITE &lt;EndNote&gt;&lt;Cite&gt;&lt;Author&gt;Hawton&lt;/Author&gt;&lt;Year&gt;1995&lt;/Year&gt;&lt;RecNum&gt;922&lt;/RecNum&gt;&lt;DisplayText&gt;(K. Hawton et al., 1995; Simkin et al., 2012)&lt;/DisplayText&gt;&lt;record&gt;&lt;rec-number&gt;922&lt;/rec-number&gt;&lt;foreign-keys&gt;&lt;key app="EN" db-id="90p22wx96ddedpe0r9pxtt9gzz05dd5ev299" timestamp="1657000537"&gt;922&lt;/key&gt;&lt;/foreign-keys&gt;&lt;ref-type name="Journal Article"&gt;17&lt;/ref-type&gt;&lt;contributors&gt;&lt;authors&gt;&lt;author&gt;Hawton, Keith&lt;/author&gt;&lt;author&gt;Ware, Christopher&lt;/author&gt;&lt;author&gt;Mistry, Hamant&lt;/author&gt;&lt;author&gt;Hewitt, Jonathan&lt;/author&gt;&lt;author&gt;Kingsbury, Stephen&lt;/author&gt;&lt;author&gt;Roberts, Dave&lt;/author&gt;&lt;author&gt;Weitzel, Heather&lt;/author&gt;&lt;/authors&gt;&lt;/contributors&gt;&lt;titles&gt;&lt;title&gt;Why patients choose paracetamol for self poisoning and their knowledge of its dangers&lt;/title&gt;&lt;secondary-title&gt;BMJ&lt;/secondary-title&gt;&lt;/titles&gt;&lt;pages&gt;164&lt;/pages&gt;&lt;volume&gt;310&lt;/volume&gt;&lt;number&gt;6973&lt;/number&gt;&lt;dates&gt;&lt;year&gt;1995&lt;/year&gt;&lt;/dates&gt;&lt;urls&gt;&lt;related-urls&gt;&lt;url&gt;http://www.bmj.com/content/310/6973/164.1.abstract&lt;/url&gt;&lt;/related-urls&gt;&lt;/urls&gt;&lt;electronic-resource-num&gt;10.1136/bmj.310.6973.164&lt;/electronic-resource-num&gt;&lt;/record&gt;&lt;/Cite&gt;&lt;Cite&gt;&lt;Author&gt;Simkin&lt;/Author&gt;&lt;Year&gt;2012&lt;/Year&gt;&lt;RecNum&gt;916&lt;/RecNum&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(K. Hawton et al., 1995; Simkin et al., 2012)</w:t>
      </w:r>
      <w:r w:rsidRPr="0091560A">
        <w:fldChar w:fldCharType="end"/>
      </w:r>
      <w:r w:rsidRPr="0091560A">
        <w:t xml:space="preserve">. Another common finding was that people erroneously believed that self-poisoning with paracetamol would result in the loss of consciousness </w:t>
      </w:r>
      <w:r w:rsidRPr="0091560A">
        <w:fldChar w:fldCharType="begin">
          <w:fldData xml:space="preserve">PEVuZE5vdGU+PENpdGU+PEF1dGhvcj5HaWxiZXJ0c29uPC9BdXRob3I+PFllYXI+MTk5NjwvWWVh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</w:fldData>
        </w:fldChar>
      </w:r>
      <w:r w:rsidR="006E5557">
        <w:instrText xml:space="preserve"> ADDIN EN.CITE </w:instrText>
      </w:r>
      <w:r w:rsidR="006E5557">
        <w:fldChar w:fldCharType="begin">
          <w:fldData xml:space="preserve">PEVuZE5vdGU+PENpdGU+PEF1dGhvcj5HaWxiZXJ0c29uPC9BdXRob3I+PFllYXI+MTk5NjwvWWVh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</w:fldData>
        </w:fldChar>
      </w:r>
      <w:r w:rsidR="006E5557">
        <w:instrText xml:space="preserve"> ADDIN EN.CITE.DATA </w:instrText>
      </w:r>
      <w:r w:rsidR="006E5557">
        <w:fldChar w:fldCharType="end"/>
      </w:r>
      <w:r w:rsidRPr="0091560A">
        <w:fldChar w:fldCharType="separate"/>
      </w:r>
      <w:r w:rsidRPr="0091560A">
        <w:t>(Gilbertson et al., 1996; K. Hawton et al., 1995; Simkin et al., 2012)</w:t>
      </w:r>
      <w:r w:rsidRPr="0091560A">
        <w:fldChar w:fldCharType="end"/>
      </w:r>
      <w:r w:rsidRPr="0091560A">
        <w:t xml:space="preserve">. This was reported in studies with both adults and young people. One study further reported that 54.8% of participants indicated that they wouldn’t have self-poisoned with paracetamol if they had known that they would not lose consciousness </w:t>
      </w:r>
      <w:r w:rsidRPr="0091560A">
        <w:fldChar w:fldCharType="begin"/>
      </w:r>
      <w:r w:rsidR="00D709C3" w:rsidRPr="0091560A">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(Simkin et al., 2012)</w:t>
      </w:r>
      <w:r w:rsidRPr="0091560A">
        <w:fldChar w:fldCharType="end"/>
      </w:r>
      <w:r w:rsidRPr="0091560A">
        <w:t xml:space="preserve">. Participant knowledge of the number of tablets needed to do harm or cause death was also mixed. In a study of young people aged 14-20 years 52% estimated that 30 or more tablets would need to be taken before any adverse effects would be experienced </w:t>
      </w:r>
      <w:r w:rsidRPr="0091560A">
        <w:fldChar w:fldCharType="begin"/>
      </w:r>
      <w:r w:rsidR="00D709C3" w:rsidRPr="0091560A">
        <w:instrText xml:space="preserve"> ADDIN EN.CITE &lt;EndNote&gt;&lt;Cite&gt;&lt;Author&gt;Bolger&lt;/Author&gt;&lt;Year&gt;2004&lt;/Year&gt;&lt;RecNum&gt;857&lt;/RecNum&gt;&lt;DisplayText&gt;(Bolger et al., 2004)&lt;/DisplayText&gt;&lt;record&gt;&lt;rec-number&gt;857&lt;/rec-number&gt;&lt;foreign-keys&gt;&lt;key app="EN" db-id="90p22wx96ddedpe0r9pxtt9gzz05dd5ev299" timestamp="1657000537"&gt;857&lt;/key&gt;&lt;/foreign-keys&gt;&lt;ref-type name="Journal Article"&gt;17&lt;/ref-type&gt;&lt;contributors&gt;&lt;authors&gt;&lt;author&gt;Bolger, S.&lt;/author&gt;&lt;author&gt;O&amp;apos;Connor, P.&lt;/author&gt;&lt;author&gt;Malone, K.&lt;/author&gt;&lt;author&gt;Fitzpatrick, C.&lt;/author&gt;&lt;/authors&gt;&lt;/contributors&gt;&lt;titles&gt;&lt;title&gt;Adolescents with suicidal behaviour: Attendance at A&amp;amp;E and six month follow-up&lt;/title&gt;&lt;secondary-title&gt;Irish Journal of Psychological Medicine&lt;/secondary-title&gt;&lt;/titles&gt;&lt;pages&gt;78-84&lt;/pages&gt;&lt;volume&gt;21&lt;/volume&gt;&lt;number&gt;3&lt;/number&gt;&lt;dates&gt;&lt;year&gt;2004&lt;/year&gt;&lt;/dates&gt;&lt;urls&gt;&lt;related-urls&gt;&lt;url&gt;(http://journals.cambridge.org/action/displayBackIssues?jid=IPM) Content List URLhttp://ovidsp.ovid.com/ovidweb.cgi?T=JS&amp;amp;PAGE=reference&amp;amp;D=emed8&amp;amp;NEWS=N&amp;amp;AN=40090464&lt;/url&gt;&lt;/related-urls&gt;&lt;/urls&gt;&lt;electronic-resource-num&gt;http://dx.doi.org/10.1017/s0790966700008405&lt;/electronic-resource-num&gt;&lt;/record&gt;&lt;/Cite&gt;&lt;/EndNote&gt;</w:instrText>
      </w:r>
      <w:r w:rsidRPr="0091560A">
        <w:fldChar w:fldCharType="separate"/>
      </w:r>
      <w:r w:rsidRPr="0091560A">
        <w:t>(Bolger et al., 2004)</w:t>
      </w:r>
      <w:r w:rsidRPr="0091560A">
        <w:fldChar w:fldCharType="end"/>
      </w:r>
      <w:r w:rsidRPr="0091560A">
        <w:t xml:space="preserve">, while a second study reported that 45% of UK students and 41% </w:t>
      </w:r>
      <w:r w:rsidR="006E03B9">
        <w:t xml:space="preserve">of </w:t>
      </w:r>
      <w:r w:rsidRPr="0091560A">
        <w:t>US</w:t>
      </w:r>
      <w:r w:rsidR="006E03B9">
        <w:t>A</w:t>
      </w:r>
      <w:r w:rsidRPr="0091560A">
        <w:t xml:space="preserve"> students overestimated the dose of paracetamol needed to kill at 100 or more tablets </w:t>
      </w:r>
      <w:r w:rsidRPr="0091560A">
        <w:fldChar w:fldCharType="begin"/>
      </w:r>
      <w:r w:rsidR="006E5557">
        <w:instrText xml:space="preserve"> ADDIN EN.CITE &lt;EndNote&gt;&lt;Cite&gt;&lt;Author&gt;Gilbertson&lt;/Author&gt;&lt;Year&gt;1996&lt;/Year&gt;&lt;RecNum&gt;872&lt;/RecNum&gt;&lt;DisplayText&gt;(Gilbertson et al., 1996)&lt;/DisplayText&gt;&lt;record&gt;&lt;rec-number&gt;872&lt;/rec-number&gt;&lt;foreign-keys&gt;&lt;key app="EN" db-id="90p22wx96ddedpe0r9pxtt9gzz05dd5ev299" timestamp="1657000537"&gt;872&lt;/key&gt;&lt;/foreign-keys&gt;&lt;ref-type name="Journal Article"&gt;17&lt;/ref-type&gt;&lt;contributors&gt;&lt;authors&gt;&lt;author&gt;Gilbertson, R. J.&lt;/author&gt;&lt;author&gt;Harris, E.&lt;/author&gt;&lt;author&gt;Pandey, S. K.&lt;/author&gt;&lt;author&gt;Kelly, P.&lt;/author&gt;&lt;author&gt;Myers, W.&lt;/author&gt;&lt;/authors&gt;&lt;/contributors&gt;&lt;titles&gt;&lt;title&gt;Paracetamol use, availability, and knowledge of toxicity among British and American adolescents&lt;/title&gt;&lt;secondary-title&gt;Archives of Disease in Childhood&lt;/secondary-title&gt;&lt;/titles&gt;&lt;periodical&gt;&lt;full-title&gt;Archives of Disease in Childhood&lt;/full-title&gt;&lt;/periodical&gt;&lt;pages&gt;194-198&lt;/pages&gt;&lt;volume&gt;75&lt;/volume&gt;&lt;number&gt;3&lt;/number&gt;&lt;dates&gt;&lt;year&gt;1996&lt;/year&gt;&lt;/dates&gt;&lt;urls&gt;&lt;related-urls&gt;&lt;url&gt;http://ovidsp.ovid.com/ovidweb.cgi?T=JS&amp;amp;PAGE=reference&amp;amp;D=emed6&amp;amp;NEWS=N&amp;amp;AN=26313262&lt;/url&gt;&lt;/related-urls&gt;&lt;/urls&gt;&lt;electronic-resource-num&gt;http://dx.doi.org/10.1136/adc.75.3.194&lt;/electronic-resource-num&gt;&lt;/record&gt;&lt;/Cite&gt;&lt;/EndNote&gt;</w:instrText>
      </w:r>
      <w:r w:rsidRPr="0091560A">
        <w:fldChar w:fldCharType="separate"/>
      </w:r>
      <w:r w:rsidRPr="0091560A">
        <w:t>(Gilbertson et al., 1996)</w:t>
      </w:r>
      <w:r w:rsidRPr="0091560A">
        <w:fldChar w:fldCharType="end"/>
      </w:r>
      <w:r w:rsidRPr="0091560A">
        <w:t xml:space="preserve">. </w:t>
      </w:r>
    </w:p>
    <w:p w14:paraId="62BAEE0B" w14:textId="46BC42E6" w:rsidR="00574EB4" w:rsidRPr="0091560A" w:rsidRDefault="00574EB4" w:rsidP="00AD31D4">
      <w:r w:rsidRPr="0091560A">
        <w:t>Two studies also assessed potential deterrents</w:t>
      </w:r>
      <w:r w:rsidR="00AC50A1">
        <w:t xml:space="preserve"> of intentional self-poisoning</w:t>
      </w:r>
      <w:r w:rsidRPr="0091560A">
        <w:t xml:space="preserve">, finding that box warnings were unlikely to deter behaviour in most people </w:t>
      </w:r>
      <w:r w:rsidRPr="0091560A">
        <w:fldChar w:fldCharType="begin">
          <w:fldData xml:space="preserve">PEVuZE5vdGU+PENpdGU+PEF1dGhvcj5IYXd0b248L0F1dGhvcj48WWVhcj4xOTk2PC9ZZWFyPjxS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</w:fldData>
        </w:fldChar>
      </w:r>
      <w:r w:rsidR="00D709C3" w:rsidRPr="0091560A">
        <w:instrText xml:space="preserve"> ADDIN EN.CITE </w:instrText>
      </w:r>
      <w:r w:rsidR="00D709C3" w:rsidRPr="0091560A">
        <w:fldChar w:fldCharType="begin">
          <w:fldData xml:space="preserve">PEVuZE5vdGU+PENpdGU+PEF1dGhvcj5IYXd0b248L0F1dGhvcj48WWVhcj4xOTk2PC9ZZWFyPjxS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</w:fldData>
        </w:fldChar>
      </w:r>
      <w:r w:rsidR="00D709C3" w:rsidRPr="0091560A">
        <w:instrText xml:space="preserve"> ADDIN EN.CITE.DATA </w:instrText>
      </w:r>
      <w:r w:rsidR="00D709C3" w:rsidRPr="0091560A">
        <w:fldChar w:fldCharType="end"/>
      </w:r>
      <w:r w:rsidRPr="0091560A">
        <w:fldChar w:fldCharType="separate"/>
      </w:r>
      <w:r w:rsidRPr="0091560A">
        <w:t>(K. Hawton et al., 1996; Simkin et al., 2012)</w:t>
      </w:r>
      <w:r w:rsidRPr="0091560A">
        <w:fldChar w:fldCharType="end"/>
      </w:r>
      <w:r w:rsidRPr="0091560A">
        <w:t>.</w:t>
      </w:r>
      <w:r w:rsidR="007C77B1">
        <w:t xml:space="preserve"> In the </w:t>
      </w:r>
      <w:r w:rsidR="00B30670">
        <w:t xml:space="preserve">first </w:t>
      </w:r>
      <w:r w:rsidR="007C77B1">
        <w:t>study</w:t>
      </w:r>
      <w:r w:rsidR="00B30670">
        <w:t xml:space="preserve">, </w:t>
      </w:r>
      <w:r w:rsidR="007C77B1" w:rsidRPr="00AD31D4">
        <w:t>only 25% of participants thought a warning label would have stopped them from self-poisoning</w:t>
      </w:r>
      <w:r w:rsidR="00B30670">
        <w:t xml:space="preserve"> (K. Hawton et al., 1996)</w:t>
      </w:r>
      <w:r w:rsidR="00BE727F">
        <w:t>, while</w:t>
      </w:r>
      <w:r w:rsidR="004E35B4">
        <w:t xml:space="preserve"> </w:t>
      </w:r>
      <w:r w:rsidR="00BE727F">
        <w:t>i</w:t>
      </w:r>
      <w:r w:rsidR="004E35B4">
        <w:t>n a second study</w:t>
      </w:r>
      <w:r w:rsidR="00BE727F">
        <w:t xml:space="preserve"> </w:t>
      </w:r>
      <w:r w:rsidR="00E551E0">
        <w:t>80% of participants reported that a packet warning would not have affected their self-poisoning behaviour</w:t>
      </w:r>
      <w:r w:rsidR="004E35B4">
        <w:t xml:space="preserve"> (Simkin et al., 2012)</w:t>
      </w:r>
      <w:r w:rsidR="007C77B1" w:rsidRPr="00AD31D4">
        <w:t>.</w:t>
      </w:r>
      <w:r w:rsidRPr="0091560A">
        <w:t xml:space="preserve"> The effect of smaller pack sizes was variable between the two studies that assessed it, with 37% of participants in one study indicating that they would have taken a smaller overdose or no overdose if packs had been smaller (12 tablets) </w:t>
      </w:r>
      <w:r w:rsidRPr="0091560A">
        <w:fldChar w:fldCharType="begin"/>
      </w:r>
      <w:r w:rsidR="00D709C3" w:rsidRPr="0091560A">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fldChar w:fldCharType="separate"/>
      </w:r>
      <w:r w:rsidRPr="0091560A">
        <w:t>(K. Hawton et al., 1996)</w:t>
      </w:r>
      <w:r w:rsidRPr="0091560A">
        <w:fldChar w:fldCharType="end"/>
      </w:r>
      <w:r w:rsidRPr="0091560A">
        <w:t xml:space="preserve">, while the other study reported that 89.7% of participants would still have taken an overdose (although pack size was not specified) </w:t>
      </w:r>
      <w:r w:rsidRPr="0091560A">
        <w:fldChar w:fldCharType="begin"/>
      </w:r>
      <w:r w:rsidR="00D709C3" w:rsidRPr="0091560A">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fldChar w:fldCharType="separate"/>
      </w:r>
      <w:r w:rsidRPr="0091560A">
        <w:t>(Simkin et al., 2012)</w:t>
      </w:r>
      <w:r w:rsidRPr="0091560A">
        <w:fldChar w:fldCharType="end"/>
      </w:r>
      <w:r w:rsidRPr="0091560A">
        <w:t xml:space="preserve">. The majority of participants (64%) in one study indicated that they wouldn’t have </w:t>
      </w:r>
      <w:r w:rsidR="00AC50A1">
        <w:t>intentionally self-poisoned</w:t>
      </w:r>
      <w:r w:rsidRPr="0091560A">
        <w:t xml:space="preserve"> if paracetamol contained an antidote to stop the harms of </w:t>
      </w:r>
      <w:r w:rsidR="004E5607">
        <w:t>self-poisoning</w:t>
      </w:r>
      <w:r w:rsidRPr="0091560A">
        <w:t xml:space="preserve"> </w:t>
      </w:r>
      <w:r w:rsidRPr="0091560A">
        <w:fldChar w:fldCharType="begin"/>
      </w:r>
      <w:r w:rsidR="00D709C3" w:rsidRPr="0091560A">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fldChar w:fldCharType="separate"/>
      </w:r>
      <w:r w:rsidRPr="0091560A">
        <w:t>(K. Hawton et al., 1996)</w:t>
      </w:r>
      <w:r w:rsidRPr="0091560A">
        <w:fldChar w:fldCharType="end"/>
      </w:r>
      <w:r w:rsidRPr="0091560A">
        <w:t xml:space="preserve">.   </w:t>
      </w:r>
    </w:p>
    <w:p w14:paraId="384B0918" w14:textId="77777777" w:rsidR="00574EB4" w:rsidRPr="0091560A" w:rsidRDefault="00574EB4" w:rsidP="00574EB4">
      <w:pPr>
        <w:spacing w:after="0"/>
        <w:rPr>
          <w:rFonts w:cs="Times New Roman"/>
          <w:szCs w:val="24"/>
        </w:rPr>
      </w:pPr>
    </w:p>
    <w:tbl>
      <w:tblPr>
        <w:tblStyle w:val="TableGrid"/>
        <w:tblW w:w="0" w:type="auto"/>
        <w:shd w:val="clear" w:color="auto" w:fill="EDEDED" w:themeFill="accent3" w:themeFillTint="33"/>
        <w:tblLook w:val="04A0" w:firstRow="1" w:lastRow="0" w:firstColumn="1" w:lastColumn="0" w:noHBand="0" w:noVBand="1"/>
      </w:tblPr>
      <w:tblGrid>
        <w:gridCol w:w="9016"/>
      </w:tblGrid>
      <w:tr w:rsidR="00574EB4" w:rsidRPr="0091560A" w14:paraId="62E5D1D6" w14:textId="77777777" w:rsidTr="0089780C">
        <w:tc>
          <w:tcPr>
            <w:tcW w:w="9016" w:type="dxa"/>
            <w:shd w:val="clear" w:color="auto" w:fill="EDEDED" w:themeFill="accent3" w:themeFillTint="33"/>
          </w:tcPr>
          <w:p w14:paraId="31A8A32E" w14:textId="77777777" w:rsidR="00574EB4" w:rsidRPr="0091560A" w:rsidRDefault="00574EB4" w:rsidP="003D12EC">
            <w:pPr>
              <w:pStyle w:val="Heading4"/>
              <w:outlineLvl w:val="3"/>
            </w:pPr>
            <w:r w:rsidRPr="0091560A">
              <w:t xml:space="preserve">Summary of the findings for Research Question 1: </w:t>
            </w:r>
          </w:p>
          <w:p w14:paraId="2D88DDCD" w14:textId="4573B9EC" w:rsidR="00574EB4" w:rsidRPr="0091560A" w:rsidRDefault="00574EB4" w:rsidP="00E40DB5">
            <w:pPr>
              <w:spacing w:line="259" w:lineRule="auto"/>
            </w:pPr>
            <w:bookmarkStart w:id="149" w:name="_Hlk110254172"/>
            <w:r w:rsidRPr="0091560A">
              <w:t xml:space="preserve">Intentional self-poisoning with paracetamol tends to be more common among females compared to males, and among adolescents and young adults, rather than children or older adults. The majority of intentional self-poisoning cases have suicidal intent, with other motivations including seeking help from others and emotion regulation. Past or current psychiatric disorders are evident in at least half of cases, and include diagnoses of major depression, anxiety, adjustment disorder, and alcohol and substance use disorders. Young people who self-poisoned with paracetamol often </w:t>
            </w:r>
            <w:r w:rsidR="004004B8">
              <w:t>do not</w:t>
            </w:r>
            <w:r w:rsidRPr="0091560A">
              <w:t xml:space="preserve"> have a prior history of self-harm, suggesting that paracetamol might be commonly used in a first attempt. Regarding dose characteristics, the most common overdose sizes </w:t>
            </w:r>
            <w:r w:rsidR="004004B8">
              <w:t>are</w:t>
            </w:r>
            <w:r w:rsidRPr="0091560A">
              <w:t xml:space="preserve"> similar to one pack, or multiples of a pack. A proportion of people co-ingest other medications and/or alcohol, with the latter being more common among males. </w:t>
            </w:r>
          </w:p>
          <w:p w14:paraId="76B1BCE3" w14:textId="77777777" w:rsidR="00574EB4" w:rsidRPr="0091560A" w:rsidRDefault="00574EB4" w:rsidP="00E40DB5">
            <w:pPr>
              <w:spacing w:line="259" w:lineRule="auto"/>
              <w:rPr>
                <w:rFonts w:cs="Times New Roman"/>
                <w:szCs w:val="24"/>
              </w:rPr>
            </w:pPr>
          </w:p>
          <w:p w14:paraId="30A447A5" w14:textId="7B910364" w:rsidR="004E3CA9" w:rsidRDefault="00574EB4" w:rsidP="00E40DB5">
            <w:pPr>
              <w:spacing w:line="259" w:lineRule="auto"/>
              <w:rPr>
                <w:rFonts w:cs="Times New Roman"/>
                <w:szCs w:val="24"/>
              </w:rPr>
            </w:pPr>
            <w:r w:rsidRPr="0091560A">
              <w:rPr>
                <w:rFonts w:cs="Times New Roman"/>
                <w:szCs w:val="24"/>
              </w:rPr>
              <w:t>The ready accessibility of paracetamol was a key contributor to its use, with people tending to access it from supplies already in the home, or to purchase it from pharmacies or supermarkets. Self-poisoning with paracetamol was most often impulsive, with periods of planning reported to be less than one hour in approximately half of cases, and less than a day in approximately three quarters of cases. Use of paracetamol for intentional self-poisoning was more common when there was reduced access to other medications, including prescription medications. In general population samples, knowledge of the effects of paracetamol overdose was often poor. The quantity of paracetamol required for a harmful or lethal dose was often overestimated</w:t>
            </w:r>
            <w:r w:rsidR="002A67E2">
              <w:rPr>
                <w:rFonts w:cs="Times New Roman"/>
                <w:szCs w:val="24"/>
              </w:rPr>
              <w:t xml:space="preserve"> and </w:t>
            </w:r>
            <w:bookmarkStart w:id="150" w:name="_Hlk110262165"/>
            <w:r w:rsidR="002A67E2">
              <w:rPr>
                <w:rFonts w:cs="Times New Roman"/>
                <w:szCs w:val="24"/>
              </w:rPr>
              <w:t>self-poisoning with paracetamol was unlikely to be deterred through packet warnings</w:t>
            </w:r>
            <w:r w:rsidRPr="0091560A">
              <w:rPr>
                <w:rFonts w:cs="Times New Roman"/>
                <w:szCs w:val="24"/>
              </w:rPr>
              <w:t>.</w:t>
            </w:r>
            <w:bookmarkEnd w:id="150"/>
            <w:r w:rsidRPr="0091560A">
              <w:rPr>
                <w:rFonts w:cs="Times New Roman"/>
                <w:szCs w:val="24"/>
              </w:rPr>
              <w:t xml:space="preserve"> </w:t>
            </w:r>
          </w:p>
          <w:p w14:paraId="6DD56B8A" w14:textId="2674BBAC" w:rsidR="004E3CA9" w:rsidRDefault="004E3CA9" w:rsidP="00E40DB5">
            <w:pPr>
              <w:spacing w:line="259" w:lineRule="auto"/>
              <w:rPr>
                <w:rFonts w:cs="Times New Roman"/>
                <w:szCs w:val="24"/>
              </w:rPr>
            </w:pPr>
          </w:p>
          <w:p w14:paraId="2367DF14" w14:textId="549CE5AC" w:rsidR="00574EB4" w:rsidRPr="00B10259" w:rsidRDefault="004E3CA9" w:rsidP="0089780C">
            <w:pPr>
              <w:spacing w:after="120" w:line="259" w:lineRule="auto"/>
              <w:rPr>
                <w:rFonts w:cs="Times New Roman"/>
                <w:szCs w:val="24"/>
              </w:rPr>
            </w:pPr>
            <w:r>
              <w:rPr>
                <w:rFonts w:cs="Times New Roman"/>
                <w:szCs w:val="24"/>
              </w:rPr>
              <w:t xml:space="preserve">There was little explicit data on the role of education of the public around the dangers of </w:t>
            </w:r>
            <w:r w:rsidR="000A7428">
              <w:rPr>
                <w:rFonts w:cs="Times New Roman"/>
                <w:szCs w:val="24"/>
              </w:rPr>
              <w:t>paracetamol</w:t>
            </w:r>
            <w:r>
              <w:rPr>
                <w:rFonts w:cs="Times New Roman"/>
                <w:szCs w:val="24"/>
              </w:rPr>
              <w:t xml:space="preserve"> and its storage in the home. </w:t>
            </w:r>
            <w:r w:rsidR="004004B8">
              <w:rPr>
                <w:rFonts w:cs="Times New Roman"/>
                <w:szCs w:val="24"/>
              </w:rPr>
              <w:t>O</w:t>
            </w:r>
            <w:r w:rsidR="00066391">
              <w:rPr>
                <w:rFonts w:cs="Times New Roman"/>
                <w:szCs w:val="24"/>
              </w:rPr>
              <w:t xml:space="preserve">ur review did not </w:t>
            </w:r>
            <w:r w:rsidR="004004B8">
              <w:rPr>
                <w:rFonts w:cs="Times New Roman"/>
                <w:szCs w:val="24"/>
              </w:rPr>
              <w:t xml:space="preserve">find </w:t>
            </w:r>
            <w:r w:rsidR="00066391">
              <w:rPr>
                <w:rFonts w:cs="Times New Roman"/>
                <w:szCs w:val="24"/>
              </w:rPr>
              <w:t xml:space="preserve">any </w:t>
            </w:r>
            <w:r w:rsidR="00AD15DB">
              <w:rPr>
                <w:rFonts w:cs="Times New Roman"/>
                <w:szCs w:val="24"/>
              </w:rPr>
              <w:t xml:space="preserve">studies investigating the effects of </w:t>
            </w:r>
            <w:r w:rsidR="00066391">
              <w:rPr>
                <w:rFonts w:cs="Times New Roman"/>
                <w:szCs w:val="24"/>
              </w:rPr>
              <w:t xml:space="preserve">awareness programs around </w:t>
            </w:r>
            <w:r w:rsidR="000A7428">
              <w:rPr>
                <w:rFonts w:cs="Times New Roman"/>
                <w:szCs w:val="24"/>
              </w:rPr>
              <w:t>paracetamol</w:t>
            </w:r>
            <w:r w:rsidR="00066391">
              <w:rPr>
                <w:rFonts w:cs="Times New Roman"/>
                <w:szCs w:val="24"/>
              </w:rPr>
              <w:t xml:space="preserve"> safety on the rate of self</w:t>
            </w:r>
            <w:r w:rsidR="00B10259">
              <w:rPr>
                <w:rFonts w:cs="Times New Roman"/>
                <w:szCs w:val="24"/>
              </w:rPr>
              <w:t>-</w:t>
            </w:r>
            <w:r w:rsidR="00066391">
              <w:rPr>
                <w:rFonts w:cs="Times New Roman"/>
                <w:szCs w:val="24"/>
              </w:rPr>
              <w:t xml:space="preserve">poisoning. </w:t>
            </w:r>
            <w:bookmarkEnd w:id="149"/>
          </w:p>
        </w:tc>
      </w:tr>
    </w:tbl>
    <w:p w14:paraId="25AFFB33" w14:textId="77777777" w:rsidR="00574EB4" w:rsidRPr="0091560A" w:rsidRDefault="00574EB4" w:rsidP="00574EB4">
      <w:pPr>
        <w:spacing w:after="0"/>
        <w:rPr>
          <w:rFonts w:cs="Times New Roman"/>
          <w:b/>
          <w:bCs/>
          <w:szCs w:val="24"/>
        </w:rPr>
      </w:pPr>
    </w:p>
    <w:p w14:paraId="6B44A20D" w14:textId="77777777" w:rsidR="00574EB4" w:rsidRPr="0091560A" w:rsidRDefault="00574EB4" w:rsidP="003D12EC">
      <w:pPr>
        <w:pStyle w:val="Heading3"/>
      </w:pPr>
      <w:bookmarkStart w:id="151" w:name="_Toc112843944"/>
      <w:r w:rsidRPr="0091560A">
        <w:t>Question 2. The restriction of paracetamol or other medications and method substitution</w:t>
      </w:r>
      <w:bookmarkEnd w:id="151"/>
    </w:p>
    <w:p w14:paraId="4309B459" w14:textId="100D8201" w:rsidR="00574EB4" w:rsidRPr="0091560A" w:rsidRDefault="00574EB4" w:rsidP="00E40DB5">
      <w:pPr>
        <w:rPr>
          <w:color w:val="000000" w:themeColor="text1"/>
        </w:rPr>
      </w:pPr>
      <w:r w:rsidRPr="0091560A">
        <w:t xml:space="preserve">Research examining the impact of restricting access to medications commonly used in self-poisoning is important to determine if it results in a reduction in use and whether other means of self-poisoning or self-harm are used in substitution. </w:t>
      </w:r>
      <w:r w:rsidRPr="0091560A">
        <w:rPr>
          <w:color w:val="000000" w:themeColor="text1"/>
        </w:rPr>
        <w:t xml:space="preserve">In total we identified 15 articles (see </w:t>
      </w:r>
      <w:r w:rsidR="003649BB">
        <w:rPr>
          <w:b/>
          <w:color w:val="000000" w:themeColor="text1"/>
        </w:rPr>
        <w:fldChar w:fldCharType="begin"/>
      </w:r>
      <w:r w:rsidR="003649BB">
        <w:rPr>
          <w:color w:val="000000" w:themeColor="text1"/>
        </w:rPr>
        <w:instrText xml:space="preserve"> REF _Ref110167696 \h </w:instrText>
      </w:r>
      <w:r w:rsidR="003649BB">
        <w:rPr>
          <w:b/>
          <w:color w:val="000000" w:themeColor="text1"/>
        </w:rPr>
      </w:r>
      <w:r w:rsidR="003649BB">
        <w:rPr>
          <w:b/>
          <w:color w:val="000000" w:themeColor="text1"/>
        </w:rPr>
        <w:fldChar w:fldCharType="separate"/>
      </w:r>
      <w:r w:rsidR="0091734E">
        <w:t xml:space="preserve">Table </w:t>
      </w:r>
      <w:r w:rsidR="0091734E">
        <w:rPr>
          <w:noProof/>
        </w:rPr>
        <w:t>33</w:t>
      </w:r>
      <w:r w:rsidR="003649BB">
        <w:rPr>
          <w:b/>
          <w:color w:val="000000" w:themeColor="text1"/>
        </w:rPr>
        <w:fldChar w:fldCharType="end"/>
      </w:r>
      <w:r w:rsidRPr="0091560A">
        <w:rPr>
          <w:color w:val="000000" w:themeColor="text1"/>
        </w:rPr>
        <w:t>) that contained data relevant to the restriction of paracetamol or other medications and method substitution. The identified studies were published in a range of countries including the UK (</w:t>
      </w:r>
      <w:r w:rsidRPr="0091560A">
        <w:rPr>
          <w:i/>
          <w:color w:val="000000" w:themeColor="text1"/>
        </w:rPr>
        <w:t xml:space="preserve">n </w:t>
      </w:r>
      <w:r w:rsidRPr="0091560A">
        <w:rPr>
          <w:color w:val="000000" w:themeColor="text1"/>
        </w:rPr>
        <w:t>= 8), Australia (</w:t>
      </w:r>
      <w:r w:rsidRPr="0091560A">
        <w:rPr>
          <w:i/>
          <w:color w:val="000000" w:themeColor="text1"/>
        </w:rPr>
        <w:t xml:space="preserve">n </w:t>
      </w:r>
      <w:r w:rsidRPr="0091560A">
        <w:rPr>
          <w:color w:val="000000" w:themeColor="text1"/>
        </w:rPr>
        <w:t>= 4), Ireland (</w:t>
      </w:r>
      <w:r w:rsidRPr="0091560A">
        <w:rPr>
          <w:i/>
          <w:color w:val="000000" w:themeColor="text1"/>
        </w:rPr>
        <w:t xml:space="preserve">n </w:t>
      </w:r>
      <w:r w:rsidRPr="0091560A">
        <w:rPr>
          <w:color w:val="000000" w:themeColor="text1"/>
        </w:rPr>
        <w:t>= 2), and Denmark (</w:t>
      </w:r>
      <w:r w:rsidRPr="0091560A">
        <w:rPr>
          <w:i/>
          <w:color w:val="000000" w:themeColor="text1"/>
        </w:rPr>
        <w:t xml:space="preserve">n </w:t>
      </w:r>
      <w:r w:rsidRPr="0091560A">
        <w:rPr>
          <w:color w:val="000000" w:themeColor="text1"/>
        </w:rPr>
        <w:t>= 1).</w:t>
      </w:r>
    </w:p>
    <w:p w14:paraId="66589C43" w14:textId="77777777" w:rsidR="00574EB4" w:rsidRPr="0091560A" w:rsidRDefault="00574EB4" w:rsidP="00574EB4">
      <w:pPr>
        <w:spacing w:after="0"/>
        <w:rPr>
          <w:rFonts w:eastAsia="Times New Roman" w:cs="Times New Roman"/>
          <w:color w:val="000000" w:themeColor="text1"/>
          <w:szCs w:val="24"/>
        </w:rPr>
      </w:pPr>
    </w:p>
    <w:p w14:paraId="706F9FB0" w14:textId="13DB2594" w:rsidR="00574EB4" w:rsidRPr="0091560A" w:rsidRDefault="00574EB4" w:rsidP="00497A30">
      <w:pPr>
        <w:spacing w:after="120"/>
        <w:rPr>
          <w:rFonts w:eastAsia="Times New Roman" w:cs="Times New Roman"/>
          <w:color w:val="000000" w:themeColor="text1"/>
          <w:szCs w:val="24"/>
        </w:rPr>
      </w:pPr>
      <w:r w:rsidRPr="0091560A">
        <w:rPr>
          <w:rFonts w:eastAsia="Times New Roman" w:cs="Times New Roman"/>
          <w:color w:val="000000" w:themeColor="text1"/>
          <w:szCs w:val="24"/>
        </w:rPr>
        <w:t>These studies were observational, reporting outcomes before and after the implementation of the restriction. Medications that were restricted included paracetamol, aspirin, codeine and co-proxamol. Types of restrictions included pack size limits (</w:t>
      </w:r>
      <w:r w:rsidRPr="0091560A">
        <w:rPr>
          <w:rFonts w:eastAsia="Times New Roman" w:cs="Times New Roman"/>
          <w:i/>
          <w:iCs/>
          <w:color w:val="000000" w:themeColor="text1"/>
          <w:szCs w:val="24"/>
        </w:rPr>
        <w:t xml:space="preserve">n </w:t>
      </w:r>
      <w:r w:rsidRPr="0091560A">
        <w:rPr>
          <w:rFonts w:eastAsia="Times New Roman" w:cs="Times New Roman"/>
          <w:color w:val="000000" w:themeColor="text1"/>
          <w:szCs w:val="24"/>
        </w:rPr>
        <w:t>= 5; four of these also involved warnings of the danger of overdose and conversion to blister packs), withdrawal of a particular medication (</w:t>
      </w:r>
      <w:r w:rsidRPr="0091560A">
        <w:rPr>
          <w:rFonts w:eastAsia="Times New Roman" w:cs="Times New Roman"/>
          <w:i/>
          <w:iCs/>
          <w:color w:val="000000" w:themeColor="text1"/>
          <w:szCs w:val="24"/>
        </w:rPr>
        <w:t xml:space="preserve">n </w:t>
      </w:r>
      <w:r w:rsidRPr="0091560A">
        <w:rPr>
          <w:rFonts w:eastAsia="Times New Roman" w:cs="Times New Roman"/>
          <w:color w:val="000000" w:themeColor="text1"/>
          <w:szCs w:val="24"/>
        </w:rPr>
        <w:t>= 5), recall of a product (</w:t>
      </w:r>
      <w:r w:rsidRPr="0091560A">
        <w:rPr>
          <w:rFonts w:eastAsia="Times New Roman" w:cs="Times New Roman"/>
          <w:i/>
          <w:iCs/>
          <w:color w:val="000000" w:themeColor="text1"/>
          <w:szCs w:val="24"/>
        </w:rPr>
        <w:t xml:space="preserve">n = </w:t>
      </w:r>
      <w:r w:rsidRPr="0091560A">
        <w:rPr>
          <w:rFonts w:eastAsia="Times New Roman" w:cs="Times New Roman"/>
          <w:color w:val="000000" w:themeColor="text1"/>
          <w:szCs w:val="24"/>
        </w:rPr>
        <w:t xml:space="preserve">2), change in the </w:t>
      </w:r>
      <w:r w:rsidR="00430274">
        <w:rPr>
          <w:rFonts w:eastAsia="Times New Roman" w:cs="Times New Roman"/>
          <w:color w:val="000000" w:themeColor="text1"/>
          <w:szCs w:val="24"/>
        </w:rPr>
        <w:t>s</w:t>
      </w:r>
      <w:r w:rsidRPr="0091560A">
        <w:rPr>
          <w:rFonts w:eastAsia="Times New Roman" w:cs="Times New Roman"/>
          <w:color w:val="000000" w:themeColor="text1"/>
          <w:szCs w:val="24"/>
        </w:rPr>
        <w:t>chedule of a medication (</w:t>
      </w:r>
      <w:r w:rsidRPr="0091560A">
        <w:rPr>
          <w:rFonts w:eastAsia="Times New Roman" w:cs="Times New Roman"/>
          <w:i/>
          <w:iCs/>
          <w:color w:val="000000" w:themeColor="text1"/>
          <w:szCs w:val="24"/>
        </w:rPr>
        <w:t xml:space="preserve">n = </w:t>
      </w:r>
      <w:r w:rsidRPr="0091560A">
        <w:rPr>
          <w:rFonts w:eastAsia="Times New Roman" w:cs="Times New Roman"/>
          <w:color w:val="000000" w:themeColor="text1"/>
          <w:szCs w:val="24"/>
        </w:rPr>
        <w:t xml:space="preserve">2), restriction in age for purchase </w:t>
      </w:r>
      <w:r w:rsidRPr="0091560A">
        <w:rPr>
          <w:rFonts w:eastAsia="Times New Roman" w:cs="Times New Roman"/>
          <w:i/>
          <w:iCs/>
          <w:color w:val="000000" w:themeColor="text1"/>
          <w:szCs w:val="24"/>
        </w:rPr>
        <w:t xml:space="preserve">(n </w:t>
      </w:r>
      <w:r w:rsidRPr="0091560A">
        <w:rPr>
          <w:rFonts w:eastAsia="Times New Roman" w:cs="Times New Roman"/>
          <w:color w:val="000000" w:themeColor="text1"/>
          <w:szCs w:val="24"/>
        </w:rPr>
        <w:t>= 1)</w:t>
      </w:r>
      <w:r w:rsidRPr="0091560A">
        <w:rPr>
          <w:rFonts w:eastAsia="Times New Roman" w:cs="Times New Roman"/>
          <w:i/>
          <w:iCs/>
          <w:color w:val="000000" w:themeColor="text1"/>
          <w:szCs w:val="24"/>
        </w:rPr>
        <w:t>,</w:t>
      </w:r>
      <w:r w:rsidRPr="0091560A">
        <w:rPr>
          <w:rFonts w:eastAsia="Times New Roman" w:cs="Times New Roman"/>
          <w:color w:val="000000" w:themeColor="text1"/>
          <w:szCs w:val="24"/>
        </w:rPr>
        <w:t xml:space="preserve"> and improving sales guidelines (</w:t>
      </w:r>
      <w:r w:rsidRPr="0091560A">
        <w:rPr>
          <w:rFonts w:eastAsia="Times New Roman" w:cs="Times New Roman"/>
          <w:i/>
          <w:iCs/>
          <w:color w:val="000000" w:themeColor="text1"/>
          <w:szCs w:val="24"/>
        </w:rPr>
        <w:t xml:space="preserve">n </w:t>
      </w:r>
      <w:r w:rsidRPr="0091560A">
        <w:rPr>
          <w:rFonts w:eastAsia="Times New Roman" w:cs="Times New Roman"/>
          <w:color w:val="000000" w:themeColor="text1"/>
          <w:szCs w:val="24"/>
        </w:rPr>
        <w:t>= 1). To elucidate the impact of each restriction, a narrative synthesis has been conducted discussing each restriction imposed in each country separately.</w:t>
      </w:r>
    </w:p>
    <w:p w14:paraId="054E0B9E" w14:textId="77777777" w:rsidR="00574EB4" w:rsidRPr="0091560A" w:rsidRDefault="00574EB4" w:rsidP="00574EB4">
      <w:pPr>
        <w:spacing w:after="0" w:line="257" w:lineRule="auto"/>
        <w:rPr>
          <w:rFonts w:eastAsia="Times New Roman" w:cs="Times New Roman"/>
          <w:b/>
          <w:bCs/>
          <w:color w:val="000000" w:themeColor="text1"/>
          <w:szCs w:val="24"/>
        </w:rPr>
      </w:pPr>
    </w:p>
    <w:p w14:paraId="1E205670" w14:textId="2DF65E28" w:rsidR="00574EB4" w:rsidRPr="0091560A" w:rsidRDefault="00574EB4" w:rsidP="00E40DB5">
      <w:r w:rsidRPr="0091560A">
        <w:rPr>
          <w:b/>
        </w:rPr>
        <w:t xml:space="preserve">Pack size limits of paracetamol and aspirin in the UK: </w:t>
      </w:r>
      <w:r w:rsidRPr="0091560A">
        <w:t xml:space="preserve">Legislation introduced in 1998 in the UK </w:t>
      </w:r>
      <w:r w:rsidR="00555DD7">
        <w:t xml:space="preserve">reduced </w:t>
      </w:r>
      <w:r w:rsidRPr="0091560A">
        <w:t>pack</w:t>
      </w:r>
      <w:r w:rsidR="00555DD7">
        <w:t>s</w:t>
      </w:r>
      <w:r w:rsidRPr="0091560A">
        <w:t xml:space="preserve"> </w:t>
      </w:r>
      <w:r w:rsidR="00555DD7">
        <w:t>containing</w:t>
      </w:r>
      <w:r w:rsidRPr="0091560A">
        <w:t xml:space="preserve"> paracetamol, aspirin or both to 32 tablets in pharmacies and 16 tablets in other retail outlets. Restrictions on pack sizes was applied to both paracetamol and aspirin due to concerns that if only paracetamol were included then there would be a risk of substitution with aspirin. In addition, warnings were placed on packs highlighting the danger of overdose, and paracetamol became almost exclusively available in blister-pack form.</w:t>
      </w:r>
    </w:p>
    <w:p w14:paraId="59A0B657" w14:textId="77777777" w:rsidR="00574EB4" w:rsidRPr="0091560A" w:rsidRDefault="00574EB4" w:rsidP="00574EB4">
      <w:pPr>
        <w:spacing w:after="0" w:line="257" w:lineRule="auto"/>
        <w:rPr>
          <w:rFonts w:eastAsia="Times New Roman" w:cs="Times New Roman"/>
          <w:color w:val="000000" w:themeColor="text1"/>
          <w:szCs w:val="24"/>
          <w:u w:val="single"/>
        </w:rPr>
      </w:pPr>
    </w:p>
    <w:p w14:paraId="05801587" w14:textId="77777777" w:rsidR="00574EB4" w:rsidRPr="003D12EC" w:rsidRDefault="00574EB4" w:rsidP="00497A30">
      <w:pPr>
        <w:pStyle w:val="Heading4"/>
        <w:spacing w:before="0"/>
      </w:pPr>
      <w:r w:rsidRPr="003D12EC">
        <w:t>Impact on paracetamol use</w:t>
      </w:r>
    </w:p>
    <w:p w14:paraId="1DC6A16E" w14:textId="4247D187" w:rsidR="00574EB4" w:rsidRPr="0091560A" w:rsidRDefault="00574EB4" w:rsidP="00E40DB5">
      <w:r w:rsidRPr="0091560A">
        <w:t xml:space="preserve">Three of the four studies examining the 1998 pack size restriction in the UK found evidence of a reduction in paracetamol related deaths </w:t>
      </w:r>
      <w:r w:rsidRPr="0091560A">
        <w:fldChar w:fldCharType="begin">
          <w:fldData xml:space="preserve">PEVuZE5vdGU+PENpdGU+PEF1dGhvcj5IYXd0b248L0F1dGhvcj48WWVhcj4yMDA0PC9ZZWFyPjxS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</w:fldData>
        </w:fldChar>
      </w:r>
      <w:r w:rsidR="00D709C3" w:rsidRPr="0091560A">
        <w:instrText xml:space="preserve"> ADDIN EN.CITE </w:instrText>
      </w:r>
      <w:r w:rsidR="00D709C3" w:rsidRPr="0091560A">
        <w:fldChar w:fldCharType="begin">
          <w:fldData xml:space="preserve">PEVuZE5vdGU+PENpdGU+PEF1dGhvcj5IYXd0b248L0F1dGhvcj48WWVhcj4yMDA0PC9ZZWFyPjxS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</w:fldData>
        </w:fldChar>
      </w:r>
      <w:r w:rsidR="00D709C3" w:rsidRPr="0091560A">
        <w:instrText xml:space="preserve"> ADDIN EN.CITE.DATA </w:instrText>
      </w:r>
      <w:r w:rsidR="00D709C3" w:rsidRPr="0091560A">
        <w:fldChar w:fldCharType="end"/>
      </w:r>
      <w:r w:rsidRPr="0091560A">
        <w:fldChar w:fldCharType="separate"/>
      </w:r>
      <w:r w:rsidRPr="0091560A">
        <w:t>(K. Hawton et al., 2004; O. Morgan, Griffiths, &amp; Majeed, 2005; O. W. Morgan, Griffiths, &amp; Majeed, 2007)</w:t>
      </w:r>
      <w:r w:rsidRPr="0091560A">
        <w:fldChar w:fldCharType="end"/>
      </w:r>
      <w:r w:rsidRPr="0091560A">
        <w:t xml:space="preserve">, and this pattern was consistent when intentional and non-intentional self-poisoning deaths were considered separately </w:t>
      </w:r>
      <w:r w:rsidRPr="0091560A">
        <w:fldChar w:fldCharType="begin"/>
      </w:r>
      <w:r w:rsidR="00D709C3" w:rsidRPr="0091560A">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Pr="0091560A">
        <w:fldChar w:fldCharType="separate"/>
      </w:r>
      <w:r w:rsidRPr="0091560A">
        <w:t>(K. Hawton et al., 2004)</w:t>
      </w:r>
      <w:r w:rsidRPr="0091560A">
        <w:fldChar w:fldCharType="end"/>
      </w:r>
      <w:r w:rsidRPr="0091560A">
        <w:t xml:space="preserve">. The effect on other outcomes was less clear, with mixed evidence of a reduction in non-fatal overdoses </w:t>
      </w:r>
      <w:r w:rsidRPr="0091560A">
        <w:fldChar w:fldCharType="begin">
          <w:fldData xml:space="preserve">PEVuZE5vdGU+PENpdGU+PEF1dGhvcj5IYXd0b248L0F1dGhvcj48WWVhcj4yMDA0PC9ZZWFyPjxS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</w:fldData>
        </w:fldChar>
      </w:r>
      <w:r w:rsidR="00D709C3" w:rsidRPr="0091560A">
        <w:instrText xml:space="preserve"> ADDIN EN.CITE </w:instrText>
      </w:r>
      <w:r w:rsidR="00D709C3" w:rsidRPr="0091560A">
        <w:fldChar w:fldCharType="begin">
          <w:fldData xml:space="preserve">PEVuZE5vdGU+PENpdGU+PEF1dGhvcj5IYXd0b248L0F1dGhvcj48WWVhcj4yMDA0PC9ZZWFyPjxS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</w:fldData>
        </w:fldChar>
      </w:r>
      <w:r w:rsidR="00D709C3" w:rsidRPr="0091560A">
        <w:instrText xml:space="preserve"> ADDIN EN.CITE.DATA </w:instrText>
      </w:r>
      <w:r w:rsidR="00D709C3" w:rsidRPr="0091560A">
        <w:fldChar w:fldCharType="end"/>
      </w:r>
      <w:r w:rsidRPr="0091560A">
        <w:fldChar w:fldCharType="separate"/>
      </w:r>
      <w:r w:rsidRPr="0091560A">
        <w:t>(K. Hawton et al., 2004; O. Morgan et al., 2005; Turvill, Burroughs, &amp; Moore, 2000)</w:t>
      </w:r>
      <w:r w:rsidRPr="0091560A">
        <w:fldChar w:fldCharType="end"/>
      </w:r>
      <w:r w:rsidRPr="0091560A">
        <w:t xml:space="preserve">, and some evidence of a reduction in liver toxicity complications </w:t>
      </w:r>
      <w:r w:rsidRPr="0091560A">
        <w:fldChar w:fldCharType="begin"/>
      </w:r>
      <w:r w:rsidR="00D709C3" w:rsidRPr="0091560A">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Pr="0091560A">
        <w:fldChar w:fldCharType="separate"/>
      </w:r>
      <w:r w:rsidRPr="0091560A">
        <w:t>(K. Hawton et al., 2004)</w:t>
      </w:r>
      <w:r w:rsidRPr="0091560A">
        <w:fldChar w:fldCharType="end"/>
      </w:r>
      <w:r w:rsidRPr="0091560A">
        <w:t xml:space="preserve">. One study also found the number of tablets taken in </w:t>
      </w:r>
      <w:r w:rsidR="00670453">
        <w:t xml:space="preserve">a self-poisoning episode </w:t>
      </w:r>
      <w:r w:rsidRPr="0091560A">
        <w:t xml:space="preserve">reduced following the restriction and was sustained in subsequent years </w:t>
      </w:r>
      <w:r w:rsidRPr="0091560A">
        <w:fldChar w:fldCharType="begin"/>
      </w:r>
      <w:r w:rsidR="00D709C3" w:rsidRPr="0091560A">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Pr="0091560A">
        <w:fldChar w:fldCharType="separate"/>
      </w:r>
      <w:r w:rsidRPr="0091560A">
        <w:t>(K. Hawton et al., 2004)</w:t>
      </w:r>
      <w:r w:rsidRPr="0091560A">
        <w:fldChar w:fldCharType="end"/>
      </w:r>
      <w:r w:rsidRPr="0091560A">
        <w:t xml:space="preserve">. </w:t>
      </w:r>
    </w:p>
    <w:p w14:paraId="682BB414" w14:textId="77777777" w:rsidR="00574EB4" w:rsidRPr="0091560A" w:rsidRDefault="00574EB4" w:rsidP="00574EB4">
      <w:pPr>
        <w:spacing w:after="0" w:line="257" w:lineRule="auto"/>
        <w:rPr>
          <w:rFonts w:eastAsia="Times New Roman" w:cs="Times New Roman"/>
          <w:color w:val="000000" w:themeColor="text1"/>
          <w:szCs w:val="24"/>
        </w:rPr>
      </w:pPr>
    </w:p>
    <w:p w14:paraId="6FA8492A" w14:textId="77777777" w:rsidR="00574EB4" w:rsidRPr="003D12EC" w:rsidRDefault="00574EB4" w:rsidP="00497A30">
      <w:pPr>
        <w:pStyle w:val="Heading4"/>
        <w:spacing w:before="0"/>
      </w:pPr>
      <w:r w:rsidRPr="003D12EC">
        <w:t>Impact on potential method substitution</w:t>
      </w:r>
    </w:p>
    <w:p w14:paraId="260BD1A9" w14:textId="39E81CE2" w:rsidR="00574EB4" w:rsidRPr="0091560A" w:rsidRDefault="00453AA6" w:rsidP="00E40DB5">
      <w:r>
        <w:t>There was mixed evidence of method substitution.</w:t>
      </w:r>
      <w:r w:rsidR="004B0420">
        <w:t xml:space="preserve"> A</w:t>
      </w:r>
      <w:r w:rsidR="004B0420" w:rsidRPr="0091560A">
        <w:t>ll deaths fr</w:t>
      </w:r>
      <w:r w:rsidR="004B0420">
        <w:t>om</w:t>
      </w:r>
      <w:r w:rsidR="004B0420" w:rsidRPr="0091560A">
        <w:t xml:space="preserve"> ibuprofen increased 2.2-fold and suicide/open verdict deaths increased 2.1-fold following the legislation change, </w:t>
      </w:r>
      <w:r w:rsidR="004B0420">
        <w:t>suggesting some evidence of substitution. H</w:t>
      </w:r>
      <w:r w:rsidR="004B0420" w:rsidRPr="0091560A">
        <w:t xml:space="preserve">owever the </w:t>
      </w:r>
      <w:r w:rsidR="004B0420">
        <w:t xml:space="preserve">total </w:t>
      </w:r>
      <w:r w:rsidR="004B0420" w:rsidRPr="0091560A">
        <w:t>number</w:t>
      </w:r>
      <w:r w:rsidR="004B0420">
        <w:t xml:space="preserve"> of deaths</w:t>
      </w:r>
      <w:r w:rsidR="004B0420" w:rsidRPr="0091560A">
        <w:t xml:space="preserve"> w</w:t>
      </w:r>
      <w:r w:rsidR="004B0420">
        <w:t>as</w:t>
      </w:r>
      <w:r w:rsidR="004B0420" w:rsidRPr="0091560A">
        <w:t xml:space="preserve"> small (less than 10 deaths in 3 years) </w:t>
      </w:r>
      <w:r w:rsidR="004B0420" w:rsidRPr="0091560A">
        <w:fldChar w:fldCharType="begin"/>
      </w:r>
      <w:r w:rsidR="004B0420" w:rsidRPr="0091560A">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004B0420" w:rsidRPr="0091560A">
        <w:fldChar w:fldCharType="separate"/>
      </w:r>
      <w:r w:rsidR="004B0420" w:rsidRPr="0091560A">
        <w:t>(K. Hawton et al., 2004)</w:t>
      </w:r>
      <w:r w:rsidR="004B0420" w:rsidRPr="0091560A">
        <w:fldChar w:fldCharType="end"/>
      </w:r>
      <w:r w:rsidR="004B0420" w:rsidRPr="0091560A">
        <w:t xml:space="preserve">. </w:t>
      </w:r>
      <w:r w:rsidR="002F387E">
        <w:t>T</w:t>
      </w:r>
      <w:r w:rsidR="004B0420">
        <w:t>here was a</w:t>
      </w:r>
      <w:r w:rsidR="002F387E">
        <w:t>lso an</w:t>
      </w:r>
      <w:r w:rsidR="004B0420">
        <w:t xml:space="preserve"> increase in</w:t>
      </w:r>
      <w:r w:rsidR="004B0420" w:rsidRPr="0091560A">
        <w:t xml:space="preserve"> non-fatal overdoses</w:t>
      </w:r>
      <w:r w:rsidR="004B0420">
        <w:t xml:space="preserve"> using ibuprofen</w:t>
      </w:r>
      <w:r w:rsidR="002F387E">
        <w:t xml:space="preserve"> which was not accompanied </w:t>
      </w:r>
      <w:r w:rsidR="004A6A0A">
        <w:t>by a</w:t>
      </w:r>
      <w:r w:rsidR="004B0420" w:rsidRPr="0091560A">
        <w:t xml:space="preserve"> change in the number of</w:t>
      </w:r>
      <w:r w:rsidR="004B0420">
        <w:t xml:space="preserve"> ibuprofen</w:t>
      </w:r>
      <w:r w:rsidR="004B0420" w:rsidRPr="0091560A">
        <w:t xml:space="preserve"> tablets or number of large </w:t>
      </w:r>
      <w:r w:rsidR="004B0420">
        <w:t xml:space="preserve">(i.e., over 32 tablets taken) </w:t>
      </w:r>
      <w:r w:rsidR="004B0420" w:rsidRPr="0091560A">
        <w:t xml:space="preserve">ibuprofen overdoses </w:t>
      </w:r>
      <w:r w:rsidR="004B0420" w:rsidRPr="0091560A">
        <w:fldChar w:fldCharType="begin"/>
      </w:r>
      <w:r w:rsidR="004B0420" w:rsidRPr="0091560A">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004B0420" w:rsidRPr="0091560A">
        <w:fldChar w:fldCharType="separate"/>
      </w:r>
      <w:r w:rsidR="004B0420" w:rsidRPr="0091560A">
        <w:t>(K. Hawton et al., 2004)</w:t>
      </w:r>
      <w:r w:rsidR="004B0420" w:rsidRPr="0091560A">
        <w:fldChar w:fldCharType="end"/>
      </w:r>
      <w:r w:rsidR="004B0420" w:rsidRPr="0091560A">
        <w:t xml:space="preserve">. </w:t>
      </w:r>
      <w:r w:rsidR="004A6A0A">
        <w:t>In contrast, s</w:t>
      </w:r>
      <w:r w:rsidR="00574EB4" w:rsidRPr="0091560A">
        <w:t xml:space="preserve">uicides with non-drug poisoning declined after the restriction </w:t>
      </w:r>
      <w:r w:rsidR="00574EB4" w:rsidRPr="0091560A">
        <w:fldChar w:fldCharType="begin"/>
      </w:r>
      <w:r w:rsidR="00D709C3" w:rsidRPr="0091560A">
        <w:instrText xml:space="preserve"> ADDIN EN.CITE &lt;EndNote&gt;&lt;Cite&gt;&lt;Author&gt;Morgan&lt;/Author&gt;&lt;Year&gt;2007&lt;/Year&gt;&lt;RecNum&gt;899&lt;/RecNum&gt;&lt;DisplayText&gt;(O. W. Morgan et al., 2007)&lt;/DisplayText&gt;&lt;record&gt;&lt;rec-number&gt;899&lt;/rec-number&gt;&lt;foreign-keys&gt;&lt;key app="EN" db-id="90p22wx96ddedpe0r9pxtt9gzz05dd5ev299" timestamp="1657000537"&gt;899&lt;/key&gt;&lt;/foreign-keys&gt;&lt;ref-type name="Journal Article"&gt;17&lt;/ref-type&gt;&lt;contributors&gt;&lt;authors&gt;&lt;author&gt;Morgan, O. W.&lt;/author&gt;&lt;author&gt;Griffiths, C.&lt;/author&gt;&lt;author&gt;Majeed, A.&lt;/author&gt;&lt;/authors&gt;&lt;/contributors&gt;&lt;titles&gt;&lt;title&gt;Interrupted time-series analysis of regulations to reduce paracetamol (acetaminophen) poisoning&lt;/title&gt;&lt;secondary-title&gt;PLoS Medicine&lt;/secondary-title&gt;&lt;/titles&gt;&lt;pages&gt;654-659&lt;/pages&gt;&lt;volume&gt;4&lt;/volume&gt;&lt;number&gt;4&lt;/number&gt;&lt;dates&gt;&lt;year&gt;2007&lt;/year&gt;&lt;/dates&gt;&lt;urls&gt;&lt;related-urls&gt;&lt;url&gt;http://medicine.plosjournals.org/archive/1549-1676/4/4/pdf/10.1371_journal.pmed.0040105-S.pdfhttp://ovidsp.ovid.com/ovidweb.cgi?T=JS&amp;amp;PAGE=reference&amp;amp;D=emed10&amp;amp;NEWS=N&amp;amp;AN=46658767&lt;/url&gt;&lt;/related-urls&gt;&lt;/urls&gt;&lt;electronic-resource-num&gt;http://dx.doi.org/10.1371/journal.pmed.0040105&lt;/electronic-resource-num&gt;&lt;/record&gt;&lt;/Cite&gt;&lt;/EndNote&gt;</w:instrText>
      </w:r>
      <w:r w:rsidR="00574EB4" w:rsidRPr="0091560A">
        <w:fldChar w:fldCharType="separate"/>
      </w:r>
      <w:r w:rsidR="00574EB4" w:rsidRPr="0091560A">
        <w:t>(O. W. Morgan et al., 2007)</w:t>
      </w:r>
      <w:r w:rsidR="00574EB4" w:rsidRPr="0091560A">
        <w:fldChar w:fldCharType="end"/>
      </w:r>
      <w:r w:rsidR="00574EB4" w:rsidRPr="0091560A">
        <w:t xml:space="preserve">. The frequency of overdose with benzodiazepine, the </w:t>
      </w:r>
      <w:r w:rsidR="00B01942">
        <w:t xml:space="preserve">next </w:t>
      </w:r>
      <w:r w:rsidR="00574EB4" w:rsidRPr="0091560A">
        <w:t xml:space="preserve">most common cause of deliberate self-harm after paracetamol remained stable </w:t>
      </w:r>
      <w:r w:rsidR="00574EB4" w:rsidRPr="0091560A">
        <w:fldChar w:fldCharType="begin"/>
      </w:r>
      <w:r w:rsidR="00D709C3" w:rsidRPr="0091560A">
        <w:instrText xml:space="preserve"> ADDIN EN.CITE &lt;EndNote&gt;&lt;Cite&gt;&lt;Author&gt;Turvill&lt;/Author&gt;&lt;Year&gt;2000&lt;/Year&gt;&lt;RecNum&gt;920&lt;/RecNum&gt;&lt;DisplayText&gt;(Turvill et al., 2000)&lt;/DisplayText&gt;&lt;record&gt;&lt;rec-number&gt;920&lt;/rec-number&gt;&lt;foreign-keys&gt;&lt;key app="EN" db-id="90p22wx96ddedpe0r9pxtt9gzz05dd5ev299" timestamp="1657000537"&gt;920&lt;/key&gt;&lt;/foreign-keys&gt;&lt;ref-type name="Journal Article"&gt;17&lt;/ref-type&gt;&lt;contributors&gt;&lt;authors&gt;&lt;author&gt;Turvill, J. L.&lt;/author&gt;&lt;author&gt;Burroughs, A. K.&lt;/author&gt;&lt;author&gt;Moore, K. P.&lt;/author&gt;&lt;/authors&gt;&lt;/contributors&gt;&lt;titles&gt;&lt;title&gt;Change in occurrence of paracetamol overdose in UK after introduction of blister packs&lt;/title&gt;&lt;secondary-title&gt;Lancet (London, England)&lt;/secondary-title&gt;&lt;/titles&gt;&lt;pages&gt;2048-9&lt;/pages&gt;&lt;volume&gt;355&lt;/volume&gt;&lt;number&gt;9220&lt;/number&gt;&lt;dates&gt;&lt;year&gt;2000&lt;/year&gt;&lt;/dates&gt;&lt;urls&gt;&lt;related-urls&gt;&lt;url&gt;http://ovidsp.ovid.com/ovidweb.cgi?T=JS&amp;amp;PAGE=reference&amp;amp;D=med4&amp;amp;NEWS=N&amp;amp;AN=10905911&lt;/url&gt;&lt;/related-urls&gt;&lt;/urls&gt;&lt;/record&gt;&lt;/Cite&gt;&lt;/EndNote&gt;</w:instrText>
      </w:r>
      <w:r w:rsidR="00574EB4" w:rsidRPr="0091560A">
        <w:fldChar w:fldCharType="separate"/>
      </w:r>
      <w:r w:rsidR="00574EB4" w:rsidRPr="0091560A">
        <w:t>(Turvill et al., 2000)</w:t>
      </w:r>
      <w:r w:rsidR="00574EB4" w:rsidRPr="0091560A">
        <w:fldChar w:fldCharType="end"/>
      </w:r>
      <w:r w:rsidR="00574EB4" w:rsidRPr="0091560A">
        <w:t xml:space="preserve">. Mortality associated with compound paracetamol, which was not affected by the legislation, remained relatively constant throughout the study period </w:t>
      </w:r>
      <w:r w:rsidR="00574EB4" w:rsidRPr="0091560A">
        <w:fldChar w:fldCharType="begin"/>
      </w:r>
      <w:r w:rsidR="00D709C3" w:rsidRPr="0091560A">
        <w:instrText xml:space="preserve"> ADDIN EN.CITE &lt;EndNote&gt;&lt;Cite&gt;&lt;Author&gt;Morgan&lt;/Author&gt;&lt;Year&gt;2005&lt;/Year&gt;&lt;RecNum&gt;898&lt;/RecNum&gt;&lt;DisplayText&gt;(O. Morgan et al., 2005)&lt;/DisplayText&gt;&lt;record&gt;&lt;rec-number&gt;898&lt;/rec-number&gt;&lt;foreign-keys&gt;&lt;key app="EN" db-id="90p22wx96ddedpe0r9pxtt9gzz05dd5ev299" timestamp="1657000537"&gt;898&lt;/key&gt;&lt;/foreign-keys&gt;&lt;ref-type name="Journal Article"&gt;17&lt;/ref-type&gt;&lt;contributors&gt;&lt;authors&gt;&lt;author&gt;Morgan, Oliver&lt;/author&gt;&lt;author&gt;Griffiths, Clare&lt;/author&gt;&lt;author&gt;Majeed, Azeem&lt;/author&gt;&lt;/authors&gt;&lt;/contributors&gt;&lt;titles&gt;&lt;title&gt;Impact of paracetamol pack size restrictions on poisoning from paracetamol in England and Wales: an observational study&lt;/title&gt;&lt;secondary-title&gt;Journal of public health (Oxford, England)&lt;/secondary-title&gt;&lt;/titles&gt;&lt;pages&gt;19-24&lt;/pages&gt;&lt;volume&gt;27&lt;/volume&gt;&lt;number&gt;1&lt;/number&gt;&lt;dates&gt;&lt;year&gt;2005&lt;/year&gt;&lt;/dates&gt;&lt;urls&gt;&lt;related-urls&gt;&lt;url&gt;http://ovidsp.ovid.com/ovidweb.cgi?T=JS&amp;amp;PAGE=reference&amp;amp;D=med6&amp;amp;NEWS=N&amp;amp;AN=15637104&lt;/url&gt;&lt;/related-urls&gt;&lt;/urls&gt;&lt;/record&gt;&lt;/Cite&gt;&lt;/EndNote&gt;</w:instrText>
      </w:r>
      <w:r w:rsidR="00574EB4" w:rsidRPr="0091560A">
        <w:fldChar w:fldCharType="separate"/>
      </w:r>
      <w:r w:rsidR="00574EB4" w:rsidRPr="0091560A">
        <w:t>(O. Morgan et al., 2005)</w:t>
      </w:r>
      <w:r w:rsidR="00574EB4" w:rsidRPr="0091560A">
        <w:fldChar w:fldCharType="end"/>
      </w:r>
      <w:r w:rsidR="00574EB4" w:rsidRPr="0091560A">
        <w:t xml:space="preserve"> or decreased when age-standardised mortality rate was assessed </w:t>
      </w:r>
      <w:r w:rsidR="00574EB4" w:rsidRPr="0091560A">
        <w:fldChar w:fldCharType="begin"/>
      </w:r>
      <w:r w:rsidR="00D709C3" w:rsidRPr="0091560A">
        <w:instrText xml:space="preserve"> ADDIN EN.CITE &lt;EndNote&gt;&lt;Cite&gt;&lt;Author&gt;Morgan&lt;/Author&gt;&lt;Year&gt;2007&lt;/Year&gt;&lt;RecNum&gt;899&lt;/RecNum&gt;&lt;DisplayText&gt;(O. W. Morgan et al., 2007)&lt;/DisplayText&gt;&lt;record&gt;&lt;rec-number&gt;899&lt;/rec-number&gt;&lt;foreign-keys&gt;&lt;key app="EN" db-id="90p22wx96ddedpe0r9pxtt9gzz05dd5ev299" timestamp="1657000537"&gt;899&lt;/key&gt;&lt;/foreign-keys&gt;&lt;ref-type name="Journal Article"&gt;17&lt;/ref-type&gt;&lt;contributors&gt;&lt;authors&gt;&lt;author&gt;Morgan, O. W.&lt;/author&gt;&lt;author&gt;Griffiths, C.&lt;/author&gt;&lt;author&gt;Majeed, A.&lt;/author&gt;&lt;/authors&gt;&lt;/contributors&gt;&lt;titles&gt;&lt;title&gt;Interrupted time-series analysis of regulations to reduce paracetamol (acetaminophen) poisoning&lt;/title&gt;&lt;secondary-title&gt;PLoS Medicine&lt;/secondary-title&gt;&lt;/titles&gt;&lt;pages&gt;654-659&lt;/pages&gt;&lt;volume&gt;4&lt;/volume&gt;&lt;number&gt;4&lt;/number&gt;&lt;dates&gt;&lt;year&gt;2007&lt;/year&gt;&lt;/dates&gt;&lt;urls&gt;&lt;related-urls&gt;&lt;url&gt;http://medicine.plosjournals.org/archive/1549-1676/4/4/pdf/10.1371_journal.pmed.0040105-S.pdfhttp://ovidsp.ovid.com/ovidweb.cgi?T=JS&amp;amp;PAGE=reference&amp;amp;D=emed10&amp;amp;NEWS=N&amp;amp;AN=46658767&lt;/url&gt;&lt;/related-urls&gt;&lt;/urls&gt;&lt;electronic-resource-num&gt;http://dx.doi.org/10.1371/journal.pmed.0040105&lt;/electronic-resource-num&gt;&lt;/record&gt;&lt;/Cite&gt;&lt;/EndNote&gt;</w:instrText>
      </w:r>
      <w:r w:rsidR="00574EB4" w:rsidRPr="0091560A">
        <w:fldChar w:fldCharType="separate"/>
      </w:r>
      <w:r w:rsidR="00574EB4" w:rsidRPr="0091560A">
        <w:t>(O. W. Morgan et al., 2007)</w:t>
      </w:r>
      <w:r w:rsidR="00574EB4" w:rsidRPr="0091560A">
        <w:fldChar w:fldCharType="end"/>
      </w:r>
      <w:r w:rsidR="00574EB4" w:rsidRPr="0091560A">
        <w:t xml:space="preserve">. Similarly, </w:t>
      </w:r>
      <w:r w:rsidR="00344D7E">
        <w:t xml:space="preserve">there was a decrease in age-standardised mortality rates for </w:t>
      </w:r>
      <w:r w:rsidR="00574EB4" w:rsidRPr="0091560A">
        <w:t xml:space="preserve">all poisonings (excluding opioids and paracetamol) </w:t>
      </w:r>
      <w:r w:rsidR="00574EB4" w:rsidRPr="0091560A">
        <w:fldChar w:fldCharType="begin"/>
      </w:r>
      <w:r w:rsidR="00D709C3" w:rsidRPr="0091560A">
        <w:instrText xml:space="preserve"> ADDIN EN.CITE &lt;EndNote&gt;&lt;Cite&gt;&lt;Author&gt;Morgan&lt;/Author&gt;&lt;Year&gt;2005&lt;/Year&gt;&lt;RecNum&gt;898&lt;/RecNum&gt;&lt;DisplayText&gt;(O. Morgan et al., 2005)&lt;/DisplayText&gt;&lt;record&gt;&lt;rec-number&gt;898&lt;/rec-number&gt;&lt;foreign-keys&gt;&lt;key app="EN" db-id="90p22wx96ddedpe0r9pxtt9gzz05dd5ev299" timestamp="1657000537"&gt;898&lt;/key&gt;&lt;/foreign-keys&gt;&lt;ref-type name="Journal Article"&gt;17&lt;/ref-type&gt;&lt;contributors&gt;&lt;authors&gt;&lt;author&gt;Morgan, Oliver&lt;/author&gt;&lt;author&gt;Griffiths, Clare&lt;/author&gt;&lt;author&gt;Majeed, Azeem&lt;/author&gt;&lt;/authors&gt;&lt;/contributors&gt;&lt;titles&gt;&lt;title&gt;Impact of paracetamol pack size restrictions on poisoning from paracetamol in England and Wales: an observational study&lt;/title&gt;&lt;secondary-title&gt;Journal of public health (Oxford, England)&lt;/secondary-title&gt;&lt;/titles&gt;&lt;pages&gt;19-24&lt;/pages&gt;&lt;volume&gt;27&lt;/volume&gt;&lt;number&gt;1&lt;/number&gt;&lt;dates&gt;&lt;year&gt;2005&lt;/year&gt;&lt;/dates&gt;&lt;urls&gt;&lt;related-urls&gt;&lt;url&gt;http://ovidsp.ovid.com/ovidweb.cgi?T=JS&amp;amp;PAGE=reference&amp;amp;D=med6&amp;amp;NEWS=N&amp;amp;AN=15637104&lt;/url&gt;&lt;/related-urls&gt;&lt;/urls&gt;&lt;/record&gt;&lt;/Cite&gt;&lt;/EndNote&gt;</w:instrText>
      </w:r>
      <w:r w:rsidR="00574EB4" w:rsidRPr="0091560A">
        <w:fldChar w:fldCharType="separate"/>
      </w:r>
      <w:r w:rsidR="00574EB4" w:rsidRPr="0091560A">
        <w:t>(O. Morgan et al., 2005)</w:t>
      </w:r>
      <w:r w:rsidR="00574EB4" w:rsidRPr="0091560A">
        <w:fldChar w:fldCharType="end"/>
      </w:r>
      <w:r w:rsidR="00574EB4" w:rsidRPr="0091560A">
        <w:t xml:space="preserve">. </w:t>
      </w:r>
    </w:p>
    <w:p w14:paraId="2E770E8C" w14:textId="77777777" w:rsidR="00574EB4" w:rsidRPr="0091560A" w:rsidRDefault="00574EB4" w:rsidP="00574EB4">
      <w:pPr>
        <w:spacing w:after="0" w:line="257" w:lineRule="auto"/>
        <w:rPr>
          <w:rFonts w:eastAsia="Times New Roman" w:cs="Times New Roman"/>
          <w:b/>
          <w:bCs/>
          <w:szCs w:val="24"/>
        </w:rPr>
      </w:pPr>
    </w:p>
    <w:p w14:paraId="2875D5A5" w14:textId="767D1CB4" w:rsidR="00574EB4" w:rsidRPr="0091560A" w:rsidRDefault="00574EB4" w:rsidP="00E40DB5">
      <w:r w:rsidRPr="0091560A">
        <w:rPr>
          <w:b/>
        </w:rPr>
        <w:t xml:space="preserve">Recall causing lack of supply of paracetamol in Australia: </w:t>
      </w:r>
      <w:r w:rsidRPr="0091560A">
        <w:t xml:space="preserve">In Australia, paracetamol was recalled in 2000 from two major suppliers in two stages causing a limit on its supply. These recalls were due to extortion threats made to two pharmaceutical companies in Australia, involving the addition of strychnine to some paracetamol-containing capsules. All paracetamol-containing products made by these companies during the respective time period were recalled, irrespective of the date of purchase </w:t>
      </w:r>
      <w:r w:rsidRPr="0091560A">
        <w:fldChar w:fldCharType="begin"/>
      </w:r>
      <w:r w:rsidR="00D709C3" w:rsidRPr="0091560A">
        <w:instrText xml:space="preserve"> ADDIN EN.CITE &lt;EndNote&gt;&lt;Cite&gt;&lt;Author&gt;Balit&lt;/Author&gt;&lt;Year&gt;2002&lt;/Year&gt;&lt;RecNum&gt;853&lt;/RecNum&gt;&lt;DisplayText&gt;(Balit, Isbister, Peat, Dawson, &amp;amp; Whyte,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Pr="0091560A">
        <w:fldChar w:fldCharType="separate"/>
      </w:r>
      <w:r w:rsidRPr="0091560A">
        <w:t>(Balit, Isbister, Peat, Dawson, &amp; Whyte, 2002)</w:t>
      </w:r>
      <w:r w:rsidRPr="0091560A">
        <w:fldChar w:fldCharType="end"/>
      </w:r>
      <w:r w:rsidRPr="0091560A">
        <w:t>. Other brands of paracetamol were still available during this period, however the recall caused an overall reduction in the supply of para</w:t>
      </w:r>
      <w:r w:rsidR="00B8021B" w:rsidRPr="0091560A">
        <w:t>c</w:t>
      </w:r>
      <w:r w:rsidRPr="0091560A">
        <w:t>etamol and provided a unique environment to examine the impact on rates of deliberate self-harm calls and hospital admission for paracetamol poisoning.</w:t>
      </w:r>
    </w:p>
    <w:p w14:paraId="4B91EB0A" w14:textId="77777777" w:rsidR="00574EB4" w:rsidRPr="0091560A" w:rsidRDefault="00574EB4" w:rsidP="00574EB4">
      <w:pPr>
        <w:spacing w:after="0" w:line="257" w:lineRule="auto"/>
        <w:rPr>
          <w:rFonts w:eastAsia="Times New Roman" w:cs="Times New Roman"/>
          <w:szCs w:val="24"/>
          <w:u w:val="single"/>
        </w:rPr>
      </w:pPr>
    </w:p>
    <w:p w14:paraId="37F2BF24" w14:textId="77777777" w:rsidR="00574EB4" w:rsidRPr="003D12EC" w:rsidRDefault="00574EB4" w:rsidP="00497A30">
      <w:pPr>
        <w:pStyle w:val="Heading4"/>
        <w:spacing w:before="0"/>
      </w:pPr>
      <w:r w:rsidRPr="003D12EC">
        <w:t>Impact on paracetamol use</w:t>
      </w:r>
    </w:p>
    <w:p w14:paraId="769BA01E" w14:textId="73D4F9E5" w:rsidR="00574EB4" w:rsidRPr="0091560A" w:rsidRDefault="00C101C5" w:rsidP="00E40DB5">
      <w:r w:rsidRPr="00C101C5">
        <w:t>The first recall period was associated with a non-significant reduction in calls to a PIC for paracetamol intentional self-poisoning</w:t>
      </w:r>
      <w:r>
        <w:t xml:space="preserve"> </w:t>
      </w:r>
      <w:r w:rsidR="00574EB4" w:rsidRPr="0091560A">
        <w:fldChar w:fldCharType="begin"/>
      </w:r>
      <w:r w:rsidR="00D709C3" w:rsidRPr="0091560A">
        <w:instrText xml:space="preserve"> ADDIN EN.CITE &lt;EndNote&gt;&lt;Cite&gt;&lt;Author&gt;Balit&lt;/Author&gt;&lt;Year&gt;2002&lt;/Year&gt;&lt;RecNum&gt;853&lt;/RecNum&gt;&lt;DisplayText&gt;(Balit et al.,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00574EB4" w:rsidRPr="0091560A">
        <w:fldChar w:fldCharType="separate"/>
      </w:r>
      <w:r w:rsidR="00574EB4" w:rsidRPr="0091560A">
        <w:t>(Balit et al., 2002)</w:t>
      </w:r>
      <w:r w:rsidR="00574EB4" w:rsidRPr="0091560A">
        <w:fldChar w:fldCharType="end"/>
      </w:r>
      <w:r w:rsidR="00574EB4" w:rsidRPr="0091560A">
        <w:t xml:space="preserve">. The effect of the recall on hospital admission for paracetamol overdose varied </w:t>
      </w:r>
      <w:r w:rsidR="00574EB4" w:rsidRPr="0091560A">
        <w:fldChar w:fldCharType="begin"/>
      </w:r>
      <w:r w:rsidR="00D709C3" w:rsidRPr="0091560A">
        <w:instrText xml:space="preserve"> ADDIN EN.CITE &lt;EndNote&gt;&lt;Cite&gt;&lt;Author&gt;Balit&lt;/Author&gt;&lt;Year&gt;2002&lt;/Year&gt;&lt;RecNum&gt;853&lt;/RecNum&gt;&lt;DisplayText&gt;(Balit et al., 2002; Kisely, Lawrence, &amp;amp; Preston, 2003)&lt;/DisplayText&gt;&lt;record&gt;&lt;rec-number&gt;853&lt;/rec-number&gt;&lt;foreign-keys&gt;&lt;key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Cite&gt;&lt;Author&gt;Kisely&lt;/Author&gt;&lt;Year&gt;2003&lt;/Year&gt;&lt;RecNum&gt;888&lt;/RecNum&gt;&lt;record&gt;&lt;rec-number&gt;888&lt;/rec-number&gt;&lt;foreign-keys&gt;&lt;key app="EN" db-id="90p22wx96ddedpe0r9pxtt9gzz05dd5ev299" timestamp="1657000537"&gt;888&lt;/key&gt;&lt;/foreign-keys&gt;&lt;ref-type name="Journal Article"&gt;17&lt;/ref-type&gt;&lt;contributors&gt;&lt;authors&gt;&lt;author&gt;Kisely, Stephen R.&lt;/author&gt;&lt;author&gt;Lawrence, David&lt;/author&gt;&lt;author&gt;Preston, Neil J.&lt;/author&gt;&lt;/authors&gt;&lt;/contributors&gt;&lt;titles&gt;&lt;title&gt;The effect of recalling paracetamol on hospital admissions for poisoning in Western Australia&lt;/title&gt;&lt;secondary-title&gt;The Medical journal of Australia&lt;/secondary-title&gt;&lt;/titles&gt;&lt;pages&gt;72-4&lt;/pages&gt;&lt;volume&gt;178&lt;/volume&gt;&lt;number&gt;2&lt;/number&gt;&lt;dates&gt;&lt;year&gt;2003&lt;/year&gt;&lt;/dates&gt;&lt;urls&gt;&lt;related-urls&gt;&lt;url&gt;http://ovidsp.ovid.com/ovidweb.cgi?T=JS&amp;amp;PAGE=reference&amp;amp;D=med5&amp;amp;NEWS=N&amp;amp;AN=12526726&lt;/url&gt;&lt;/related-urls&gt;&lt;/urls&gt;&lt;/record&gt;&lt;/Cite&gt;&lt;/EndNote&gt;</w:instrText>
      </w:r>
      <w:r w:rsidR="00574EB4" w:rsidRPr="0091560A">
        <w:fldChar w:fldCharType="separate"/>
      </w:r>
      <w:r w:rsidR="00574EB4" w:rsidRPr="0091560A">
        <w:t>(Balit et al., 2002; Kisely, Lawrence, &amp; Preston, 2003)</w:t>
      </w:r>
      <w:r w:rsidR="00574EB4" w:rsidRPr="0091560A">
        <w:fldChar w:fldCharType="end"/>
      </w:r>
      <w:r w:rsidR="00574EB4" w:rsidRPr="0091560A">
        <w:t xml:space="preserve">. </w:t>
      </w:r>
      <w:r w:rsidR="00B8021B">
        <w:t>While o</w:t>
      </w:r>
      <w:r w:rsidR="00574EB4" w:rsidRPr="0091560A">
        <w:t xml:space="preserve">ne study conducted at the Hunter Area Toxicology Service (HATS; an inpatient service for a population of approximately 500,000 people) did not find a significant change in the proportion of deliberate self-harm presentations </w:t>
      </w:r>
      <w:r w:rsidR="00574EB4" w:rsidRPr="0091560A">
        <w:fldChar w:fldCharType="begin"/>
      </w:r>
      <w:r w:rsidR="00D709C3" w:rsidRPr="0091560A">
        <w:instrText xml:space="preserve"> ADDIN EN.CITE &lt;EndNote&gt;&lt;Cite&gt;&lt;Author&gt;Balit&lt;/Author&gt;&lt;Year&gt;2002&lt;/Year&gt;&lt;RecNum&gt;853&lt;/RecNum&gt;&lt;DisplayText&gt;(Balit et al.,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00574EB4" w:rsidRPr="0091560A">
        <w:fldChar w:fldCharType="separate"/>
      </w:r>
      <w:r w:rsidR="00574EB4" w:rsidRPr="0091560A">
        <w:t>(Balit et al., 2002)</w:t>
      </w:r>
      <w:r w:rsidR="00574EB4" w:rsidRPr="0091560A">
        <w:fldChar w:fldCharType="end"/>
      </w:r>
      <w:r w:rsidR="00574EB4" w:rsidRPr="0091560A">
        <w:t>, a</w:t>
      </w:r>
      <w:r w:rsidR="00373B42">
        <w:t xml:space="preserve"> second</w:t>
      </w:r>
      <w:r w:rsidR="00574EB4" w:rsidRPr="0091560A">
        <w:t xml:space="preserve"> study in Western Australia reported a decrease in admission rates for paracetamol poisoning </w:t>
      </w:r>
      <w:r w:rsidR="00574EB4" w:rsidRPr="0091560A">
        <w:fldChar w:fldCharType="begin"/>
      </w:r>
      <w:r w:rsidR="00D709C3" w:rsidRPr="0091560A">
        <w:instrText xml:space="preserve"> ADDIN EN.CITE &lt;EndNote&gt;&lt;Cite&gt;&lt;Author&gt;Kisely&lt;/Author&gt;&lt;Year&gt;2003&lt;/Year&gt;&lt;RecNum&gt;888&lt;/RecNum&gt;&lt;DisplayText&gt;(Kisely et al., 2003)&lt;/DisplayText&gt;&lt;record&gt;&lt;rec-number&gt;888&lt;/rec-number&gt;&lt;foreign-keys&gt;&lt;key app="EN" db-id="90p22wx96ddedpe0r9pxtt9gzz05dd5ev299" timestamp="1657000537"&gt;888&lt;/key&gt;&lt;/foreign-keys&gt;&lt;ref-type name="Journal Article"&gt;17&lt;/ref-type&gt;&lt;contributors&gt;&lt;authors&gt;&lt;author&gt;Kisely, Stephen R.&lt;/author&gt;&lt;author&gt;Lawrence, David&lt;/author&gt;&lt;author&gt;Preston, Neil J.&lt;/author&gt;&lt;/authors&gt;&lt;/contributors&gt;&lt;titles&gt;&lt;title&gt;The effect of recalling paracetamol on hospital admissions for poisoning in Western Australia&lt;/title&gt;&lt;secondary-title&gt;The Medical journal of Australia&lt;/secondary-title&gt;&lt;/titles&gt;&lt;pages&gt;72-4&lt;/pages&gt;&lt;volume&gt;178&lt;/volume&gt;&lt;number&gt;2&lt;/number&gt;&lt;dates&gt;&lt;year&gt;2003&lt;/year&gt;&lt;/dates&gt;&lt;urls&gt;&lt;related-urls&gt;&lt;url&gt;http://ovidsp.ovid.com/ovidweb.cgi?T=JS&amp;amp;PAGE=reference&amp;amp;D=med5&amp;amp;NEWS=N&amp;amp;AN=12526726&lt;/url&gt;&lt;/related-urls&gt;&lt;/urls&gt;&lt;/record&gt;&lt;/Cite&gt;&lt;/EndNote&gt;</w:instrText>
      </w:r>
      <w:r w:rsidR="00574EB4" w:rsidRPr="0091560A">
        <w:fldChar w:fldCharType="separate"/>
      </w:r>
      <w:r w:rsidR="00574EB4" w:rsidRPr="0091560A">
        <w:t>(Kisely et al., 2003)</w:t>
      </w:r>
      <w:r w:rsidR="00574EB4" w:rsidRPr="0091560A">
        <w:fldChar w:fldCharType="end"/>
      </w:r>
      <w:r w:rsidR="00574EB4" w:rsidRPr="0091560A">
        <w:t xml:space="preserve">. This difference may be attributed to different locations, population and number of admissions to services or consideration of intentional admissions as compared to all admissions. It is important to note that other brands of paracetamol were available during the study period and may have </w:t>
      </w:r>
      <w:r w:rsidR="00B8021B">
        <w:t>contributed</w:t>
      </w:r>
      <w:r w:rsidR="00B8021B" w:rsidRPr="0091560A">
        <w:t xml:space="preserve"> </w:t>
      </w:r>
      <w:r w:rsidR="00574EB4" w:rsidRPr="0091560A">
        <w:t>to these results.</w:t>
      </w:r>
      <w:r w:rsidR="00793A8F" w:rsidRPr="00793A8F">
        <w:t xml:space="preserve"> </w:t>
      </w:r>
      <w:r w:rsidR="00793A8F" w:rsidRPr="0091560A">
        <w:t xml:space="preserve">Mortality was not assessed </w:t>
      </w:r>
      <w:r w:rsidR="00793A8F">
        <w:t>in</w:t>
      </w:r>
      <w:r w:rsidR="00793A8F" w:rsidRPr="0091560A">
        <w:t xml:space="preserve"> these studies</w:t>
      </w:r>
      <w:r w:rsidR="00793A8F">
        <w:t xml:space="preserve">. </w:t>
      </w:r>
    </w:p>
    <w:p w14:paraId="4B5A8925" w14:textId="77777777" w:rsidR="00574EB4" w:rsidRPr="0091560A" w:rsidRDefault="00574EB4" w:rsidP="00574EB4">
      <w:pPr>
        <w:spacing w:after="0" w:line="257" w:lineRule="auto"/>
        <w:rPr>
          <w:rFonts w:eastAsia="Times New Roman" w:cs="Times New Roman"/>
          <w:color w:val="000000" w:themeColor="text1"/>
          <w:szCs w:val="24"/>
          <w:u w:val="single"/>
        </w:rPr>
      </w:pPr>
    </w:p>
    <w:p w14:paraId="6B4C4028" w14:textId="77777777" w:rsidR="00574EB4" w:rsidRPr="003D12EC" w:rsidRDefault="00574EB4" w:rsidP="00497A30">
      <w:pPr>
        <w:pStyle w:val="Heading4"/>
        <w:spacing w:before="0"/>
      </w:pPr>
      <w:r w:rsidRPr="003D12EC">
        <w:t>Impact on potential method substitution</w:t>
      </w:r>
    </w:p>
    <w:p w14:paraId="67463810" w14:textId="76F7FD9C" w:rsidR="00574EB4" w:rsidRPr="0091560A" w:rsidRDefault="00574EB4" w:rsidP="00E40DB5">
      <w:r w:rsidRPr="0091560A">
        <w:t xml:space="preserve">To characterise if there was method substitution during this period, the use of aspirin, ibuprofen and other non-paracetamol agents </w:t>
      </w:r>
      <w:r w:rsidR="00C101C5" w:rsidRPr="0091560A">
        <w:t>w</w:t>
      </w:r>
      <w:r w:rsidR="00C101C5">
        <w:t>ere</w:t>
      </w:r>
      <w:r w:rsidR="00C101C5" w:rsidRPr="0091560A">
        <w:t xml:space="preserve"> </w:t>
      </w:r>
      <w:r w:rsidRPr="0091560A">
        <w:t xml:space="preserve">measured concurrently. </w:t>
      </w:r>
      <w:r w:rsidR="00BC163C">
        <w:t xml:space="preserve">One study found that </w:t>
      </w:r>
      <w:r w:rsidRPr="0091560A">
        <w:t xml:space="preserve">there was </w:t>
      </w:r>
      <w:r w:rsidR="00BC163C">
        <w:t xml:space="preserve">an increase </w:t>
      </w:r>
      <w:r w:rsidRPr="0091560A">
        <w:t xml:space="preserve">in the number of deliberate self-harm calls to NSW PIC for </w:t>
      </w:r>
      <w:r w:rsidR="00BC163C">
        <w:t xml:space="preserve">ibuprofen, but not </w:t>
      </w:r>
      <w:r w:rsidRPr="0091560A">
        <w:t xml:space="preserve">aspirin </w:t>
      </w:r>
      <w:r w:rsidRPr="0091560A">
        <w:fldChar w:fldCharType="begin"/>
      </w:r>
      <w:r w:rsidR="00D709C3" w:rsidRPr="0091560A">
        <w:instrText xml:space="preserve"> ADDIN EN.CITE &lt;EndNote&gt;&lt;Cite&gt;&lt;Author&gt;Balit&lt;/Author&gt;&lt;Year&gt;2002&lt;/Year&gt;&lt;RecNum&gt;853&lt;/RecNum&gt;&lt;DisplayText&gt;(Balit et al.,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Pr="0091560A">
        <w:fldChar w:fldCharType="separate"/>
      </w:r>
      <w:r w:rsidRPr="0091560A">
        <w:t>(Balit et al., 2002)</w:t>
      </w:r>
      <w:r w:rsidRPr="0091560A">
        <w:fldChar w:fldCharType="end"/>
      </w:r>
      <w:r w:rsidRPr="0091560A">
        <w:t xml:space="preserve">. Presentations to HATS significantly increased for aspirin but not for ibuprofen during the recall period </w:t>
      </w:r>
      <w:r w:rsidRPr="0091560A">
        <w:fldChar w:fldCharType="begin"/>
      </w:r>
      <w:r w:rsidR="00D709C3" w:rsidRPr="0091560A">
        <w:instrText xml:space="preserve"> ADDIN EN.CITE &lt;EndNote&gt;&lt;Cite&gt;&lt;Author&gt;Balit&lt;/Author&gt;&lt;Year&gt;2002&lt;/Year&gt;&lt;RecNum&gt;853&lt;/RecNum&gt;&lt;DisplayText&gt;(Balit et al.,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Pr="0091560A">
        <w:fldChar w:fldCharType="separate"/>
      </w:r>
      <w:r w:rsidRPr="0091560A">
        <w:t>(Balit et al., 2002)</w:t>
      </w:r>
      <w:r w:rsidRPr="0091560A">
        <w:fldChar w:fldCharType="end"/>
      </w:r>
      <w:r w:rsidRPr="0091560A">
        <w:t xml:space="preserve">. </w:t>
      </w:r>
      <w:r w:rsidR="00BC163C">
        <w:t xml:space="preserve">In contrast, </w:t>
      </w:r>
      <w:r w:rsidRPr="0091560A">
        <w:t xml:space="preserve">hospital admissions did not increase for aspirin, ibuprofen or other non-paracetamol agents during the paracetamol recall period. As above, this may be due to differences in study parameters. On the whole, </w:t>
      </w:r>
      <w:r w:rsidR="00D45066">
        <w:t>these findings</w:t>
      </w:r>
      <w:r w:rsidRPr="0091560A">
        <w:t xml:space="preserve"> suggest that there was minimal</w:t>
      </w:r>
      <w:r w:rsidR="00C101C5">
        <w:t xml:space="preserve"> </w:t>
      </w:r>
      <w:r w:rsidRPr="0091560A">
        <w:t>method substitution during the paracetamol recall period in 2000.</w:t>
      </w:r>
    </w:p>
    <w:p w14:paraId="0BE1AFA2" w14:textId="77777777" w:rsidR="00574EB4" w:rsidRPr="0091560A" w:rsidRDefault="00574EB4" w:rsidP="00574EB4">
      <w:pPr>
        <w:spacing w:after="0" w:line="257" w:lineRule="auto"/>
        <w:rPr>
          <w:rFonts w:eastAsia="Times New Roman" w:cs="Times New Roman"/>
          <w:b/>
          <w:szCs w:val="24"/>
        </w:rPr>
      </w:pPr>
    </w:p>
    <w:p w14:paraId="6C1B89F4" w14:textId="3287123B" w:rsidR="00574EB4" w:rsidRPr="0091560A" w:rsidRDefault="00574EB4" w:rsidP="00E40DB5">
      <w:r w:rsidRPr="0091560A">
        <w:rPr>
          <w:b/>
        </w:rPr>
        <w:t xml:space="preserve">Withdrawal of co-proxamol in the UK and Ireland: </w:t>
      </w:r>
      <w:r w:rsidRPr="0091560A">
        <w:t>Five identified studies focused on the withdrawal of a compound analgesic composed of 325</w:t>
      </w:r>
      <w:r w:rsidR="004A0BC8">
        <w:t xml:space="preserve"> </w:t>
      </w:r>
      <w:r w:rsidRPr="0091560A">
        <w:t>g paracetamol and 32.5</w:t>
      </w:r>
      <w:r w:rsidR="004A0BC8">
        <w:t xml:space="preserve"> </w:t>
      </w:r>
      <w:r w:rsidRPr="0091560A">
        <w:t xml:space="preserve">g dextropropoxyphene, licenced as the painkiller co-proxamol. Based on a review of co-proxamol’s efficacy/safety profile by the Medicines and Healthcare products Regulatory Agency, it was advised by the Committee on Safety of Medicines to withdraw co-proxamol, starting January 2005 with completion by 31 December 2007. Based on this, Ireland also withdrew co-proxamol (referred to as </w:t>
      </w:r>
      <w:r w:rsidR="00F767EE">
        <w:t>D</w:t>
      </w:r>
      <w:r w:rsidRPr="0091560A">
        <w:t xml:space="preserve">istalgesic) from their market in 2006. </w:t>
      </w:r>
    </w:p>
    <w:p w14:paraId="77884701" w14:textId="77777777" w:rsidR="00574EB4" w:rsidRPr="0091560A" w:rsidRDefault="00574EB4" w:rsidP="00574EB4">
      <w:pPr>
        <w:spacing w:after="0" w:line="257" w:lineRule="auto"/>
        <w:rPr>
          <w:rFonts w:eastAsia="Times New Roman" w:cs="Times New Roman"/>
          <w:szCs w:val="24"/>
          <w:u w:val="single"/>
        </w:rPr>
      </w:pPr>
    </w:p>
    <w:p w14:paraId="4218EAD2" w14:textId="77777777" w:rsidR="00574EB4" w:rsidRPr="003D12EC" w:rsidRDefault="00574EB4" w:rsidP="00AA1F61">
      <w:pPr>
        <w:pStyle w:val="Heading4"/>
      </w:pPr>
      <w:r w:rsidRPr="003D12EC">
        <w:t>Impact on co-proxamol use</w:t>
      </w:r>
    </w:p>
    <w:p w14:paraId="50F56510" w14:textId="66DDDEBF" w:rsidR="00574EB4" w:rsidRPr="0091560A" w:rsidRDefault="0040661D" w:rsidP="00574EB4">
      <w:pPr>
        <w:spacing w:after="0" w:line="257" w:lineRule="auto"/>
        <w:rPr>
          <w:rFonts w:eastAsia="Times New Roman" w:cs="Times New Roman"/>
          <w:szCs w:val="24"/>
        </w:rPr>
      </w:pPr>
      <w:r>
        <w:rPr>
          <w:rFonts w:eastAsia="Times New Roman" w:cs="Times New Roman"/>
          <w:szCs w:val="24"/>
        </w:rPr>
        <w:t>A</w:t>
      </w:r>
      <w:r w:rsidR="00574EB4" w:rsidRPr="0091560A">
        <w:rPr>
          <w:rFonts w:eastAsia="Times New Roman" w:cs="Times New Roman"/>
          <w:szCs w:val="24"/>
        </w:rPr>
        <w:t xml:space="preserve">ll studies </w:t>
      </w:r>
      <w:r w:rsidR="00BC163C">
        <w:rPr>
          <w:rFonts w:eastAsia="Times New Roman" w:cs="Times New Roman"/>
          <w:szCs w:val="24"/>
        </w:rPr>
        <w:t>reported</w:t>
      </w:r>
      <w:r w:rsidR="00574EB4" w:rsidRPr="0091560A">
        <w:rPr>
          <w:rFonts w:eastAsia="Times New Roman" w:cs="Times New Roman"/>
          <w:szCs w:val="24"/>
        </w:rPr>
        <w:t xml:space="preserve"> significant reductions in the proportion of poisoning deaths due to co-proxamol</w:t>
      </w:r>
      <w:r>
        <w:rPr>
          <w:rFonts w:eastAsia="Times New Roman" w:cs="Times New Roman"/>
          <w:szCs w:val="24"/>
        </w:rPr>
        <w:t xml:space="preserve"> following its withdrawal</w:t>
      </w:r>
      <w:r w:rsidR="00574EB4" w:rsidRPr="0091560A">
        <w:rPr>
          <w:rFonts w:eastAsia="Times New Roman" w:cs="Times New Roman"/>
          <w:szCs w:val="24"/>
        </w:rPr>
        <w:t xml:space="preserve"> </w:t>
      </w:r>
      <w:r w:rsidR="00574EB4" w:rsidRPr="0091560A">
        <w:rPr>
          <w:rFonts w:eastAsia="Times New Roman" w:cs="Times New Roman"/>
          <w:szCs w:val="24"/>
        </w:rPr>
        <w:fldChar w:fldCharType="begin">
          <w:fldData xml:space="preserve">PEVuZE5vdGU+PENpdGU+PEF1dGhvcj5IYXd0b248L0F1dGhvcj48WWVhcj4yMDA5PC9ZZWFyPjxS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</w:fldData>
        </w:fldChar>
      </w:r>
      <w:r w:rsidR="00D709C3" w:rsidRPr="0091560A">
        <w:rPr>
          <w:rFonts w:eastAsia="Times New Roman" w:cs="Times New Roman"/>
          <w:szCs w:val="24"/>
        </w:rPr>
        <w:instrText xml:space="preserve"> ADDIN EN.CITE </w:instrText>
      </w:r>
      <w:r w:rsidR="00D709C3" w:rsidRPr="0091560A">
        <w:rPr>
          <w:rFonts w:eastAsia="Times New Roman" w:cs="Times New Roman"/>
          <w:szCs w:val="24"/>
        </w:rPr>
        <w:fldChar w:fldCharType="begin">
          <w:fldData xml:space="preserve">PEVuZE5vdGU+PENpdGU+PEF1dGhvcj5IYXd0b248L0F1dGhvcj48WWVhcj4yMDA5PC9ZZWFyPjxS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</w:fldData>
        </w:fldChar>
      </w:r>
      <w:r w:rsidR="00D709C3" w:rsidRPr="0091560A">
        <w:rPr>
          <w:rFonts w:eastAsia="Times New Roman" w:cs="Times New Roman"/>
          <w:szCs w:val="24"/>
        </w:rPr>
        <w:instrText xml:space="preserve"> ADDIN EN.CITE.DATA </w:instrText>
      </w:r>
      <w:r w:rsidR="00D709C3" w:rsidRPr="0091560A">
        <w:rPr>
          <w:rFonts w:eastAsia="Times New Roman" w:cs="Times New Roman"/>
          <w:szCs w:val="24"/>
        </w:rPr>
      </w:r>
      <w:r w:rsidR="00D709C3" w:rsidRPr="0091560A">
        <w:rPr>
          <w:rFonts w:eastAsia="Times New Roman" w:cs="Times New Roman"/>
          <w:szCs w:val="24"/>
        </w:rPr>
        <w:fldChar w:fldCharType="end"/>
      </w:r>
      <w:r w:rsidR="00574EB4" w:rsidRPr="0091560A">
        <w:rPr>
          <w:rFonts w:eastAsia="Times New Roman" w:cs="Times New Roman"/>
          <w:szCs w:val="24"/>
        </w:rPr>
      </w:r>
      <w:r w:rsidR="00574EB4" w:rsidRPr="0091560A">
        <w:rPr>
          <w:rFonts w:eastAsia="Times New Roman" w:cs="Times New Roman"/>
          <w:szCs w:val="24"/>
        </w:rPr>
        <w:fldChar w:fldCharType="separate"/>
      </w:r>
      <w:r w:rsidR="00574EB4" w:rsidRPr="0091560A">
        <w:rPr>
          <w:rFonts w:eastAsia="Times New Roman" w:cs="Times New Roman"/>
          <w:noProof/>
          <w:szCs w:val="24"/>
        </w:rPr>
        <w:t>(K. Hawton et al., 2009; K. Hawton et al., 2012; Sandilands &amp; Bateman, 2008)</w:t>
      </w:r>
      <w:r w:rsidR="00574EB4" w:rsidRPr="0091560A">
        <w:rPr>
          <w:rFonts w:eastAsia="Times New Roman" w:cs="Times New Roman"/>
          <w:szCs w:val="24"/>
        </w:rPr>
        <w:fldChar w:fldCharType="end"/>
      </w:r>
      <w:r w:rsidR="00574EB4" w:rsidRPr="0091560A">
        <w:rPr>
          <w:rFonts w:eastAsia="Times New Roman" w:cs="Times New Roman"/>
          <w:szCs w:val="24"/>
        </w:rPr>
        <w:t xml:space="preserve">. Similarly, non-fatal self-poisoning </w:t>
      </w:r>
      <w:r>
        <w:rPr>
          <w:rFonts w:eastAsia="Times New Roman" w:cs="Times New Roman"/>
          <w:szCs w:val="24"/>
        </w:rPr>
        <w:t>using</w:t>
      </w:r>
      <w:r w:rsidR="00574EB4" w:rsidRPr="0091560A">
        <w:rPr>
          <w:rFonts w:eastAsia="Times New Roman" w:cs="Times New Roman"/>
          <w:szCs w:val="24"/>
        </w:rPr>
        <w:t xml:space="preserve"> co-proxamol reduced after the restriction </w:t>
      </w:r>
      <w:r w:rsidR="00574EB4" w:rsidRPr="0091560A">
        <w:rPr>
          <w:rFonts w:eastAsia="Times New Roman" w:cs="Times New Roman"/>
          <w:szCs w:val="24"/>
        </w:rPr>
        <w:fldChar w:fldCharType="begin"/>
      </w:r>
      <w:r w:rsidR="00D709C3" w:rsidRPr="0091560A">
        <w:rPr>
          <w:rFonts w:eastAsia="Times New Roman" w:cs="Times New Roman"/>
          <w:szCs w:val="24"/>
        </w:rPr>
        <w:instrText xml:space="preserve"> ADDIN EN.CITE &lt;EndNote&gt;&lt;Cite&gt;&lt;Author&gt;Hawton&lt;/Author&gt;&lt;Year&gt;2011&lt;/Year&gt;&lt;RecNum&gt;880&lt;/RecNum&gt;&lt;DisplayText&gt;(K. Hawton et al., 2011)&lt;/DisplayText&gt;&lt;record&gt;&lt;rec-number&gt;880&lt;/rec-number&gt;&lt;foreign-keys&gt;&lt;key app="EN" db-id="90p22wx96ddedpe0r9pxtt9gzz05dd5ev299" timestamp="1657000537"&gt;880&lt;/key&gt;&lt;/foreign-keys&gt;&lt;ref-type name="Journal Article"&gt;17&lt;/ref-type&gt;&lt;contributors&gt;&lt;authors&gt;&lt;author&gt;Hawton, K.&lt;/author&gt;&lt;author&gt;Bergen, H.&lt;/author&gt;&lt;author&gt;Waters, K.&lt;/author&gt;&lt;author&gt;Murphy, E.&lt;/author&gt;&lt;author&gt;Cooper, J.&lt;/author&gt;&lt;author&gt;Kapur, N.&lt;/author&gt;&lt;/authors&gt;&lt;/contributors&gt;&lt;titles&gt;&lt;title&gt;Impact of withdrawal of the analgesic co-proxamol on nonfatal self-poisoning in the UK&lt;/title&gt;&lt;secondary-title&gt;Crisis&lt;/secondary-title&gt;&lt;/titles&gt;&lt;pages&gt;81-87&lt;/pages&gt;&lt;volume&gt;32&lt;/volume&gt;&lt;number&gt;2&lt;/number&gt;&lt;dates&gt;&lt;year&gt;2011&lt;/year&gt;&lt;/dates&gt;&lt;urls&gt;&lt;related-urls&gt;&lt;url&gt;http://www.psycontent.com/content/e341129r0x87t4t2/fulltext.pdfhttp://ovidsp.ovid.com/ovidweb.cgi?T=JS&amp;amp;PAGE=reference&amp;amp;D=emed12&amp;amp;NEWS=N&amp;amp;AN=362005316&lt;/url&gt;&lt;/related-urls&gt;&lt;/urls&gt;&lt;electronic-resource-num&gt;http://dx.doi.org/10.1027/0227-5910/a000063&lt;/electronic-resource-num&gt;&lt;/record&gt;&lt;/Cite&gt;&lt;/EndNote&gt;</w:instrText>
      </w:r>
      <w:r w:rsidR="00574EB4" w:rsidRPr="0091560A">
        <w:rPr>
          <w:rFonts w:eastAsia="Times New Roman" w:cs="Times New Roman"/>
          <w:szCs w:val="24"/>
        </w:rPr>
        <w:fldChar w:fldCharType="separate"/>
      </w:r>
      <w:r w:rsidR="00574EB4" w:rsidRPr="0091560A">
        <w:rPr>
          <w:rFonts w:eastAsia="Times New Roman" w:cs="Times New Roman"/>
          <w:noProof/>
          <w:szCs w:val="24"/>
        </w:rPr>
        <w:t>(K. Hawton et al., 2011)</w:t>
      </w:r>
      <w:r w:rsidR="00574EB4" w:rsidRPr="0091560A">
        <w:rPr>
          <w:rFonts w:eastAsia="Times New Roman" w:cs="Times New Roman"/>
          <w:szCs w:val="24"/>
        </w:rPr>
        <w:fldChar w:fldCharType="end"/>
      </w:r>
      <w:r w:rsidR="00574EB4" w:rsidRPr="0091560A">
        <w:rPr>
          <w:rFonts w:eastAsia="Times New Roman" w:cs="Times New Roman"/>
          <w:szCs w:val="24"/>
        </w:rPr>
        <w:t xml:space="preserve">. Reductions in hospital presentations for intentional drug overdose from co-proxamol were also observed in Ireland after withdrawal </w:t>
      </w:r>
      <w:r w:rsidR="00574EB4" w:rsidRPr="0091560A">
        <w:rPr>
          <w:rFonts w:eastAsia="Times New Roman" w:cs="Times New Roman"/>
          <w:szCs w:val="24"/>
        </w:rPr>
        <w:fldChar w:fldCharType="begin"/>
      </w:r>
      <w:r w:rsidR="00D709C3" w:rsidRPr="0091560A">
        <w:rPr>
          <w:rFonts w:eastAsia="Times New Roman" w:cs="Times New Roman"/>
          <w:szCs w:val="24"/>
        </w:rPr>
        <w:instrText xml:space="preserve"> ADDIN EN.CITE &lt;EndNote&gt;&lt;Cite&gt;&lt;Author&gt;Corcoran&lt;/Author&gt;&lt;Year&gt;2010&lt;/Year&gt;&lt;RecNum&gt;864&lt;/RecNum&gt;&lt;DisplayText&gt;(Corcoran et al., 2010)&lt;/DisplayText&gt;&lt;record&gt;&lt;rec-number&gt;864&lt;/rec-number&gt;&lt;foreign-keys&gt;&lt;key app="EN" db-id="90p22wx96ddedpe0r9pxtt9gzz05dd5ev299" timestamp="1657000537"&gt;864&lt;/key&gt;&lt;/foreign-keys&gt;&lt;ref-type name="Journal Article"&gt;17&lt;/ref-type&gt;&lt;contributors&gt;&lt;authors&gt;&lt;author&gt;Corcoran, P.&lt;/author&gt;&lt;author&gt;Reulbach, U.&lt;/author&gt;&lt;author&gt;Keeley, H. S.&lt;/author&gt;&lt;author&gt;Perry, I. J.&lt;/author&gt;&lt;author&gt;Hawton, K.&lt;/author&gt;&lt;author&gt;Arensman, E.&lt;/author&gt;&lt;/authors&gt;&lt;/contributors&gt;&lt;titles&gt;&lt;title&gt;Use of analgesics in intentional drug overdose presentations to hospital before and after the withdrawal of distalgesic from the Irish market&lt;/title&gt;&lt;secondary-title&gt;BMC Clinical Pharmacology&lt;/secondary-title&gt;&lt;/titles&gt;&lt;pages&gt;6&lt;/pages&gt;&lt;volume&gt;10&lt;/volume&gt;&lt;dates&gt;&lt;year&gt;2010&lt;/year&gt;&lt;/dates&gt;&lt;urls&gt;&lt;related-urls&gt;&lt;url&gt;http://www.biomedcentral.com/1472-6904/10/6http://ovidsp.ovid.com/ovidweb.cgi?T=JS&amp;amp;PAGE=reference&amp;amp;D=emed11&amp;amp;NEWS=N&amp;amp;AN=358812480&lt;/url&gt;&lt;/related-urls&gt;&lt;/urls&gt;&lt;electronic-resource-num&gt;http://dx.doi.org/10.1186/1472-6904-10-6&lt;/electronic-resource-num&gt;&lt;/record&gt;&lt;/Cite&gt;&lt;/EndNote&gt;</w:instrText>
      </w:r>
      <w:r w:rsidR="00574EB4" w:rsidRPr="0091560A">
        <w:rPr>
          <w:rFonts w:eastAsia="Times New Roman" w:cs="Times New Roman"/>
          <w:szCs w:val="24"/>
        </w:rPr>
        <w:fldChar w:fldCharType="separate"/>
      </w:r>
      <w:r w:rsidR="00574EB4" w:rsidRPr="0091560A">
        <w:rPr>
          <w:rFonts w:eastAsia="Times New Roman" w:cs="Times New Roman"/>
          <w:noProof/>
          <w:szCs w:val="24"/>
        </w:rPr>
        <w:t>(Corcoran et al., 2010)</w:t>
      </w:r>
      <w:r w:rsidR="00574EB4" w:rsidRPr="0091560A">
        <w:rPr>
          <w:rFonts w:eastAsia="Times New Roman" w:cs="Times New Roman"/>
          <w:szCs w:val="24"/>
        </w:rPr>
        <w:fldChar w:fldCharType="end"/>
      </w:r>
      <w:r w:rsidR="00574EB4" w:rsidRPr="0091560A">
        <w:rPr>
          <w:rFonts w:eastAsia="Times New Roman" w:cs="Times New Roman"/>
          <w:szCs w:val="24"/>
        </w:rPr>
        <w:t>.</w:t>
      </w:r>
    </w:p>
    <w:p w14:paraId="7132EA6E" w14:textId="77777777" w:rsidR="00574EB4" w:rsidRPr="0091560A" w:rsidRDefault="00574EB4" w:rsidP="00574EB4">
      <w:pPr>
        <w:spacing w:after="0" w:line="257" w:lineRule="auto"/>
        <w:rPr>
          <w:rFonts w:eastAsia="Times New Roman" w:cs="Times New Roman"/>
          <w:color w:val="000000" w:themeColor="text1"/>
          <w:szCs w:val="24"/>
          <w:u w:val="single"/>
        </w:rPr>
      </w:pPr>
    </w:p>
    <w:p w14:paraId="49587313" w14:textId="77777777" w:rsidR="00574EB4" w:rsidRPr="003D12EC" w:rsidRDefault="00574EB4" w:rsidP="00497A30">
      <w:pPr>
        <w:pStyle w:val="Heading4"/>
        <w:spacing w:before="0"/>
      </w:pPr>
      <w:r w:rsidRPr="003D12EC">
        <w:t>Impact on potential method substitution</w:t>
      </w:r>
    </w:p>
    <w:p w14:paraId="61437625" w14:textId="1FAD9040" w:rsidR="00574EB4" w:rsidRPr="0091560A" w:rsidRDefault="00574EB4" w:rsidP="00E40DB5">
      <w:r w:rsidRPr="0091560A">
        <w:t xml:space="preserve">Results consistently showed that non-fatal self-poisoning and mortality associated with other medications measured in parallel did not increase in response to co-proxamol withdrawal </w:t>
      </w:r>
      <w:r w:rsidRPr="0091560A">
        <w:fldChar w:fldCharType="begin">
          <w:fldData xml:space="preserve">PEVuZE5vdGU+PENpdGU+PEF1dGhvcj5IYXd0b248L0F1dGhvcj48WWVhcj4yMDA5PC9ZZWFyPjxS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</w:fldData>
        </w:fldChar>
      </w:r>
      <w:r w:rsidR="00D709C3" w:rsidRPr="0091560A">
        <w:instrText xml:space="preserve"> ADDIN EN.CITE </w:instrText>
      </w:r>
      <w:r w:rsidR="00D709C3" w:rsidRPr="0091560A">
        <w:fldChar w:fldCharType="begin">
          <w:fldData xml:space="preserve">PEVuZE5vdGU+PENpdGU+PEF1dGhvcj5IYXd0b248L0F1dGhvcj48WWVhcj4yMDA5PC9ZZWFyPjxS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</w:fldData>
        </w:fldChar>
      </w:r>
      <w:r w:rsidR="00D709C3" w:rsidRPr="0091560A">
        <w:instrText xml:space="preserve"> ADDIN EN.CITE.DATA </w:instrText>
      </w:r>
      <w:r w:rsidR="00D709C3" w:rsidRPr="0091560A">
        <w:fldChar w:fldCharType="end"/>
      </w:r>
      <w:r w:rsidRPr="0091560A">
        <w:fldChar w:fldCharType="separate"/>
      </w:r>
      <w:r w:rsidRPr="0091560A">
        <w:t>(K. Hawton et al., 2009; K. Hawton et al., 2012; K. Hawton et al., 2011; Sandilands &amp; Bateman, 2008)</w:t>
      </w:r>
      <w:r w:rsidRPr="0091560A">
        <w:fldChar w:fldCharType="end"/>
      </w:r>
      <w:r w:rsidRPr="0091560A">
        <w:t xml:space="preserve">. The number of prescriptions increased for many of these medications, however it did not result in a change in mortality </w:t>
      </w:r>
      <w:r w:rsidRPr="0091560A">
        <w:fldChar w:fldCharType="begin">
          <w:fldData xml:space="preserve">PEVuZE5vdGU+PENpdGU+PEF1dGhvcj5IYXd0b248L0F1dGhvcj48WWVhcj4yMDA5PC9ZZWFyPjxS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</w:fldData>
        </w:fldChar>
      </w:r>
      <w:r w:rsidR="00D709C3" w:rsidRPr="0091560A">
        <w:instrText xml:space="preserve"> ADDIN EN.CITE </w:instrText>
      </w:r>
      <w:r w:rsidR="00D709C3" w:rsidRPr="0091560A">
        <w:fldChar w:fldCharType="begin">
          <w:fldData xml:space="preserve">PEVuZE5vdGU+PENpdGU+PEF1dGhvcj5IYXd0b248L0F1dGhvcj48WWVhcj4yMDA5PC9ZZWFyPjxS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</w:fldData>
        </w:fldChar>
      </w:r>
      <w:r w:rsidR="00D709C3" w:rsidRPr="0091560A">
        <w:instrText xml:space="preserve"> ADDIN EN.CITE.DATA </w:instrText>
      </w:r>
      <w:r w:rsidR="00D709C3" w:rsidRPr="0091560A">
        <w:fldChar w:fldCharType="end"/>
      </w:r>
      <w:r w:rsidRPr="0091560A">
        <w:fldChar w:fldCharType="separate"/>
      </w:r>
      <w:r w:rsidRPr="0091560A">
        <w:t>(K. Hawton et al., 2009; Sandilands &amp; Bateman, 2008)</w:t>
      </w:r>
      <w:r w:rsidRPr="0091560A">
        <w:fldChar w:fldCharType="end"/>
      </w:r>
      <w:r w:rsidRPr="0091560A">
        <w:t>. In Ireland, there w</w:t>
      </w:r>
      <w:r w:rsidR="00E4751E">
        <w:t>ere</w:t>
      </w:r>
      <w:r w:rsidRPr="0091560A">
        <w:t xml:space="preserve"> increased presentations to hospital involving intentional </w:t>
      </w:r>
      <w:r w:rsidR="00E4751E">
        <w:t>self-poisoning</w:t>
      </w:r>
      <w:r w:rsidRPr="0091560A">
        <w:t xml:space="preserve"> for other prescription compound analgesics, however the magnitude of this rate increase was five times smaller than the magnitude of the decrease in co-proxamol-related overdose </w:t>
      </w:r>
      <w:r w:rsidRPr="0091560A">
        <w:fldChar w:fldCharType="begin"/>
      </w:r>
      <w:r w:rsidR="00D709C3" w:rsidRPr="0091560A">
        <w:instrText xml:space="preserve"> ADDIN EN.CITE &lt;EndNote&gt;&lt;Cite&gt;&lt;Author&gt;Corcoran&lt;/Author&gt;&lt;Year&gt;2010&lt;/Year&gt;&lt;RecNum&gt;864&lt;/RecNum&gt;&lt;DisplayText&gt;(Corcoran et al., 2010)&lt;/DisplayText&gt;&lt;record&gt;&lt;rec-number&gt;864&lt;/rec-number&gt;&lt;foreign-keys&gt;&lt;key app="EN" db-id="90p22wx96ddedpe0r9pxtt9gzz05dd5ev299" timestamp="1657000537"&gt;864&lt;/key&gt;&lt;/foreign-keys&gt;&lt;ref-type name="Journal Article"&gt;17&lt;/ref-type&gt;&lt;contributors&gt;&lt;authors&gt;&lt;author&gt;Corcoran, P.&lt;/author&gt;&lt;author&gt;Reulbach, U.&lt;/author&gt;&lt;author&gt;Keeley, H. S.&lt;/author&gt;&lt;author&gt;Perry, I. J.&lt;/author&gt;&lt;author&gt;Hawton, K.&lt;/author&gt;&lt;author&gt;Arensman, E.&lt;/author&gt;&lt;/authors&gt;&lt;/contributors&gt;&lt;titles&gt;&lt;title&gt;Use of analgesics in intentional drug overdose presentations to hospital before and after the withdrawal of distalgesic from the Irish market&lt;/title&gt;&lt;secondary-title&gt;BMC Clinical Pharmacology&lt;/secondary-title&gt;&lt;/titles&gt;&lt;pages&gt;6&lt;/pages&gt;&lt;volume&gt;10&lt;/volume&gt;&lt;dates&gt;&lt;year&gt;2010&lt;/year&gt;&lt;/dates&gt;&lt;urls&gt;&lt;related-urls&gt;&lt;url&gt;http://www.biomedcentral.com/1472-6904/10/6http://ovidsp.ovid.com/ovidweb.cgi?T=JS&amp;amp;PAGE=reference&amp;amp;D=emed11&amp;amp;NEWS=N&amp;amp;AN=358812480&lt;/url&gt;&lt;/related-urls&gt;&lt;/urls&gt;&lt;electronic-resource-num&gt;http://dx.doi.org/10.1186/1472-6904-10-6&lt;/electronic-resource-num&gt;&lt;/record&gt;&lt;/Cite&gt;&lt;/EndNote&gt;</w:instrText>
      </w:r>
      <w:r w:rsidRPr="0091560A">
        <w:fldChar w:fldCharType="separate"/>
      </w:r>
      <w:r w:rsidRPr="0091560A">
        <w:t>(Corcoran et al., 2010)</w:t>
      </w:r>
      <w:r w:rsidRPr="0091560A">
        <w:fldChar w:fldCharType="end"/>
      </w:r>
      <w:r w:rsidRPr="0091560A">
        <w:t>. Therefore, the withdrawal of co-proxamol resulted in increased prescription of other medications, however this did not translate to an increase in mortality.</w:t>
      </w:r>
    </w:p>
    <w:p w14:paraId="741845E6" w14:textId="77777777" w:rsidR="00574EB4" w:rsidRPr="0091560A" w:rsidRDefault="00574EB4" w:rsidP="00574EB4">
      <w:pPr>
        <w:spacing w:after="0" w:line="257" w:lineRule="auto"/>
        <w:rPr>
          <w:rFonts w:eastAsia="Times New Roman" w:cs="Times New Roman"/>
          <w:b/>
          <w:bCs/>
          <w:szCs w:val="24"/>
        </w:rPr>
      </w:pPr>
    </w:p>
    <w:p w14:paraId="623E8E4D" w14:textId="271A3481" w:rsidR="00574EB4" w:rsidRPr="0091560A" w:rsidRDefault="00574EB4" w:rsidP="00E40DB5">
      <w:r w:rsidRPr="0091560A">
        <w:rPr>
          <w:b/>
        </w:rPr>
        <w:t xml:space="preserve">Sales guidelines for codeine in Ireland: </w:t>
      </w:r>
      <w:r w:rsidRPr="0091560A">
        <w:t>In Ireland in 2010, the guidelines for the sale of codeine were tightened to include specific criteria for its sale, reiterating its pre-existing classification as a Schedule 5 drug (available over-the-counter under pharmacist supervision). This increased guidance resulted in a reduction of codeine</w:t>
      </w:r>
      <w:r w:rsidR="0040661D">
        <w:t>-</w:t>
      </w:r>
      <w:r w:rsidRPr="0091560A">
        <w:t xml:space="preserve">related intentional overdoses </w:t>
      </w:r>
      <w:r w:rsidRPr="0091560A">
        <w:fldChar w:fldCharType="begin"/>
      </w:r>
      <w:r w:rsidR="00D709C3" w:rsidRPr="0091560A">
        <w:instrText xml:space="preserve"> ADDIN EN.CITE &lt;EndNote&gt;&lt;Cite&gt;&lt;Author&gt;Birchall&lt;/Author&gt;&lt;Year&gt;2021&lt;/Year&gt;&lt;RecNum&gt;854&lt;/RecNum&gt;&lt;DisplayText&gt;(Birchall, Perry, Corcoran, Daly, &amp;amp; Griffin, 2021)&lt;/DisplayText&gt;&lt;record&gt;&lt;rec-number&gt;854&lt;/rec-number&gt;&lt;foreign-keys&gt;&lt;key app="EN" db-id="90p22wx96ddedpe0r9pxtt9gzz05dd5ev299" timestamp="1657000537"&gt;854&lt;/key&gt;&lt;/foreign-keys&gt;&lt;ref-type name="Journal Article"&gt;17&lt;/ref-type&gt;&lt;contributors&gt;&lt;authors&gt;&lt;author&gt;Birchall, E.&lt;/author&gt;&lt;author&gt;Perry, I. J.&lt;/author&gt;&lt;author&gt;Corcoran, P.&lt;/author&gt;&lt;author&gt;Daly, C.&lt;/author&gt;&lt;author&gt;Griffin, E.&lt;/author&gt;&lt;/authors&gt;&lt;/contributors&gt;&lt;titles&gt;&lt;title&gt;The impact of guidance on the supply of codeine-containing products on their use in intentional drug overdose&lt;/title&gt;&lt;secondary-title&gt;European journal of public health&lt;/secondary-title&gt;&lt;/titles&gt;&lt;pages&gt;853-858&lt;/pages&gt;&lt;volume&gt;31&lt;/volume&gt;&lt;number&gt;4&lt;/number&gt;&lt;dates&gt;&lt;year&gt;2021&lt;/year&gt;&lt;/dates&gt;&lt;urls&gt;&lt;related-urls&gt;&lt;url&gt;http://ovidsp.ovid.com/ovidweb.cgi?T=JS&amp;amp;PAGE=reference&amp;amp;D=emexb&amp;amp;NEWS=N&amp;amp;AN=635166476&lt;/url&gt;&lt;/related-urls&gt;&lt;/urls&gt;&lt;electronic-resource-num&gt;https://dx.doi.org/10.1093/eurpub/ckab082&lt;/electronic-resource-num&gt;&lt;/record&gt;&lt;/Cite&gt;&lt;/EndNote&gt;</w:instrText>
      </w:r>
      <w:r w:rsidRPr="0091560A">
        <w:fldChar w:fldCharType="separate"/>
      </w:r>
      <w:r w:rsidRPr="0091560A">
        <w:t>(Birchall, Perry, Corcoran, Daly, &amp; Griffin, 2021)</w:t>
      </w:r>
      <w:r w:rsidRPr="0091560A">
        <w:fldChar w:fldCharType="end"/>
      </w:r>
      <w:r w:rsidRPr="0091560A">
        <w:t xml:space="preserve">. </w:t>
      </w:r>
      <w:r w:rsidR="0040661D">
        <w:t>T</w:t>
      </w:r>
      <w:r w:rsidRPr="0091560A">
        <w:t xml:space="preserve">here was no change identified in overdoses due to other opiates, or all medications as a whole </w:t>
      </w:r>
      <w:r w:rsidRPr="0091560A">
        <w:fldChar w:fldCharType="begin"/>
      </w:r>
      <w:r w:rsidR="00D709C3" w:rsidRPr="0091560A">
        <w:instrText xml:space="preserve"> ADDIN EN.CITE &lt;EndNote&gt;&lt;Cite&gt;&lt;Author&gt;Birchall&lt;/Author&gt;&lt;Year&gt;2021&lt;/Year&gt;&lt;RecNum&gt;854&lt;/RecNum&gt;&lt;DisplayText&gt;(Birchall et al., 2021)&lt;/DisplayText&gt;&lt;record&gt;&lt;rec-number&gt;854&lt;/rec-number&gt;&lt;foreign-keys&gt;&lt;key app="EN" db-id="90p22wx96ddedpe0r9pxtt9gzz05dd5ev299" timestamp="1657000537"&gt;854&lt;/key&gt;&lt;/foreign-keys&gt;&lt;ref-type name="Journal Article"&gt;17&lt;/ref-type&gt;&lt;contributors&gt;&lt;authors&gt;&lt;author&gt;Birchall, E.&lt;/author&gt;&lt;author&gt;Perry, I. J.&lt;/author&gt;&lt;author&gt;Corcoran, P.&lt;/author&gt;&lt;author&gt;Daly, C.&lt;/author&gt;&lt;author&gt;Griffin, E.&lt;/author&gt;&lt;/authors&gt;&lt;/contributors&gt;&lt;titles&gt;&lt;title&gt;The impact of guidance on the supply of codeine-containing products on their use in intentional drug overdose&lt;/title&gt;&lt;secondary-title&gt;European journal of public health&lt;/secondary-title&gt;&lt;/titles&gt;&lt;pages&gt;853-858&lt;/pages&gt;&lt;volume&gt;31&lt;/volume&gt;&lt;number&gt;4&lt;/number&gt;&lt;dates&gt;&lt;year&gt;2021&lt;/year&gt;&lt;/dates&gt;&lt;urls&gt;&lt;related-urls&gt;&lt;url&gt;http://ovidsp.ovid.com/ovidweb.cgi?T=JS&amp;amp;PAGE=reference&amp;amp;D=emexb&amp;amp;NEWS=N&amp;amp;AN=635166476&lt;/url&gt;&lt;/related-urls&gt;&lt;/urls&gt;&lt;electronic-resource-num&gt;https://dx.doi.org/10.1093/eurpub/ckab082&lt;/electronic-resource-num&gt;&lt;/record&gt;&lt;/Cite&gt;&lt;/EndNote&gt;</w:instrText>
      </w:r>
      <w:r w:rsidRPr="0091560A">
        <w:fldChar w:fldCharType="separate"/>
      </w:r>
      <w:r w:rsidRPr="0091560A">
        <w:t>(Birchall et al., 2021)</w:t>
      </w:r>
      <w:r w:rsidRPr="0091560A">
        <w:fldChar w:fldCharType="end"/>
      </w:r>
      <w:r w:rsidRPr="0091560A">
        <w:t>. Instead, the rate of intentional overdose with non-opioid analgesics decreased over the study period.</w:t>
      </w:r>
    </w:p>
    <w:p w14:paraId="14E602A8" w14:textId="77777777" w:rsidR="00574EB4" w:rsidRPr="0091560A" w:rsidRDefault="00574EB4" w:rsidP="00574EB4">
      <w:pPr>
        <w:spacing w:after="0" w:line="257" w:lineRule="auto"/>
        <w:rPr>
          <w:rFonts w:eastAsia="Times New Roman" w:cs="Times New Roman"/>
          <w:b/>
          <w:bCs/>
          <w:szCs w:val="24"/>
        </w:rPr>
      </w:pPr>
    </w:p>
    <w:p w14:paraId="5700A2F9" w14:textId="12FD1A6E" w:rsidR="00574EB4" w:rsidRPr="0091560A" w:rsidRDefault="00574EB4" w:rsidP="00E40DB5">
      <w:r w:rsidRPr="0091560A">
        <w:rPr>
          <w:b/>
        </w:rPr>
        <w:t xml:space="preserve">Age restriction and pack size limits in Denmark: </w:t>
      </w:r>
      <w:r w:rsidRPr="0091560A">
        <w:t xml:space="preserve">In 2011 in Denmark, an age restriction was implemented for the purchase of over-the-counter non-opioid analgesics, such that </w:t>
      </w:r>
      <w:r w:rsidR="00344D7E">
        <w:t xml:space="preserve">they could not be purchased by </w:t>
      </w:r>
      <w:r w:rsidRPr="0091560A">
        <w:t xml:space="preserve">people under the age of 18 years. The age restriction resulted in a 17% reduction in non-opioid analgesics poisonings in people aged 10-17 years, however no change was observed in the other age groups </w:t>
      </w:r>
      <w:r w:rsidRPr="0091560A">
        <w:fldChar w:fldCharType="begin"/>
      </w:r>
      <w:r w:rsidR="00D709C3" w:rsidRPr="0091560A">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Pr="0091560A">
        <w:fldChar w:fldCharType="separate"/>
      </w:r>
      <w:r w:rsidRPr="0091560A">
        <w:t>(Morthorst et al., 2020)</w:t>
      </w:r>
      <w:r w:rsidRPr="0091560A">
        <w:fldChar w:fldCharType="end"/>
      </w:r>
      <w:r w:rsidRPr="0091560A">
        <w:t xml:space="preserve">. The age restriction was also associated with a 10% reduction in hospital admissions for poisoning by substances other than non-opioid analgesic </w:t>
      </w:r>
      <w:r w:rsidRPr="0091560A">
        <w:fldChar w:fldCharType="begin"/>
      </w:r>
      <w:r w:rsidR="00D709C3" w:rsidRPr="0091560A">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Pr="0091560A">
        <w:fldChar w:fldCharType="separate"/>
      </w:r>
      <w:r w:rsidRPr="0091560A">
        <w:t>(Morthorst et al., 2020)</w:t>
      </w:r>
      <w:r w:rsidRPr="0091560A">
        <w:fldChar w:fldCharType="end"/>
      </w:r>
      <w:r w:rsidRPr="0091560A">
        <w:t>. This appeared to be associated with the age restriction placed on purchasing as when stratified by age, the reduction was observed in 10</w:t>
      </w:r>
      <w:r w:rsidR="00835C27">
        <w:t xml:space="preserve"> to </w:t>
      </w:r>
      <w:r w:rsidRPr="0091560A">
        <w:t>17 year</w:t>
      </w:r>
      <w:r w:rsidR="00D45066">
        <w:t>-</w:t>
      </w:r>
      <w:r w:rsidRPr="0091560A">
        <w:t>olds, but not in other age groups.</w:t>
      </w:r>
    </w:p>
    <w:p w14:paraId="4E791049" w14:textId="77777777" w:rsidR="00574EB4" w:rsidRPr="0091560A" w:rsidRDefault="00574EB4" w:rsidP="00574EB4">
      <w:pPr>
        <w:spacing w:after="0" w:line="257" w:lineRule="auto"/>
        <w:rPr>
          <w:rFonts w:eastAsia="Times New Roman" w:cs="Times New Roman"/>
          <w:szCs w:val="24"/>
        </w:rPr>
      </w:pPr>
    </w:p>
    <w:p w14:paraId="15729498" w14:textId="2709FCCA" w:rsidR="00574EB4" w:rsidRPr="0091560A" w:rsidRDefault="00574EB4" w:rsidP="00E40DB5">
      <w:r w:rsidRPr="0091560A">
        <w:t xml:space="preserve">In 2013, a second piece of legislation was introduced reducing pack sizes to 20 tablets for non-opioid analgesic medication. This resulted in a substantial reduction in hospital admissions for over-the-counter non-opioid analgesics, and for substances other than non-opioid analgesics </w:t>
      </w:r>
      <w:r w:rsidRPr="0091560A">
        <w:fldChar w:fldCharType="begin"/>
      </w:r>
      <w:r w:rsidR="00D709C3" w:rsidRPr="0091560A">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Pr="0091560A">
        <w:fldChar w:fldCharType="separate"/>
      </w:r>
      <w:r w:rsidRPr="0091560A">
        <w:t>(Morthorst et al., 2020)</w:t>
      </w:r>
      <w:r w:rsidRPr="0091560A">
        <w:fldChar w:fldCharType="end"/>
      </w:r>
      <w:r w:rsidRPr="0091560A">
        <w:t>. A reduction in suicide attempts using violent methods following the pack size restriction indicates that substitute methods of self-harm were not used.</w:t>
      </w:r>
    </w:p>
    <w:p w14:paraId="67BB370D" w14:textId="77777777" w:rsidR="00574EB4" w:rsidRPr="0091560A" w:rsidRDefault="00574EB4" w:rsidP="00574EB4">
      <w:pPr>
        <w:spacing w:after="0" w:line="257" w:lineRule="auto"/>
        <w:rPr>
          <w:rFonts w:eastAsia="Times New Roman" w:cs="Times New Roman"/>
          <w:b/>
          <w:szCs w:val="24"/>
        </w:rPr>
      </w:pPr>
    </w:p>
    <w:p w14:paraId="143BD188" w14:textId="3298A788" w:rsidR="00574EB4" w:rsidRDefault="00574EB4" w:rsidP="00E40DB5">
      <w:r w:rsidRPr="0091560A">
        <w:rPr>
          <w:b/>
        </w:rPr>
        <w:t xml:space="preserve">Up-scheduling of codeine in Australia: </w:t>
      </w:r>
      <w:r w:rsidRPr="0091560A">
        <w:t xml:space="preserve">In 2018 in Australia, low-strength codeine products were up-scheduled from Schedule 3 (pharmacist only) to Schedule 4 (prescription only). Overall, there were reductions in the number of calls related to intentional codeine poisoning, a reduction in emergency department presentation for low-strength codeine and reduced deaths related to codeine </w:t>
      </w:r>
      <w:r w:rsidRPr="0091560A">
        <w:fldChar w:fldCharType="begin">
          <w:fldData xml:space="preserve">PEVuZE5vdGU+PENpdGU+PEF1dGhvcj5DYWlybnM8L0F1dGhvcj48WWVhcj4yMDIwPC9ZZWFyPjxS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</w:fldData>
        </w:fldChar>
      </w:r>
      <w:r w:rsidR="00CA01EC">
        <w:instrText xml:space="preserve"> ADDIN EN.CITE </w:instrText>
      </w:r>
      <w:r w:rsidR="00CA01EC">
        <w:fldChar w:fldCharType="begin">
          <w:fldData xml:space="preserve">PEVuZE5vdGU+PENpdGU+PEF1dGhvcj5DYWlybnM8L0F1dGhvcj48WWVhcj4yMDIwPC9ZZWFyPjxS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</w:fldData>
        </w:fldChar>
      </w:r>
      <w:r w:rsidR="00CA01EC">
        <w:instrText xml:space="preserve"> ADDIN EN.CITE.DATA </w:instrText>
      </w:r>
      <w:r w:rsidR="00CA01EC">
        <w:fldChar w:fldCharType="end"/>
      </w:r>
      <w:r w:rsidRPr="0091560A">
        <w:fldChar w:fldCharType="separate"/>
      </w:r>
      <w:r w:rsidR="00CA01EC">
        <w:t>(Cairns, Schaffer, Brown, Pearson, &amp; Buckley, 2020a; Harris, Jiang, Knoeckel, &amp; Isoardi, 2020)</w:t>
      </w:r>
      <w:r w:rsidRPr="0091560A">
        <w:fldChar w:fldCharType="end"/>
      </w:r>
      <w:r w:rsidRPr="0091560A">
        <w:t xml:space="preserve">. This up-scheduling did not result in increased calls </w:t>
      </w:r>
      <w:r w:rsidRPr="0091560A">
        <w:fldChar w:fldCharType="begin"/>
      </w:r>
      <w:r w:rsidR="00CA01EC">
        <w:instrText xml:space="preserve"> ADDIN EN.CITE &lt;EndNote&gt;&lt;Cite&gt;&lt;Author&gt;Cairns&lt;/Author&gt;&lt;Year&gt;2020&lt;/Year&gt;&lt;RecNum&gt;860&lt;/RecNum&gt;&lt;DisplayText&gt;(Cairns et al., 2020a)&lt;/DisplayText&gt;&lt;record&gt;&lt;rec-number&gt;860&lt;/rec-number&gt;&lt;foreign-keys&gt;&lt;key app="EN" db-id="90p22wx96ddedpe0r9pxtt9gzz05dd5ev299" timestamp="1657000537"&gt;860&lt;/key&gt;&lt;/foreign-keys&gt;&lt;ref-type name="Journal Article"&gt;17&lt;/ref-type&gt;&lt;contributors&gt;&lt;authors&gt;&lt;author&gt;Cairns, R.&lt;/author&gt;&lt;author&gt;Schaffer, A. L.&lt;/author&gt;&lt;author&gt;Brown, J. A.&lt;/author&gt;&lt;author&gt;Pearson, S. A.&lt;/author&gt;&lt;author&gt;Buckley, N. A.&lt;/author&gt;&lt;/authors&gt;&lt;/contributors&gt;&lt;titles&gt;&lt;title&gt;Codeine use and harms in Australia: evaluating the effects of re-scheduling&lt;/title&gt;&lt;secondary-title&gt;Addiction (Abingdon, England)&lt;/secondary-title&gt;&lt;/titles&gt;&lt;pages&gt;451-459&lt;/pages&gt;&lt;volume&gt;115&lt;/volume&gt;&lt;number&gt;3&lt;/number&gt;&lt;dates&gt;&lt;year&gt;2020&lt;/year&gt;&lt;/dates&gt;&lt;urls&gt;&lt;related-urls&gt;&lt;url&gt;http://ovidsp.ovid.com/ovidweb.cgi?T=JS&amp;amp;PAGE=reference&amp;amp;D=emed22&amp;amp;NEWS=N&amp;amp;AN=629491344&lt;/url&gt;&lt;/related-urls&gt;&lt;/urls&gt;&lt;electronic-resource-num&gt;https://dx.doi.org/10.1111/add.14798&lt;/electronic-resource-num&gt;&lt;/record&gt;&lt;/Cite&gt;&lt;/EndNote&gt;</w:instrText>
      </w:r>
      <w:r w:rsidRPr="0091560A">
        <w:fldChar w:fldCharType="separate"/>
      </w:r>
      <w:r w:rsidR="00CA01EC">
        <w:t>(Cairns et al., 2020a)</w:t>
      </w:r>
      <w:r w:rsidRPr="0091560A">
        <w:fldChar w:fldCharType="end"/>
      </w:r>
      <w:r w:rsidRPr="0091560A">
        <w:t xml:space="preserve"> or increased hospital presentations </w:t>
      </w:r>
      <w:r w:rsidRPr="0091560A">
        <w:fldChar w:fldCharType="begin"/>
      </w:r>
      <w:r w:rsidR="00D709C3" w:rsidRPr="0091560A">
        <w:instrText xml:space="preserve"> ADDIN EN.CITE &lt;EndNote&gt;&lt;Cite&gt;&lt;Author&gt;Harris&lt;/Author&gt;&lt;Year&gt;2020&lt;/Year&gt;&lt;RecNum&gt;874&lt;/RecNum&gt;&lt;DisplayText&gt;(Harris et al., 2020)&lt;/DisplayText&gt;&lt;record&gt;&lt;rec-number&gt;874&lt;/rec-number&gt;&lt;foreign-keys&gt;&lt;key app="EN" db-id="90p22wx96ddedpe0r9pxtt9gzz05dd5ev299" timestamp="1657000537"&gt;874&lt;/key&gt;&lt;/foreign-keys&gt;&lt;ref-type name="Generic"&gt;13&lt;/ref-type&gt;&lt;contributors&gt;&lt;authors&gt;&lt;author&gt;Harris, Keith&lt;/author&gt;&lt;author&gt;Jiang, Andrew&lt;/author&gt;&lt;author&gt;Knoeckel, Robert&lt;/author&gt;&lt;author&gt;Isoardi, Katherine Z.&lt;/author&gt;&lt;/authors&gt;&lt;/contributors&gt;&lt;titles&gt;&lt;title&gt;Rescheduling codeine-containing analgesics reduced codeine-related hospital presentations&lt;/title&gt;&lt;alt-title&gt;Medical Journal of Australia&lt;/alt-title&gt;&lt;/titles&gt;&lt;pages&gt;328-328&lt;/pages&gt;&lt;volume&gt;212&lt;/volume&gt;&lt;dates&gt;&lt;year&gt;2020&lt;/year&gt;&lt;/dates&gt;&lt;pub-location&gt;Malden, Massachusetts&lt;/pub-location&gt;&lt;publisher&gt;Wiley-Blackwell&lt;/publisher&gt;&lt;urls&gt;&lt;related-urls&gt;&lt;url&gt;https://search.ebscohost.com/login.aspx?direct=true&amp;amp;db=cin20&amp;amp;AN=142792610&amp;amp;site=ehost-live&lt;/url&gt;&lt;/related-urls&gt;&lt;/urls&gt;&lt;electronic-resource-num&gt;10.5694/mja2.50400&lt;/electronic-resource-num&gt;&lt;/record&gt;&lt;/Cite&gt;&lt;/EndNote&gt;</w:instrText>
      </w:r>
      <w:r w:rsidRPr="0091560A">
        <w:fldChar w:fldCharType="separate"/>
      </w:r>
      <w:r w:rsidRPr="0091560A">
        <w:t>(Harris et al., 2020)</w:t>
      </w:r>
      <w:r w:rsidRPr="0091560A">
        <w:fldChar w:fldCharType="end"/>
      </w:r>
      <w:r w:rsidRPr="0091560A">
        <w:t xml:space="preserve"> for other pharmaceutical opioids and over-the-counter products </w:t>
      </w:r>
      <w:r w:rsidRPr="0091560A">
        <w:fldChar w:fldCharType="begin"/>
      </w:r>
      <w:r w:rsidR="00CA01EC">
        <w:instrText xml:space="preserve"> ADDIN EN.CITE &lt;EndNote&gt;&lt;Cite&gt;&lt;Author&gt;Cairns&lt;/Author&gt;&lt;Year&gt;2020&lt;/Year&gt;&lt;RecNum&gt;860&lt;/RecNum&gt;&lt;DisplayText&gt;(Cairns et al., 2020a)&lt;/DisplayText&gt;&lt;record&gt;&lt;rec-number&gt;860&lt;/rec-number&gt;&lt;foreign-keys&gt;&lt;key app="EN" db-id="90p22wx96ddedpe0r9pxtt9gzz05dd5ev299" timestamp="1657000537"&gt;860&lt;/key&gt;&lt;/foreign-keys&gt;&lt;ref-type name="Journal Article"&gt;17&lt;/ref-type&gt;&lt;contributors&gt;&lt;authors&gt;&lt;author&gt;Cairns, R.&lt;/author&gt;&lt;author&gt;Schaffer, A. L.&lt;/author&gt;&lt;author&gt;Brown, J. A.&lt;/author&gt;&lt;author&gt;Pearson, S. A.&lt;/author&gt;&lt;author&gt;Buckley, N. A.&lt;/author&gt;&lt;/authors&gt;&lt;/contributors&gt;&lt;titles&gt;&lt;title&gt;Codeine use and harms in Australia: evaluating the effects of re-scheduling&lt;/title&gt;&lt;secondary-title&gt;Addiction (Abingdon, England)&lt;/secondary-title&gt;&lt;/titles&gt;&lt;pages&gt;451-459&lt;/pages&gt;&lt;volume&gt;115&lt;/volume&gt;&lt;number&gt;3&lt;/number&gt;&lt;dates&gt;&lt;year&gt;2020&lt;/year&gt;&lt;/dates&gt;&lt;urls&gt;&lt;related-urls&gt;&lt;url&gt;http://ovidsp.ovid.com/ovidweb.cgi?T=JS&amp;amp;PAGE=reference&amp;amp;D=emed22&amp;amp;NEWS=N&amp;amp;AN=629491344&lt;/url&gt;&lt;/related-urls&gt;&lt;/urls&gt;&lt;electronic-resource-num&gt;https://dx.doi.org/10.1111/add.14798&lt;/electronic-resource-num&gt;&lt;/record&gt;&lt;/Cite&gt;&lt;/EndNote&gt;</w:instrText>
      </w:r>
      <w:r w:rsidRPr="0091560A">
        <w:fldChar w:fldCharType="separate"/>
      </w:r>
      <w:r w:rsidR="00CA01EC">
        <w:t>(Cairns et al., 2020a)</w:t>
      </w:r>
      <w:r w:rsidRPr="0091560A">
        <w:fldChar w:fldCharType="end"/>
      </w:r>
      <w:r w:rsidRPr="0091560A">
        <w:t>, suggesting these medications were not used as a substitute.</w:t>
      </w:r>
    </w:p>
    <w:p w14:paraId="6BA56536" w14:textId="77777777" w:rsidR="00E72FA3" w:rsidRPr="0091560A" w:rsidRDefault="00E72FA3" w:rsidP="00574EB4">
      <w:pPr>
        <w:spacing w:after="0" w:line="257" w:lineRule="auto"/>
        <w:rPr>
          <w:rFonts w:eastAsia="Times New Roman" w:cs="Times New Roman"/>
          <w:szCs w:val="24"/>
        </w:rPr>
      </w:pPr>
    </w:p>
    <w:tbl>
      <w:tblPr>
        <w:tblStyle w:val="TableGrid"/>
        <w:tblW w:w="0" w:type="auto"/>
        <w:shd w:val="clear" w:color="auto" w:fill="EDEDED" w:themeFill="accent3" w:themeFillTint="33"/>
        <w:tblLook w:val="04A0" w:firstRow="1" w:lastRow="0" w:firstColumn="1" w:lastColumn="0" w:noHBand="0" w:noVBand="1"/>
      </w:tblPr>
      <w:tblGrid>
        <w:gridCol w:w="9016"/>
      </w:tblGrid>
      <w:tr w:rsidR="00574EB4" w:rsidRPr="0091560A" w14:paraId="1158291A" w14:textId="77777777" w:rsidTr="0089780C">
        <w:tc>
          <w:tcPr>
            <w:tcW w:w="9016" w:type="dxa"/>
            <w:shd w:val="clear" w:color="auto" w:fill="EDEDED" w:themeFill="accent3" w:themeFillTint="33"/>
          </w:tcPr>
          <w:p w14:paraId="176659DB" w14:textId="45DB1768" w:rsidR="00574EB4" w:rsidRPr="00835C27" w:rsidRDefault="00574EB4" w:rsidP="003D12EC">
            <w:pPr>
              <w:pStyle w:val="Heading4"/>
              <w:outlineLvl w:val="3"/>
            </w:pPr>
            <w:r w:rsidRPr="00835C27">
              <w:t xml:space="preserve">Summary of the findings for Research Question 2: </w:t>
            </w:r>
          </w:p>
          <w:p w14:paraId="4C91D2FE" w14:textId="00771287" w:rsidR="00574EB4" w:rsidRPr="0091560A" w:rsidRDefault="00574EB4" w:rsidP="0089780C">
            <w:pPr>
              <w:spacing w:after="120" w:line="259" w:lineRule="auto"/>
              <w:rPr>
                <w:rFonts w:eastAsia="Times New Roman" w:cs="Times New Roman"/>
                <w:szCs w:val="24"/>
              </w:rPr>
            </w:pPr>
            <w:bookmarkStart w:id="152" w:name="_Hlk110254191"/>
            <w:r w:rsidRPr="0091560A">
              <w:rPr>
                <w:rFonts w:eastAsia="Times New Roman" w:cs="Times New Roman"/>
                <w:szCs w:val="24"/>
              </w:rPr>
              <w:t xml:space="preserve">Included studies examined the effect of changes in the availability of various medications on self-poisoning using the restricted medication, and on self-harm using other medications or means. Types of restrictions examined included pack size reductions, medication withdrawals, up-scheduling and age restrictions. Assessment was made using various outcomes (e.g., calls to poisoning helplines, hospitalisations, deaths) with all except one study reporting a decrease in the use of the restricted medication in self-poisoning. Despite the high incidence of self-poisoning using paracetamol among young people, the effect of an 18+ age purchasing restriction </w:t>
            </w:r>
            <w:r w:rsidR="00704E0D">
              <w:rPr>
                <w:rFonts w:eastAsia="Times New Roman" w:cs="Times New Roman"/>
                <w:szCs w:val="24"/>
              </w:rPr>
              <w:t>was</w:t>
            </w:r>
            <w:r w:rsidR="00704E0D" w:rsidRPr="0091560A">
              <w:rPr>
                <w:rFonts w:eastAsia="Times New Roman" w:cs="Times New Roman"/>
                <w:szCs w:val="24"/>
              </w:rPr>
              <w:t xml:space="preserve"> </w:t>
            </w:r>
            <w:r w:rsidRPr="0091560A">
              <w:rPr>
                <w:rFonts w:eastAsia="Times New Roman" w:cs="Times New Roman"/>
                <w:szCs w:val="24"/>
              </w:rPr>
              <w:t>only examined in one study, conducted in Denmark. This study reported a decrease in self-poisoning using over-the-counter non-opioid analgesics among people aged 10-17 years. Overall, there was little evidence of method substitution across studies</w:t>
            </w:r>
            <w:r w:rsidR="00E72FA3">
              <w:rPr>
                <w:rFonts w:eastAsia="Times New Roman" w:cs="Times New Roman"/>
                <w:szCs w:val="24"/>
              </w:rPr>
              <w:t>.</w:t>
            </w:r>
            <w:bookmarkEnd w:id="152"/>
          </w:p>
        </w:tc>
      </w:tr>
    </w:tbl>
    <w:p w14:paraId="7E2D8137" w14:textId="77777777" w:rsidR="00574EB4" w:rsidRPr="0091560A" w:rsidRDefault="00574EB4" w:rsidP="00574EB4">
      <w:pPr>
        <w:spacing w:after="0" w:line="257" w:lineRule="auto"/>
        <w:rPr>
          <w:rFonts w:eastAsia="Times New Roman" w:cs="Times New Roman"/>
          <w:b/>
          <w:bCs/>
          <w:szCs w:val="24"/>
        </w:rPr>
      </w:pPr>
    </w:p>
    <w:p w14:paraId="32C312B8" w14:textId="77777777" w:rsidR="00574EB4" w:rsidRPr="0091560A" w:rsidRDefault="00574EB4" w:rsidP="00497A30">
      <w:pPr>
        <w:pStyle w:val="Heading2"/>
        <w:spacing w:after="120"/>
      </w:pPr>
      <w:bookmarkStart w:id="153" w:name="_Toc112843945"/>
      <w:r w:rsidRPr="0091560A">
        <w:t>Limitations and identified gaps in the literature</w:t>
      </w:r>
      <w:bookmarkEnd w:id="153"/>
    </w:p>
    <w:p w14:paraId="00B1DA84" w14:textId="77777777" w:rsidR="00574EB4" w:rsidRPr="0091560A" w:rsidRDefault="00574EB4" w:rsidP="00574EB4">
      <w:pPr>
        <w:spacing w:after="0"/>
        <w:rPr>
          <w:rFonts w:cs="Times New Roman"/>
          <w:szCs w:val="24"/>
        </w:rPr>
      </w:pPr>
      <w:r w:rsidRPr="0091560A">
        <w:rPr>
          <w:rFonts w:cs="Times New Roman"/>
          <w:szCs w:val="24"/>
        </w:rPr>
        <w:t>While the search terms were comprehensive, it is possible that some relevant papers were not captured in the search process. For instance, some papers examining the effect of restricting prescription drugs (relevant to research question two) may not have been identified as the search did not include the names of specific prescription drugs (as was the case for non-prescription drugs), but rather used the ‘pharmaceutical preparations’ major subject heading. While this did limit the search outcomes, which was required given the short timeframe for the review, it is unlikely to have affected the overall findings of the review, which was focused on the effects of paracetamol self-poisoning and related over-the-counter medications.</w:t>
      </w:r>
    </w:p>
    <w:p w14:paraId="421899DF" w14:textId="77777777" w:rsidR="00574EB4" w:rsidRPr="0091560A" w:rsidRDefault="00574EB4" w:rsidP="00574EB4">
      <w:pPr>
        <w:spacing w:after="0"/>
        <w:rPr>
          <w:rFonts w:cs="Times New Roman"/>
          <w:szCs w:val="24"/>
        </w:rPr>
      </w:pPr>
    </w:p>
    <w:p w14:paraId="44D3E863" w14:textId="747F7F72" w:rsidR="00574EB4" w:rsidRPr="0091560A" w:rsidRDefault="00574EB4" w:rsidP="00574EB4">
      <w:pPr>
        <w:spacing w:after="0"/>
        <w:rPr>
          <w:rFonts w:cs="Times New Roman"/>
          <w:szCs w:val="24"/>
        </w:rPr>
      </w:pPr>
      <w:r w:rsidRPr="0091560A">
        <w:rPr>
          <w:rFonts w:cs="Times New Roman"/>
          <w:szCs w:val="24"/>
        </w:rPr>
        <w:t>Some of the studies identified in the current review had small sample sizes. The results of these studies should be interpreted with this limitation in mind, with greater weight and consideration given to the larger studies.</w:t>
      </w:r>
      <w:r w:rsidRPr="0091560A" w:rsidDel="00FF0F25">
        <w:rPr>
          <w:rFonts w:cs="Times New Roman"/>
          <w:szCs w:val="24"/>
        </w:rPr>
        <w:t xml:space="preserve"> </w:t>
      </w:r>
      <w:r w:rsidRPr="0091560A">
        <w:rPr>
          <w:rFonts w:cs="Times New Roman"/>
          <w:szCs w:val="24"/>
        </w:rPr>
        <w:t xml:space="preserve">The majority of studies examining characteristics of people who self-poison identified their sample through presentations or admissions to hospital emergency departments. Given that many people who self-harm do not seek medical treatment or present to hospital, these samples may not accurately reflect the characterises of all those who self-poison with paracetamol </w:t>
      </w:r>
      <w:r w:rsidRPr="0091560A">
        <w:rPr>
          <w:rFonts w:cs="Times New Roman"/>
          <w:szCs w:val="24"/>
        </w:rPr>
        <w:fldChar w:fldCharType="begin"/>
      </w:r>
      <w:r w:rsidR="00D709C3" w:rsidRPr="0091560A">
        <w:rPr>
          <w:rFonts w:cs="Times New Roman"/>
          <w:szCs w:val="24"/>
        </w:rPr>
        <w:instrText xml:space="preserve"> ADDIN EN.CITE &lt;EndNote&gt;&lt;Cite&gt;&lt;Author&gt;Arensman&lt;/Author&gt;&lt;Year&gt;2018&lt;/Year&gt;&lt;RecNum&gt;934&lt;/RecNum&gt;&lt;DisplayText&gt;(Arensman, 2018)&lt;/DisplayText&gt;&lt;record&gt;&lt;rec-number&gt;934&lt;/rec-number&gt;&lt;foreign-keys&gt;&lt;key app="EN" db-id="90p22wx96ddedpe0r9pxtt9gzz05dd5ev299" timestamp="1658402808"&gt;934&lt;/key&gt;&lt;/foreign-keys&gt;&lt;ref-type name="Journal Article"&gt;17&lt;/ref-type&gt;&lt;contributors&gt;&lt;authors&gt;&lt;author&gt;Arensman, E. Corcoran, P. McMahon, E.&lt;/author&gt;&lt;/authors&gt;&lt;/contributors&gt;&lt;titles&gt;&lt;title&gt;The iceberg model of self-harm: New evidence and insights&lt;/title&gt;&lt;secondary-title&gt;Lancet Psychiatry&lt;/secondary-title&gt;&lt;/titles&gt;&lt;pages&gt;100-101&lt;/pages&gt;&lt;volume&gt;5&lt;/volume&gt;&lt;dates&gt;&lt;year&gt;2018&lt;/year&gt;&lt;/dates&gt;&lt;urls&gt;&lt;/urls&gt;&lt;/record&gt;&lt;/Cite&gt;&lt;/EndNote&gt;</w:instrText>
      </w:r>
      <w:r w:rsidRPr="0091560A">
        <w:rPr>
          <w:rFonts w:cs="Times New Roman"/>
          <w:szCs w:val="24"/>
        </w:rPr>
        <w:fldChar w:fldCharType="separate"/>
      </w:r>
      <w:r w:rsidRPr="0091560A">
        <w:rPr>
          <w:rFonts w:cs="Times New Roman"/>
          <w:noProof/>
          <w:szCs w:val="24"/>
        </w:rPr>
        <w:t>(Arensman, 2018)</w:t>
      </w:r>
      <w:r w:rsidRPr="0091560A">
        <w:rPr>
          <w:rFonts w:cs="Times New Roman"/>
          <w:szCs w:val="24"/>
        </w:rPr>
        <w:fldChar w:fldCharType="end"/>
      </w:r>
      <w:r w:rsidRPr="0091560A">
        <w:rPr>
          <w:rFonts w:cs="Times New Roman"/>
          <w:szCs w:val="24"/>
        </w:rPr>
        <w:t>.</w:t>
      </w:r>
    </w:p>
    <w:p w14:paraId="1087043F" w14:textId="77777777" w:rsidR="00574EB4" w:rsidRPr="0091560A" w:rsidRDefault="00574EB4" w:rsidP="00574EB4">
      <w:pPr>
        <w:spacing w:after="0"/>
        <w:rPr>
          <w:rFonts w:cs="Times New Roman"/>
          <w:szCs w:val="24"/>
        </w:rPr>
      </w:pPr>
    </w:p>
    <w:p w14:paraId="26BA960B" w14:textId="77777777" w:rsidR="00574EB4" w:rsidRPr="0091560A" w:rsidRDefault="00574EB4" w:rsidP="00574EB4">
      <w:pPr>
        <w:spacing w:after="0"/>
        <w:rPr>
          <w:rFonts w:cs="Times New Roman"/>
          <w:szCs w:val="24"/>
        </w:rPr>
      </w:pPr>
      <w:r w:rsidRPr="0091560A">
        <w:rPr>
          <w:rFonts w:cs="Times New Roman"/>
          <w:szCs w:val="24"/>
        </w:rPr>
        <w:t xml:space="preserve">Included studies also varied in their definition of ‘intentional self-poisoning’, with some studies using this term to refer exclusively to instances of deliberate self-harm, while others included recreational use and intentional misuse under this label. For the first research question, studies were excluded from the current review if they did not differentiate between intentional and accidental self-poisoning, as aetiology of these can be different. However, studies addressing the second research question did not need to distinguish between intentional and accidental self-poisoning, meaning we are limited in our understanding of the effect of restrictions on </w:t>
      </w:r>
      <w:r w:rsidRPr="0091560A">
        <w:rPr>
          <w:rFonts w:cs="Times New Roman"/>
          <w:i/>
          <w:iCs/>
          <w:szCs w:val="24"/>
        </w:rPr>
        <w:t>intentional</w:t>
      </w:r>
      <w:r w:rsidRPr="0091560A">
        <w:rPr>
          <w:rFonts w:cs="Times New Roman"/>
          <w:szCs w:val="24"/>
        </w:rPr>
        <w:t xml:space="preserve"> self-poisoning.</w:t>
      </w:r>
    </w:p>
    <w:p w14:paraId="5F1ADD77" w14:textId="77777777" w:rsidR="00574EB4" w:rsidRPr="0091560A" w:rsidRDefault="00574EB4" w:rsidP="00574EB4">
      <w:pPr>
        <w:pStyle w:val="ListParagraph"/>
        <w:spacing w:after="0"/>
        <w:ind w:left="284"/>
        <w:rPr>
          <w:rFonts w:cs="Times New Roman"/>
          <w:szCs w:val="24"/>
        </w:rPr>
      </w:pPr>
    </w:p>
    <w:p w14:paraId="24AF0449" w14:textId="77777777" w:rsidR="00574EB4" w:rsidRPr="0091560A" w:rsidRDefault="00574EB4" w:rsidP="00574EB4">
      <w:pPr>
        <w:spacing w:after="0"/>
        <w:rPr>
          <w:rFonts w:cs="Times New Roman"/>
          <w:szCs w:val="24"/>
        </w:rPr>
      </w:pPr>
      <w:r w:rsidRPr="0091560A">
        <w:rPr>
          <w:rFonts w:cs="Times New Roman"/>
          <w:szCs w:val="24"/>
        </w:rPr>
        <w:t xml:space="preserve">The research captured in this review spanned the past 30 years and while this is still very informative, it is possible that the effects of more recent sociocultural changes may not have been adequately captured. For instance, research on the use of online pharmacies to access paracetamol or other drugs to self-harm was not identified. Furthermore, no studies examined the effect of the COVID-19 pandemic on self-poisoning using paracetamol; nonetheless, data examined by the NSW PIC in this report does capture paracetamol self-poisoning trends since the onset of the pandemic. </w:t>
      </w:r>
    </w:p>
    <w:p w14:paraId="69442721" w14:textId="77777777" w:rsidR="00574EB4" w:rsidRPr="0091560A" w:rsidRDefault="00574EB4" w:rsidP="00574EB4">
      <w:pPr>
        <w:spacing w:after="0"/>
        <w:rPr>
          <w:rFonts w:cs="Times New Roman"/>
          <w:szCs w:val="24"/>
        </w:rPr>
      </w:pPr>
    </w:p>
    <w:p w14:paraId="769E092F" w14:textId="77777777" w:rsidR="00574EB4" w:rsidRPr="0091560A" w:rsidRDefault="00574EB4" w:rsidP="00574EB4">
      <w:pPr>
        <w:spacing w:after="0"/>
        <w:rPr>
          <w:rFonts w:cs="Times New Roman"/>
          <w:szCs w:val="24"/>
        </w:rPr>
      </w:pPr>
      <w:r w:rsidRPr="0091560A">
        <w:rPr>
          <w:rFonts w:cs="Times New Roman"/>
          <w:szCs w:val="24"/>
        </w:rPr>
        <w:t xml:space="preserve">Much of the research identified is based on administrative datasets, with a few generally older qualitative studies assessing participant motives and planning processes. None of these qualitative studies had been conducted in Australia. As such, there would be value in undertaking further qualitative research with people with a lived experience of self-harm with paracetamol to better understand their experiences, potential triggers for the self-harming behaviour and insights into preventative factors. </w:t>
      </w:r>
    </w:p>
    <w:p w14:paraId="27D33501" w14:textId="77777777" w:rsidR="00574EB4" w:rsidRPr="0091560A" w:rsidRDefault="00574EB4" w:rsidP="00574EB4">
      <w:pPr>
        <w:spacing w:after="0"/>
        <w:rPr>
          <w:rFonts w:cs="Times New Roman"/>
          <w:szCs w:val="24"/>
        </w:rPr>
      </w:pPr>
    </w:p>
    <w:p w14:paraId="6CA5349D" w14:textId="77777777" w:rsidR="00574EB4" w:rsidRPr="0091560A" w:rsidRDefault="00574EB4" w:rsidP="00574EB4">
      <w:pPr>
        <w:spacing w:after="0"/>
        <w:rPr>
          <w:rFonts w:cs="Times New Roman"/>
          <w:szCs w:val="24"/>
        </w:rPr>
      </w:pPr>
      <w:r w:rsidRPr="0091560A">
        <w:rPr>
          <w:rFonts w:cs="Times New Roman"/>
          <w:szCs w:val="24"/>
        </w:rPr>
        <w:t>In the studies obtained, six different restrictions were identified with only three including paracetamol or other over-the-counter analgesics. This may either indicate that few restrictions have been implemented or that they have not been examined in depth. Examination of reduced pack sizes was completed in two countries (UK and Denmark) as was the withdrawal of co-proxamol (UK and Ireland), however all other restriction were only conducted in one country. Whilst most studies indicated the restrictions were effective, it does highlight the need to consider research in the design phase of the restriction to be able to monitor and ensure safety and efficacy of the approach.</w:t>
      </w:r>
    </w:p>
    <w:p w14:paraId="18E04F4B" w14:textId="77777777" w:rsidR="00574EB4" w:rsidRPr="0091560A" w:rsidRDefault="00574EB4" w:rsidP="00574EB4">
      <w:pPr>
        <w:spacing w:after="0"/>
        <w:rPr>
          <w:rFonts w:cs="Times New Roman"/>
          <w:szCs w:val="24"/>
        </w:rPr>
      </w:pPr>
    </w:p>
    <w:p w14:paraId="704EA538" w14:textId="77777777" w:rsidR="00574EB4" w:rsidRPr="0091560A" w:rsidRDefault="00574EB4" w:rsidP="00574EB4">
      <w:pPr>
        <w:spacing w:after="0"/>
        <w:rPr>
          <w:rFonts w:cs="Times New Roman"/>
          <w:szCs w:val="24"/>
        </w:rPr>
      </w:pPr>
      <w:r w:rsidRPr="0091560A">
        <w:rPr>
          <w:rFonts w:cs="Times New Roman"/>
          <w:szCs w:val="24"/>
        </w:rPr>
        <w:t>In addition, we focused only on papers that reported on the effect of the restriction on the medication of interest and possible method substitution. In doing so, nine studies were excluded as they did not measure other methods that may be used in substitution to the restricted medication. Measuring other means of self-harm and suicide in parallel are important when designing a study to ensure that other more lethal or toxic means are not used. Therefore, consideration of this in future research is important to ensure any reductions observed are not due to the use of different methods.</w:t>
      </w:r>
    </w:p>
    <w:p w14:paraId="14253F4C" w14:textId="77777777" w:rsidR="00574EB4" w:rsidRPr="0091560A" w:rsidRDefault="00574EB4" w:rsidP="00574EB4">
      <w:pPr>
        <w:spacing w:after="0"/>
        <w:rPr>
          <w:rFonts w:cs="Times New Roman"/>
          <w:szCs w:val="24"/>
        </w:rPr>
      </w:pPr>
    </w:p>
    <w:p w14:paraId="73F9F417" w14:textId="4C94D5C0" w:rsidR="00574EB4" w:rsidRPr="0091560A" w:rsidRDefault="00F54A8F" w:rsidP="00497A30">
      <w:pPr>
        <w:pStyle w:val="Heading2"/>
        <w:spacing w:after="120"/>
      </w:pPr>
      <w:bookmarkStart w:id="154" w:name="_Toc112843946"/>
      <w:r>
        <w:t>Summary of findings from literature review</w:t>
      </w:r>
      <w:bookmarkEnd w:id="154"/>
    </w:p>
    <w:p w14:paraId="5715FA02" w14:textId="2661EC97" w:rsidR="00574EB4" w:rsidRDefault="00574EB4" w:rsidP="00574EB4">
      <w:pPr>
        <w:spacing w:after="120"/>
        <w:rPr>
          <w:rFonts w:cs="Times New Roman"/>
          <w:szCs w:val="24"/>
        </w:rPr>
      </w:pPr>
      <w:r w:rsidRPr="0091560A">
        <w:rPr>
          <w:rFonts w:cs="Times New Roman"/>
          <w:szCs w:val="24"/>
        </w:rPr>
        <w:t xml:space="preserve">Below is a high-level summary of the findings of the literature review and associated implications for suicide prevention approaches. </w:t>
      </w:r>
    </w:p>
    <w:p w14:paraId="15BE1B33" w14:textId="77777777" w:rsidR="00331415" w:rsidRPr="0091560A" w:rsidRDefault="00331415" w:rsidP="00574EB4">
      <w:pPr>
        <w:spacing w:after="120"/>
        <w:rPr>
          <w:rFonts w:cs="Times New Roman"/>
          <w:szCs w:val="24"/>
        </w:rPr>
      </w:pPr>
    </w:p>
    <w:tbl>
      <w:tblPr>
        <w:tblStyle w:val="TableGrid"/>
        <w:tblW w:w="9016" w:type="dxa"/>
        <w:tblBorders>
          <w:top w:val="single" w:sz="8" w:space="0" w:color="auto"/>
          <w:left w:val="none" w:sz="0" w:space="0" w:color="auto"/>
          <w:bottom w:val="single" w:sz="8" w:space="0" w:color="auto"/>
          <w:right w:val="none" w:sz="0" w:space="0" w:color="auto"/>
          <w:insideH w:val="single" w:sz="8" w:space="0" w:color="auto"/>
          <w:insideV w:val="none" w:sz="0" w:space="0" w:color="auto"/>
        </w:tblBorders>
        <w:tblLayout w:type="fixed"/>
        <w:tblLook w:val="04A0" w:firstRow="1" w:lastRow="0" w:firstColumn="1" w:lastColumn="0" w:noHBand="0" w:noVBand="1"/>
      </w:tblPr>
      <w:tblGrid>
        <w:gridCol w:w="4508"/>
        <w:gridCol w:w="4508"/>
      </w:tblGrid>
      <w:tr w:rsidR="00574EB4" w:rsidRPr="0091560A" w14:paraId="470866C2" w14:textId="77777777" w:rsidTr="008D46C0">
        <w:tc>
          <w:tcPr>
            <w:tcW w:w="4508" w:type="dxa"/>
            <w:shd w:val="clear" w:color="auto" w:fill="595959" w:themeFill="text1" w:themeFillTint="A6"/>
          </w:tcPr>
          <w:p w14:paraId="01250F0C" w14:textId="77777777" w:rsidR="00574EB4" w:rsidRPr="008D46C0" w:rsidRDefault="00574EB4">
            <w:pPr>
              <w:rPr>
                <w:rFonts w:eastAsia="Times New Roman" w:cs="Times New Roman"/>
                <w:b/>
                <w:color w:val="FFFFFF" w:themeColor="background1"/>
                <w:sz w:val="22"/>
              </w:rPr>
            </w:pPr>
            <w:r w:rsidRPr="008D46C0">
              <w:rPr>
                <w:rFonts w:eastAsia="Times New Roman" w:cs="Times New Roman"/>
                <w:b/>
                <w:color w:val="FFFFFF" w:themeColor="background1"/>
                <w:sz w:val="22"/>
              </w:rPr>
              <w:t>Literature review findings</w:t>
            </w:r>
          </w:p>
        </w:tc>
        <w:tc>
          <w:tcPr>
            <w:tcW w:w="4508" w:type="dxa"/>
            <w:shd w:val="clear" w:color="auto" w:fill="595959" w:themeFill="text1" w:themeFillTint="A6"/>
          </w:tcPr>
          <w:p w14:paraId="05BEFD8E" w14:textId="77777777" w:rsidR="00574EB4" w:rsidRPr="008D46C0" w:rsidRDefault="00574EB4">
            <w:pPr>
              <w:rPr>
                <w:rFonts w:eastAsia="Times New Roman" w:cs="Times New Roman"/>
                <w:b/>
                <w:color w:val="FFFFFF" w:themeColor="background1"/>
                <w:sz w:val="22"/>
              </w:rPr>
            </w:pPr>
            <w:r w:rsidRPr="008D46C0">
              <w:rPr>
                <w:rFonts w:eastAsia="Times New Roman" w:cs="Times New Roman"/>
                <w:b/>
                <w:color w:val="FFFFFF" w:themeColor="background1"/>
                <w:sz w:val="22"/>
              </w:rPr>
              <w:t>Implications for suicide prevention approaches</w:t>
            </w:r>
          </w:p>
          <w:p w14:paraId="0B11DAED" w14:textId="77777777" w:rsidR="00574EB4" w:rsidRPr="008D46C0" w:rsidRDefault="00574EB4">
            <w:pPr>
              <w:rPr>
                <w:rFonts w:eastAsia="Times New Roman" w:cs="Times New Roman"/>
                <w:b/>
                <w:color w:val="FFFFFF" w:themeColor="background1"/>
                <w:sz w:val="22"/>
              </w:rPr>
            </w:pPr>
            <w:r w:rsidRPr="008D46C0">
              <w:rPr>
                <w:rFonts w:eastAsia="Times New Roman" w:cs="Times New Roman"/>
                <w:b/>
                <w:color w:val="FFFFFF" w:themeColor="background1"/>
                <w:sz w:val="22"/>
              </w:rPr>
              <w:t xml:space="preserve"> </w:t>
            </w:r>
          </w:p>
        </w:tc>
      </w:tr>
      <w:tr w:rsidR="00574EB4" w:rsidRPr="0091560A" w14:paraId="16FDBD72" w14:textId="77777777" w:rsidTr="008D46C0">
        <w:tc>
          <w:tcPr>
            <w:tcW w:w="4508" w:type="dxa"/>
          </w:tcPr>
          <w:p w14:paraId="285B04F0" w14:textId="77777777" w:rsidR="00574EB4" w:rsidRPr="008D46C0" w:rsidRDefault="00574EB4">
            <w:pPr>
              <w:rPr>
                <w:rFonts w:eastAsia="Times New Roman" w:cs="Times New Roman"/>
                <w:sz w:val="22"/>
              </w:rPr>
            </w:pPr>
            <w:r w:rsidRPr="008D46C0">
              <w:rPr>
                <w:rFonts w:eastAsia="Times New Roman" w:cs="Times New Roman"/>
                <w:sz w:val="22"/>
              </w:rPr>
              <w:t xml:space="preserve">Paracetamol use in intentional self-poisoning is greater in females than males, and more common among adolescents and young adults aged under 25 compared to children or older adults.  </w:t>
            </w:r>
          </w:p>
        </w:tc>
        <w:tc>
          <w:tcPr>
            <w:tcW w:w="4508" w:type="dxa"/>
          </w:tcPr>
          <w:p w14:paraId="46D93CC9" w14:textId="77777777" w:rsidR="00574EB4" w:rsidRPr="008D46C0" w:rsidRDefault="00574EB4">
            <w:pPr>
              <w:rPr>
                <w:rFonts w:eastAsia="Times New Roman" w:cs="Times New Roman"/>
                <w:sz w:val="22"/>
              </w:rPr>
            </w:pPr>
            <w:r w:rsidRPr="008D46C0">
              <w:rPr>
                <w:rFonts w:eastAsia="Times New Roman" w:cs="Times New Roman"/>
                <w:sz w:val="22"/>
              </w:rPr>
              <w:t xml:space="preserve">Although suicide deaths are more frequent in men than women in Western countries, the reverse is the case with self-harm. More research is needed to understand why rates of self-harm are rising in young females at younger ages and the longer-term impact of these rising rates (e.g., in terms of future mental health outcomes, self-harm and suicide). Such research would also assist in the development of early intervention programs targeting women, children and adolescents to reduce the frequency of self-harm and hospitalisations in this cohort in Australia. </w:t>
            </w:r>
          </w:p>
        </w:tc>
      </w:tr>
      <w:tr w:rsidR="00574EB4" w:rsidRPr="0091560A" w14:paraId="55BEEFD2" w14:textId="77777777" w:rsidTr="008D46C0">
        <w:tc>
          <w:tcPr>
            <w:tcW w:w="4508" w:type="dxa"/>
          </w:tcPr>
          <w:p w14:paraId="1F596A66" w14:textId="77777777" w:rsidR="00574EB4" w:rsidRPr="008D46C0" w:rsidRDefault="00574EB4">
            <w:pPr>
              <w:rPr>
                <w:rFonts w:eastAsia="Times New Roman" w:cs="Times New Roman"/>
                <w:sz w:val="22"/>
              </w:rPr>
            </w:pPr>
            <w:r w:rsidRPr="008D46C0">
              <w:rPr>
                <w:rFonts w:eastAsia="Times New Roman" w:cs="Times New Roman"/>
                <w:sz w:val="22"/>
              </w:rPr>
              <w:t xml:space="preserve">Paracetamol is likely to be the first substance used for self-poisoning at the first attempt, particularly among young people. Not all of those with intentional self-harm with paracetamol have a psychiatric diagnosis or mental health symptoms.  </w:t>
            </w:r>
          </w:p>
        </w:tc>
        <w:tc>
          <w:tcPr>
            <w:tcW w:w="4508" w:type="dxa"/>
          </w:tcPr>
          <w:p w14:paraId="4453966F" w14:textId="084608B9" w:rsidR="00574EB4" w:rsidRPr="008D46C0" w:rsidRDefault="00574EB4">
            <w:pPr>
              <w:rPr>
                <w:rFonts w:eastAsia="Times New Roman" w:cs="Times New Roman"/>
                <w:sz w:val="22"/>
              </w:rPr>
            </w:pPr>
            <w:r w:rsidRPr="008D46C0">
              <w:rPr>
                <w:rFonts w:eastAsia="Times New Roman" w:cs="Times New Roman"/>
                <w:sz w:val="22"/>
              </w:rPr>
              <w:t xml:space="preserve">Attempts to reduce paracetamol use should cast a wide net. Universal preventative strategies, such as means restriction, are likely to reduce first attempts at self-harm and reduce the severity of such attempts. Many of those at risk do not have current </w:t>
            </w:r>
            <w:r w:rsidR="00AF410F" w:rsidRPr="008D46C0">
              <w:rPr>
                <w:rFonts w:eastAsia="Times New Roman" w:cs="Times New Roman"/>
                <w:sz w:val="22"/>
              </w:rPr>
              <w:t xml:space="preserve">psychiatric </w:t>
            </w:r>
            <w:r w:rsidRPr="008D46C0">
              <w:rPr>
                <w:rFonts w:eastAsia="Times New Roman" w:cs="Times New Roman"/>
                <w:sz w:val="22"/>
              </w:rPr>
              <w:t xml:space="preserve">symptoms so remain unidentified through clinical or educational services.  </w:t>
            </w:r>
          </w:p>
        </w:tc>
      </w:tr>
      <w:tr w:rsidR="00574EB4" w:rsidRPr="0091560A" w14:paraId="17D3B271" w14:textId="77777777" w:rsidTr="008D46C0">
        <w:tc>
          <w:tcPr>
            <w:tcW w:w="4508" w:type="dxa"/>
          </w:tcPr>
          <w:p w14:paraId="190340C8" w14:textId="74A4440C" w:rsidR="00574EB4" w:rsidRPr="008D46C0" w:rsidRDefault="00574EB4">
            <w:pPr>
              <w:rPr>
                <w:rFonts w:eastAsia="Times New Roman" w:cs="Times New Roman"/>
                <w:sz w:val="22"/>
              </w:rPr>
            </w:pPr>
            <w:r w:rsidRPr="008D46C0">
              <w:rPr>
                <w:rFonts w:eastAsia="Times New Roman" w:cs="Times New Roman"/>
                <w:sz w:val="22"/>
              </w:rPr>
              <w:t>The median dose used in an attempt ranges from 9</w:t>
            </w:r>
            <w:r w:rsidR="0039272B">
              <w:rPr>
                <w:rFonts w:eastAsia="Times New Roman" w:cs="Times New Roman"/>
                <w:sz w:val="22"/>
              </w:rPr>
              <w:t xml:space="preserve"> </w:t>
            </w:r>
            <w:r w:rsidRPr="008D46C0">
              <w:rPr>
                <w:rFonts w:eastAsia="Times New Roman" w:cs="Times New Roman"/>
                <w:sz w:val="22"/>
              </w:rPr>
              <w:t>g or 18 tablets to 27.5</w:t>
            </w:r>
            <w:r w:rsidR="0039272B">
              <w:rPr>
                <w:rFonts w:eastAsia="Times New Roman" w:cs="Times New Roman"/>
                <w:sz w:val="22"/>
              </w:rPr>
              <w:t xml:space="preserve"> </w:t>
            </w:r>
            <w:r w:rsidRPr="008D46C0">
              <w:rPr>
                <w:rFonts w:eastAsia="Times New Roman" w:cs="Times New Roman"/>
                <w:sz w:val="22"/>
              </w:rPr>
              <w:t>g or 55 tablets, and there is some evidence that users take the full package available to them when making an attempt.</w:t>
            </w:r>
          </w:p>
        </w:tc>
        <w:tc>
          <w:tcPr>
            <w:tcW w:w="4508" w:type="dxa"/>
          </w:tcPr>
          <w:p w14:paraId="2CD8E4F1" w14:textId="77777777" w:rsidR="00574EB4" w:rsidRPr="008D46C0" w:rsidRDefault="00574EB4">
            <w:pPr>
              <w:rPr>
                <w:rFonts w:eastAsia="Times New Roman" w:cs="Times New Roman"/>
                <w:sz w:val="22"/>
              </w:rPr>
            </w:pPr>
            <w:r w:rsidRPr="008D46C0">
              <w:rPr>
                <w:rFonts w:eastAsia="Times New Roman" w:cs="Times New Roman"/>
                <w:sz w:val="22"/>
              </w:rPr>
              <w:t>Package size restriction is likely to be an effective harm minimisation strategy.</w:t>
            </w:r>
          </w:p>
        </w:tc>
      </w:tr>
      <w:tr w:rsidR="00574EB4" w:rsidRPr="0091560A" w14:paraId="4D5E0108" w14:textId="77777777" w:rsidTr="008D46C0">
        <w:trPr>
          <w:trHeight w:val="1575"/>
        </w:trPr>
        <w:tc>
          <w:tcPr>
            <w:tcW w:w="4508" w:type="dxa"/>
          </w:tcPr>
          <w:p w14:paraId="2F715811" w14:textId="77777777" w:rsidR="00574EB4" w:rsidRPr="008D46C0" w:rsidRDefault="00574EB4">
            <w:pPr>
              <w:rPr>
                <w:rFonts w:eastAsia="Times New Roman" w:cs="Times New Roman"/>
                <w:sz w:val="22"/>
              </w:rPr>
            </w:pPr>
            <w:r w:rsidRPr="008D46C0">
              <w:rPr>
                <w:rFonts w:eastAsia="Times New Roman" w:cs="Times New Roman"/>
                <w:sz w:val="22"/>
              </w:rPr>
              <w:t>Between 25-68% of attempts involve co-ingestion of other substances (usually other analgesics) or alcohol (23-54%) although co-ingestion in young people may be less common than in older people, and co-ingestion of alcohol specifically more likely to be a feature in men.</w:t>
            </w:r>
          </w:p>
        </w:tc>
        <w:tc>
          <w:tcPr>
            <w:tcW w:w="4508" w:type="dxa"/>
          </w:tcPr>
          <w:p w14:paraId="2A4C54CD" w14:textId="77777777" w:rsidR="00574EB4" w:rsidRPr="008D46C0" w:rsidRDefault="00574EB4">
            <w:pPr>
              <w:rPr>
                <w:rFonts w:eastAsia="Times New Roman" w:cs="Times New Roman"/>
                <w:sz w:val="22"/>
              </w:rPr>
            </w:pPr>
            <w:r w:rsidRPr="008D46C0">
              <w:rPr>
                <w:rFonts w:eastAsia="Times New Roman" w:cs="Times New Roman"/>
                <w:sz w:val="22"/>
              </w:rPr>
              <w:t xml:space="preserve">Efforts to successfully reduce alcohol use in young people through school-based programs should be continued. Specific education around alcohol and self-poisoning should be considered through education to the public, clinicians, youth workers, schools and workplaces.  </w:t>
            </w:r>
          </w:p>
        </w:tc>
      </w:tr>
      <w:tr w:rsidR="00574EB4" w:rsidRPr="0091560A" w14:paraId="55B93193" w14:textId="77777777" w:rsidTr="008D46C0">
        <w:tc>
          <w:tcPr>
            <w:tcW w:w="4508" w:type="dxa"/>
          </w:tcPr>
          <w:p w14:paraId="2A5A7177" w14:textId="77777777" w:rsidR="00574EB4" w:rsidRPr="008D46C0" w:rsidRDefault="00574EB4">
            <w:pPr>
              <w:rPr>
                <w:rFonts w:eastAsia="Times New Roman" w:cs="Times New Roman"/>
                <w:sz w:val="22"/>
              </w:rPr>
            </w:pPr>
            <w:r w:rsidRPr="008D46C0">
              <w:rPr>
                <w:rFonts w:eastAsia="Times New Roman" w:cs="Times New Roman"/>
                <w:sz w:val="22"/>
              </w:rPr>
              <w:t xml:space="preserve">Paracetamol is readily available. Access is made through home supplies and/or by deliberate purchasing in supermarkets and pharmacies*. </w:t>
            </w:r>
          </w:p>
        </w:tc>
        <w:tc>
          <w:tcPr>
            <w:tcW w:w="4508" w:type="dxa"/>
          </w:tcPr>
          <w:p w14:paraId="6ABFA8BC" w14:textId="7B98E312" w:rsidR="00574EB4" w:rsidRPr="008D46C0" w:rsidRDefault="00574EB4">
            <w:pPr>
              <w:rPr>
                <w:rFonts w:eastAsia="Times New Roman" w:cs="Times New Roman"/>
                <w:sz w:val="22"/>
              </w:rPr>
            </w:pPr>
            <w:r w:rsidRPr="008D46C0">
              <w:rPr>
                <w:rFonts w:eastAsia="Times New Roman" w:cs="Times New Roman"/>
                <w:sz w:val="22"/>
              </w:rPr>
              <w:t xml:space="preserve">Easy access to paracetamol should be restricted through relevant means, such as reducing pack size (in order to reduce paracetamol supply within the home). Specific warning labels on the medication themselves do not seem to be an effective strategy. </w:t>
            </w:r>
            <w:r w:rsidR="00066391" w:rsidRPr="008D46C0">
              <w:rPr>
                <w:rFonts w:eastAsia="Times New Roman" w:cs="Times New Roman"/>
                <w:sz w:val="22"/>
              </w:rPr>
              <w:t xml:space="preserve">Although there were no explicit studies, public </w:t>
            </w:r>
            <w:r w:rsidRPr="008D46C0">
              <w:rPr>
                <w:rFonts w:eastAsia="Times New Roman" w:cs="Times New Roman"/>
                <w:sz w:val="22"/>
              </w:rPr>
              <w:t>education messages about the importance of safety with respect to medications in the home (use- by-dates, keeping medications out of harm</w:t>
            </w:r>
            <w:r w:rsidR="00787E88" w:rsidRPr="008D46C0">
              <w:rPr>
                <w:rFonts w:eastAsia="Times New Roman" w:cs="Times New Roman"/>
                <w:sz w:val="22"/>
              </w:rPr>
              <w:t>’</w:t>
            </w:r>
            <w:r w:rsidRPr="008D46C0">
              <w:rPr>
                <w:rFonts w:eastAsia="Times New Roman" w:cs="Times New Roman"/>
                <w:sz w:val="22"/>
              </w:rPr>
              <w:t>s way; potential physical health effects of taking wrong medications) might be a useful but untested strategy to reduce the use of paracetamol for self-harm.</w:t>
            </w:r>
            <w:r w:rsidR="00066391" w:rsidRPr="008D46C0">
              <w:rPr>
                <w:rFonts w:eastAsia="Times New Roman" w:cs="Times New Roman"/>
                <w:sz w:val="22"/>
              </w:rPr>
              <w:t xml:space="preserve"> </w:t>
            </w:r>
          </w:p>
        </w:tc>
      </w:tr>
      <w:tr w:rsidR="00574EB4" w:rsidRPr="0091560A" w14:paraId="63CB5E27" w14:textId="77777777" w:rsidTr="008D46C0">
        <w:tc>
          <w:tcPr>
            <w:tcW w:w="4508" w:type="dxa"/>
          </w:tcPr>
          <w:p w14:paraId="3CAFC937" w14:textId="77777777" w:rsidR="00574EB4" w:rsidRPr="008D46C0" w:rsidRDefault="00574EB4">
            <w:pPr>
              <w:rPr>
                <w:rFonts w:eastAsia="Times New Roman" w:cs="Times New Roman"/>
                <w:sz w:val="22"/>
              </w:rPr>
            </w:pPr>
            <w:r w:rsidRPr="008D46C0">
              <w:rPr>
                <w:rFonts w:eastAsia="Times New Roman" w:cs="Times New Roman"/>
                <w:sz w:val="22"/>
              </w:rPr>
              <w:t>Planning is generally short term (less than 24 hours) and often less than an hour among young people. Impulsive self-poisoning often occurs using products found in the home.</w:t>
            </w:r>
          </w:p>
        </w:tc>
        <w:tc>
          <w:tcPr>
            <w:tcW w:w="4508" w:type="dxa"/>
          </w:tcPr>
          <w:p w14:paraId="3EC723A3" w14:textId="77777777" w:rsidR="00574EB4" w:rsidRPr="008D46C0" w:rsidRDefault="00574EB4">
            <w:pPr>
              <w:rPr>
                <w:rFonts w:eastAsia="Times New Roman" w:cs="Times New Roman"/>
                <w:sz w:val="22"/>
              </w:rPr>
            </w:pPr>
            <w:r w:rsidRPr="008D46C0">
              <w:rPr>
                <w:rFonts w:eastAsia="Times New Roman" w:cs="Times New Roman"/>
                <w:sz w:val="22"/>
              </w:rPr>
              <w:t>More research is required to increase our understanding of the behaviours and motivations of young people engaging in intentional self-poisoning using paracetamol.</w:t>
            </w:r>
          </w:p>
          <w:p w14:paraId="78AF0A30" w14:textId="77777777" w:rsidR="00574EB4" w:rsidRPr="008D46C0" w:rsidRDefault="00574EB4">
            <w:pPr>
              <w:rPr>
                <w:rFonts w:eastAsia="Times New Roman" w:cs="Times New Roman"/>
                <w:sz w:val="22"/>
              </w:rPr>
            </w:pPr>
            <w:r w:rsidRPr="008D46C0">
              <w:rPr>
                <w:rFonts w:eastAsia="Times New Roman" w:cs="Times New Roman"/>
                <w:sz w:val="22"/>
              </w:rPr>
              <w:t xml:space="preserve">Self-harm is likely to be reduced by limiting availability of paracetamol in the home, potentially through reducing pack sizes. </w:t>
            </w:r>
          </w:p>
          <w:p w14:paraId="6E26DBCE" w14:textId="77777777" w:rsidR="00574EB4" w:rsidRPr="008D46C0" w:rsidRDefault="00574EB4">
            <w:pPr>
              <w:rPr>
                <w:rFonts w:eastAsia="Times New Roman" w:cs="Times New Roman"/>
                <w:sz w:val="22"/>
              </w:rPr>
            </w:pPr>
            <w:r w:rsidRPr="008D46C0">
              <w:rPr>
                <w:rFonts w:eastAsia="Times New Roman" w:cs="Times New Roman"/>
                <w:sz w:val="22"/>
              </w:rPr>
              <w:t xml:space="preserve">Age restriction of 18 years for purchase in pharmacies or supermarkets, should be considered given the small but promising data from Denmark that shows reduced rates. </w:t>
            </w:r>
          </w:p>
        </w:tc>
      </w:tr>
      <w:tr w:rsidR="00574EB4" w:rsidRPr="0091560A" w14:paraId="0C3D9B78" w14:textId="77777777" w:rsidTr="008D46C0">
        <w:tc>
          <w:tcPr>
            <w:tcW w:w="4508" w:type="dxa"/>
          </w:tcPr>
          <w:p w14:paraId="0BE7E2CD" w14:textId="77777777" w:rsidR="00574EB4" w:rsidRPr="008D46C0" w:rsidRDefault="00574EB4">
            <w:pPr>
              <w:rPr>
                <w:rFonts w:eastAsia="Times New Roman" w:cs="Times New Roman"/>
                <w:sz w:val="22"/>
              </w:rPr>
            </w:pPr>
            <w:r w:rsidRPr="008D46C0">
              <w:rPr>
                <w:rFonts w:eastAsia="Times New Roman" w:cs="Times New Roman"/>
                <w:sz w:val="22"/>
              </w:rPr>
              <w:t>The motivations to take paracetamol appear similar to other forms of self-harm- people want to die, need to escape, and want to alert people to how desperate they are.</w:t>
            </w:r>
          </w:p>
        </w:tc>
        <w:tc>
          <w:tcPr>
            <w:tcW w:w="4508" w:type="dxa"/>
          </w:tcPr>
          <w:p w14:paraId="59F483C6" w14:textId="77777777" w:rsidR="00574EB4" w:rsidRPr="008D46C0" w:rsidRDefault="00574EB4">
            <w:pPr>
              <w:rPr>
                <w:rFonts w:eastAsia="Times New Roman" w:cs="Times New Roman"/>
                <w:sz w:val="22"/>
              </w:rPr>
            </w:pPr>
            <w:r w:rsidRPr="008D46C0">
              <w:rPr>
                <w:rFonts w:eastAsia="Times New Roman" w:cs="Times New Roman"/>
                <w:sz w:val="22"/>
              </w:rPr>
              <w:t xml:space="preserve">Continue current suicide prevention activities, consistent with the National Suicide Prevention Advisor’s final advice </w:t>
            </w:r>
            <w:hyperlink r:id="rId64" w:history="1">
              <w:r w:rsidRPr="008D46C0">
                <w:rPr>
                  <w:rStyle w:val="Hyperlink"/>
                  <w:rFonts w:eastAsia="Calibri" w:cs="Times New Roman"/>
                  <w:sz w:val="22"/>
                </w:rPr>
                <w:t>https://www.mentalhealthcommission.gov.au/national-suicide-prevention-office/national-suicide-prevention-adviser-final-advice</w:t>
              </w:r>
            </w:hyperlink>
            <w:r w:rsidRPr="008D46C0">
              <w:rPr>
                <w:rFonts w:eastAsia="Times New Roman" w:cs="Times New Roman"/>
                <w:sz w:val="22"/>
              </w:rPr>
              <w:t xml:space="preserve"> </w:t>
            </w:r>
          </w:p>
          <w:p w14:paraId="147030B4" w14:textId="334C17FC" w:rsidR="00574EB4" w:rsidRPr="008D46C0" w:rsidRDefault="00574EB4">
            <w:pPr>
              <w:rPr>
                <w:rFonts w:eastAsia="Times New Roman" w:cs="Times New Roman"/>
                <w:sz w:val="22"/>
              </w:rPr>
            </w:pPr>
            <w:r w:rsidRPr="008D46C0">
              <w:rPr>
                <w:rFonts w:eastAsia="Times New Roman" w:cs="Times New Roman"/>
                <w:sz w:val="22"/>
              </w:rPr>
              <w:t xml:space="preserve">This includes better access to treatment for all age groups, systematic approaches to community support to adults and young people, education and health supports for parents and young people, access to healthcare after emergency presentation, and to evidence-based treatment.  </w:t>
            </w:r>
          </w:p>
          <w:p w14:paraId="2F0920D7" w14:textId="77777777" w:rsidR="00574EB4" w:rsidRPr="008D46C0" w:rsidRDefault="00574EB4">
            <w:pPr>
              <w:rPr>
                <w:rFonts w:eastAsia="Times New Roman" w:cs="Times New Roman"/>
                <w:sz w:val="22"/>
              </w:rPr>
            </w:pPr>
            <w:r w:rsidRPr="008D46C0">
              <w:rPr>
                <w:rFonts w:eastAsia="Times New Roman" w:cs="Times New Roman"/>
                <w:sz w:val="22"/>
              </w:rPr>
              <w:t xml:space="preserve"> </w:t>
            </w:r>
          </w:p>
        </w:tc>
      </w:tr>
      <w:tr w:rsidR="00574EB4" w:rsidRPr="0091560A" w14:paraId="6B6EC87F" w14:textId="77777777" w:rsidTr="008D46C0">
        <w:tc>
          <w:tcPr>
            <w:tcW w:w="4508" w:type="dxa"/>
          </w:tcPr>
          <w:p w14:paraId="32820963" w14:textId="77777777" w:rsidR="00574EB4" w:rsidRPr="008D46C0" w:rsidRDefault="00574EB4">
            <w:pPr>
              <w:rPr>
                <w:rFonts w:eastAsia="Times New Roman" w:cs="Times New Roman"/>
                <w:sz w:val="22"/>
              </w:rPr>
            </w:pPr>
            <w:r w:rsidRPr="008D46C0">
              <w:rPr>
                <w:rFonts w:eastAsia="Times New Roman" w:cs="Times New Roman"/>
                <w:sz w:val="22"/>
              </w:rPr>
              <w:t xml:space="preserve">Mental health literacy around paracetamol is potentially limited or not known. This includes knowledge about the effects, the dose, that consciousness may not be lost, that effects can be catastrophic even at doses considered “low”. </w:t>
            </w:r>
          </w:p>
        </w:tc>
        <w:tc>
          <w:tcPr>
            <w:tcW w:w="4508" w:type="dxa"/>
          </w:tcPr>
          <w:p w14:paraId="41AED6AF" w14:textId="77777777" w:rsidR="00574EB4" w:rsidRPr="008D46C0" w:rsidRDefault="00574EB4">
            <w:pPr>
              <w:rPr>
                <w:rFonts w:eastAsia="Times New Roman" w:cs="Times New Roman"/>
                <w:sz w:val="22"/>
              </w:rPr>
            </w:pPr>
            <w:r w:rsidRPr="008D46C0">
              <w:rPr>
                <w:rFonts w:eastAsia="Times New Roman" w:cs="Times New Roman"/>
                <w:sz w:val="22"/>
              </w:rPr>
              <w:t>Increase health literacy while maintaining control of the real potential effects of contagion. Explicit messaging around suicide risk should not be considered unless potential contagion effects are considered. Any messaging should take into account media guidelines around suicide prevention (</w:t>
            </w:r>
            <w:bookmarkStart w:id="155" w:name="_Hlk109922018"/>
            <w:r w:rsidRPr="008D46C0">
              <w:fldChar w:fldCharType="begin"/>
            </w:r>
            <w:r w:rsidRPr="008D46C0">
              <w:rPr>
                <w:sz w:val="22"/>
              </w:rPr>
              <w:instrText xml:space="preserve"> HYPERLINK "https://mindframe.org.au/suicide/communicating-about-suicide/mindframe-guidelines" </w:instrText>
            </w:r>
            <w:r w:rsidRPr="008D46C0">
              <w:fldChar w:fldCharType="separate"/>
            </w:r>
            <w:r w:rsidRPr="008D46C0">
              <w:rPr>
                <w:rStyle w:val="Hyperlink"/>
                <w:rFonts w:eastAsia="Calibri" w:cs="Times New Roman"/>
                <w:sz w:val="22"/>
              </w:rPr>
              <w:t>https://mindframe.org.au/suicide/communicating-about-suicide/mindframe-guidelines</w:t>
            </w:r>
            <w:r w:rsidRPr="008D46C0">
              <w:rPr>
                <w:rStyle w:val="Hyperlink"/>
                <w:rFonts w:eastAsia="Calibri" w:cs="Times New Roman"/>
                <w:sz w:val="22"/>
              </w:rPr>
              <w:fldChar w:fldCharType="end"/>
            </w:r>
            <w:bookmarkEnd w:id="155"/>
            <w:r w:rsidRPr="008D46C0">
              <w:rPr>
                <w:rFonts w:eastAsia="Times New Roman" w:cs="Times New Roman"/>
                <w:sz w:val="22"/>
              </w:rPr>
              <w:t>) and suicide messaging guidelines for youth (</w:t>
            </w:r>
            <w:hyperlink r:id="rId65" w:history="1">
              <w:r w:rsidRPr="008D46C0">
                <w:rPr>
                  <w:rStyle w:val="Hyperlink"/>
                  <w:rFonts w:eastAsia="Calibri" w:cs="Times New Roman"/>
                  <w:sz w:val="22"/>
                </w:rPr>
                <w:t>https://www.orygen.org.au/chatsafe</w:t>
              </w:r>
            </w:hyperlink>
            <w:r w:rsidRPr="008D46C0">
              <w:rPr>
                <w:rFonts w:eastAsia="Times New Roman" w:cs="Times New Roman"/>
                <w:sz w:val="22"/>
              </w:rPr>
              <w:t>) .</w:t>
            </w:r>
          </w:p>
        </w:tc>
      </w:tr>
      <w:tr w:rsidR="00574EB4" w:rsidRPr="0091560A" w14:paraId="17D13938" w14:textId="77777777" w:rsidTr="008D46C0">
        <w:tc>
          <w:tcPr>
            <w:tcW w:w="4508" w:type="dxa"/>
          </w:tcPr>
          <w:p w14:paraId="140E9093" w14:textId="77777777" w:rsidR="00574EB4" w:rsidRPr="008D46C0" w:rsidRDefault="00574EB4">
            <w:pPr>
              <w:rPr>
                <w:rFonts w:eastAsia="Times New Roman" w:cs="Times New Roman"/>
                <w:sz w:val="22"/>
              </w:rPr>
            </w:pPr>
            <w:r w:rsidRPr="008D46C0">
              <w:rPr>
                <w:rFonts w:eastAsia="Times New Roman" w:cs="Times New Roman"/>
                <w:sz w:val="22"/>
              </w:rPr>
              <w:t>Reduction in pack size has been found to reduce deaths from poisonings by about a third, although its effects may be less for non-lethal outcomes. There is very little evidence across 15 studies that method substitution arises, and thus may be of low risk.</w:t>
            </w:r>
          </w:p>
        </w:tc>
        <w:tc>
          <w:tcPr>
            <w:tcW w:w="4508" w:type="dxa"/>
          </w:tcPr>
          <w:p w14:paraId="0DCD0231" w14:textId="77777777" w:rsidR="00574EB4" w:rsidRPr="008D46C0" w:rsidRDefault="00574EB4">
            <w:pPr>
              <w:rPr>
                <w:rFonts w:eastAsia="Times New Roman" w:cs="Times New Roman"/>
                <w:sz w:val="22"/>
              </w:rPr>
            </w:pPr>
            <w:r w:rsidRPr="008D46C0">
              <w:rPr>
                <w:rFonts w:eastAsia="Times New Roman" w:cs="Times New Roman"/>
                <w:sz w:val="22"/>
              </w:rPr>
              <w:t xml:space="preserve">Restrict access to paracetamol by further restricting access (e.g., reducing pack sizes), while monitoring potential increases in use by other substances. To reduce the risk of means substitution, any pack size restrictions or purchasing limits placed on paracetamol in supermarkets or pharmacies should also be considered for consistency for other over-the-counter medications, such as ibuprofen and aspirin (i.e., treating all analgesics available in the same types of stores similarly).  </w:t>
            </w:r>
          </w:p>
          <w:p w14:paraId="0CD9BA6A" w14:textId="77777777" w:rsidR="00574EB4" w:rsidRPr="008D46C0" w:rsidRDefault="00574EB4">
            <w:pPr>
              <w:rPr>
                <w:rFonts w:eastAsia="Times New Roman" w:cs="Times New Roman"/>
                <w:sz w:val="22"/>
              </w:rPr>
            </w:pPr>
            <w:r w:rsidRPr="008D46C0">
              <w:rPr>
                <w:rFonts w:eastAsia="Times New Roman" w:cs="Times New Roman"/>
                <w:sz w:val="22"/>
              </w:rPr>
              <w:t>Educate the community about the reasons for tighter restrictions to ease any potential fallout.</w:t>
            </w:r>
          </w:p>
        </w:tc>
      </w:tr>
    </w:tbl>
    <w:p w14:paraId="508CE279" w14:textId="77777777" w:rsidR="00574EB4" w:rsidRPr="0091560A" w:rsidRDefault="00574EB4" w:rsidP="00574EB4">
      <w:pPr>
        <w:spacing w:after="0"/>
        <w:rPr>
          <w:rFonts w:cs="Times New Roman"/>
          <w:szCs w:val="24"/>
        </w:rPr>
      </w:pPr>
    </w:p>
    <w:p w14:paraId="1C50DEBF" w14:textId="736554EB" w:rsidR="00574EB4" w:rsidRPr="0091560A" w:rsidRDefault="00574EB4" w:rsidP="008D46C0">
      <w:pPr>
        <w:pStyle w:val="Heading1"/>
        <w:sectPr w:rsidR="00574EB4" w:rsidRPr="0091560A" w:rsidSect="00531849">
          <w:headerReference w:type="default" r:id="rId66"/>
          <w:footerReference w:type="default" r:id="rId67"/>
          <w:headerReference w:type="first" r:id="rId68"/>
          <w:footerReference w:type="first" r:id="rId69"/>
          <w:pgSz w:w="11906" w:h="16838"/>
          <w:pgMar w:top="1440" w:right="1440" w:bottom="1440" w:left="1440" w:header="708" w:footer="708" w:gutter="0"/>
          <w:cols w:space="708"/>
          <w:docGrid w:linePitch="360"/>
        </w:sectPr>
      </w:pPr>
    </w:p>
    <w:p w14:paraId="657DF38A" w14:textId="2018EEB8" w:rsidR="00574EB4" w:rsidRPr="0091560A" w:rsidRDefault="00FD56B7" w:rsidP="00FD56B7">
      <w:pPr>
        <w:pStyle w:val="Caption"/>
      </w:pPr>
      <w:bookmarkStart w:id="156" w:name="_Ref110167665"/>
      <w:bookmarkStart w:id="157" w:name="_Ref110167620"/>
      <w:bookmarkStart w:id="158" w:name="_Toc114560146"/>
      <w:r>
        <w:t xml:space="preserve">Table </w:t>
      </w:r>
      <w:r>
        <w:fldChar w:fldCharType="begin"/>
      </w:r>
      <w:r>
        <w:instrText>SEQ Table \* ARABIC</w:instrText>
      </w:r>
      <w:r>
        <w:fldChar w:fldCharType="separate"/>
      </w:r>
      <w:r w:rsidR="0091734E">
        <w:rPr>
          <w:noProof/>
        </w:rPr>
        <w:t>31</w:t>
      </w:r>
      <w:r>
        <w:fldChar w:fldCharType="end"/>
      </w:r>
      <w:bookmarkEnd w:id="156"/>
      <w:r w:rsidRPr="0091560A">
        <w:t>.</w:t>
      </w:r>
      <w:r w:rsidR="007370C2">
        <w:t xml:space="preserve"> </w:t>
      </w:r>
      <w:r w:rsidR="00574EB4" w:rsidRPr="0091560A">
        <w:t>Studies examining characteristics associated with intentional self-poisoning with paracetamol or other non-opioid analgesics</w:t>
      </w:r>
      <w:bookmarkEnd w:id="157"/>
      <w:bookmarkEnd w:id="158"/>
    </w:p>
    <w:tbl>
      <w:tblPr>
        <w:tblW w:w="15304" w:type="dxa"/>
        <w:tblBorders>
          <w:top w:val="single" w:sz="4" w:space="0" w:color="auto"/>
          <w:bottom w:val="single" w:sz="4" w:space="0" w:color="auto"/>
          <w:insideH w:val="single" w:sz="4" w:space="0" w:color="auto"/>
        </w:tblBorders>
        <w:tblLook w:val="04A0" w:firstRow="1" w:lastRow="0" w:firstColumn="1" w:lastColumn="0" w:noHBand="0" w:noVBand="1"/>
      </w:tblPr>
      <w:tblGrid>
        <w:gridCol w:w="1456"/>
        <w:gridCol w:w="1232"/>
        <w:gridCol w:w="1429"/>
        <w:gridCol w:w="2409"/>
        <w:gridCol w:w="1279"/>
        <w:gridCol w:w="1452"/>
        <w:gridCol w:w="1417"/>
        <w:gridCol w:w="4630"/>
      </w:tblGrid>
      <w:tr w:rsidR="00574EB4" w:rsidRPr="0091560A" w14:paraId="6A973532" w14:textId="77777777" w:rsidTr="00264C31">
        <w:trPr>
          <w:trHeight w:val="274"/>
          <w:tblHeader/>
        </w:trPr>
        <w:tc>
          <w:tcPr>
            <w:tcW w:w="1456" w:type="dxa"/>
            <w:shd w:val="clear" w:color="auto" w:fill="595959" w:themeFill="text1" w:themeFillTint="A6"/>
            <w:noWrap/>
          </w:tcPr>
          <w:p w14:paraId="2BF4F124" w14:textId="77777777" w:rsidR="00574EB4" w:rsidRPr="008D46C0" w:rsidRDefault="00574EB4">
            <w:pPr>
              <w:spacing w:after="0" w:line="240" w:lineRule="auto"/>
              <w:rPr>
                <w:rFonts w:cs="Times New Roman"/>
                <w:b/>
                <w:color w:val="FFFFFF" w:themeColor="background1"/>
                <w:sz w:val="16"/>
                <w:szCs w:val="16"/>
              </w:rPr>
            </w:pPr>
            <w:r w:rsidRPr="008D46C0">
              <w:rPr>
                <w:rFonts w:cs="Times New Roman"/>
                <w:b/>
                <w:color w:val="FFFFFF" w:themeColor="background1"/>
                <w:sz w:val="16"/>
                <w:szCs w:val="16"/>
              </w:rPr>
              <w:t>First author (Year) Region,</w:t>
            </w:r>
          </w:p>
          <w:p w14:paraId="6ED3BD27"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Country</w:t>
            </w:r>
          </w:p>
        </w:tc>
        <w:tc>
          <w:tcPr>
            <w:tcW w:w="1232" w:type="dxa"/>
            <w:shd w:val="clear" w:color="auto" w:fill="595959" w:themeFill="text1" w:themeFillTint="A6"/>
          </w:tcPr>
          <w:p w14:paraId="4C0C8185" w14:textId="77777777" w:rsidR="00574EB4" w:rsidRPr="008D46C0" w:rsidRDefault="00574EB4">
            <w:pPr>
              <w:spacing w:after="0" w:line="240" w:lineRule="auto"/>
              <w:rPr>
                <w:rFonts w:cs="Times New Roman"/>
                <w:b/>
                <w:color w:val="FFFFFF" w:themeColor="background1"/>
                <w:sz w:val="16"/>
                <w:szCs w:val="16"/>
              </w:rPr>
            </w:pPr>
            <w:r w:rsidRPr="008D46C0">
              <w:rPr>
                <w:rFonts w:cs="Times New Roman"/>
                <w:b/>
                <w:color w:val="FFFFFF" w:themeColor="background1"/>
                <w:sz w:val="16"/>
                <w:szCs w:val="16"/>
              </w:rPr>
              <w:t>Study type</w:t>
            </w:r>
          </w:p>
        </w:tc>
        <w:tc>
          <w:tcPr>
            <w:tcW w:w="1429" w:type="dxa"/>
            <w:shd w:val="clear" w:color="auto" w:fill="595959" w:themeFill="text1" w:themeFillTint="A6"/>
            <w:noWrap/>
          </w:tcPr>
          <w:p w14:paraId="16D1AB01"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 xml:space="preserve">Medication(s) examined (comparison medications) </w:t>
            </w:r>
          </w:p>
        </w:tc>
        <w:tc>
          <w:tcPr>
            <w:tcW w:w="2409" w:type="dxa"/>
            <w:shd w:val="clear" w:color="auto" w:fill="595959" w:themeFill="text1" w:themeFillTint="A6"/>
            <w:noWrap/>
          </w:tcPr>
          <w:p w14:paraId="0499F71F"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Population description</w:t>
            </w:r>
          </w:p>
        </w:tc>
        <w:tc>
          <w:tcPr>
            <w:tcW w:w="1279" w:type="dxa"/>
            <w:shd w:val="clear" w:color="auto" w:fill="595959" w:themeFill="text1" w:themeFillTint="A6"/>
            <w:noWrap/>
          </w:tcPr>
          <w:p w14:paraId="21AA04C1"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Sample Size</w:t>
            </w:r>
          </w:p>
        </w:tc>
        <w:tc>
          <w:tcPr>
            <w:tcW w:w="1452" w:type="dxa"/>
            <w:shd w:val="clear" w:color="auto" w:fill="595959" w:themeFill="text1" w:themeFillTint="A6"/>
            <w:noWrap/>
          </w:tcPr>
          <w:p w14:paraId="12852533"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Age (years)</w:t>
            </w:r>
          </w:p>
        </w:tc>
        <w:tc>
          <w:tcPr>
            <w:tcW w:w="1417" w:type="dxa"/>
            <w:shd w:val="clear" w:color="auto" w:fill="595959" w:themeFill="text1" w:themeFillTint="A6"/>
            <w:noWrap/>
          </w:tcPr>
          <w:p w14:paraId="18F0DB23"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Proportion Intentional</w:t>
            </w:r>
          </w:p>
        </w:tc>
        <w:tc>
          <w:tcPr>
            <w:tcW w:w="4630" w:type="dxa"/>
            <w:shd w:val="clear" w:color="auto" w:fill="595959" w:themeFill="text1" w:themeFillTint="A6"/>
          </w:tcPr>
          <w:p w14:paraId="6B139DBC"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Key findings for intentional self-poisoning cases</w:t>
            </w:r>
          </w:p>
        </w:tc>
      </w:tr>
      <w:tr w:rsidR="00574EB4" w:rsidRPr="0091560A" w14:paraId="0F637FA9" w14:textId="77777777" w:rsidTr="0035719A">
        <w:trPr>
          <w:trHeight w:val="274"/>
        </w:trPr>
        <w:tc>
          <w:tcPr>
            <w:tcW w:w="6526" w:type="dxa"/>
            <w:gridSpan w:val="4"/>
            <w:shd w:val="clear" w:color="auto" w:fill="auto"/>
            <w:noWrap/>
          </w:tcPr>
          <w:p w14:paraId="45E0C1C4" w14:textId="77777777" w:rsidR="00574EB4" w:rsidRPr="0091560A" w:rsidRDefault="00574EB4">
            <w:pPr>
              <w:spacing w:after="0" w:line="240" w:lineRule="auto"/>
              <w:rPr>
                <w:rFonts w:cs="Times New Roman"/>
                <w:b/>
                <w:bCs/>
                <w:i/>
                <w:iCs/>
                <w:sz w:val="16"/>
                <w:szCs w:val="16"/>
              </w:rPr>
            </w:pPr>
          </w:p>
          <w:p w14:paraId="5A7646AE" w14:textId="77777777" w:rsidR="00574EB4" w:rsidRPr="0091560A" w:rsidRDefault="00574EB4">
            <w:pPr>
              <w:spacing w:after="0" w:line="240" w:lineRule="auto"/>
              <w:rPr>
                <w:rFonts w:cs="Times New Roman"/>
                <w:b/>
                <w:bCs/>
                <w:sz w:val="16"/>
                <w:szCs w:val="16"/>
              </w:rPr>
            </w:pPr>
            <w:r w:rsidRPr="0091560A">
              <w:rPr>
                <w:rFonts w:cs="Times New Roman"/>
                <w:b/>
                <w:bCs/>
                <w:sz w:val="16"/>
                <w:szCs w:val="16"/>
              </w:rPr>
              <w:t xml:space="preserve">Studies examining paracetamol </w:t>
            </w:r>
          </w:p>
          <w:p w14:paraId="0682702F" w14:textId="77777777" w:rsidR="00574EB4" w:rsidRPr="0091560A" w:rsidRDefault="00574EB4">
            <w:pPr>
              <w:spacing w:after="0" w:line="240" w:lineRule="auto"/>
              <w:rPr>
                <w:rFonts w:cs="Times New Roman"/>
                <w:b/>
                <w:bCs/>
                <w:color w:val="000000"/>
                <w:sz w:val="16"/>
                <w:szCs w:val="16"/>
              </w:rPr>
            </w:pPr>
          </w:p>
        </w:tc>
        <w:tc>
          <w:tcPr>
            <w:tcW w:w="1279" w:type="dxa"/>
            <w:shd w:val="clear" w:color="auto" w:fill="auto"/>
            <w:noWrap/>
          </w:tcPr>
          <w:p w14:paraId="55166EEC" w14:textId="77777777" w:rsidR="00574EB4" w:rsidRPr="0091560A" w:rsidRDefault="00574EB4">
            <w:pPr>
              <w:spacing w:after="0" w:line="240" w:lineRule="auto"/>
              <w:rPr>
                <w:rFonts w:eastAsia="Times New Roman" w:cs="Times New Roman"/>
                <w:b/>
                <w:bCs/>
                <w:color w:val="000000"/>
                <w:sz w:val="16"/>
                <w:szCs w:val="16"/>
                <w:lang w:eastAsia="en-AU"/>
              </w:rPr>
            </w:pPr>
          </w:p>
        </w:tc>
        <w:tc>
          <w:tcPr>
            <w:tcW w:w="1452" w:type="dxa"/>
            <w:shd w:val="clear" w:color="auto" w:fill="auto"/>
            <w:noWrap/>
          </w:tcPr>
          <w:p w14:paraId="58AA483F" w14:textId="77777777" w:rsidR="00574EB4" w:rsidRPr="0091560A" w:rsidRDefault="00574EB4">
            <w:pPr>
              <w:spacing w:after="0" w:line="240" w:lineRule="auto"/>
              <w:rPr>
                <w:rFonts w:eastAsia="Times New Roman" w:cs="Times New Roman"/>
                <w:b/>
                <w:color w:val="000000" w:themeColor="text1"/>
                <w:sz w:val="16"/>
                <w:szCs w:val="16"/>
                <w:lang w:eastAsia="en-AU"/>
              </w:rPr>
            </w:pPr>
          </w:p>
        </w:tc>
        <w:tc>
          <w:tcPr>
            <w:tcW w:w="1417" w:type="dxa"/>
            <w:shd w:val="clear" w:color="auto" w:fill="auto"/>
            <w:noWrap/>
          </w:tcPr>
          <w:p w14:paraId="17A28409" w14:textId="77777777" w:rsidR="00574EB4" w:rsidRPr="0091560A" w:rsidRDefault="00574EB4">
            <w:pPr>
              <w:spacing w:after="0" w:line="240" w:lineRule="auto"/>
              <w:rPr>
                <w:rFonts w:eastAsia="Times New Roman" w:cs="Times New Roman"/>
                <w:b/>
                <w:bCs/>
                <w:color w:val="000000"/>
                <w:sz w:val="16"/>
                <w:szCs w:val="16"/>
                <w:lang w:eastAsia="en-AU"/>
              </w:rPr>
            </w:pPr>
          </w:p>
        </w:tc>
        <w:tc>
          <w:tcPr>
            <w:tcW w:w="4630" w:type="dxa"/>
            <w:shd w:val="clear" w:color="auto" w:fill="auto"/>
          </w:tcPr>
          <w:p w14:paraId="50B01D5E" w14:textId="77777777" w:rsidR="00574EB4" w:rsidRPr="0091560A" w:rsidRDefault="00574EB4">
            <w:pPr>
              <w:spacing w:after="0" w:line="240" w:lineRule="auto"/>
              <w:rPr>
                <w:rFonts w:eastAsia="Times New Roman" w:cs="Times New Roman"/>
                <w:b/>
                <w:bCs/>
                <w:color w:val="000000"/>
                <w:sz w:val="16"/>
                <w:szCs w:val="16"/>
                <w:lang w:eastAsia="en-AU"/>
              </w:rPr>
            </w:pPr>
          </w:p>
        </w:tc>
      </w:tr>
      <w:tr w:rsidR="00574EB4" w:rsidRPr="0091560A" w14:paraId="71B69254" w14:textId="77777777" w:rsidTr="0035719A">
        <w:trPr>
          <w:trHeight w:val="688"/>
        </w:trPr>
        <w:tc>
          <w:tcPr>
            <w:tcW w:w="1456" w:type="dxa"/>
            <w:shd w:val="clear" w:color="auto" w:fill="auto"/>
            <w:noWrap/>
          </w:tcPr>
          <w:p w14:paraId="77252812"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Alainz (2007) </w:t>
            </w:r>
          </w:p>
          <w:p w14:paraId="677F24C9" w14:textId="7D947708"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&lt;EndNote&gt;&lt;Cite&gt;&lt;Author&gt;Alaniz&lt;/Author&gt;&lt;Year&gt;2007&lt;/Year&gt;&lt;RecNum&gt;849&lt;/RecNum&gt;&lt;DisplayText&gt;(Alaniz &amp;amp; Janusz, 2007)&lt;/DisplayText&gt;&lt;record&gt;&lt;rec-number&gt;849&lt;/rec-number&gt;&lt;foreign-keys&gt;&lt;key app="EN" db-id="90p22wx96ddedpe0r9pxtt9gzz05dd5ev299" timestamp="1657000537"&gt;849&lt;/key&gt;&lt;/foreign-keys&gt;&lt;ref-type name="Journal Article"&gt;17&lt;/ref-type&gt;&lt;contributors&gt;&lt;authors&gt;&lt;author&gt;Alaniz, C.&lt;/author&gt;&lt;author&gt;Janusz, J.&lt;/author&gt;&lt;/authors&gt;&lt;/contributors&gt;&lt;titles&gt;&lt;title&gt;A retrospective study of the etiologies and outcomes of patients admitted to a university hospital with presumed acetaminophen toxicity&lt;/title&gt;&lt;secondary-title&gt;Hospital Pharmacy&lt;/secondary-title&gt;&lt;/titles&gt;&lt;pages&gt;126-132&lt;/pages&gt;&lt;volume&gt;42&lt;/volume&gt;&lt;number&gt;2&lt;/number&gt;&lt;dates&gt;&lt;year&gt;2007&lt;/year&gt;&lt;/dates&gt;&lt;urls&gt;&lt;related-urls&gt;&lt;url&gt;http://ovidsp.ovid.com/ovidweb.cgi?T=JS&amp;amp;PAGE=reference&amp;amp;D=emed10&amp;amp;NEWS=N&amp;amp;AN=46374181&lt;/url&gt;&lt;/related-urls&gt;&lt;/urls&gt;&lt;electronic-resource-num&gt;http://dx.doi.org/10.1310/hpj4202-126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(Alaniz &amp; Janusz, 2007)</w:t>
            </w:r>
            <w:r w:rsidRPr="0091560A">
              <w:rPr>
                <w:rFonts w:eastAsia="Times New Roman" w:cs="Times New Roman"/>
                <w:color w:val="000000"/>
                <w:sz w:val="16"/>
                <w:szCs w:val="16"/>
                <w:lang w:eastAsia="en-AU"/>
              </w:rPr>
              <w:fldChar w:fldCharType="end"/>
            </w:r>
          </w:p>
          <w:p w14:paraId="13B322BE" w14:textId="77777777" w:rsidR="00574EB4" w:rsidRPr="0091560A" w:rsidRDefault="00574EB4">
            <w:pPr>
              <w:spacing w:after="0" w:line="240" w:lineRule="auto"/>
              <w:rPr>
                <w:rFonts w:eastAsia="Times New Roman" w:cs="Times New Roman"/>
                <w:color w:val="000000"/>
                <w:sz w:val="16"/>
                <w:szCs w:val="16"/>
                <w:highlight w:val="yellow"/>
                <w:lang w:eastAsia="en-AU"/>
              </w:rPr>
            </w:pPr>
          </w:p>
          <w:p w14:paraId="5A487FD4" w14:textId="6C057063"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p w14:paraId="2A5CD9AF" w14:textId="77777777" w:rsidR="00574EB4" w:rsidRPr="0091560A" w:rsidRDefault="00574EB4">
            <w:pPr>
              <w:spacing w:after="0" w:line="240" w:lineRule="auto"/>
              <w:rPr>
                <w:rFonts w:eastAsia="Times New Roman" w:cs="Times New Roman"/>
                <w:color w:val="000000"/>
                <w:sz w:val="16"/>
                <w:szCs w:val="16"/>
                <w:lang w:eastAsia="en-AU"/>
              </w:rPr>
            </w:pPr>
          </w:p>
          <w:p w14:paraId="4717D71B" w14:textId="77777777" w:rsidR="00574EB4" w:rsidRPr="0091560A" w:rsidRDefault="00574EB4">
            <w:pPr>
              <w:spacing w:after="0" w:line="240" w:lineRule="auto"/>
              <w:rPr>
                <w:rFonts w:eastAsia="Times New Roman" w:cs="Times New Roman"/>
                <w:color w:val="000000"/>
                <w:sz w:val="16"/>
                <w:szCs w:val="16"/>
                <w:lang w:eastAsia="en-AU"/>
              </w:rPr>
            </w:pPr>
          </w:p>
        </w:tc>
        <w:tc>
          <w:tcPr>
            <w:tcW w:w="1232" w:type="dxa"/>
          </w:tcPr>
          <w:p w14:paraId="78A3FA0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45BCBD5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74B936FA" w14:textId="77777777" w:rsidR="00574EB4" w:rsidRPr="0091560A" w:rsidRDefault="00574EB4">
            <w:pPr>
              <w:spacing w:after="0" w:line="240" w:lineRule="auto"/>
              <w:rPr>
                <w:rFonts w:eastAsia="Times New Roman" w:cs="Times New Roman"/>
                <w:color w:val="000000"/>
                <w:sz w:val="16"/>
                <w:szCs w:val="16"/>
                <w:highlight w:val="yellow"/>
                <w:lang w:eastAsia="en-AU"/>
              </w:rPr>
            </w:pPr>
            <w:r w:rsidRPr="0091560A">
              <w:rPr>
                <w:rFonts w:eastAsia="Times New Roman" w:cs="Times New Roman"/>
                <w:color w:val="000000" w:themeColor="text1"/>
                <w:sz w:val="16"/>
                <w:szCs w:val="16"/>
                <w:lang w:eastAsia="en-AU"/>
              </w:rPr>
              <w:t>Patients with presumed paracetamol toxicity who presented to a large university hospital from July 1999 to June 2002</w:t>
            </w:r>
          </w:p>
        </w:tc>
        <w:tc>
          <w:tcPr>
            <w:tcW w:w="1279" w:type="dxa"/>
            <w:shd w:val="clear" w:color="auto" w:fill="auto"/>
            <w:noWrap/>
          </w:tcPr>
          <w:p w14:paraId="007F1CB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179 (128 adults; 51 paediatric) </w:t>
            </w:r>
          </w:p>
        </w:tc>
        <w:tc>
          <w:tcPr>
            <w:tcW w:w="1452" w:type="dxa"/>
            <w:shd w:val="clear" w:color="auto" w:fill="auto"/>
            <w:noWrap/>
          </w:tcPr>
          <w:p w14:paraId="277E6BA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Adults: M = 36; SD = 12.5</w:t>
            </w:r>
          </w:p>
          <w:p w14:paraId="37F5D71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Paediatric M = 14.3; SD = 4.0 </w:t>
            </w:r>
          </w:p>
        </w:tc>
        <w:tc>
          <w:tcPr>
            <w:tcW w:w="1417" w:type="dxa"/>
            <w:shd w:val="clear" w:color="auto" w:fill="auto"/>
            <w:noWrap/>
          </w:tcPr>
          <w:p w14:paraId="6D4878E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60.9% of adult cases, 82.4% of paediatric cases </w:t>
            </w:r>
          </w:p>
        </w:tc>
        <w:tc>
          <w:tcPr>
            <w:tcW w:w="4630" w:type="dxa"/>
            <w:shd w:val="clear" w:color="auto" w:fill="auto"/>
          </w:tcPr>
          <w:p w14:paraId="1052663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Sex: </w:t>
            </w:r>
            <w:r w:rsidRPr="0091560A">
              <w:rPr>
                <w:rFonts w:eastAsia="Times New Roman" w:cs="Times New Roman"/>
                <w:color w:val="000000"/>
                <w:sz w:val="16"/>
                <w:szCs w:val="16"/>
                <w:lang w:eastAsia="en-AU"/>
              </w:rPr>
              <w:t>A significantly greater proportion of the paediatric cases were female (78.6%) compared to the adult group (64.1%)</w:t>
            </w:r>
          </w:p>
          <w:p w14:paraId="44275BD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Suicidal intent:</w:t>
            </w:r>
            <w:r w:rsidRPr="0091560A">
              <w:rPr>
                <w:rFonts w:eastAsia="Times New Roman" w:cs="Times New Roman"/>
                <w:color w:val="000000"/>
                <w:sz w:val="16"/>
                <w:szCs w:val="16"/>
                <w:lang w:eastAsia="en-AU"/>
              </w:rPr>
              <w:t xml:space="preserve"> 19.6% of paediatric cases and 8.3% of adult cases were classified as intentional without suicidal intent (e.g., angry gesture) </w:t>
            </w:r>
          </w:p>
          <w:p w14:paraId="34FA17A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Did not differ based on intentionality for adult or paediatric cases</w:t>
            </w:r>
            <w:r w:rsidRPr="0091560A">
              <w:rPr>
                <w:rFonts w:eastAsia="Times New Roman" w:cs="Times New Roman"/>
                <w:b/>
                <w:bCs/>
                <w:color w:val="000000"/>
                <w:sz w:val="16"/>
                <w:szCs w:val="16"/>
                <w:lang w:eastAsia="en-AU"/>
              </w:rPr>
              <w:t xml:space="preserve"> </w:t>
            </w:r>
          </w:p>
          <w:p w14:paraId="79691F8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Adult cases:</w:t>
            </w:r>
            <w:r w:rsidRPr="0091560A">
              <w:rPr>
                <w:rFonts w:eastAsia="Times New Roman" w:cs="Times New Roman"/>
                <w:color w:val="000000" w:themeColor="text1"/>
                <w:sz w:val="16"/>
                <w:szCs w:val="16"/>
                <w:lang w:eastAsia="en-AU"/>
              </w:rPr>
              <w:t xml:space="preserve"> more likely to be younger, not have a history of alcohol abuse, and have a history of depression</w:t>
            </w:r>
          </w:p>
          <w:p w14:paraId="50EB660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Paediatric cases:</w:t>
            </w:r>
            <w:r w:rsidRPr="0091560A">
              <w:rPr>
                <w:rFonts w:eastAsia="Times New Roman" w:cs="Times New Roman"/>
                <w:color w:val="000000" w:themeColor="text1"/>
                <w:sz w:val="16"/>
                <w:szCs w:val="16"/>
                <w:lang w:eastAsia="en-AU"/>
              </w:rPr>
              <w:t xml:space="preserve"> More likely to be older, and have a history of depression</w:t>
            </w:r>
          </w:p>
        </w:tc>
      </w:tr>
      <w:tr w:rsidR="00574EB4" w:rsidRPr="0091560A" w14:paraId="12F1BD1A" w14:textId="77777777" w:rsidTr="0035719A">
        <w:trPr>
          <w:trHeight w:val="688"/>
        </w:trPr>
        <w:tc>
          <w:tcPr>
            <w:tcW w:w="1456" w:type="dxa"/>
            <w:shd w:val="clear" w:color="auto" w:fill="auto"/>
            <w:noWrap/>
          </w:tcPr>
          <w:p w14:paraId="041894A9" w14:textId="6C06B1C9"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Alander (2000)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&lt;EndNote&gt;&lt;Cite&gt;&lt;Author&gt;Alander&lt;/Author&gt;&lt;Year&gt;2000&lt;/Year&gt;&lt;RecNum&gt;848&lt;/RecNum&gt;&lt;DisplayText&gt;(Alander et al., 2000)&lt;/DisplayText&gt;&lt;record&gt;&lt;rec-number&gt;848&lt;/rec-number&gt;&lt;foreign-keys&gt;&lt;key app="EN" db-id="90p22wx96ddedpe0r9pxtt9gzz05dd5ev299" timestamp="1657000537"&gt;848&lt;/key&gt;&lt;/foreign-keys&gt;&lt;ref-type name="Journal Article"&gt;17&lt;/ref-type&gt;&lt;contributors&gt;&lt;authors&gt;&lt;author&gt;Alander, S. W.&lt;/author&gt;&lt;author&gt;Dowd, M. D.&lt;/author&gt;&lt;author&gt;Bratton, S. L.&lt;/author&gt;&lt;author&gt;Kearns, G. L.&lt;/author&gt;&lt;/authors&gt;&lt;/contributors&gt;&lt;titles&gt;&lt;title&gt;Pediatric acetaminophen overdose: Risk factors associated with hepatocellular injury&lt;/title&gt;&lt;secondary-title&gt;Archives of Pediatrics and Adolescent Medicine&lt;/secondary-title&gt;&lt;/titles&gt;&lt;pages&gt;346-350&lt;/pages&gt;&lt;volume&gt;154&lt;/volume&gt;&lt;number&gt;4&lt;/number&gt;&lt;dates&gt;&lt;year&gt;2000&lt;/year&gt;&lt;/dates&gt;&lt;urls&gt;&lt;related-urls&gt;&lt;url&gt;http://ovidsp.ovid.com/ovidweb.cgi?T=JS&amp;amp;PAGE=reference&amp;amp;D=emed7&amp;amp;NEWS=N&amp;amp;AN=30198480&lt;/url&gt;&lt;/related-urls&gt;&lt;/urls&gt;&lt;electronic-resource-num&gt;http://dx.doi.org/10.1001/archpedi.154.4.346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(Alander et al., 2000)</w:t>
            </w:r>
            <w:r w:rsidRPr="0091560A">
              <w:rPr>
                <w:rFonts w:eastAsia="Times New Roman" w:cs="Times New Roman"/>
                <w:color w:val="000000"/>
                <w:sz w:val="16"/>
                <w:szCs w:val="16"/>
                <w:lang w:eastAsia="en-AU"/>
              </w:rPr>
              <w:fldChar w:fldCharType="end"/>
            </w:r>
          </w:p>
          <w:p w14:paraId="3E0BB97D" w14:textId="77777777" w:rsidR="00574EB4" w:rsidRPr="0091560A" w:rsidRDefault="00574EB4">
            <w:pPr>
              <w:spacing w:after="0" w:line="240" w:lineRule="auto"/>
              <w:rPr>
                <w:rFonts w:eastAsia="Times New Roman" w:cs="Times New Roman"/>
                <w:color w:val="000000"/>
                <w:sz w:val="16"/>
                <w:szCs w:val="16"/>
                <w:lang w:eastAsia="en-AU"/>
              </w:rPr>
            </w:pPr>
          </w:p>
          <w:p w14:paraId="62D7BCAF" w14:textId="27B58498"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Kansas City &amp; Seattle, US</w:t>
            </w:r>
            <w:r w:rsidR="00AB0A86">
              <w:rPr>
                <w:rFonts w:eastAsia="Times New Roman" w:cs="Times New Roman"/>
                <w:color w:val="000000" w:themeColor="text1"/>
                <w:sz w:val="16"/>
                <w:szCs w:val="16"/>
                <w:lang w:eastAsia="en-AU"/>
              </w:rPr>
              <w:t>A</w:t>
            </w:r>
          </w:p>
        </w:tc>
        <w:tc>
          <w:tcPr>
            <w:tcW w:w="1232" w:type="dxa"/>
          </w:tcPr>
          <w:p w14:paraId="096E825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F8ABAE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38317A26" w14:textId="77777777" w:rsidR="00574EB4" w:rsidRPr="0091560A" w:rsidRDefault="00574EB4">
            <w:pPr>
              <w:spacing w:after="0" w:line="240" w:lineRule="auto"/>
              <w:rPr>
                <w:rFonts w:eastAsia="Times New Roman" w:cs="Times New Roman"/>
                <w:color w:val="000000"/>
                <w:sz w:val="16"/>
                <w:szCs w:val="16"/>
                <w:highlight w:val="yellow"/>
                <w:lang w:eastAsia="en-AU"/>
              </w:rPr>
            </w:pPr>
            <w:r w:rsidRPr="0091560A">
              <w:rPr>
                <w:rFonts w:eastAsia="Times New Roman" w:cs="Times New Roman"/>
                <w:color w:val="000000" w:themeColor="text1"/>
                <w:sz w:val="16"/>
                <w:szCs w:val="16"/>
                <w:lang w:eastAsia="en-AU"/>
              </w:rPr>
              <w:t>Paediatric presentations to ED or inpatient unit at two hospitals in the US with a chief complaint of paracetamol ingestion from January 1, 1988,</w:t>
            </w:r>
            <w:r w:rsidRPr="0091560A" w:rsidDel="00765DE6">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December 31, 1997</w:t>
            </w:r>
          </w:p>
        </w:tc>
        <w:tc>
          <w:tcPr>
            <w:tcW w:w="1279" w:type="dxa"/>
            <w:shd w:val="clear" w:color="auto" w:fill="auto"/>
            <w:noWrap/>
          </w:tcPr>
          <w:p w14:paraId="5D27E73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332</w:t>
            </w:r>
          </w:p>
        </w:tc>
        <w:tc>
          <w:tcPr>
            <w:tcW w:w="1452" w:type="dxa"/>
            <w:shd w:val="clear" w:color="auto" w:fill="auto"/>
            <w:noWrap/>
          </w:tcPr>
          <w:p w14:paraId="5EDEC40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Total sample: M = 7.9; SD = 6.1, range = 2 months-17; Intentional ingestion: M = 14.3; SD = 1.3; range = 11-17</w:t>
            </w:r>
          </w:p>
        </w:tc>
        <w:tc>
          <w:tcPr>
            <w:tcW w:w="1417" w:type="dxa"/>
            <w:shd w:val="clear" w:color="auto" w:fill="auto"/>
            <w:noWrap/>
          </w:tcPr>
          <w:p w14:paraId="2314566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43.5% </w:t>
            </w:r>
          </w:p>
        </w:tc>
        <w:tc>
          <w:tcPr>
            <w:tcW w:w="4630" w:type="dxa"/>
            <w:shd w:val="clear" w:color="auto" w:fill="auto"/>
          </w:tcPr>
          <w:p w14:paraId="5E4491C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78.6% female. </w:t>
            </w:r>
          </w:p>
          <w:p w14:paraId="079954A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Tend to be older than non-intentional ingestions (median age = 14) </w:t>
            </w:r>
          </w:p>
          <w:p w14:paraId="2050C6C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Median dose was 4-8.3mg/kg and did not vary by intentionality</w:t>
            </w:r>
          </w:p>
          <w:p w14:paraId="55E6D12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br/>
            </w:r>
          </w:p>
        </w:tc>
      </w:tr>
      <w:tr w:rsidR="00574EB4" w:rsidRPr="0091560A" w14:paraId="31DB6FFB" w14:textId="77777777" w:rsidTr="0035719A">
        <w:trPr>
          <w:trHeight w:val="1263"/>
        </w:trPr>
        <w:tc>
          <w:tcPr>
            <w:tcW w:w="1456" w:type="dxa"/>
            <w:shd w:val="clear" w:color="auto" w:fill="auto"/>
            <w:noWrap/>
          </w:tcPr>
          <w:p w14:paraId="5EF0475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Alsen (1994)</w:t>
            </w:r>
          </w:p>
          <w:p w14:paraId="42ECC318" w14:textId="15A889A8"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&lt;EndNote&gt;&lt;Cite&gt;&lt;Author&gt;Alsen&lt;/Author&gt;&lt;Year&gt;1994&lt;/Year&gt;&lt;RecNum&gt;850&lt;/RecNum&gt;&lt;DisplayText&gt;(Alsen et al., 1994)&lt;/DisplayText&gt;&lt;record&gt;&lt;rec-number&gt;850&lt;/rec-number&gt;&lt;foreign-keys&gt;&lt;key app="EN" db-id="90p22wx96ddedpe0r9pxtt9gzz05dd5ev299" timestamp="1657000537"&gt;850&lt;/key&gt;&lt;/foreign-keys&gt;&lt;ref-type name="Journal Article"&gt;17&lt;/ref-type&gt;&lt;contributors&gt;&lt;authors&gt;&lt;author&gt;Alsen, M.&lt;/author&gt;&lt;author&gt;Ekedahl, A.&lt;/author&gt;&lt;author&gt;Lowenhielm, P.&lt;/author&gt;&lt;author&gt;Nimeus, A.&lt;/author&gt;&lt;author&gt;Regnell, G.&lt;/author&gt;&lt;author&gt;Traskman-Bendz, L.&lt;/author&gt;&lt;/authors&gt;&lt;/contributors&gt;&lt;titles&gt;&lt;title&gt;Medicine self-poisoning and the sources of the drugs in Lund, Sweden&lt;/title&gt;&lt;secondary-title&gt;Acta Psychiatrica Scandinavica&lt;/secondary-title&gt;&lt;/titles&gt;&lt;pages&gt;255-261&lt;/pages&gt;&lt;volume&gt;89&lt;/volume&gt;&lt;number&gt;4&lt;/number&gt;&lt;dates&gt;&lt;year&gt;1994&lt;/year&gt;&lt;/dates&gt;&lt;urls&gt;&lt;related-urls&gt;&lt;url&gt;http://ovidsp.ovid.com/ovidweb.cgi?T=JS&amp;amp;PAGE=reference&amp;amp;D=emed5&amp;amp;NEWS=N&amp;amp;AN=24134686&lt;/url&gt;&lt;/related-urls&gt;&lt;/urls&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(Alsen et al., 1994)</w:t>
            </w:r>
            <w:r w:rsidRPr="0091560A">
              <w:rPr>
                <w:rFonts w:eastAsia="Times New Roman" w:cs="Times New Roman"/>
                <w:color w:val="000000"/>
                <w:sz w:val="16"/>
                <w:szCs w:val="16"/>
                <w:lang w:eastAsia="en-AU"/>
              </w:rPr>
              <w:fldChar w:fldCharType="end"/>
            </w:r>
          </w:p>
          <w:p w14:paraId="1005534D" w14:textId="77777777" w:rsidR="00574EB4" w:rsidRPr="0091560A" w:rsidRDefault="00574EB4">
            <w:pPr>
              <w:spacing w:after="0" w:line="240" w:lineRule="auto"/>
              <w:rPr>
                <w:rFonts w:eastAsia="Times New Roman" w:cs="Times New Roman"/>
                <w:color w:val="000000"/>
                <w:sz w:val="16"/>
                <w:szCs w:val="16"/>
                <w:lang w:eastAsia="en-AU"/>
              </w:rPr>
            </w:pPr>
          </w:p>
          <w:p w14:paraId="375973C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Lund, Sweden</w:t>
            </w:r>
          </w:p>
        </w:tc>
        <w:tc>
          <w:tcPr>
            <w:tcW w:w="1232" w:type="dxa"/>
          </w:tcPr>
          <w:p w14:paraId="7DBCA6E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Qualitative </w:t>
            </w:r>
          </w:p>
        </w:tc>
        <w:tc>
          <w:tcPr>
            <w:tcW w:w="1429" w:type="dxa"/>
            <w:shd w:val="clear" w:color="auto" w:fill="auto"/>
            <w:noWrap/>
          </w:tcPr>
          <w:p w14:paraId="495D1DC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p w14:paraId="144B439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(other self-poisoning drugs)</w:t>
            </w:r>
          </w:p>
        </w:tc>
        <w:tc>
          <w:tcPr>
            <w:tcW w:w="2409" w:type="dxa"/>
            <w:shd w:val="clear" w:color="auto" w:fill="auto"/>
            <w:noWrap/>
          </w:tcPr>
          <w:p w14:paraId="266BCBF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Subsample of patients over 18 years old admitted to the ICU of Lund University Hospital after intentional self-poisoning suicide attempt from 1987</w:t>
            </w:r>
            <w:r w:rsidRPr="0091560A" w:rsidDel="00765DE6">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 xml:space="preserve">to 1990  </w:t>
            </w:r>
          </w:p>
        </w:tc>
        <w:tc>
          <w:tcPr>
            <w:tcW w:w="1279" w:type="dxa"/>
            <w:shd w:val="clear" w:color="auto" w:fill="auto"/>
            <w:noWrap/>
          </w:tcPr>
          <w:p w14:paraId="107CCF1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280 </w:t>
            </w:r>
          </w:p>
        </w:tc>
        <w:tc>
          <w:tcPr>
            <w:tcW w:w="1452" w:type="dxa"/>
            <w:shd w:val="clear" w:color="auto" w:fill="auto"/>
            <w:noWrap/>
          </w:tcPr>
          <w:p w14:paraId="1F20C78C"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Males: M = 38; range = 18-92</w:t>
            </w:r>
          </w:p>
          <w:p w14:paraId="47940FD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Females: M = 39; range = 19-87</w:t>
            </w:r>
          </w:p>
        </w:tc>
        <w:tc>
          <w:tcPr>
            <w:tcW w:w="1417" w:type="dxa"/>
            <w:shd w:val="clear" w:color="auto" w:fill="auto"/>
            <w:noWrap/>
          </w:tcPr>
          <w:p w14:paraId="162F831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100% </w:t>
            </w:r>
          </w:p>
        </w:tc>
        <w:tc>
          <w:tcPr>
            <w:tcW w:w="4630" w:type="dxa"/>
            <w:shd w:val="clear" w:color="auto" w:fill="auto"/>
          </w:tcPr>
          <w:p w14:paraId="37C5E69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Age: </w:t>
            </w:r>
            <w:r w:rsidRPr="0091560A">
              <w:rPr>
                <w:rFonts w:eastAsia="Times New Roman" w:cs="Times New Roman"/>
                <w:color w:val="000000"/>
                <w:sz w:val="16"/>
                <w:szCs w:val="16"/>
                <w:lang w:eastAsia="en-AU"/>
              </w:rPr>
              <w:t>Younger cases more likely to only use analgesics in attempt</w:t>
            </w:r>
          </w:p>
          <w:p w14:paraId="3E2C471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Suicide intent:</w:t>
            </w:r>
            <w:r w:rsidRPr="0091560A">
              <w:rPr>
                <w:rFonts w:eastAsia="Times New Roman" w:cs="Times New Roman"/>
                <w:color w:val="000000"/>
                <w:sz w:val="16"/>
                <w:szCs w:val="16"/>
                <w:lang w:eastAsia="en-AU"/>
              </w:rPr>
              <w:t xml:space="preserve"> 100% participants reported self-poisoning as a suicide attempt </w:t>
            </w:r>
          </w:p>
          <w:p w14:paraId="43B0DA9C"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Co-ingestion of substances: </w:t>
            </w:r>
            <w:r w:rsidRPr="0091560A">
              <w:rPr>
                <w:rFonts w:eastAsia="Times New Roman" w:cs="Times New Roman"/>
                <w:color w:val="000000"/>
                <w:sz w:val="16"/>
                <w:szCs w:val="16"/>
                <w:lang w:eastAsia="en-AU"/>
              </w:rPr>
              <w:t>88% cases used paracetamol in combinations with another drug, most often other analgesics</w:t>
            </w:r>
          </w:p>
          <w:p w14:paraId="72BF598D"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Self-harm history:</w:t>
            </w:r>
            <w:r w:rsidRPr="0091560A" w:rsidDel="00992472">
              <w:rPr>
                <w:rFonts w:eastAsia="Times New Roman" w:cs="Times New Roman"/>
                <w:color w:val="000000"/>
                <w:sz w:val="16"/>
                <w:szCs w:val="16"/>
                <w:lang w:eastAsia="en-AU"/>
              </w:rPr>
              <w:t xml:space="preserve"> </w:t>
            </w:r>
            <w:r w:rsidRPr="0091560A">
              <w:rPr>
                <w:rFonts w:eastAsia="Times New Roman" w:cs="Times New Roman"/>
                <w:color w:val="000000"/>
                <w:sz w:val="16"/>
                <w:szCs w:val="16"/>
                <w:lang w:eastAsia="en-AU"/>
              </w:rPr>
              <w:t xml:space="preserve">Use of analgesics more common in first episode of self-harm (vs. repeaters) </w:t>
            </w:r>
          </w:p>
        </w:tc>
      </w:tr>
      <w:tr w:rsidR="00574EB4" w:rsidRPr="0091560A" w14:paraId="468A4A1A" w14:textId="77777777" w:rsidTr="0035719A">
        <w:trPr>
          <w:trHeight w:val="688"/>
        </w:trPr>
        <w:tc>
          <w:tcPr>
            <w:tcW w:w="1456" w:type="dxa"/>
            <w:shd w:val="clear" w:color="auto" w:fill="auto"/>
            <w:noWrap/>
          </w:tcPr>
          <w:p w14:paraId="4A63D077" w14:textId="561F692C"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Angalakuditi (2006)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&lt;EndNote&gt;&lt;Cite&gt;&lt;Author&gt;Angalakuditi&lt;/Author&gt;&lt;Year&gt;2006&lt;/Year&gt;&lt;RecNum&gt;851&lt;/RecNum&gt;&lt;DisplayText&gt;(Angalakuditi et al., 2006)&lt;/DisplayText&gt;&lt;record&gt;&lt;rec-number&gt;851&lt;/rec-number&gt;&lt;foreign-keys&gt;&lt;key app="EN" db-id="90p22wx96ddedpe0r9pxtt9gzz05dd5ev299" timestamp="1657000537"&gt;851&lt;/key&gt;&lt;/foreign-keys&gt;&lt;ref-type name="Journal Article"&gt;17&lt;/ref-type&gt;&lt;contributors&gt;&lt;authors&gt;&lt;author&gt;Angalakuditi, M. V.&lt;/author&gt;&lt;author&gt;Coley, K. C.&lt;/author&gt;&lt;author&gt;Krenzelok, E. P.&lt;/author&gt;&lt;/authors&gt;&lt;/contributors&gt;&lt;titles&gt;&lt;title&gt;Children&amp;apos;s acetaminophen exposures reported to a regional poison control center&lt;/title&gt;&lt;secondary-title&gt;American Journal of Health-System Pharmacy&lt;/secondary-title&gt;&lt;/titles&gt;&lt;pages&gt;323-326&lt;/pages&gt;&lt;volume&gt;63&lt;/volume&gt;&lt;number&gt;4&lt;/number&gt;&lt;dates&gt;&lt;year&gt;2006&lt;/year&gt;&lt;/dates&gt;&lt;urls&gt;&lt;related-urls&gt;&lt;url&gt;https://academic.oup.com/ajhp/issuehttp://ovidsp.ovid.com/ovidweb.cgi?T=JS&amp;amp;PAGE=reference&amp;amp;D=emed9&amp;amp;NEWS=N&amp;amp;AN=43244608&lt;/url&gt;&lt;/related-urls&gt;&lt;/urls&gt;&lt;electronic-resource-num&gt;http://dx.doi.org/10.2146/ajhp050227&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(Angalakuditi et al., 2006)</w:t>
            </w:r>
            <w:r w:rsidRPr="0091560A">
              <w:rPr>
                <w:rFonts w:eastAsia="Times New Roman" w:cs="Times New Roman"/>
                <w:color w:val="000000"/>
                <w:sz w:val="16"/>
                <w:szCs w:val="16"/>
                <w:lang w:eastAsia="en-AU"/>
              </w:rPr>
              <w:fldChar w:fldCharType="end"/>
            </w:r>
          </w:p>
          <w:p w14:paraId="72414EBA" w14:textId="77777777" w:rsidR="00574EB4" w:rsidRPr="0091560A" w:rsidRDefault="00574EB4">
            <w:pPr>
              <w:spacing w:after="0" w:line="240" w:lineRule="auto"/>
              <w:rPr>
                <w:rFonts w:eastAsia="Times New Roman" w:cs="Times New Roman"/>
                <w:color w:val="000000"/>
                <w:sz w:val="16"/>
                <w:szCs w:val="16"/>
                <w:lang w:eastAsia="en-AU"/>
              </w:rPr>
            </w:pPr>
          </w:p>
          <w:p w14:paraId="4E762C2E" w14:textId="7945E054"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US</w:t>
            </w:r>
            <w:r w:rsidR="000C7BB4">
              <w:rPr>
                <w:rFonts w:eastAsia="Times New Roman" w:cs="Times New Roman"/>
                <w:color w:val="000000" w:themeColor="text1"/>
                <w:sz w:val="16"/>
                <w:szCs w:val="16"/>
                <w:lang w:eastAsia="en-AU"/>
              </w:rPr>
              <w:t>A</w:t>
            </w:r>
          </w:p>
        </w:tc>
        <w:tc>
          <w:tcPr>
            <w:tcW w:w="1232" w:type="dxa"/>
          </w:tcPr>
          <w:p w14:paraId="2689CF3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0FDFE13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ACF486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Poisonings in children under 18 years reported to an American Association of Poison Control Centre from 2000 to 2003</w:t>
            </w:r>
          </w:p>
        </w:tc>
        <w:tc>
          <w:tcPr>
            <w:tcW w:w="1279" w:type="dxa"/>
            <w:shd w:val="clear" w:color="auto" w:fill="auto"/>
            <w:noWrap/>
          </w:tcPr>
          <w:p w14:paraId="1D19805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473 </w:t>
            </w:r>
          </w:p>
        </w:tc>
        <w:tc>
          <w:tcPr>
            <w:tcW w:w="1452" w:type="dxa"/>
            <w:shd w:val="clear" w:color="auto" w:fill="auto"/>
            <w:noWrap/>
          </w:tcPr>
          <w:p w14:paraId="765C88A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Range = &lt;18.</w:t>
            </w:r>
          </w:p>
          <w:p w14:paraId="56F357B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Females: M = 6.3; SD = 5.9</w:t>
            </w:r>
          </w:p>
          <w:p w14:paraId="5078FAC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Males: M = 3.5; SD = 3.9</w:t>
            </w:r>
          </w:p>
        </w:tc>
        <w:tc>
          <w:tcPr>
            <w:tcW w:w="1417" w:type="dxa"/>
            <w:shd w:val="clear" w:color="auto" w:fill="auto"/>
            <w:noWrap/>
          </w:tcPr>
          <w:p w14:paraId="4C3A2C7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19.0% </w:t>
            </w:r>
          </w:p>
        </w:tc>
        <w:tc>
          <w:tcPr>
            <w:tcW w:w="4630" w:type="dxa"/>
            <w:shd w:val="clear" w:color="auto" w:fill="auto"/>
          </w:tcPr>
          <w:p w14:paraId="6EC9A314"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 xml:space="preserve">Sex: </w:t>
            </w:r>
            <w:r w:rsidRPr="0091560A">
              <w:rPr>
                <w:rFonts w:eastAsia="Times New Roman" w:cs="Times New Roman"/>
                <w:color w:val="000000" w:themeColor="text1"/>
                <w:sz w:val="16"/>
                <w:szCs w:val="16"/>
                <w:lang w:eastAsia="en-AU"/>
              </w:rPr>
              <w:t>86.57% of intentional cases 13-17 years were female</w:t>
            </w:r>
          </w:p>
          <w:p w14:paraId="4882372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87.8% of intentional poisonings in cases 13-17 years suspected suicide </w:t>
            </w:r>
          </w:p>
        </w:tc>
      </w:tr>
      <w:tr w:rsidR="00574EB4" w:rsidRPr="0091560A" w14:paraId="294A3C65" w14:textId="77777777" w:rsidTr="0035719A">
        <w:trPr>
          <w:trHeight w:val="688"/>
        </w:trPr>
        <w:tc>
          <w:tcPr>
            <w:tcW w:w="1456" w:type="dxa"/>
            <w:shd w:val="clear" w:color="auto" w:fill="auto"/>
            <w:noWrap/>
          </w:tcPr>
          <w:p w14:paraId="4249A21C" w14:textId="05E09BC8"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Bailey (2001)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&lt;EndNote&gt;&lt;Cite&gt;&lt;Author&gt;Bailey&lt;/Author&gt;&lt;Year&gt;2001&lt;/Year&gt;&lt;RecNum&gt;852&lt;/RecNum&gt;&lt;DisplayText&gt;(Bailey et al., 2001)&lt;/DisplayText&gt;&lt;record&gt;&lt;rec-number&gt;852&lt;/rec-number&gt;&lt;foreign-keys&gt;&lt;key app="EN" db-id="90p22wx96ddedpe0r9pxtt9gzz05dd5ev299" timestamp="1657000537"&gt;852&lt;/key&gt;&lt;/foreign-keys&gt;&lt;ref-type name="Journal Article"&gt;17&lt;/ref-type&gt;&lt;contributors&gt;&lt;authors&gt;&lt;author&gt;Bailey, B.&lt;/author&gt;&lt;author&gt;Lalkin, A.&lt;/author&gt;&lt;author&gt;Kapur, B. M.&lt;/author&gt;&lt;author&gt;Koren, G.&lt;/author&gt;&lt;/authors&gt;&lt;/contributors&gt;&lt;titles&gt;&lt;title&gt;Is chronic poisoning with acetaminophen in children a frequent occurrence in Toronto?&lt;/title&gt;&lt;secondary-title&gt;Canadian Journal of Clinical Pharmacology&lt;/secondary-title&gt;&lt;/titles&gt;&lt;pages&gt;96-101&lt;/pages&gt;&lt;volume&gt;8&lt;/volume&gt;&lt;number&gt;2&lt;/number&gt;&lt;dates&gt;&lt;year&gt;2001&lt;/year&gt;&lt;/dates&gt;&lt;urls&gt;&lt;related-urls&gt;&lt;url&gt;http://www.cjcp.ca/hm/http://ovidsp.ovid.com/ovidweb.cgi?T=JS&amp;amp;PAGE=reference&amp;amp;D=emed7&amp;amp;NEWS=N&amp;amp;AN=32776861&lt;/url&gt;&lt;/related-urls&gt;&lt;/urls&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(Bailey et al., 2001)</w:t>
            </w:r>
            <w:r w:rsidRPr="0091560A">
              <w:rPr>
                <w:rFonts w:eastAsia="Times New Roman" w:cs="Times New Roman"/>
                <w:color w:val="000000"/>
                <w:sz w:val="16"/>
                <w:szCs w:val="16"/>
                <w:lang w:eastAsia="en-AU"/>
              </w:rPr>
              <w:fldChar w:fldCharType="end"/>
            </w:r>
          </w:p>
          <w:p w14:paraId="1DDCDDC5" w14:textId="77777777" w:rsidR="00574EB4" w:rsidRPr="0091560A" w:rsidRDefault="00574EB4">
            <w:pPr>
              <w:spacing w:after="0" w:line="240" w:lineRule="auto"/>
              <w:rPr>
                <w:rFonts w:eastAsia="Times New Roman" w:cs="Times New Roman"/>
                <w:color w:val="000000"/>
                <w:sz w:val="16"/>
                <w:szCs w:val="16"/>
                <w:lang w:eastAsia="en-AU"/>
              </w:rPr>
            </w:pPr>
          </w:p>
          <w:p w14:paraId="3D34A0F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Toronto &amp; Ontario, Canada</w:t>
            </w:r>
          </w:p>
        </w:tc>
        <w:tc>
          <w:tcPr>
            <w:tcW w:w="1232" w:type="dxa"/>
          </w:tcPr>
          <w:p w14:paraId="2710DC4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4CDE9B5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2FAC19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Children admitted to the Hospital for Sick Children, Toronto, Ontario with a diagnosis of paracetamol overdose from January 1, 1990, to June 31, 1996</w:t>
            </w:r>
          </w:p>
        </w:tc>
        <w:tc>
          <w:tcPr>
            <w:tcW w:w="1279" w:type="dxa"/>
            <w:shd w:val="clear" w:color="auto" w:fill="auto"/>
            <w:noWrap/>
          </w:tcPr>
          <w:p w14:paraId="38E05A1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110 (106 adolescents)</w:t>
            </w:r>
          </w:p>
        </w:tc>
        <w:tc>
          <w:tcPr>
            <w:tcW w:w="1452" w:type="dxa"/>
            <w:shd w:val="clear" w:color="auto" w:fill="auto"/>
            <w:noWrap/>
          </w:tcPr>
          <w:p w14:paraId="11EC5D8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Adolescents: M = 14.8; SD = 1.3; range = 10-16 </w:t>
            </w:r>
          </w:p>
        </w:tc>
        <w:tc>
          <w:tcPr>
            <w:tcW w:w="1417" w:type="dxa"/>
            <w:shd w:val="clear" w:color="auto" w:fill="auto"/>
            <w:noWrap/>
          </w:tcPr>
          <w:p w14:paraId="33CDAB1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100% </w:t>
            </w:r>
          </w:p>
        </w:tc>
        <w:tc>
          <w:tcPr>
            <w:tcW w:w="4630" w:type="dxa"/>
            <w:shd w:val="clear" w:color="auto" w:fill="auto"/>
          </w:tcPr>
          <w:p w14:paraId="742A368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Dosage: </w:t>
            </w:r>
            <w:r w:rsidRPr="0091560A">
              <w:rPr>
                <w:rFonts w:eastAsia="Times New Roman" w:cs="Times New Roman"/>
                <w:color w:val="000000"/>
                <w:sz w:val="16"/>
                <w:szCs w:val="16"/>
                <w:lang w:eastAsia="en-AU"/>
              </w:rPr>
              <w:t>Mean dose for adolescents was 262mg/kg (SD = 192)</w:t>
            </w:r>
          </w:p>
          <w:p w14:paraId="127B8FD9" w14:textId="77777777" w:rsidR="00574EB4" w:rsidRPr="0091560A" w:rsidRDefault="00574EB4">
            <w:pPr>
              <w:spacing w:after="0" w:line="240" w:lineRule="auto"/>
              <w:rPr>
                <w:rFonts w:eastAsia="Times New Roman" w:cs="Times New Roman"/>
                <w:color w:val="000000"/>
                <w:sz w:val="16"/>
                <w:szCs w:val="16"/>
                <w:lang w:eastAsia="en-AU"/>
              </w:rPr>
            </w:pPr>
          </w:p>
        </w:tc>
      </w:tr>
      <w:tr w:rsidR="00574EB4" w:rsidRPr="0091560A" w14:paraId="1DDAE92B" w14:textId="77777777" w:rsidTr="0035719A">
        <w:trPr>
          <w:trHeight w:val="688"/>
        </w:trPr>
        <w:tc>
          <w:tcPr>
            <w:tcW w:w="1456" w:type="dxa"/>
            <w:shd w:val="clear" w:color="auto" w:fill="auto"/>
            <w:noWrap/>
          </w:tcPr>
          <w:p w14:paraId="1FFBA9E3" w14:textId="57B590E1"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Beautrais (1998)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&lt;EndNote&gt;&lt;Cite&gt;&lt;Author&gt;Beautrais&lt;/Author&gt;&lt;Year&gt;1998&lt;/Year&gt;&lt;RecNum&gt;923&lt;/RecNum&gt;&lt;DisplayText&gt;(Beautrais et al., 1998)&lt;/DisplayText&gt;&lt;record&gt;&lt;rec-number&gt;923&lt;/rec-number&gt;&lt;foreign-keys&gt;&lt;key app="EN" db-id="90p22wx96ddedpe0r9pxtt9gzz05dd5ev299" timestamp="1657082338"&gt;923&lt;/key&gt;&lt;/foreign-keys&gt;&lt;ref-type name="Journal Article"&gt;17&lt;/ref-type&gt;&lt;contributors&gt;&lt;authors&gt;&lt;author&gt;Beautrais, A. L.&lt;/author&gt;&lt;author&gt;Joyce, P. R.&lt;/author&gt;&lt;author&gt;Mulder, R. T.&lt;/author&gt;&lt;/authors&gt;&lt;/contributors&gt;&lt;titles&gt;&lt;title&gt;Youth suicide attempts: a social and demographic profile&lt;/title&gt;&lt;secondary-title&gt;Australian and New Zealand Journal of Psychiatry&lt;/secondary-title&gt;&lt;/titles&gt;&lt;pages&gt;349-357&lt;/pages&gt;&lt;volume&gt;32&lt;/volume&gt;&lt;number&gt;3&lt;/number&gt;&lt;keywords&gt;&lt;keyword&gt;Sociodemographic aspects&lt;/keyword&gt;&lt;keyword&gt;Young adults&lt;/keyword&gt;&lt;keyword&gt;Suicide&lt;/keyword&gt;&lt;/keywords&gt;&lt;dates&gt;&lt;year&gt;1998&lt;/year&gt;&lt;pub-dates&gt;&lt;date&gt;June 1998&amp;#xD;2016-09-27&lt;/date&gt;&lt;/pub-dates&gt;&lt;/dates&gt;&lt;isbn&gt;0004-8674, 0004-8674&lt;/isbn&gt;&lt;accession-num&gt;57384788; 120113&lt;/accession-num&gt;&lt;urls&gt;&lt;related-urls&gt;&lt;url&gt;https://www.proquest.com/scholarly-journals/youth-suicide-attempts-social-demographic-profile/docview/57384788/se-2?accountid=8330&lt;/url&gt;&lt;url&gt;https://JN8SF5HK5V.search.serialssolutions.com?ctx_ver=Z39.88-2004&amp;amp;ctx_enc=info:ofi/enc:UTF-8&amp;amp;rfr_id=info:sid/ProQ%3Aassia&amp;amp;rft_val_fmt=info:ofi/fmt:kev:mtx:journal&amp;amp;rft.genre=article&amp;amp;rft.jtitle=Australian+and+New+Zealand+Journal+of+Psychiatry&amp;amp;rft.atitle=Youth+suicide+attempts%3A+a+social+and+demographic+profile&amp;amp;rft.au=Beautrais%2C+A+L%3BJoyce%2C+P+R%3BMulder%2C+R+T&amp;amp;rft.aulast=Beautrais&amp;amp;rft.aufirst=A&amp;amp;rft.date=1998-06-01&amp;amp;rft.volume=32&amp;amp;rft.issue=3&amp;amp;rft.spage=349&amp;amp;rft.isbn=&amp;amp;rft.btitle=&amp;amp;rft.title=Australian+and+New+Zealand+Journal+of+Psychiatry&amp;amp;rft.issn=00048674&amp;amp;rft_id=info:doi/&lt;/url&gt;&lt;/related-urls&gt;&lt;/urls&gt;&lt;remote-database-name&gt;Social Science Premium Collection&lt;/remote-database-name&gt;&lt;language&gt;English&lt;/language&gt;&lt;/record&gt;&lt;/Cite&gt;&lt;/EndNote&gt;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(Beautrais et al., 1998)</w:t>
            </w:r>
            <w:r w:rsidRPr="0091560A">
              <w:rPr>
                <w:rFonts w:eastAsia="Times New Roman" w:cs="Times New Roman"/>
                <w:color w:val="000000"/>
                <w:sz w:val="16"/>
                <w:szCs w:val="16"/>
                <w:lang w:eastAsia="en-AU"/>
              </w:rPr>
              <w:fldChar w:fldCharType="end"/>
            </w:r>
          </w:p>
          <w:p w14:paraId="14B12FFA" w14:textId="77777777" w:rsidR="00574EB4" w:rsidRPr="0091560A" w:rsidRDefault="00574EB4">
            <w:pPr>
              <w:spacing w:after="0" w:line="240" w:lineRule="auto"/>
              <w:rPr>
                <w:rFonts w:eastAsia="Times New Roman" w:cs="Times New Roman"/>
                <w:b/>
                <w:bCs/>
                <w:color w:val="000000"/>
                <w:sz w:val="16"/>
                <w:szCs w:val="16"/>
                <w:lang w:eastAsia="en-AU"/>
              </w:rPr>
            </w:pPr>
          </w:p>
          <w:p w14:paraId="6C8A3A5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Christchurch, New Zealand</w:t>
            </w:r>
          </w:p>
        </w:tc>
        <w:tc>
          <w:tcPr>
            <w:tcW w:w="1232" w:type="dxa"/>
          </w:tcPr>
          <w:p w14:paraId="0DEE435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Case-control</w:t>
            </w:r>
          </w:p>
        </w:tc>
        <w:tc>
          <w:tcPr>
            <w:tcW w:w="1429" w:type="dxa"/>
            <w:shd w:val="clear" w:color="auto" w:fill="auto"/>
            <w:noWrap/>
          </w:tcPr>
          <w:p w14:paraId="0899A7E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09CA760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Consecutive series of individuals aged under 25 years who made medically serious suicide attempts (requiring hospital admission for more than 24 hrs) from September 1, 1991, to May 31, 1994, in Christchurch</w:t>
            </w:r>
          </w:p>
        </w:tc>
        <w:tc>
          <w:tcPr>
            <w:tcW w:w="1279" w:type="dxa"/>
            <w:shd w:val="clear" w:color="auto" w:fill="auto"/>
            <w:noWrap/>
          </w:tcPr>
          <w:p w14:paraId="371F883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129</w:t>
            </w:r>
          </w:p>
        </w:tc>
        <w:tc>
          <w:tcPr>
            <w:tcW w:w="1452" w:type="dxa"/>
            <w:shd w:val="clear" w:color="auto" w:fill="auto"/>
            <w:noWrap/>
          </w:tcPr>
          <w:p w14:paraId="4FBAA33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 = 19.4; SD = 3.0; range = 13-24</w:t>
            </w:r>
          </w:p>
        </w:tc>
        <w:tc>
          <w:tcPr>
            <w:tcW w:w="1417" w:type="dxa"/>
            <w:shd w:val="clear" w:color="auto" w:fill="auto"/>
            <w:noWrap/>
          </w:tcPr>
          <w:p w14:paraId="4614560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1534938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Age: </w:t>
            </w:r>
            <w:r w:rsidRPr="0091560A">
              <w:rPr>
                <w:rFonts w:eastAsia="Times New Roman" w:cs="Times New Roman"/>
                <w:color w:val="000000"/>
                <w:sz w:val="16"/>
                <w:szCs w:val="16"/>
                <w:lang w:eastAsia="en-AU"/>
              </w:rPr>
              <w:t xml:space="preserve">Teenagers who made serious suicide attempts by self-poisoning tended to use paracetamol (54.2%) more often, while those in the older bracket (20-24 years) more frequently used tricyclic antidepressants (54.2%) </w:t>
            </w:r>
          </w:p>
          <w:p w14:paraId="1D0D2F43"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Sex: </w:t>
            </w:r>
            <w:r w:rsidRPr="0091560A">
              <w:rPr>
                <w:rFonts w:eastAsia="Times New Roman" w:cs="Times New Roman"/>
                <w:color w:val="000000"/>
                <w:sz w:val="16"/>
                <w:szCs w:val="16"/>
                <w:lang w:eastAsia="en-AU"/>
              </w:rPr>
              <w:t>No significant gender differences in the types of drugs used by young people who made serious suicide</w:t>
            </w:r>
          </w:p>
        </w:tc>
      </w:tr>
      <w:tr w:rsidR="00574EB4" w:rsidRPr="0091560A" w14:paraId="554935D3" w14:textId="77777777" w:rsidTr="0035719A">
        <w:trPr>
          <w:trHeight w:val="688"/>
        </w:trPr>
        <w:tc>
          <w:tcPr>
            <w:tcW w:w="1456" w:type="dxa"/>
            <w:shd w:val="clear" w:color="auto" w:fill="auto"/>
            <w:noWrap/>
          </w:tcPr>
          <w:p w14:paraId="722FE990" w14:textId="7718E0C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Bloch (2013)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&lt;EndNote&gt;&lt;Cite&gt;&lt;Author&gt;Bloch&lt;/Author&gt;&lt;Year&gt;2013&lt;/Year&gt;&lt;RecNum&gt;856&lt;/RecNum&gt;&lt;DisplayText&gt;(Bloch et al., 2013)&lt;/DisplayText&gt;&lt;record&gt;&lt;rec-number&gt;856&lt;/rec-number&gt;&lt;foreign-keys&gt;&lt;key app="EN" db-id="90p22wx96ddedpe0r9pxtt9gzz05dd5ev299" timestamp="1657000537"&gt;856&lt;/key&gt;&lt;/foreign-keys&gt;&lt;ref-type name="Journal Article"&gt;17&lt;/ref-type&gt;&lt;contributors&gt;&lt;authors&gt;&lt;author&gt;Bloch, L. H.&lt;/author&gt;&lt;author&gt;Drachmann, G. H.&lt;/author&gt;&lt;author&gt;Pedersen, M. L.&lt;/author&gt;&lt;/authors&gt;&lt;/contributors&gt;&lt;titles&gt;&lt;title&gt;High prevalence of medicine-induced attempted suicides among females in Nuuk, Greenland, 2008-2009&lt;/title&gt;&lt;secondary-title&gt;International journal of circumpolar health&lt;/secondary-title&gt;&lt;/titles&gt;&lt;volume&gt;72&lt;/volume&gt;&lt;dates&gt;&lt;year&gt;2013&lt;/year&gt;&lt;/dates&gt;&lt;urls&gt;&lt;related-urls&gt;&lt;url&gt;http://ovidsp.ovid.com/ovidweb.cgi?T=JS&amp;amp;PAGE=reference&amp;amp;D=emed14&amp;amp;NEWS=N&amp;amp;AN=603122836&lt;/url&gt;&lt;/related-urls&gt;&lt;/urls&gt;&lt;electronic-resource-num&gt;http://dx.doi.org/10.3402/ijch.v72i0.21687&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(Bloch et al., 2013)</w:t>
            </w:r>
            <w:r w:rsidRPr="0091560A">
              <w:rPr>
                <w:rFonts w:eastAsia="Times New Roman" w:cs="Times New Roman"/>
                <w:color w:val="000000"/>
                <w:sz w:val="16"/>
                <w:szCs w:val="16"/>
                <w:lang w:eastAsia="en-AU"/>
              </w:rPr>
              <w:fldChar w:fldCharType="end"/>
            </w:r>
          </w:p>
          <w:p w14:paraId="33203C70" w14:textId="77777777" w:rsidR="00574EB4" w:rsidRPr="0091560A" w:rsidRDefault="00574EB4">
            <w:pPr>
              <w:spacing w:after="0" w:line="240" w:lineRule="auto"/>
              <w:rPr>
                <w:rFonts w:eastAsia="Times New Roman" w:cs="Times New Roman"/>
                <w:b/>
                <w:bCs/>
                <w:color w:val="000000"/>
                <w:sz w:val="16"/>
                <w:szCs w:val="16"/>
                <w:lang w:eastAsia="en-AU"/>
              </w:rPr>
            </w:pPr>
          </w:p>
          <w:p w14:paraId="76BB69B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Nuuk, Greenland</w:t>
            </w:r>
          </w:p>
        </w:tc>
        <w:tc>
          <w:tcPr>
            <w:tcW w:w="1232" w:type="dxa"/>
          </w:tcPr>
          <w:p w14:paraId="0ED40AF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77B6870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 (other self-poisoning drugs)</w:t>
            </w:r>
          </w:p>
        </w:tc>
        <w:tc>
          <w:tcPr>
            <w:tcW w:w="2409" w:type="dxa"/>
            <w:shd w:val="clear" w:color="auto" w:fill="auto"/>
            <w:noWrap/>
          </w:tcPr>
          <w:p w14:paraId="30668F0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Patients who resided in Nuuk admitted to Dronning Ingrids Hospital for medicine-induced suicide attempt from 2008 to 2009 </w:t>
            </w:r>
          </w:p>
        </w:tc>
        <w:tc>
          <w:tcPr>
            <w:tcW w:w="1279" w:type="dxa"/>
            <w:shd w:val="clear" w:color="auto" w:fill="auto"/>
            <w:noWrap/>
          </w:tcPr>
          <w:p w14:paraId="6988D83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74 cases (43 with paracetamol)</w:t>
            </w:r>
          </w:p>
        </w:tc>
        <w:tc>
          <w:tcPr>
            <w:tcW w:w="1452" w:type="dxa"/>
            <w:shd w:val="clear" w:color="auto" w:fill="auto"/>
            <w:noWrap/>
          </w:tcPr>
          <w:p w14:paraId="41DC121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Range = 15+ </w:t>
            </w:r>
          </w:p>
        </w:tc>
        <w:tc>
          <w:tcPr>
            <w:tcW w:w="1417" w:type="dxa"/>
            <w:shd w:val="clear" w:color="auto" w:fill="auto"/>
            <w:noWrap/>
          </w:tcPr>
          <w:p w14:paraId="32AFFC10"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2465D29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 xml:space="preserve">Age: </w:t>
            </w:r>
            <w:r w:rsidRPr="0091560A">
              <w:rPr>
                <w:rFonts w:eastAsia="Times New Roman" w:cs="Times New Roman"/>
                <w:color w:val="000000" w:themeColor="text1"/>
                <w:sz w:val="16"/>
                <w:szCs w:val="16"/>
                <w:lang w:eastAsia="en-AU"/>
              </w:rPr>
              <w:t xml:space="preserve">Paracetamol self-poisoning was most prevalent in the 20-24 age group (77% of suicide attempts with medication). The highest incidence was among women aged 20-24 </w:t>
            </w:r>
          </w:p>
          <w:p w14:paraId="714DEB4F" w14:textId="77777777" w:rsidR="00574EB4" w:rsidRPr="0091560A" w:rsidRDefault="00574EB4">
            <w:pPr>
              <w:spacing w:after="0" w:line="240" w:lineRule="auto"/>
              <w:rPr>
                <w:rFonts w:eastAsia="Times New Roman" w:cs="Times New Roman"/>
                <w:b/>
                <w:bCs/>
                <w:color w:val="000000"/>
                <w:sz w:val="16"/>
                <w:szCs w:val="16"/>
                <w:lang w:eastAsia="en-AU"/>
              </w:rPr>
            </w:pPr>
          </w:p>
        </w:tc>
      </w:tr>
      <w:tr w:rsidR="00574EB4" w:rsidRPr="0091560A" w14:paraId="5C498BC4" w14:textId="77777777" w:rsidTr="0035719A">
        <w:trPr>
          <w:trHeight w:val="688"/>
        </w:trPr>
        <w:tc>
          <w:tcPr>
            <w:tcW w:w="1456" w:type="dxa"/>
            <w:shd w:val="clear" w:color="auto" w:fill="auto"/>
            <w:noWrap/>
          </w:tcPr>
          <w:p w14:paraId="74A2D0DE" w14:textId="5A21CB1A"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Budnitz (2011)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&lt;EndNote&gt;&lt;Cite&gt;&lt;Author&gt;Budnitz&lt;/Author&gt;&lt;Year&gt;2011&lt;/Year&gt;&lt;RecNum&gt;858&lt;/RecNum&gt;&lt;DisplayText&gt;(Budnitz et al., 2011)&lt;/DisplayText&gt;&lt;record&gt;&lt;rec-number&gt;858&lt;/rec-number&gt;&lt;foreign-keys&gt;&lt;key app="EN" db-id="90p22wx96ddedpe0r9pxtt9gzz05dd5ev299" timestamp="1657000537"&gt;858&lt;/key&gt;&lt;/foreign-keys&gt;&lt;ref-type name="Journal Article"&gt;17&lt;/ref-type&gt;&lt;contributors&gt;&lt;authors&gt;&lt;author&gt;Budnitz, Daniel S.&lt;/author&gt;&lt;author&gt;Lovegrove, Maribeth C.&lt;/author&gt;&lt;author&gt;Crosby, Alexander E.&lt;/author&gt;&lt;/authors&gt;&lt;/contributors&gt;&lt;titles&gt;&lt;title&gt;Emergency department visits for overdoses of acetaminophen-containing products&lt;/title&gt;&lt;secondary-title&gt;American journal of preventive medicine&lt;/secondary-title&gt;&lt;/titles&gt;&lt;pages&gt;585-92&lt;/pages&gt;&lt;volume&gt;40&lt;/volume&gt;&lt;number&gt;6&lt;/number&gt;&lt;dates&gt;&lt;year&gt;2011&lt;/year&gt;&lt;/dates&gt;&lt;urls&gt;&lt;related-urls&gt;&lt;url&gt;http://ovidsp.ovid.com/ovidweb.cgi?T=JS&amp;amp;PAGE=reference&amp;amp;D=med8&amp;amp;NEWS=N&amp;amp;AN=21565648&lt;/url&gt;&lt;/related-urls&gt;&lt;/urls&gt;&lt;electronic-resource-num&gt;https://dx.doi.org/10.1016/j.amepre.2011.02.026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(Budnitz et al., 2011)</w:t>
            </w:r>
            <w:r w:rsidRPr="0091560A">
              <w:rPr>
                <w:rFonts w:eastAsia="Times New Roman" w:cs="Times New Roman"/>
                <w:color w:val="000000"/>
                <w:sz w:val="16"/>
                <w:szCs w:val="16"/>
                <w:lang w:eastAsia="en-AU"/>
              </w:rPr>
              <w:fldChar w:fldCharType="end"/>
            </w:r>
          </w:p>
          <w:p w14:paraId="2533C019" w14:textId="77777777" w:rsidR="00574EB4" w:rsidRPr="0091560A" w:rsidRDefault="00574EB4">
            <w:pPr>
              <w:spacing w:after="0" w:line="240" w:lineRule="auto"/>
              <w:rPr>
                <w:rFonts w:eastAsia="Times New Roman" w:cs="Times New Roman"/>
                <w:color w:val="000000"/>
                <w:sz w:val="16"/>
                <w:szCs w:val="16"/>
                <w:lang w:eastAsia="en-AU"/>
              </w:rPr>
            </w:pPr>
          </w:p>
          <w:p w14:paraId="4D5D44D7" w14:textId="79AC9428"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p w14:paraId="0E26CA12" w14:textId="77777777" w:rsidR="00574EB4" w:rsidRPr="0091560A" w:rsidRDefault="00574EB4">
            <w:pPr>
              <w:spacing w:after="0" w:line="240" w:lineRule="auto"/>
              <w:rPr>
                <w:rFonts w:eastAsia="Times New Roman" w:cs="Times New Roman"/>
                <w:color w:val="000000"/>
                <w:sz w:val="16"/>
                <w:szCs w:val="16"/>
                <w:lang w:eastAsia="en-AU"/>
              </w:rPr>
            </w:pPr>
          </w:p>
        </w:tc>
        <w:tc>
          <w:tcPr>
            <w:tcW w:w="1232" w:type="dxa"/>
          </w:tcPr>
          <w:p w14:paraId="0122BF7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2D1861D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B6F64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ED visits for an overdose of a paracetamol-containing product from </w:t>
            </w:r>
            <w:r w:rsidRPr="0091560A">
              <w:rPr>
                <w:rFonts w:eastAsia="Times New Roman" w:cs="Times New Roman"/>
                <w:sz w:val="16"/>
                <w:szCs w:val="16"/>
              </w:rPr>
              <w:t xml:space="preserve">January 1, 2006, to December 31, </w:t>
            </w:r>
            <w:r w:rsidRPr="0091560A">
              <w:rPr>
                <w:rFonts w:eastAsia="Times New Roman" w:cs="Times New Roman"/>
                <w:color w:val="000000" w:themeColor="text1"/>
                <w:sz w:val="16"/>
                <w:szCs w:val="16"/>
                <w:lang w:eastAsia="en-AU"/>
              </w:rPr>
              <w:t>2007, identified from</w:t>
            </w:r>
            <w:r w:rsidRPr="0091560A" w:rsidDel="00D2000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 xml:space="preserve">the National Electronic Injury Surveillance System </w:t>
            </w:r>
          </w:p>
        </w:tc>
        <w:tc>
          <w:tcPr>
            <w:tcW w:w="1279" w:type="dxa"/>
            <w:shd w:val="clear" w:color="auto" w:fill="auto"/>
            <w:noWrap/>
          </w:tcPr>
          <w:p w14:paraId="1B6E981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2,717 cases (1,857 intentional overdose)</w:t>
            </w:r>
          </w:p>
        </w:tc>
        <w:tc>
          <w:tcPr>
            <w:tcW w:w="1452" w:type="dxa"/>
            <w:shd w:val="clear" w:color="auto" w:fill="auto"/>
            <w:noWrap/>
          </w:tcPr>
          <w:p w14:paraId="7CCC8A0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overdose: Median = 29; range = 10-85</w:t>
            </w:r>
          </w:p>
          <w:p w14:paraId="4DD8C39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Therapeutic misadventure: Median = 35; range = &lt;1-93</w:t>
            </w:r>
          </w:p>
          <w:p w14:paraId="0FD4563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Unsupervised child ingestion: Median = 2; range = &lt;1-10.</w:t>
            </w:r>
          </w:p>
        </w:tc>
        <w:tc>
          <w:tcPr>
            <w:tcW w:w="1417" w:type="dxa"/>
            <w:shd w:val="clear" w:color="auto" w:fill="auto"/>
            <w:noWrap/>
          </w:tcPr>
          <w:p w14:paraId="5FFB639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69.8% </w:t>
            </w:r>
          </w:p>
        </w:tc>
        <w:tc>
          <w:tcPr>
            <w:tcW w:w="4630" w:type="dxa"/>
            <w:shd w:val="clear" w:color="auto" w:fill="auto"/>
          </w:tcPr>
          <w:p w14:paraId="4A27ED1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65.9% of cases were female; difference between genders narrowed with age</w:t>
            </w:r>
          </w:p>
          <w:p w14:paraId="78BEB03D"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Population rates of self-directed violence visits highest amongst cases 15-24 years and declined with increasing age</w:t>
            </w:r>
          </w:p>
          <w:p w14:paraId="467C192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Co-ingestion of substances:</w:t>
            </w:r>
            <w:r w:rsidRPr="0091560A">
              <w:rPr>
                <w:rFonts w:eastAsia="Times New Roman" w:cs="Times New Roman"/>
                <w:color w:val="000000" w:themeColor="text1"/>
                <w:sz w:val="16"/>
                <w:szCs w:val="16"/>
                <w:lang w:eastAsia="en-AU"/>
              </w:rPr>
              <w:t xml:space="preserve"> 52.7% cases involved &gt;1 medication, although single ingredient paracetamol involved in most cases 24 years and under</w:t>
            </w:r>
          </w:p>
          <w:p w14:paraId="21DDFD4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39% of cases ingested 10 or fewer pills, 24% 11-20 pills,14.7% 21-30 pills, 4.8% 31-40 pills, 3.8% 41-50 pills, 8.6% ≥51 pills, 5.1% ≥ half a bottle. Number of pills did not vary by age </w:t>
            </w:r>
          </w:p>
        </w:tc>
      </w:tr>
      <w:tr w:rsidR="00574EB4" w:rsidRPr="0091560A" w14:paraId="47EB59E5" w14:textId="77777777" w:rsidTr="0035719A">
        <w:trPr>
          <w:trHeight w:val="688"/>
        </w:trPr>
        <w:tc>
          <w:tcPr>
            <w:tcW w:w="1456" w:type="dxa"/>
            <w:shd w:val="clear" w:color="auto" w:fill="auto"/>
            <w:noWrap/>
          </w:tcPr>
          <w:p w14:paraId="0C83C04A" w14:textId="0030AE0D"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Cairns</w:t>
            </w:r>
            <w:r w:rsidRPr="0091560A">
              <w:rPr>
                <w:rFonts w:eastAsia="Times New Roman" w:cs="Times New Roman"/>
                <w:b/>
                <w:bCs/>
                <w:color w:val="000000" w:themeColor="text1"/>
                <w:sz w:val="16"/>
                <w:szCs w:val="16"/>
                <w:lang w:eastAsia="en-AU"/>
              </w:rPr>
              <w:t xml:space="preserve"> </w:t>
            </w:r>
            <w:r w:rsidRPr="0091560A">
              <w:rPr>
                <w:rFonts w:eastAsia="Times New Roman" w:cs="Times New Roman"/>
                <w:b/>
                <w:color w:val="000000" w:themeColor="text1"/>
                <w:sz w:val="16"/>
                <w:szCs w:val="16"/>
                <w:lang w:eastAsia="en-AU"/>
              </w:rPr>
              <w:t xml:space="preserve">(2019) </w:t>
            </w:r>
            <w:r w:rsidRPr="0091560A">
              <w:rPr>
                <w:rFonts w:eastAsia="Times New Roman" w:cs="Times New Roman"/>
                <w:bCs/>
                <w:color w:val="000000" w:themeColor="text1"/>
                <w:sz w:val="16"/>
                <w:szCs w:val="16"/>
                <w:lang w:eastAsia="en-AU"/>
              </w:rPr>
              <w:fldChar w:fldCharType="begin"/>
            </w:r>
            <w:r w:rsidR="00AA79F3">
              <w:rPr>
                <w:rFonts w:eastAsia="Times New Roman" w:cs="Times New Roman"/>
                <w:bCs/>
                <w:color w:val="000000" w:themeColor="text1"/>
                <w:sz w:val="16"/>
                <w:szCs w:val="16"/>
                <w:lang w:eastAsia="en-AU"/>
              </w:rPr>
              <w:instrText xml:space="preserve"> ADDIN EN.CITE &lt;EndNote&gt;&lt;Cite&gt;&lt;Author&gt;Cairns&lt;/Author&gt;&lt;Year&gt;2019&lt;/Year&gt;&lt;RecNum&gt;859&lt;/RecNum&gt;&lt;DisplayText&gt;(Cairns et al., 2019)&lt;/DisplayText&gt;&lt;record&gt;&lt;rec-number&gt;859&lt;/rec-number&gt;&lt;foreign-keys&gt;&lt;key app="EN" db-id="90p22wx96ddedpe0r9pxtt9gzz05dd5ev299" timestamp="1657000537"&gt;859&lt;/key&gt;&lt;/foreign-keys&gt;&lt;ref-type name="Journal Article"&gt;17&lt;/ref-type&gt;&lt;contributors&gt;&lt;authors&gt;&lt;author&gt;Cairns, R.&lt;/author&gt;&lt;author&gt;Brown, J. A.&lt;/author&gt;&lt;author&gt;Wylie, C. E.&lt;/author&gt;&lt;author&gt;Dawson, A. H.&lt;/author&gt;&lt;author&gt;Isbister, G. K.&lt;/author&gt;&lt;author&gt;Buckley, N. A.&lt;/author&gt;&lt;/authors&gt;&lt;/contributors&gt;&lt;titles&gt;&lt;title&gt;Paracetamol poisoning-related hospital admissions and deaths in Australia, 2004-2017&lt;/title&gt;&lt;secondary-title&gt;Medical Journal of Australia&lt;/secondary-title&gt;&lt;/titles&gt;&lt;pages&gt;218-223&lt;/pages&gt;&lt;volume&gt;211&lt;/volume&gt;&lt;number&gt;5&lt;/number&gt;&lt;dates&gt;&lt;year&gt;2019&lt;/year&gt;&lt;/dates&gt;&lt;urls&gt;&lt;related-urls&gt;&lt;url&gt;http://www.mja.com.auhttp://ovidsp.ovid.com/ovidweb.cgi?T=JS&amp;amp;PAGE=reference&amp;amp;D=emed20&amp;amp;NEWS=N&amp;amp;AN=2002465907&lt;/url&gt;&lt;/related-urls&gt;&lt;/urls&gt;&lt;electronic-resource-num&gt;http://dx.doi.org/10.5694/mja2.50296&lt;/electronic-resource-num&gt;&lt;/record&gt;&lt;/Cite&gt;&lt;/EndNote&gt;</w:instrText>
            </w:r>
            <w:r w:rsidRPr="0091560A">
              <w:rPr>
                <w:rFonts w:eastAsia="Times New Roman" w:cs="Times New Roman"/>
                <w:bCs/>
                <w:color w:val="000000" w:themeColor="text1"/>
                <w:sz w:val="16"/>
                <w:szCs w:val="16"/>
                <w:lang w:eastAsia="en-AU"/>
              </w:rPr>
              <w:fldChar w:fldCharType="separate"/>
            </w:r>
            <w:r w:rsidR="00AA79F3">
              <w:rPr>
                <w:rFonts w:eastAsia="Times New Roman" w:cs="Times New Roman"/>
                <w:bCs/>
                <w:noProof/>
                <w:color w:val="000000" w:themeColor="text1"/>
                <w:sz w:val="16"/>
                <w:szCs w:val="16"/>
                <w:lang w:eastAsia="en-AU"/>
              </w:rPr>
              <w:t>(Cairns et al., 2019)</w:t>
            </w:r>
            <w:r w:rsidRPr="0091560A">
              <w:rPr>
                <w:rFonts w:eastAsia="Times New Roman" w:cs="Times New Roman"/>
                <w:bCs/>
                <w:color w:val="000000" w:themeColor="text1"/>
                <w:sz w:val="16"/>
                <w:szCs w:val="16"/>
                <w:lang w:eastAsia="en-AU"/>
              </w:rPr>
              <w:fldChar w:fldCharType="end"/>
            </w:r>
          </w:p>
          <w:p w14:paraId="35748171" w14:textId="77777777" w:rsidR="00574EB4" w:rsidRPr="0091560A" w:rsidRDefault="00574EB4">
            <w:pPr>
              <w:spacing w:after="0" w:line="240" w:lineRule="auto"/>
              <w:rPr>
                <w:rFonts w:eastAsia="Times New Roman" w:cs="Times New Roman"/>
                <w:color w:val="000000"/>
                <w:sz w:val="16"/>
                <w:szCs w:val="16"/>
                <w:lang w:eastAsia="en-AU"/>
              </w:rPr>
            </w:pPr>
          </w:p>
          <w:p w14:paraId="5196AC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Australia</w:t>
            </w:r>
          </w:p>
        </w:tc>
        <w:tc>
          <w:tcPr>
            <w:tcW w:w="1232" w:type="dxa"/>
          </w:tcPr>
          <w:p w14:paraId="1C63E21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3EE6874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2CE02AE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Paracetamol overdoses identified through the New South Wales Poisons Information Centre (NSW PIC) from 2004 to 2017</w:t>
            </w:r>
          </w:p>
        </w:tc>
        <w:tc>
          <w:tcPr>
            <w:tcW w:w="1279" w:type="dxa"/>
            <w:shd w:val="clear" w:color="auto" w:fill="auto"/>
            <w:noWrap/>
          </w:tcPr>
          <w:p w14:paraId="2EDA825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22,997 intentional overdose calls </w:t>
            </w:r>
          </w:p>
        </w:tc>
        <w:tc>
          <w:tcPr>
            <w:tcW w:w="1452" w:type="dxa"/>
            <w:shd w:val="clear" w:color="auto" w:fill="auto"/>
            <w:noWrap/>
          </w:tcPr>
          <w:p w14:paraId="0FC5F8D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Median = 18; IQR = 16-28</w:t>
            </w:r>
          </w:p>
          <w:p w14:paraId="38E8891B" w14:textId="77777777" w:rsidR="00574EB4" w:rsidRPr="0091560A" w:rsidRDefault="00574EB4">
            <w:pPr>
              <w:spacing w:after="0" w:line="240" w:lineRule="auto"/>
              <w:rPr>
                <w:rFonts w:eastAsia="Times New Roman" w:cs="Times New Roman"/>
                <w:color w:val="000000" w:themeColor="text1"/>
                <w:sz w:val="16"/>
                <w:szCs w:val="16"/>
                <w:lang w:eastAsia="en-AU"/>
              </w:rPr>
            </w:pPr>
          </w:p>
        </w:tc>
        <w:tc>
          <w:tcPr>
            <w:tcW w:w="1417" w:type="dxa"/>
            <w:shd w:val="clear" w:color="auto" w:fill="auto"/>
            <w:noWrap/>
          </w:tcPr>
          <w:p w14:paraId="4BE0965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100% </w:t>
            </w:r>
          </w:p>
        </w:tc>
        <w:tc>
          <w:tcPr>
            <w:tcW w:w="4630" w:type="dxa"/>
            <w:shd w:val="clear" w:color="auto" w:fill="auto"/>
          </w:tcPr>
          <w:p w14:paraId="01F4770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70.4% of calls were about female cases </w:t>
            </w:r>
          </w:p>
          <w:p w14:paraId="1A86FED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Median number of tablets taken per self-poisoning reported was 15 in 2004 (IQR = 10-24) and 20 in 2017 (IQR = 10-35). Self-poisonings with modified release paracetamol (Median = 19 tablets) were larger than with immediate release paracetamol (Median = 16 tablets)</w:t>
            </w:r>
          </w:p>
        </w:tc>
      </w:tr>
      <w:tr w:rsidR="00574EB4" w:rsidRPr="0091560A" w14:paraId="20E442C6" w14:textId="77777777" w:rsidTr="0035719A">
        <w:trPr>
          <w:trHeight w:val="1725"/>
        </w:trPr>
        <w:tc>
          <w:tcPr>
            <w:tcW w:w="1456" w:type="dxa"/>
            <w:tcBorders>
              <w:top w:val="single" w:sz="4" w:space="0" w:color="auto"/>
              <w:bottom w:val="single" w:sz="4" w:space="0" w:color="auto"/>
            </w:tcBorders>
            <w:shd w:val="clear" w:color="auto" w:fill="auto"/>
            <w:noWrap/>
          </w:tcPr>
          <w:p w14:paraId="2AE4843A" w14:textId="5CD0B61D"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 xml:space="preserve">Carroll (2015) </w:t>
            </w:r>
            <w:r w:rsidRPr="0091560A">
              <w:rPr>
                <w:rFonts w:eastAsia="Times New Roman" w:cs="Times New Roman"/>
                <w:bCs/>
                <w:color w:val="000000" w:themeColor="text1"/>
                <w:sz w:val="16"/>
                <w:szCs w:val="16"/>
                <w:lang w:eastAsia="en-AU"/>
              </w:rPr>
              <w:fldChar w:fldCharType="begin"/>
            </w:r>
            <w:r w:rsidR="006E08D8">
              <w:rPr>
                <w:rFonts w:eastAsia="Times New Roman" w:cs="Times New Roman"/>
                <w:bCs/>
                <w:color w:val="000000" w:themeColor="text1"/>
                <w:sz w:val="16"/>
                <w:szCs w:val="16"/>
                <w:lang w:eastAsia="en-AU"/>
              </w:rPr>
              <w:instrText xml:space="preserve"> ADDIN EN.CITE &lt;EndNote&gt;&lt;Cite&gt;&lt;Author&gt;Caroll&lt;/Author&gt;&lt;Year&gt;2015&lt;/Year&gt;&lt;RecNum&gt;861&lt;/RecNum&gt;&lt;DisplayText&gt;(Caroll et al., 2015)&lt;/DisplayText&gt;&lt;record&gt;&lt;rec-number&gt;861&lt;/rec-number&gt;&lt;foreign-keys&gt;&lt;key app="EN" db-id="90p22wx96ddedpe0r9pxtt9gzz05dd5ev299" timestamp="1657000537"&gt;861&lt;/key&gt;&lt;/foreign-keys&gt;&lt;ref-type name="Journal Article"&gt;17&lt;/ref-type&gt;&lt;contributors&gt;&lt;authors&gt;&lt;author&gt;Caroll, R.&lt;/author&gt;&lt;author&gt;Benger, J.&lt;/author&gt;&lt;author&gt;Bramley, K.&lt;/author&gt;&lt;author&gt;Williams, S.&lt;/author&gt;&lt;author&gt;Griffin, L.&lt;/author&gt;&lt;author&gt;Potokar, J.&lt;/author&gt;&lt;author&gt;Gunnell, D.&lt;/author&gt;&lt;/authors&gt;&lt;/contributors&gt;&lt;titles&gt;&lt;title&gt;Epidemiology, management and outcome of paracetamol poisoning in an inner city emergency department&lt;/title&gt;&lt;secondary-title&gt;Emergency Medicine Journal&lt;/secondary-title&gt;&lt;/titles&gt;&lt;pages&gt;155-160&lt;/pages&gt;&lt;volume&gt;32&lt;/volume&gt;&lt;number&gt;2&lt;/number&gt;&lt;dates&gt;&lt;year&gt;2015&lt;/year&gt;&lt;/dates&gt;&lt;urls&gt;&lt;related-urls&gt;&lt;url&gt;http://emj.bmj.com/content/32/2/155.full.pdf+htmlhttp://ovidsp.ovid.com/ovidweb.cgi?T=JS&amp;amp;PAGE=reference&amp;amp;D=emed16&amp;amp;NEWS=N&amp;amp;AN=52825596&lt;/url&gt;&lt;/related-urls&gt;&lt;/urls&gt;&lt;electronic-resource-num&gt;http://dx.doi.org/10.1136/emermed-2013-202518&lt;/electronic-resource-num&gt;&lt;/record&gt;&lt;/Cite&gt;&lt;/EndNote&gt;</w:instrText>
            </w:r>
            <w:r w:rsidRPr="0091560A">
              <w:rPr>
                <w:rFonts w:eastAsia="Times New Roman" w:cs="Times New Roman"/>
                <w:bCs/>
                <w:color w:val="000000" w:themeColor="text1"/>
                <w:sz w:val="16"/>
                <w:szCs w:val="16"/>
                <w:lang w:eastAsia="en-AU"/>
              </w:rPr>
              <w:fldChar w:fldCharType="separate"/>
            </w:r>
            <w:r w:rsidRPr="0091560A">
              <w:rPr>
                <w:rFonts w:eastAsia="Times New Roman" w:cs="Times New Roman"/>
                <w:bCs/>
                <w:noProof/>
                <w:color w:val="000000" w:themeColor="text1"/>
                <w:sz w:val="16"/>
                <w:szCs w:val="16"/>
                <w:lang w:eastAsia="en-AU"/>
              </w:rPr>
              <w:t>(Caroll et al., 2015)</w:t>
            </w:r>
            <w:r w:rsidRPr="0091560A">
              <w:rPr>
                <w:rFonts w:eastAsia="Times New Roman" w:cs="Times New Roman"/>
                <w:bCs/>
                <w:color w:val="000000" w:themeColor="text1"/>
                <w:sz w:val="16"/>
                <w:szCs w:val="16"/>
                <w:lang w:eastAsia="en-AU"/>
              </w:rPr>
              <w:fldChar w:fldCharType="end"/>
            </w:r>
          </w:p>
          <w:p w14:paraId="1BB17D57" w14:textId="77777777" w:rsidR="00574EB4" w:rsidRPr="0091560A" w:rsidRDefault="00574EB4">
            <w:pPr>
              <w:spacing w:after="0" w:line="240" w:lineRule="auto"/>
              <w:rPr>
                <w:rFonts w:eastAsia="Times New Roman" w:cs="Times New Roman"/>
                <w:color w:val="000000"/>
                <w:sz w:val="16"/>
                <w:szCs w:val="16"/>
                <w:lang w:eastAsia="en-AU"/>
              </w:rPr>
            </w:pPr>
          </w:p>
          <w:p w14:paraId="0322250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Bristol, UK</w:t>
            </w:r>
          </w:p>
        </w:tc>
        <w:tc>
          <w:tcPr>
            <w:tcW w:w="1232" w:type="dxa"/>
            <w:tcBorders>
              <w:top w:val="single" w:sz="4" w:space="0" w:color="auto"/>
              <w:bottom w:val="single" w:sz="4" w:space="0" w:color="auto"/>
            </w:tcBorders>
          </w:tcPr>
          <w:p w14:paraId="4FF3871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tcBorders>
              <w:top w:val="single" w:sz="4" w:space="0" w:color="auto"/>
              <w:bottom w:val="single" w:sz="4" w:space="0" w:color="auto"/>
            </w:tcBorders>
            <w:shd w:val="clear" w:color="auto" w:fill="auto"/>
            <w:noWrap/>
          </w:tcPr>
          <w:p w14:paraId="4C9329E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Paracetamol </w:t>
            </w:r>
          </w:p>
          <w:p w14:paraId="44BB162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(other self-poisoning drugs)</w:t>
            </w:r>
          </w:p>
        </w:tc>
        <w:tc>
          <w:tcPr>
            <w:tcW w:w="2409" w:type="dxa"/>
            <w:tcBorders>
              <w:top w:val="single" w:sz="4" w:space="0" w:color="auto"/>
              <w:bottom w:val="single" w:sz="4" w:space="0" w:color="auto"/>
            </w:tcBorders>
            <w:shd w:val="clear" w:color="auto" w:fill="auto"/>
            <w:noWrap/>
          </w:tcPr>
          <w:p w14:paraId="584E89F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16 and older who had taken an overdose of paracetamol or another drug</w:t>
            </w:r>
            <w:r w:rsidRPr="0091560A" w:rsidDel="00D2000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from May 2011to April 2012 recorded in the Bristol Self-harm Surveillance Register after presentation to the Bristol Royal Infirmary ED with self-harm</w:t>
            </w:r>
          </w:p>
        </w:tc>
        <w:tc>
          <w:tcPr>
            <w:tcW w:w="1279" w:type="dxa"/>
            <w:tcBorders>
              <w:top w:val="single" w:sz="4" w:space="0" w:color="auto"/>
              <w:bottom w:val="single" w:sz="4" w:space="0" w:color="auto"/>
            </w:tcBorders>
            <w:shd w:val="clear" w:color="auto" w:fill="auto"/>
            <w:noWrap/>
          </w:tcPr>
          <w:p w14:paraId="580FF63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851 cases (374 with paracetamol, 477 non-paracetamol)</w:t>
            </w:r>
          </w:p>
        </w:tc>
        <w:tc>
          <w:tcPr>
            <w:tcW w:w="1452" w:type="dxa"/>
            <w:tcBorders>
              <w:top w:val="single" w:sz="4" w:space="0" w:color="auto"/>
              <w:bottom w:val="single" w:sz="4" w:space="0" w:color="auto"/>
            </w:tcBorders>
            <w:shd w:val="clear" w:color="auto" w:fill="auto"/>
            <w:noWrap/>
          </w:tcPr>
          <w:p w14:paraId="77647C6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 overdose sample: Median = 29; IQR = 21-43</w:t>
            </w:r>
          </w:p>
          <w:p w14:paraId="650499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Non-paracetamol overdose sample: Median = 33; IQR = 24-36</w:t>
            </w:r>
          </w:p>
        </w:tc>
        <w:tc>
          <w:tcPr>
            <w:tcW w:w="1417" w:type="dxa"/>
            <w:tcBorders>
              <w:top w:val="single" w:sz="4" w:space="0" w:color="auto"/>
              <w:bottom w:val="single" w:sz="4" w:space="0" w:color="auto"/>
            </w:tcBorders>
            <w:shd w:val="clear" w:color="auto" w:fill="auto"/>
            <w:noWrap/>
          </w:tcPr>
          <w:p w14:paraId="7C811AD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100% </w:t>
            </w:r>
          </w:p>
        </w:tc>
        <w:tc>
          <w:tcPr>
            <w:tcW w:w="4630" w:type="dxa"/>
            <w:tcBorders>
              <w:top w:val="single" w:sz="4" w:space="0" w:color="auto"/>
              <w:bottom w:val="single" w:sz="4" w:space="0" w:color="auto"/>
            </w:tcBorders>
            <w:shd w:val="clear" w:color="auto" w:fill="auto"/>
          </w:tcPr>
          <w:p w14:paraId="7FEE858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61.8% paracetamol cases were female, and this gender ratio was not significantly different to that of non-paracetamol self-poisoning cases </w:t>
            </w:r>
          </w:p>
          <w:p w14:paraId="7C86C3A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Cases self-poisoning with paracetamol were significantly younger than other self-poisoning cases</w:t>
            </w:r>
          </w:p>
          <w:p w14:paraId="590C852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 xml:space="preserve">Self-harm history: </w:t>
            </w:r>
            <w:r w:rsidRPr="0091560A">
              <w:rPr>
                <w:rFonts w:eastAsia="Times New Roman" w:cs="Times New Roman"/>
                <w:color w:val="000000" w:themeColor="text1"/>
                <w:sz w:val="16"/>
                <w:szCs w:val="16"/>
                <w:lang w:eastAsia="en-AU"/>
              </w:rPr>
              <w:t>67.1% of paracetamol cases had a previous self-harm episode, and the proportion with a previous self-harm episode history was not significantly different to other self-poisoning cases</w:t>
            </w:r>
          </w:p>
          <w:p w14:paraId="505D1EE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Past psychiatric treatment:</w:t>
            </w:r>
            <w:r w:rsidRPr="0091560A">
              <w:rPr>
                <w:rFonts w:eastAsia="Times New Roman" w:cs="Times New Roman"/>
                <w:color w:val="000000" w:themeColor="text1"/>
                <w:sz w:val="16"/>
                <w:szCs w:val="16"/>
                <w:lang w:eastAsia="en-AU"/>
              </w:rPr>
              <w:t xml:space="preserve"> 37.1% of paracetamol cases had received psychiatric treatment in the past, and the proportion with past psychiatric treatment was not significantly different to other self-poisoning cases.</w:t>
            </w:r>
          </w:p>
          <w:p w14:paraId="1F76854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42.1% paracetamol cases reported alcohol misuse, and rate of alcohol misuse was not significantly different for other self-poisoning cases   </w:t>
            </w:r>
          </w:p>
        </w:tc>
      </w:tr>
      <w:tr w:rsidR="00574EB4" w:rsidRPr="0091560A" w14:paraId="5ABB2B3E" w14:textId="77777777" w:rsidTr="0035719A">
        <w:trPr>
          <w:trHeight w:val="688"/>
        </w:trPr>
        <w:tc>
          <w:tcPr>
            <w:tcW w:w="1456" w:type="dxa"/>
            <w:shd w:val="clear" w:color="auto" w:fill="auto"/>
            <w:noWrap/>
          </w:tcPr>
          <w:p w14:paraId="6FE26611" w14:textId="7FD8AEAC"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Casey (2020) </w:t>
            </w:r>
            <w:r w:rsidRPr="0091560A">
              <w:rPr>
                <w:rFonts w:eastAsia="Times New Roman" w:cs="Times New Roman"/>
                <w:color w:val="000000"/>
                <w:sz w:val="16"/>
                <w:szCs w:val="16"/>
                <w:lang w:eastAsia="en-AU"/>
              </w:rPr>
              <w:fldChar w:fldCharType="begin"/>
            </w:r>
            <w:r w:rsidR="006E08D8">
              <w:rPr>
                <w:rFonts w:eastAsia="Times New Roman" w:cs="Times New Roman"/>
                <w:color w:val="000000"/>
                <w:sz w:val="16"/>
                <w:szCs w:val="16"/>
                <w:lang w:eastAsia="en-AU"/>
              </w:rPr>
              <w:instrText xml:space="preserve"> ADDIN EN.CITE &lt;EndNote&gt;&lt;Cite&gt;&lt;Author&gt;Casey&lt;/Author&gt;&lt;Year&gt;2020&lt;/Year&gt;&lt;RecNum&gt;862&lt;/RecNum&gt;&lt;DisplayText&gt;(Casey et al., 2020)&lt;/DisplayText&gt;&lt;record&gt;&lt;rec-number&gt;862&lt;/rec-number&gt;&lt;foreign-keys&gt;&lt;key app="EN" db-id="90p22wx96ddedpe0r9pxtt9gzz05dd5ev299" timestamp="1657000537"&gt;862&lt;/key&gt;&lt;/foreign-keys&gt;&lt;ref-type name="Journal Article"&gt;17&lt;/ref-type&gt;&lt;contributors&gt;&lt;authors&gt;&lt;author&gt;Casey, D.&lt;/author&gt;&lt;author&gt;Geulayov, G.&lt;/author&gt;&lt;author&gt;Bale, E.&lt;/author&gt;&lt;author&gt;Brand, F.&lt;/author&gt;&lt;author&gt;Clements, C.&lt;/author&gt;&lt;author&gt;Kapur, N.&lt;/author&gt;&lt;author&gt;Ness, J.&lt;/author&gt;&lt;author&gt;Patel, A.&lt;/author&gt;&lt;author&gt;Waters, K.&lt;/author&gt;&lt;author&gt;Hawton, K.&lt;/author&gt;&lt;/authors&gt;&lt;/contributors&gt;&lt;titles&gt;&lt;title&gt;Paracetamol self-poisoning: Epidemiological study of trends and patient characteristics from the multicentre study of self-harm in England&lt;/title&gt;&lt;secondary-title&gt;Journal of Affective Disorders&lt;/secondary-title&gt;&lt;/titles&gt;&lt;pages&gt;699-706&lt;/pages&gt;&lt;volume&gt;276&lt;/volume&gt;&lt;dates&gt;&lt;year&gt;2020&lt;/year&gt;&lt;/dates&gt;&lt;urls&gt;&lt;related-urls&gt;&lt;url&gt;http://www.elsevier.com/locate/jadhttp://ovidsp.ovid.com/ovidweb.cgi?T=JS&amp;amp;PAGE=reference&amp;amp;D=emed21&amp;amp;NEWS=N&amp;amp;AN=2007229364&lt;/url&gt;&lt;/related-urls&gt;&lt;/urls&gt;&lt;electronic-resource-num&gt;http://dx.doi.org/10.1016/j.jad.2020.07.091&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(Casey et al., 2020)</w:t>
            </w:r>
            <w:r w:rsidRPr="0091560A">
              <w:rPr>
                <w:rFonts w:eastAsia="Times New Roman" w:cs="Times New Roman"/>
                <w:color w:val="000000"/>
                <w:sz w:val="16"/>
                <w:szCs w:val="16"/>
                <w:lang w:eastAsia="en-AU"/>
              </w:rPr>
              <w:fldChar w:fldCharType="end"/>
            </w:r>
          </w:p>
          <w:p w14:paraId="5B728698" w14:textId="77777777" w:rsidR="00574EB4" w:rsidRPr="0091560A" w:rsidRDefault="00574EB4">
            <w:pPr>
              <w:spacing w:after="0" w:line="240" w:lineRule="auto"/>
              <w:rPr>
                <w:rFonts w:eastAsia="Times New Roman" w:cs="Times New Roman"/>
                <w:color w:val="000000"/>
                <w:sz w:val="16"/>
                <w:szCs w:val="16"/>
                <w:lang w:eastAsia="en-AU"/>
              </w:rPr>
            </w:pPr>
          </w:p>
          <w:p w14:paraId="53A26F20" w14:textId="215CC63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England, UK</w:t>
            </w:r>
          </w:p>
        </w:tc>
        <w:tc>
          <w:tcPr>
            <w:tcW w:w="1232" w:type="dxa"/>
          </w:tcPr>
          <w:p w14:paraId="198E0CC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798CBBD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Pure paracetamol, excluding compounds</w:t>
            </w:r>
          </w:p>
        </w:tc>
        <w:tc>
          <w:tcPr>
            <w:tcW w:w="2409" w:type="dxa"/>
            <w:shd w:val="clear" w:color="auto" w:fill="auto"/>
            <w:noWrap/>
          </w:tcPr>
          <w:p w14:paraId="270F95AE" w14:textId="6E093E9D"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Data collected from Multicentre Study of Self-harm in England which included self-harm presentations to five E</w:t>
            </w:r>
            <w:r w:rsidR="00787E88" w:rsidRPr="0091560A">
              <w:rPr>
                <w:rFonts w:eastAsia="Times New Roman" w:cs="Times New Roman"/>
                <w:color w:val="000000" w:themeColor="text1"/>
                <w:sz w:val="16"/>
                <w:szCs w:val="16"/>
                <w:lang w:eastAsia="en-AU"/>
              </w:rPr>
              <w:t>d</w:t>
            </w:r>
            <w:r w:rsidRPr="0091560A">
              <w:rPr>
                <w:rFonts w:eastAsia="Times New Roman" w:cs="Times New Roman"/>
                <w:color w:val="000000" w:themeColor="text1"/>
                <w:sz w:val="16"/>
                <w:szCs w:val="16"/>
                <w:lang w:eastAsia="en-AU"/>
              </w:rPr>
              <w:t>s from 2004 to 2014</w:t>
            </w:r>
          </w:p>
        </w:tc>
        <w:tc>
          <w:tcPr>
            <w:tcW w:w="1279" w:type="dxa"/>
            <w:shd w:val="clear" w:color="auto" w:fill="auto"/>
            <w:noWrap/>
          </w:tcPr>
          <w:p w14:paraId="1BEDF4E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13,171 people (18,011 episodes) </w:t>
            </w:r>
          </w:p>
        </w:tc>
        <w:tc>
          <w:tcPr>
            <w:tcW w:w="1452" w:type="dxa"/>
            <w:shd w:val="clear" w:color="auto" w:fill="auto"/>
            <w:noWrap/>
          </w:tcPr>
          <w:p w14:paraId="12D805D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10-19 = 37.9%</w:t>
            </w:r>
          </w:p>
          <w:p w14:paraId="046532D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20-34 = 24.6%</w:t>
            </w:r>
          </w:p>
          <w:p w14:paraId="395B65B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35-54 = 16.6%</w:t>
            </w:r>
          </w:p>
          <w:p w14:paraId="025A565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55+ = 20.2% </w:t>
            </w:r>
          </w:p>
        </w:tc>
        <w:tc>
          <w:tcPr>
            <w:tcW w:w="1417" w:type="dxa"/>
            <w:shd w:val="clear" w:color="auto" w:fill="auto"/>
            <w:noWrap/>
          </w:tcPr>
          <w:p w14:paraId="5EAEB27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6F01C39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Sex: </w:t>
            </w:r>
            <w:r w:rsidRPr="0091560A">
              <w:rPr>
                <w:rFonts w:eastAsia="Times New Roman" w:cs="Times New Roman"/>
                <w:color w:val="000000" w:themeColor="text1"/>
                <w:sz w:val="16"/>
                <w:szCs w:val="16"/>
                <w:lang w:eastAsia="en-AU"/>
              </w:rPr>
              <w:t>Rates of self-poisoning were higher in females as compared to males</w:t>
            </w:r>
          </w:p>
          <w:p w14:paraId="31BA785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Cases aged 10-19 years significantly more likely to have used pure paracetamol in self-poisoning compared to other age groups</w:t>
            </w:r>
            <w:r w:rsidRPr="0091560A">
              <w:rPr>
                <w:rFonts w:cs="Times New Roman"/>
              </w:rPr>
              <w:br/>
            </w:r>
            <w:r w:rsidRPr="0091560A">
              <w:rPr>
                <w:rFonts w:eastAsia="Times New Roman" w:cs="Times New Roman"/>
                <w:b/>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53.7% cases also consumed alcohol (higher in males)</w:t>
            </w:r>
          </w:p>
          <w:p w14:paraId="59A66EE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Self-harm history: </w:t>
            </w:r>
            <w:r w:rsidRPr="0091560A">
              <w:rPr>
                <w:rFonts w:eastAsia="Times New Roman" w:cs="Times New Roman"/>
                <w:color w:val="000000"/>
                <w:sz w:val="16"/>
                <w:szCs w:val="16"/>
                <w:lang w:eastAsia="en-AU"/>
              </w:rPr>
              <w:t>59.7% had self-harmed in the past</w:t>
            </w:r>
          </w:p>
          <w:p w14:paraId="60F9659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Current psychiatric treatment:</w:t>
            </w:r>
            <w:r w:rsidRPr="0091560A">
              <w:rPr>
                <w:rFonts w:eastAsia="Times New Roman" w:cs="Times New Roman"/>
                <w:color w:val="000000" w:themeColor="text1"/>
                <w:sz w:val="16"/>
                <w:szCs w:val="16"/>
                <w:lang w:eastAsia="en-AU"/>
              </w:rPr>
              <w:t xml:space="preserve"> 38.7% cases receiving current treatment </w:t>
            </w:r>
            <w:r w:rsidRPr="0091560A">
              <w:rPr>
                <w:rFonts w:eastAsia="Times New Roman" w:cs="Times New Roman"/>
                <w:b/>
                <w:color w:val="000000" w:themeColor="text1"/>
                <w:sz w:val="16"/>
                <w:szCs w:val="16"/>
                <w:lang w:eastAsia="en-AU"/>
              </w:rPr>
              <w:t>Past psychiatric treatment:</w:t>
            </w:r>
            <w:r w:rsidRPr="0091560A">
              <w:rPr>
                <w:rFonts w:eastAsia="Times New Roman" w:cs="Times New Roman"/>
                <w:color w:val="000000" w:themeColor="text1"/>
                <w:sz w:val="16"/>
                <w:szCs w:val="16"/>
                <w:lang w:eastAsia="en-AU"/>
              </w:rPr>
              <w:t xml:space="preserve"> 49.4% cases received psychiatric care in past </w:t>
            </w:r>
            <w:r w:rsidRPr="0091560A">
              <w:rPr>
                <w:rFonts w:cs="Times New Roman"/>
              </w:rPr>
              <w:br/>
            </w:r>
            <w:r w:rsidRPr="0091560A">
              <w:rPr>
                <w:rFonts w:eastAsia="Times New Roman" w:cs="Times New Roman"/>
                <w:b/>
                <w:color w:val="000000" w:themeColor="text1"/>
                <w:sz w:val="16"/>
                <w:szCs w:val="16"/>
                <w:lang w:eastAsia="en-AU"/>
              </w:rPr>
              <w:t xml:space="preserve">Dosage: </w:t>
            </w:r>
            <w:r w:rsidRPr="0091560A">
              <w:rPr>
                <w:rFonts w:eastAsia="Times New Roman" w:cs="Times New Roman"/>
                <w:color w:val="000000" w:themeColor="text1"/>
                <w:sz w:val="16"/>
                <w:szCs w:val="16"/>
                <w:lang w:eastAsia="en-AU"/>
              </w:rPr>
              <w:t>Mean</w:t>
            </w:r>
            <w:r w:rsidRPr="0091560A">
              <w:rPr>
                <w:rFonts w:eastAsia="Times New Roman" w:cs="Times New Roman"/>
                <w:b/>
                <w:color w:val="000000" w:themeColor="text1"/>
                <w:sz w:val="16"/>
                <w:szCs w:val="16"/>
                <w:lang w:eastAsia="en-AU"/>
              </w:rPr>
              <w:t xml:space="preserve"> = </w:t>
            </w:r>
            <w:r w:rsidRPr="0091560A">
              <w:rPr>
                <w:rFonts w:eastAsia="Times New Roman" w:cs="Times New Roman"/>
                <w:color w:val="000000" w:themeColor="text1"/>
                <w:sz w:val="16"/>
                <w:szCs w:val="16"/>
                <w:lang w:eastAsia="en-AU"/>
              </w:rPr>
              <w:t xml:space="preserve">24.5 tablets, Median = 18 tablets, Maximum = 400. 24.2% of cases consumed &gt;2 packs, and 40.2% used equivalent of up to 1 pack (16 tablets). 26.3% took an exact multiple of 16 tablets (i.e., consumed by the pack). Males took larger doses than females. Proportion of people taking more than 2 packets increased with age group </w:t>
            </w:r>
          </w:p>
        </w:tc>
      </w:tr>
      <w:tr w:rsidR="00574EB4" w:rsidRPr="0091560A" w14:paraId="2A771357" w14:textId="77777777" w:rsidTr="0035719A">
        <w:trPr>
          <w:trHeight w:val="944"/>
        </w:trPr>
        <w:tc>
          <w:tcPr>
            <w:tcW w:w="1456" w:type="dxa"/>
            <w:shd w:val="clear" w:color="auto" w:fill="auto"/>
            <w:noWrap/>
          </w:tcPr>
          <w:p w14:paraId="5976DE1C" w14:textId="3B732B3F"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Cowman (2017)</w:t>
            </w:r>
            <w:r w:rsidRPr="0091560A">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&lt;EndNote&gt;&lt;Cite&gt;&lt;Author&gt;Cowman&lt;/Author&gt;&lt;Year&gt;2017&lt;/Year&gt;&lt;RecNum&gt;865&lt;/RecNum&gt;&lt;DisplayText&gt;(Cowman &amp;amp; Bakheet, 2017)&lt;/DisplayText&gt;&lt;record&gt;&lt;rec-number&gt;865&lt;/rec-number&gt;&lt;foreign-keys&gt;&lt;key app="EN" db-id="90p22wx96ddedpe0r9pxtt9gzz05dd5ev299" timestamp="1657000537"&gt;865&lt;/key&gt;&lt;/foreign-keys&gt;&lt;ref-type name="Journal Article"&gt;17&lt;/ref-type&gt;&lt;contributors&gt;&lt;authors&gt;&lt;author&gt;Cowman, James G.&lt;/author&gt;&lt;author&gt;Bakheet, Manuel&lt;/author&gt;&lt;/authors&gt;&lt;/contributors&gt;&lt;titles&gt;&lt;title&gt;Student-selected component in the medical curriculum: investigations and psychiatric referral for paracetamol overdose in an accident and emergency department&lt;/title&gt;&lt;secondary-title&gt;Advances in medical education and practice&lt;/secondary-title&gt;&lt;/titles&gt;&lt;pages&gt;611-617&lt;/pages&gt;&lt;volume&gt;8&lt;/volume&gt;&lt;dates&gt;&lt;year&gt;2017&lt;/year&gt;&lt;/dates&gt;&lt;urls&gt;&lt;related-urls&gt;&lt;url&gt;http://ovidsp.ovid.com/ovidweb.cgi?T=JS&amp;amp;PAGE=reference&amp;amp;D=pmnm4&amp;amp;NEWS=N&amp;amp;AN=28883749&lt;/url&gt;&lt;/related-urls&gt;&lt;/urls&gt;&lt;electronic-resource-num&gt;https://dx.doi.org/10.2147/AMEP.S143399&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(Cowman &amp; Bakheet, 2017)</w:t>
            </w:r>
            <w:r w:rsidRPr="0091560A">
              <w:rPr>
                <w:rFonts w:eastAsia="Times New Roman" w:cs="Times New Roman"/>
                <w:color w:val="000000" w:themeColor="text1"/>
                <w:sz w:val="16"/>
                <w:szCs w:val="16"/>
                <w:lang w:eastAsia="en-AU"/>
              </w:rPr>
              <w:fldChar w:fldCharType="end"/>
            </w:r>
          </w:p>
          <w:p w14:paraId="4033CA4A"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UK</w:t>
            </w:r>
          </w:p>
        </w:tc>
        <w:tc>
          <w:tcPr>
            <w:tcW w:w="1232" w:type="dxa"/>
          </w:tcPr>
          <w:p w14:paraId="1DE444D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p w14:paraId="59328CCE"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1429" w:type="dxa"/>
            <w:shd w:val="clear" w:color="auto" w:fill="auto"/>
            <w:noWrap/>
          </w:tcPr>
          <w:p w14:paraId="03508F5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tc>
        <w:tc>
          <w:tcPr>
            <w:tcW w:w="2409" w:type="dxa"/>
            <w:shd w:val="clear" w:color="auto" w:fill="auto"/>
            <w:noWrap/>
          </w:tcPr>
          <w:p w14:paraId="44986BB4"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Sequential patients presenting to Accident and Emergency at a British hospital from March 2015 to July 2015 with a final diagnosis of paracetamol overdose</w:t>
            </w:r>
          </w:p>
        </w:tc>
        <w:tc>
          <w:tcPr>
            <w:tcW w:w="1279" w:type="dxa"/>
            <w:shd w:val="clear" w:color="auto" w:fill="auto"/>
            <w:noWrap/>
          </w:tcPr>
          <w:p w14:paraId="2668A37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34</w:t>
            </w:r>
          </w:p>
        </w:tc>
        <w:tc>
          <w:tcPr>
            <w:tcW w:w="1452" w:type="dxa"/>
            <w:shd w:val="clear" w:color="auto" w:fill="auto"/>
            <w:noWrap/>
          </w:tcPr>
          <w:p w14:paraId="17542397"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M = 27; range = 1-65 </w:t>
            </w:r>
          </w:p>
        </w:tc>
        <w:tc>
          <w:tcPr>
            <w:tcW w:w="1417" w:type="dxa"/>
            <w:shd w:val="clear" w:color="auto" w:fill="auto"/>
            <w:noWrap/>
          </w:tcPr>
          <w:p w14:paraId="11E6080A"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85%</w:t>
            </w:r>
          </w:p>
        </w:tc>
        <w:tc>
          <w:tcPr>
            <w:tcW w:w="4630" w:type="dxa"/>
            <w:shd w:val="clear" w:color="auto" w:fill="auto"/>
          </w:tcPr>
          <w:p w14:paraId="40CF133E" w14:textId="77777777" w:rsidR="00574EB4" w:rsidRPr="0091560A" w:rsidRDefault="00574EB4">
            <w:pPr>
              <w:spacing w:after="0" w:line="240" w:lineRule="auto"/>
              <w:contextualSpacing/>
              <w:rPr>
                <w:rFonts w:eastAsia="Times New Roman" w:cs="Times New Roman"/>
                <w:sz w:val="16"/>
                <w:szCs w:val="16"/>
              </w:rPr>
            </w:pPr>
            <w:r w:rsidRPr="0091560A">
              <w:rPr>
                <w:rFonts w:eastAsia="Times New Roman" w:cs="Times New Roman"/>
                <w:b/>
                <w:bCs/>
                <w:color w:val="000000" w:themeColor="text1"/>
                <w:sz w:val="16"/>
                <w:szCs w:val="16"/>
                <w:lang w:eastAsia="en-AU"/>
              </w:rPr>
              <w:t xml:space="preserve">Self-harm history: </w:t>
            </w:r>
            <w:r w:rsidRPr="0091560A">
              <w:rPr>
                <w:rFonts w:eastAsia="Times New Roman" w:cs="Times New Roman"/>
                <w:sz w:val="16"/>
                <w:szCs w:val="16"/>
              </w:rPr>
              <w:t>38% of intentional self-poisoning patients had a history of previous overdoses</w:t>
            </w:r>
          </w:p>
          <w:p w14:paraId="6322006C" w14:textId="77777777" w:rsidR="00574EB4" w:rsidRPr="0091560A" w:rsidRDefault="00574EB4">
            <w:pPr>
              <w:spacing w:after="0" w:line="240" w:lineRule="auto"/>
              <w:contextualSpacing/>
              <w:rPr>
                <w:rFonts w:eastAsia="Times New Roman" w:cs="Times New Roman"/>
                <w:sz w:val="16"/>
                <w:szCs w:val="16"/>
              </w:rPr>
            </w:pPr>
            <w:r w:rsidRPr="0091560A">
              <w:rPr>
                <w:rFonts w:eastAsia="Times New Roman" w:cs="Times New Roman"/>
                <w:b/>
                <w:bCs/>
                <w:color w:val="000000" w:themeColor="text1"/>
                <w:sz w:val="16"/>
                <w:szCs w:val="16"/>
                <w:lang w:eastAsia="en-AU"/>
              </w:rPr>
              <w:t xml:space="preserve">Previous psychiatric history: </w:t>
            </w:r>
            <w:r w:rsidRPr="0091560A">
              <w:rPr>
                <w:rFonts w:eastAsia="Times New Roman" w:cs="Times New Roman"/>
                <w:sz w:val="16"/>
                <w:szCs w:val="16"/>
              </w:rPr>
              <w:t>76% of intentional self-poisoning patients had a previous history of psychiatric illness, such as depression, unstable personality disorders, and anorexia nervosa</w:t>
            </w:r>
          </w:p>
        </w:tc>
      </w:tr>
      <w:tr w:rsidR="00574EB4" w:rsidRPr="0091560A" w14:paraId="607D0320" w14:textId="77777777" w:rsidTr="0035719A">
        <w:trPr>
          <w:trHeight w:val="688"/>
        </w:trPr>
        <w:tc>
          <w:tcPr>
            <w:tcW w:w="1456" w:type="dxa"/>
            <w:shd w:val="clear" w:color="auto" w:fill="auto"/>
            <w:noWrap/>
          </w:tcPr>
          <w:p w14:paraId="352DBDDC" w14:textId="1A734E0F" w:rsidR="00574EB4" w:rsidRPr="0091560A" w:rsidRDefault="00574EB4">
            <w:pPr>
              <w:spacing w:after="0" w:line="240" w:lineRule="auto"/>
              <w:rPr>
                <w:rFonts w:eastAsia="Times New Roman" w:cs="Times New Roman"/>
                <w:b/>
                <w:color w:val="000000"/>
                <w:sz w:val="16"/>
                <w:szCs w:val="16"/>
                <w:lang w:eastAsia="en-AU"/>
              </w:rPr>
            </w:pPr>
            <w:r w:rsidRPr="0091560A">
              <w:rPr>
                <w:rFonts w:eastAsia="Times New Roman" w:cs="Times New Roman"/>
                <w:b/>
                <w:color w:val="000000"/>
                <w:sz w:val="16"/>
                <w:szCs w:val="16"/>
                <w:lang w:eastAsia="en-AU"/>
              </w:rPr>
              <w:t xml:space="preserve">Craig (2011) </w:t>
            </w:r>
            <w:r w:rsidRPr="0091560A">
              <w:rPr>
                <w:rFonts w:eastAsia="Times New Roman" w:cs="Times New Roman"/>
                <w:bCs/>
                <w:color w:val="000000"/>
                <w:sz w:val="16"/>
                <w:szCs w:val="16"/>
                <w:lang w:eastAsia="en-AU"/>
              </w:rPr>
              <w:fldChar w:fldCharType="begin"/>
            </w:r>
            <w:r w:rsidR="00D709C3" w:rsidRPr="0091560A">
              <w:rPr>
                <w:rFonts w:eastAsia="Times New Roman" w:cs="Times New Roman"/>
                <w:bCs/>
                <w:color w:val="000000"/>
                <w:sz w:val="16"/>
                <w:szCs w:val="16"/>
                <w:lang w:eastAsia="en-AU"/>
              </w:rPr>
              <w:instrText xml:space="preserve"> ADDIN EN.CITE &lt;EndNote&gt;&lt;Cite&gt;&lt;Author&gt;Craig&lt;/Author&gt;&lt;Year&gt;2011&lt;/Year&gt;&lt;RecNum&gt;866&lt;/RecNum&gt;&lt;DisplayText&gt;(Craig et al., 2011)&lt;/DisplayText&gt;&lt;record&gt;&lt;rec-number&gt;866&lt;/rec-number&gt;&lt;foreign-keys&gt;&lt;key app="EN" db-id="90p22wx96ddedpe0r9pxtt9gzz05dd5ev299" timestamp="1657000537"&gt;866&lt;/key&gt;&lt;/foreign-keys&gt;&lt;ref-type name="Journal Article"&gt;17&lt;/ref-type&gt;&lt;contributors&gt;&lt;authors&gt;&lt;author&gt;Craig, D. G. N.&lt;/author&gt;&lt;author&gt;Bates, C. M.&lt;/author&gt;&lt;author&gt;Davidson, J. S.&lt;/author&gt;&lt;author&gt;Martin, K. G.&lt;/author&gt;&lt;author&gt;Hayes, P. C.&lt;/author&gt;&lt;author&gt;Simpson, K. J.&lt;/author&gt;&lt;/authors&gt;&lt;/contributors&gt;&lt;titles&gt;&lt;title&gt;Overdose pattern and outcome in paracetamol-induced acute severe hepatotoxicity&lt;/title&gt;&lt;secondary-title&gt;British Journal of Clinical Pharmacology&lt;/secondary-title&gt;&lt;/titles&gt;&lt;pages&gt;273-282&lt;/pages&gt;&lt;volume&gt;71&lt;/volume&gt;&lt;number&gt;2&lt;/number&gt;&lt;dates&gt;&lt;year&gt;2011&lt;/year&gt;&lt;/dates&gt;&lt;urls&gt;&lt;related-urls&gt;&lt;url&gt;http://ovidsp.ovid.com/ovidweb.cgi?T=JS&amp;amp;PAGE=reference&amp;amp;D=emed12&amp;amp;NEWS=N&amp;amp;AN=361061369&lt;/url&gt;&lt;/related-urls&gt;&lt;/urls&gt;&lt;electronic-resource-num&gt;http://dx.doi.org/10.1111/j.1365-2125.2010.03819.x&lt;/electronic-resource-num&gt;&lt;/record&gt;&lt;/Cite&gt;&lt;/EndNote&gt;</w:instrText>
            </w:r>
            <w:r w:rsidRPr="0091560A">
              <w:rPr>
                <w:rFonts w:eastAsia="Times New Roman" w:cs="Times New Roman"/>
                <w:bCs/>
                <w:color w:val="000000"/>
                <w:sz w:val="16"/>
                <w:szCs w:val="16"/>
                <w:lang w:eastAsia="en-AU"/>
              </w:rPr>
              <w:fldChar w:fldCharType="separate"/>
            </w:r>
            <w:r w:rsidRPr="0091560A">
              <w:rPr>
                <w:rFonts w:eastAsia="Times New Roman" w:cs="Times New Roman"/>
                <w:bCs/>
                <w:noProof/>
                <w:color w:val="000000"/>
                <w:sz w:val="16"/>
                <w:szCs w:val="16"/>
                <w:lang w:eastAsia="en-AU"/>
              </w:rPr>
              <w:t>(Craig et al., 2011)</w:t>
            </w:r>
            <w:r w:rsidRPr="0091560A">
              <w:rPr>
                <w:rFonts w:eastAsia="Times New Roman" w:cs="Times New Roman"/>
                <w:bCs/>
                <w:color w:val="000000"/>
                <w:sz w:val="16"/>
                <w:szCs w:val="16"/>
                <w:lang w:eastAsia="en-AU"/>
              </w:rPr>
              <w:fldChar w:fldCharType="end"/>
            </w:r>
          </w:p>
          <w:p w14:paraId="36D95ED0" w14:textId="77777777" w:rsidR="00574EB4" w:rsidRPr="0091560A" w:rsidRDefault="00574EB4">
            <w:pPr>
              <w:spacing w:after="0" w:line="240" w:lineRule="auto"/>
              <w:rPr>
                <w:rFonts w:eastAsia="Times New Roman" w:cs="Times New Roman"/>
                <w:color w:val="000000"/>
                <w:sz w:val="16"/>
                <w:szCs w:val="16"/>
                <w:lang w:eastAsia="en-AU"/>
              </w:rPr>
            </w:pPr>
          </w:p>
          <w:p w14:paraId="4C172CC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UK</w:t>
            </w:r>
          </w:p>
        </w:tc>
        <w:tc>
          <w:tcPr>
            <w:tcW w:w="1232" w:type="dxa"/>
          </w:tcPr>
          <w:p w14:paraId="301C9DC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54DD1DC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41CC304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admitted to the Scottish Liver Transplant Unit from November 1, 1992, to October 31, 2008, with suspected severe acute liver injury due to paracetamol overdose</w:t>
            </w:r>
          </w:p>
        </w:tc>
        <w:tc>
          <w:tcPr>
            <w:tcW w:w="1279" w:type="dxa"/>
            <w:shd w:val="clear" w:color="auto" w:fill="auto"/>
            <w:noWrap/>
          </w:tcPr>
          <w:p w14:paraId="5164536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938</w:t>
            </w:r>
          </w:p>
        </w:tc>
        <w:tc>
          <w:tcPr>
            <w:tcW w:w="1452" w:type="dxa"/>
            <w:shd w:val="clear" w:color="auto" w:fill="auto"/>
            <w:noWrap/>
          </w:tcPr>
          <w:p w14:paraId="10E17BA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Intentional: Median = 33; IQR = 24-43 </w:t>
            </w:r>
          </w:p>
          <w:p w14:paraId="3552781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Unintentional: Median = 40; IQR = 30-48</w:t>
            </w:r>
          </w:p>
        </w:tc>
        <w:tc>
          <w:tcPr>
            <w:tcW w:w="1417" w:type="dxa"/>
            <w:shd w:val="clear" w:color="auto" w:fill="auto"/>
            <w:noWrap/>
          </w:tcPr>
          <w:p w14:paraId="37D5AE7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75.4%</w:t>
            </w:r>
          </w:p>
        </w:tc>
        <w:tc>
          <w:tcPr>
            <w:tcW w:w="4630" w:type="dxa"/>
            <w:shd w:val="clear" w:color="auto" w:fill="auto"/>
          </w:tcPr>
          <w:p w14:paraId="1B93209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sz w:val="16"/>
                <w:szCs w:val="16"/>
                <w:lang w:eastAsia="en-AU"/>
              </w:rPr>
              <w:t>Sex:</w:t>
            </w:r>
            <w:r w:rsidRPr="0091560A">
              <w:rPr>
                <w:rFonts w:eastAsia="Times New Roman" w:cs="Times New Roman"/>
                <w:color w:val="000000"/>
                <w:sz w:val="16"/>
                <w:szCs w:val="16"/>
                <w:lang w:eastAsia="en-AU"/>
              </w:rPr>
              <w:t xml:space="preserve"> 50.4% of intentional self-poisoning cases were female, and this gender ratio was not significantly different from unintentional cases</w:t>
            </w:r>
          </w:p>
          <w:p w14:paraId="76550E8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Intentional self-poisoning cases were younger than unintentional poisoning cases </w:t>
            </w:r>
          </w:p>
          <w:p w14:paraId="381B1F3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sz w:val="16"/>
                <w:szCs w:val="16"/>
                <w:lang w:eastAsia="en-AU"/>
              </w:rPr>
              <w:t>Dosage:</w:t>
            </w:r>
            <w:r w:rsidRPr="0091560A">
              <w:rPr>
                <w:rFonts w:eastAsia="Times New Roman" w:cs="Times New Roman"/>
                <w:color w:val="000000"/>
                <w:sz w:val="16"/>
                <w:szCs w:val="16"/>
                <w:lang w:eastAsia="en-AU"/>
              </w:rPr>
              <w:t xml:space="preserve"> Median dose was higher for intentional self-poisoning cases (27.5g, IQR = 20-45) compared to unintentional self-poisoning cases (11.0g, IQR = 5-29). </w:t>
            </w:r>
          </w:p>
          <w:p w14:paraId="0388860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Co-ingestion substances:</w:t>
            </w:r>
            <w:r w:rsidRPr="0091560A">
              <w:rPr>
                <w:rFonts w:eastAsia="Times New Roman" w:cs="Times New Roman"/>
                <w:color w:val="000000" w:themeColor="text1"/>
                <w:sz w:val="16"/>
                <w:szCs w:val="16"/>
                <w:lang w:eastAsia="en-AU"/>
              </w:rPr>
              <w:t xml:space="preserve"> 48.1% paracetamol only, 24.7% compound narcotic/paracetamol use; 27.2% mixed overdose</w:t>
            </w:r>
          </w:p>
          <w:p w14:paraId="278A6B4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42.7% co-ingested alcohol; 20.8% experienced alcohol abuse. Rate of alcohol co-ingestion and alcohol abuse were both lower for intentional compared to unintentional cases. </w:t>
            </w:r>
          </w:p>
          <w:p w14:paraId="04412C4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Staggered overdose:</w:t>
            </w:r>
            <w:r w:rsidRPr="0091560A">
              <w:rPr>
                <w:rFonts w:eastAsia="Times New Roman" w:cs="Times New Roman"/>
                <w:color w:val="000000" w:themeColor="text1"/>
                <w:sz w:val="16"/>
                <w:szCs w:val="16"/>
                <w:lang w:eastAsia="en-AU"/>
              </w:rPr>
              <w:t xml:space="preserve"> Prevalence of staggered overdose was significantly lower for intentional self-poisoning (10.6%) than unintentional self-poisoning (90.8%).  </w:t>
            </w:r>
          </w:p>
          <w:p w14:paraId="534C51D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Previous psychiatric history</w:t>
            </w:r>
            <w:r w:rsidRPr="0091560A">
              <w:rPr>
                <w:rFonts w:eastAsia="Times New Roman" w:cs="Times New Roman"/>
                <w:color w:val="000000" w:themeColor="text1"/>
                <w:sz w:val="16"/>
                <w:szCs w:val="16"/>
                <w:lang w:eastAsia="en-AU"/>
              </w:rPr>
              <w:t>: Prevalence of previous psychiatric history was higher for intentional self-poisoning (46.2%) than unintentional self-poisoning</w:t>
            </w:r>
          </w:p>
          <w:p w14:paraId="31ECB232" w14:textId="77777777" w:rsidR="00574EB4" w:rsidRPr="0091560A" w:rsidRDefault="00574EB4">
            <w:pPr>
              <w:spacing w:after="0" w:line="240" w:lineRule="auto"/>
              <w:rPr>
                <w:rFonts w:eastAsia="Times New Roman" w:cs="Times New Roman"/>
                <w:b/>
                <w:color w:val="000000"/>
                <w:sz w:val="16"/>
                <w:szCs w:val="16"/>
                <w:lang w:eastAsia="en-AU"/>
              </w:rPr>
            </w:pPr>
            <w:r w:rsidRPr="0091560A">
              <w:rPr>
                <w:rFonts w:eastAsia="Times New Roman" w:cs="Times New Roman"/>
                <w:b/>
                <w:color w:val="000000" w:themeColor="text1"/>
                <w:sz w:val="16"/>
                <w:szCs w:val="16"/>
                <w:lang w:eastAsia="en-AU"/>
              </w:rPr>
              <w:t xml:space="preserve">Active illicit drug use: </w:t>
            </w:r>
            <w:r w:rsidRPr="0091560A">
              <w:rPr>
                <w:rFonts w:eastAsia="Times New Roman" w:cs="Times New Roman"/>
                <w:color w:val="000000" w:themeColor="text1"/>
                <w:sz w:val="16"/>
                <w:szCs w:val="16"/>
                <w:lang w:eastAsia="en-AU"/>
              </w:rPr>
              <w:t xml:space="preserve">16.7% of intentional self-poisoning cases had active drug use, and this was not significantly different for unintentional cases </w:t>
            </w:r>
          </w:p>
        </w:tc>
      </w:tr>
      <w:tr w:rsidR="00574EB4" w:rsidRPr="0091560A" w14:paraId="33A4CEB3" w14:textId="77777777" w:rsidTr="0035719A">
        <w:trPr>
          <w:trHeight w:val="688"/>
        </w:trPr>
        <w:tc>
          <w:tcPr>
            <w:tcW w:w="1456" w:type="dxa"/>
            <w:shd w:val="clear" w:color="auto" w:fill="auto"/>
            <w:noWrap/>
          </w:tcPr>
          <w:p w14:paraId="36EDD019" w14:textId="28ACB518"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Daly (2021) </w:t>
            </w:r>
            <w:r w:rsidRPr="0091560A">
              <w:rPr>
                <w:rFonts w:eastAsia="Times New Roman" w:cs="Times New Roman"/>
                <w:color w:val="000000"/>
                <w:sz w:val="16"/>
                <w:szCs w:val="16"/>
                <w:lang w:eastAsia="en-AU"/>
              </w:rPr>
              <w:fldChar w:fldCharType="begin"/>
            </w:r>
            <w:r w:rsidR="006E08D8">
              <w:rPr>
                <w:rFonts w:eastAsia="Times New Roman" w:cs="Times New Roman"/>
                <w:color w:val="000000"/>
                <w:sz w:val="16"/>
                <w:szCs w:val="16"/>
                <w:lang w:eastAsia="en-AU"/>
              </w:rPr>
              <w:instrText xml:space="preserve"> ADDIN EN.CITE &lt;EndNote&gt;&lt;Cite&gt;&lt;Author&gt;Daly&lt;/Author&gt;&lt;Year&gt;2021&lt;/Year&gt;&lt;RecNum&gt;868&lt;/RecNum&gt;&lt;DisplayText&gt;(Daly et al., 2021a)&lt;/DisplayText&gt;&lt;record&gt;&lt;rec-number&gt;868&lt;/rec-number&gt;&lt;foreign-keys&gt;&lt;key app="EN" db-id="90p22wx96ddedpe0r9pxtt9gzz05dd5ev299" timestamp="1657000537"&gt;868&lt;/key&gt;&lt;/foreign-keys&gt;&lt;ref-type name="Journal Article"&gt;17&lt;/ref-type&gt;&lt;contributors&gt;&lt;authors&gt;&lt;author&gt;Daly, C.&lt;/author&gt;&lt;author&gt;Griffin, E.&lt;/author&gt;&lt;author&gt;McMahon, E.&lt;/author&gt;&lt;author&gt;Corcoran, P.&lt;/author&gt;&lt;author&gt;Webb, R. T.&lt;/author&gt;&lt;author&gt;Ashcroft, D. M.&lt;/author&gt;&lt;author&gt;Arensman, E.&lt;/author&gt;&lt;/authors&gt;&lt;/contributors&gt;&lt;titles&gt;&lt;title&gt;Paracetamol-related intentional drug overdose among young people: a national registry study of characteristics, incidence and trends, 2007-2018&lt;/title&gt;&lt;secondary-title&gt;Social psychiatry and psychiatric epidemiology&lt;/secondary-title&gt;&lt;/titles&gt;&lt;pages&gt;773-781&lt;/pages&gt;&lt;volume&gt;56&lt;/volume&gt;&lt;number&gt;5&lt;/number&gt;&lt;dates&gt;&lt;year&gt;2021&lt;/year&gt;&lt;/dates&gt;&lt;urls&gt;&lt;related-urls&gt;&lt;url&gt;http://ovidsp.ovid.com/ovidweb.cgi?T=JS&amp;amp;PAGE=reference&amp;amp;D=emed22&amp;amp;NEWS=N&amp;amp;AN=633342926&lt;/url&gt;&lt;/related-urls&gt;&lt;/urls&gt;&lt;electronic-resource-num&gt;http://dx.doi.org/10.1007/s00127-020-01981-y&lt;/electronic-resource-num&gt;&lt;/record&gt;&lt;/Cite&gt;&lt;/EndNote&gt;</w:instrText>
            </w:r>
            <w:r w:rsidRPr="0091560A">
              <w:rPr>
                <w:rFonts w:eastAsia="Times New Roman" w:cs="Times New Roman"/>
                <w:color w:val="000000"/>
                <w:sz w:val="16"/>
                <w:szCs w:val="16"/>
                <w:lang w:eastAsia="en-AU"/>
              </w:rPr>
              <w:fldChar w:fldCharType="separate"/>
            </w:r>
            <w:r w:rsidR="00B567D3">
              <w:rPr>
                <w:rFonts w:eastAsia="Times New Roman" w:cs="Times New Roman"/>
                <w:noProof/>
                <w:color w:val="000000"/>
                <w:sz w:val="16"/>
                <w:szCs w:val="16"/>
                <w:lang w:eastAsia="en-AU"/>
              </w:rPr>
              <w:t>(Daly et al., 2021a)</w:t>
            </w:r>
            <w:r w:rsidRPr="0091560A">
              <w:rPr>
                <w:rFonts w:eastAsia="Times New Roman" w:cs="Times New Roman"/>
                <w:color w:val="000000"/>
                <w:sz w:val="16"/>
                <w:szCs w:val="16"/>
                <w:lang w:eastAsia="en-AU"/>
              </w:rPr>
              <w:fldChar w:fldCharType="end"/>
            </w:r>
          </w:p>
          <w:p w14:paraId="5C551104" w14:textId="77777777" w:rsidR="00574EB4" w:rsidRPr="0091560A" w:rsidRDefault="00574EB4">
            <w:pPr>
              <w:spacing w:after="0" w:line="240" w:lineRule="auto"/>
              <w:rPr>
                <w:rFonts w:eastAsia="Times New Roman" w:cs="Times New Roman"/>
                <w:color w:val="000000"/>
                <w:sz w:val="16"/>
                <w:szCs w:val="16"/>
                <w:lang w:eastAsia="en-AU"/>
              </w:rPr>
            </w:pPr>
          </w:p>
          <w:p w14:paraId="467AC0A9" w14:textId="63907E91"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Ireland</w:t>
            </w:r>
          </w:p>
        </w:tc>
        <w:tc>
          <w:tcPr>
            <w:tcW w:w="1232" w:type="dxa"/>
          </w:tcPr>
          <w:p w14:paraId="6E3DF70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5A3B778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36654CB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Data obtained from the National Self-Harm Registry Ireland, a national surveillance system which monitors hospital-presenting self-harm episodes across all acute hospitals in the Republic of Ireland. Presentations made by young people aged 10-24 years, from January 1, 2007,</w:t>
            </w:r>
            <w:r w:rsidRPr="0091560A" w:rsidDel="00D2000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December 31, 2018, were included</w:t>
            </w:r>
          </w:p>
        </w:tc>
        <w:tc>
          <w:tcPr>
            <w:tcW w:w="1279" w:type="dxa"/>
            <w:shd w:val="clear" w:color="auto" w:fill="auto"/>
            <w:noWrap/>
          </w:tcPr>
          <w:p w14:paraId="673DA83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10,985</w:t>
            </w:r>
          </w:p>
        </w:tc>
        <w:tc>
          <w:tcPr>
            <w:tcW w:w="1452" w:type="dxa"/>
            <w:shd w:val="clear" w:color="auto" w:fill="auto"/>
            <w:noWrap/>
          </w:tcPr>
          <w:p w14:paraId="436ABFE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Range = 10-24</w:t>
            </w:r>
          </w:p>
        </w:tc>
        <w:tc>
          <w:tcPr>
            <w:tcW w:w="1417" w:type="dxa"/>
            <w:shd w:val="clear" w:color="auto" w:fill="auto"/>
            <w:noWrap/>
          </w:tcPr>
          <w:p w14:paraId="7151327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530B1EB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Sex and Age:</w:t>
            </w:r>
            <w:r w:rsidRPr="0091560A">
              <w:rPr>
                <w:rFonts w:eastAsia="Times New Roman" w:cs="Times New Roman"/>
                <w:color w:val="000000" w:themeColor="text1"/>
                <w:sz w:val="16"/>
                <w:szCs w:val="16"/>
                <w:lang w:eastAsia="en-AU"/>
              </w:rPr>
              <w:t xml:space="preserve"> Male to female ratio of presentations was 1:4; 40.9% cases in females aged 18-24 years (40.9%) </w:t>
            </w:r>
            <w:r w:rsidRPr="0091560A">
              <w:rPr>
                <w:rFonts w:cs="Times New Roman"/>
              </w:rPr>
              <w:br/>
            </w:r>
            <w:r w:rsidRPr="0091560A">
              <w:rPr>
                <w:rFonts w:eastAsia="Times New Roman" w:cs="Times New Roman"/>
                <w:b/>
                <w:bCs/>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72% paracetamol only cases involved fewer than 25 tablets (median = 20), and the median number of tablets taken was significantly higher among males and for persons aged 18-24 years. Median tablets taken in 10-17 year males = 20 (IQR= 19), females 10-17 years = 18 (IQR =15), males 18-24 years = 24 (IQR = 27); females 18-24 years = 23 (IQR = 22) </w:t>
            </w:r>
            <w:r w:rsidRPr="0091560A">
              <w:rPr>
                <w:rFonts w:cs="Times New Roman"/>
              </w:rPr>
              <w:br/>
            </w:r>
            <w:r w:rsidRPr="0091560A">
              <w:rPr>
                <w:rFonts w:eastAsia="Times New Roman" w:cs="Times New Roman"/>
                <w:b/>
                <w:bCs/>
                <w:color w:val="000000" w:themeColor="text1"/>
                <w:sz w:val="16"/>
                <w:szCs w:val="16"/>
                <w:lang w:eastAsia="en-AU"/>
              </w:rPr>
              <w:t>Co-ingestion substances:</w:t>
            </w:r>
            <w:r w:rsidRPr="0091560A">
              <w:rPr>
                <w:rFonts w:eastAsia="Times New Roman" w:cs="Times New Roman"/>
                <w:color w:val="000000" w:themeColor="text1"/>
                <w:sz w:val="16"/>
                <w:szCs w:val="16"/>
                <w:lang w:eastAsia="en-AU"/>
              </w:rPr>
              <w:t xml:space="preserve"> 55.3% cases involved more than one drug type and 30.9% young people took three or more distinct drug types</w:t>
            </w:r>
            <w:r w:rsidRPr="0091560A">
              <w:rPr>
                <w:rFonts w:cs="Times New Roman"/>
              </w:rPr>
              <w:br/>
            </w:r>
            <w:r w:rsidRPr="0091560A">
              <w:rPr>
                <w:rFonts w:eastAsia="Times New Roman" w:cs="Times New Roman"/>
                <w:b/>
                <w:bCs/>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24.6% also consumed alcohol and this was higher in males </w:t>
            </w:r>
          </w:p>
          <w:p w14:paraId="6CA5E73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Other self-harm methods:</w:t>
            </w:r>
            <w:r w:rsidRPr="0091560A">
              <w:rPr>
                <w:rFonts w:eastAsia="Times New Roman" w:cs="Times New Roman"/>
                <w:color w:val="000000" w:themeColor="text1"/>
                <w:sz w:val="16"/>
                <w:szCs w:val="16"/>
                <w:lang w:eastAsia="en-AU"/>
              </w:rPr>
              <w:t xml:space="preserve"> 91.2% cases involved no other methods  </w:t>
            </w:r>
          </w:p>
        </w:tc>
      </w:tr>
      <w:tr w:rsidR="00574EB4" w:rsidRPr="0091560A" w14:paraId="502E43E2" w14:textId="77777777" w:rsidTr="0035719A">
        <w:trPr>
          <w:trHeight w:val="688"/>
        </w:trPr>
        <w:tc>
          <w:tcPr>
            <w:tcW w:w="1456" w:type="dxa"/>
            <w:shd w:val="clear" w:color="auto" w:fill="auto"/>
            <w:noWrap/>
          </w:tcPr>
          <w:p w14:paraId="549A8410" w14:textId="1E8B1C5A"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Daly (2018)*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&lt;EndNote&gt;&lt;Cite&gt;&lt;Author&gt;Daly&lt;/Author&gt;&lt;Year&gt;2018&lt;/Year&gt;&lt;RecNum&gt;867&lt;/RecNum&gt;&lt;DisplayText&gt;(Daly et al., 2018)&lt;/DisplayText&gt;&lt;record&gt;&lt;rec-number&gt;867&lt;/rec-number&gt;&lt;foreign-keys&gt;&lt;key app="EN" db-id="90p22wx96ddedpe0r9pxtt9gzz05dd5ev299" timestamp="1657000537"&gt;867&lt;/key&gt;&lt;/foreign-keys&gt;&lt;ref-type name="Journal Article"&gt;17&lt;/ref-type&gt;&lt;contributors&gt;&lt;authors&gt;&lt;author&gt;Daly, C.&lt;/author&gt;&lt;author&gt;Griffin, E.&lt;/author&gt;&lt;author&gt;Ashcroft, D. M.&lt;/author&gt;&lt;author&gt;Webb, R. T.&lt;/author&gt;&lt;author&gt;Perry, I. J.&lt;/author&gt;&lt;author&gt;Arensman, E.&lt;/author&gt;&lt;/authors&gt;&lt;/contributors&gt;&lt;titles&gt;&lt;title&gt;Frequently used drug types and alcohol involvement in intentional drug overdoses in Ireland: a national registry study&lt;/title&gt;&lt;secondary-title&gt;European journal of public health&lt;/secondary-title&gt;&lt;/titles&gt;&lt;pages&gt;681-686&lt;/pages&gt;&lt;volume&gt;28&lt;/volume&gt;&lt;number&gt;4&lt;/number&gt;&lt;dates&gt;&lt;year&gt;2018&lt;/year&gt;&lt;/dates&gt;&lt;urls&gt;&lt;related-urls&gt;&lt;url&gt;http://ovidsp.ovid.com/ovidweb.cgi?T=JS&amp;amp;PAGE=reference&amp;amp;D=emed19&amp;amp;NEWS=N&amp;amp;AN=625563783&lt;/url&gt;&lt;/related-urls&gt;&lt;/urls&gt;&lt;electronic-resource-num&gt;http://dx.doi.org/10.1093/eurpub/cky031&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(Daly et al., 2018)</w:t>
            </w:r>
            <w:r w:rsidRPr="0091560A">
              <w:rPr>
                <w:rFonts w:eastAsia="Times New Roman" w:cs="Times New Roman"/>
                <w:color w:val="000000"/>
                <w:sz w:val="16"/>
                <w:szCs w:val="16"/>
                <w:lang w:eastAsia="en-AU"/>
              </w:rPr>
              <w:fldChar w:fldCharType="end"/>
            </w:r>
          </w:p>
          <w:p w14:paraId="46C94E40" w14:textId="77777777" w:rsidR="00574EB4" w:rsidRPr="0091560A" w:rsidRDefault="00574EB4">
            <w:pPr>
              <w:spacing w:after="0" w:line="240" w:lineRule="auto"/>
              <w:rPr>
                <w:rFonts w:eastAsia="Times New Roman" w:cs="Times New Roman"/>
                <w:color w:val="000000"/>
                <w:sz w:val="16"/>
                <w:szCs w:val="16"/>
                <w:lang w:eastAsia="en-AU"/>
              </w:rPr>
            </w:pPr>
          </w:p>
          <w:p w14:paraId="33CBD16E" w14:textId="3C01BB32"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Ireland</w:t>
            </w:r>
          </w:p>
        </w:tc>
        <w:tc>
          <w:tcPr>
            <w:tcW w:w="1232" w:type="dxa"/>
          </w:tcPr>
          <w:p w14:paraId="2D2E3D2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1EDEDD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Paracetamol (other self-poisoning drugs)  </w:t>
            </w:r>
          </w:p>
        </w:tc>
        <w:tc>
          <w:tcPr>
            <w:tcW w:w="2409" w:type="dxa"/>
            <w:shd w:val="clear" w:color="auto" w:fill="auto"/>
            <w:noWrap/>
          </w:tcPr>
          <w:p w14:paraId="7FCA530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Intentional drug overdoses for the period January 1, 2012, to December 31, 2014, drawn from the National Self-Harm Registry Ireland.</w:t>
            </w:r>
          </w:p>
        </w:tc>
        <w:tc>
          <w:tcPr>
            <w:tcW w:w="1279" w:type="dxa"/>
            <w:shd w:val="clear" w:color="auto" w:fill="auto"/>
            <w:noWrap/>
          </w:tcPr>
          <w:p w14:paraId="0FE0326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18,329 (5,087with paracetamol)</w:t>
            </w:r>
          </w:p>
        </w:tc>
        <w:tc>
          <w:tcPr>
            <w:tcW w:w="1452" w:type="dxa"/>
            <w:shd w:val="clear" w:color="auto" w:fill="auto"/>
            <w:noWrap/>
          </w:tcPr>
          <w:p w14:paraId="26FA3A7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Median = 33; IQR = 23-45</w:t>
            </w:r>
          </w:p>
        </w:tc>
        <w:tc>
          <w:tcPr>
            <w:tcW w:w="1417" w:type="dxa"/>
            <w:shd w:val="clear" w:color="auto" w:fill="auto"/>
            <w:noWrap/>
          </w:tcPr>
          <w:p w14:paraId="68A19EA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1B513C9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Paracetamol was involved significantly more often in female intentional self-poisonings (32.0% vs. 21.7%)</w:t>
            </w:r>
          </w:p>
          <w:p w14:paraId="168D923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Paracetamol intentional self-poisoning highest among persons under 25 years (36.2%) and was present in 43.8% of intentional self-poisonings by females aged under 25 years </w:t>
            </w:r>
          </w:p>
        </w:tc>
      </w:tr>
      <w:tr w:rsidR="00574EB4" w:rsidRPr="0091560A" w14:paraId="7EFFE0FD" w14:textId="77777777" w:rsidTr="0035719A">
        <w:trPr>
          <w:trHeight w:val="688"/>
        </w:trPr>
        <w:tc>
          <w:tcPr>
            <w:tcW w:w="1456" w:type="dxa"/>
            <w:shd w:val="clear" w:color="auto" w:fill="auto"/>
            <w:noWrap/>
          </w:tcPr>
          <w:p w14:paraId="19EF0607" w14:textId="3BF5277D"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Downes (2021)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&lt;EndNote&gt;&lt;Cite&gt;&lt;Author&gt;Downes&lt;/Author&gt;&lt;Year&gt;2021&lt;/Year&gt;&lt;RecNum&gt;924&lt;/RecNum&gt;&lt;DisplayText&gt;(Downes et al., 2021)&lt;/DisplayText&gt;&lt;record&gt;&lt;rec-number&gt;924&lt;/rec-number&gt;&lt;foreign-keys&gt;&lt;key app="EN" db-id="90p22wx96ddedpe0r9pxtt9gzz05dd5ev299" timestamp="1657082503"&gt;924&lt;/key&gt;&lt;/foreign-keys&gt;&lt;ref-type name="Journal Article"&gt;17&lt;/ref-type&gt;&lt;contributors&gt;&lt;authors&gt;&lt;author&gt;Downes, Michael A.&lt;/author&gt;&lt;author&gt;Lovett, Caitlyn J.&lt;/author&gt;&lt;author&gt;Isbister, Geoffrey K.&lt;/author&gt;&lt;/authors&gt;&lt;/contributors&gt;&lt;titles&gt;&lt;title&gt;Paediatric poisoning presentations reported to a regional toxicology service in Australia&lt;/title&gt;&lt;secondary-title&gt;Journal of Paediatrics and Child Health&lt;/secondary-title&gt;&lt;/titles&gt;&lt;pages&gt;1049-1053&lt;/pages&gt;&lt;volume&gt;57&lt;/volume&gt;&lt;number&gt;7&lt;/number&gt;&lt;keywords&gt;&lt;keyword&gt;adolescent&lt;/keyword&gt;&lt;keyword&gt;child&lt;/keyword&gt;&lt;keyword&gt;epidemiology&lt;/keyword&gt;&lt;keyword&gt;poisoning&lt;/keyword&gt;&lt;/keywords&gt;&lt;dates&gt;&lt;year&gt;2021&lt;/year&gt;&lt;pub-dates&gt;&lt;date&gt;2021/07/01&lt;/date&gt;&lt;/pub-dates&gt;&lt;/dates&gt;&lt;publisher&gt;John Wiley &amp;amp; Sons, Ltd&lt;/publisher&gt;&lt;isbn&gt;1034-4810&lt;/isbn&gt;&lt;work-type&gt;https://doi.org/10.1111/jpc.15387&lt;/work-type&gt;&lt;urls&gt;&lt;related-urls&gt;&lt;url&gt;https://doi.org/10.1111/jpc.15387&lt;/url&gt;&lt;/related-urls&gt;&lt;/urls&gt;&lt;electronic-resource-num&gt;https://doi.org/10.1111/jpc.15387&lt;/electronic-resource-num&gt;&lt;access-date&gt;2022/07/05&lt;/access-dat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(Downes et al., 2021)</w:t>
            </w:r>
            <w:r w:rsidRPr="0091560A">
              <w:rPr>
                <w:rFonts w:eastAsia="Times New Roman" w:cs="Times New Roman"/>
                <w:color w:val="000000" w:themeColor="text1"/>
                <w:sz w:val="16"/>
                <w:szCs w:val="16"/>
                <w:lang w:eastAsia="en-AU"/>
              </w:rPr>
              <w:fldChar w:fldCharType="end"/>
            </w:r>
          </w:p>
          <w:p w14:paraId="01C6F49E"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Australia</w:t>
            </w:r>
          </w:p>
        </w:tc>
        <w:tc>
          <w:tcPr>
            <w:tcW w:w="1232" w:type="dxa"/>
          </w:tcPr>
          <w:p w14:paraId="48A2FC1B"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2FAE862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Paracetamol </w:t>
            </w:r>
          </w:p>
          <w:p w14:paraId="555E728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(other self-poisoning drugs &amp; bites/stings)  </w:t>
            </w:r>
          </w:p>
          <w:p w14:paraId="235D248D"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2409" w:type="dxa"/>
            <w:shd w:val="clear" w:color="auto" w:fill="auto"/>
            <w:noWrap/>
          </w:tcPr>
          <w:p w14:paraId="474FF7D5"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All</w:t>
            </w:r>
            <w:r w:rsidRPr="0091560A" w:rsidDel="00D2000E">
              <w:rPr>
                <w:rFonts w:eastAsia="Times New Roman" w:cs="Times New Roman"/>
                <w:sz w:val="16"/>
                <w:szCs w:val="16"/>
              </w:rPr>
              <w:t xml:space="preserve"> </w:t>
            </w:r>
            <w:r w:rsidRPr="0091560A">
              <w:rPr>
                <w:rFonts w:eastAsia="Times New Roman" w:cs="Times New Roman"/>
                <w:sz w:val="16"/>
                <w:szCs w:val="16"/>
              </w:rPr>
              <w:t>emergency department presentations of paediatric poisoning cases under 18 years reported to a tertiary toxicology service from January 1, 2015, to December 31, 2016</w:t>
            </w:r>
          </w:p>
        </w:tc>
        <w:tc>
          <w:tcPr>
            <w:tcW w:w="1279" w:type="dxa"/>
            <w:shd w:val="clear" w:color="auto" w:fill="auto"/>
            <w:noWrap/>
          </w:tcPr>
          <w:p w14:paraId="61E39293"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677 (150 with paracetamol)</w:t>
            </w:r>
          </w:p>
        </w:tc>
        <w:tc>
          <w:tcPr>
            <w:tcW w:w="1452" w:type="dxa"/>
            <w:shd w:val="clear" w:color="auto" w:fill="auto"/>
            <w:noWrap/>
          </w:tcPr>
          <w:p w14:paraId="727AF654" w14:textId="77777777" w:rsidR="00574EB4" w:rsidRPr="0091560A" w:rsidRDefault="00574EB4">
            <w:pPr>
              <w:spacing w:after="0" w:line="240" w:lineRule="auto"/>
              <w:rPr>
                <w:rFonts w:eastAsia="Times New Roman" w:cs="Times New Roman"/>
                <w:sz w:val="16"/>
                <w:szCs w:val="16"/>
              </w:rPr>
            </w:pPr>
            <w:r w:rsidRPr="0091560A">
              <w:rPr>
                <w:rFonts w:eastAsia="Times New Roman" w:cs="Times New Roman"/>
                <w:sz w:val="16"/>
                <w:szCs w:val="16"/>
              </w:rPr>
              <w:t>Pre-school: Median = 2; IQR = 1–3</w:t>
            </w:r>
          </w:p>
          <w:p w14:paraId="7248E80D" w14:textId="77777777" w:rsidR="00574EB4" w:rsidRPr="0091560A" w:rsidRDefault="00574EB4">
            <w:pPr>
              <w:spacing w:after="0" w:line="240" w:lineRule="auto"/>
              <w:rPr>
                <w:rFonts w:eastAsia="Times New Roman" w:cs="Times New Roman"/>
                <w:sz w:val="16"/>
                <w:szCs w:val="16"/>
              </w:rPr>
            </w:pPr>
            <w:r w:rsidRPr="0091560A">
              <w:rPr>
                <w:rFonts w:eastAsia="Times New Roman" w:cs="Times New Roman"/>
                <w:sz w:val="16"/>
                <w:szCs w:val="16"/>
              </w:rPr>
              <w:t>Primary school: Median = 9; IQR = 8-10</w:t>
            </w:r>
          </w:p>
          <w:p w14:paraId="71FB3E85" w14:textId="77777777" w:rsidR="00574EB4" w:rsidRPr="0091560A" w:rsidRDefault="00574EB4">
            <w:pPr>
              <w:spacing w:after="0" w:line="240" w:lineRule="auto"/>
              <w:rPr>
                <w:rFonts w:eastAsia="Times New Roman" w:cs="Times New Roman"/>
                <w:sz w:val="16"/>
                <w:szCs w:val="16"/>
              </w:rPr>
            </w:pPr>
            <w:r w:rsidRPr="0091560A">
              <w:rPr>
                <w:rFonts w:eastAsia="Times New Roman" w:cs="Times New Roman"/>
                <w:sz w:val="16"/>
                <w:szCs w:val="16"/>
              </w:rPr>
              <w:t>Adolescents: Median = 16; IQR = 14-17</w:t>
            </w:r>
          </w:p>
          <w:p w14:paraId="4E9A61A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rPr>
              <w:t xml:space="preserve">Adults: not reported </w:t>
            </w:r>
          </w:p>
        </w:tc>
        <w:tc>
          <w:tcPr>
            <w:tcW w:w="1417" w:type="dxa"/>
            <w:shd w:val="clear" w:color="auto" w:fill="auto"/>
            <w:noWrap/>
          </w:tcPr>
          <w:p w14:paraId="13A084A8"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66%</w:t>
            </w:r>
          </w:p>
        </w:tc>
        <w:tc>
          <w:tcPr>
            <w:tcW w:w="4630" w:type="dxa"/>
            <w:shd w:val="clear" w:color="auto" w:fill="auto"/>
          </w:tcPr>
          <w:p w14:paraId="100DDDBA"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Age: </w:t>
            </w:r>
            <w:r w:rsidRPr="0091560A">
              <w:rPr>
                <w:rFonts w:eastAsia="Times New Roman" w:cs="Times New Roman"/>
                <w:color w:val="000000" w:themeColor="text1"/>
                <w:sz w:val="16"/>
                <w:szCs w:val="16"/>
                <w:lang w:eastAsia="en-AU"/>
              </w:rPr>
              <w:t>Paracetamol intentional self-poisoning more common in paediatric sample compared to adult sample</w:t>
            </w:r>
          </w:p>
        </w:tc>
      </w:tr>
      <w:tr w:rsidR="00574EB4" w:rsidRPr="0091560A" w14:paraId="6B25AFD4" w14:textId="77777777" w:rsidTr="0035719A">
        <w:trPr>
          <w:trHeight w:val="688"/>
        </w:trPr>
        <w:tc>
          <w:tcPr>
            <w:tcW w:w="1456" w:type="dxa"/>
            <w:shd w:val="clear" w:color="auto" w:fill="auto"/>
            <w:noWrap/>
          </w:tcPr>
          <w:p w14:paraId="3967417F" w14:textId="04FF9668"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 xml:space="preserve"> Friðriksdóttir (2021)</w:t>
            </w:r>
            <w:r w:rsidRPr="0091560A">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fldChar w:fldCharType="begin">
                <w:fldData xml:space="preserve">PEVuZE5vdGU+PENpdGU+PEF1dGhvcj5Gcmlkcmlrc2RvdHRpciBUaDwvQXV0aG9yPjxZZWFyPjIw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</w:fldData>
              </w:fldChar>
            </w:r>
            <w:r w:rsidR="005C4946">
              <w:rPr>
                <w:rFonts w:eastAsia="Times New Roman" w:cs="Times New Roman"/>
                <w:color w:val="000000" w:themeColor="text1"/>
                <w:sz w:val="16"/>
                <w:szCs w:val="16"/>
                <w:lang w:eastAsia="en-AU"/>
              </w:rPr>
              <w:instrText xml:space="preserve"> ADDIN EN.CITE </w:instrText>
            </w:r>
            <w:r w:rsidR="005C4946">
              <w:rPr>
                <w:rFonts w:eastAsia="Times New Roman" w:cs="Times New Roman"/>
                <w:color w:val="000000" w:themeColor="text1"/>
                <w:sz w:val="16"/>
                <w:szCs w:val="16"/>
                <w:lang w:eastAsia="en-AU"/>
              </w:rPr>
              <w:fldChar w:fldCharType="begin">
                <w:fldData xml:space="preserve">PEVuZE5vdGU+PENpdGU+PEF1dGhvcj5Gcmlkcmlrc2RvdHRpciBUaDwvQXV0aG9yPjxZZWFyPjIw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</w:fldData>
              </w:fldChar>
            </w:r>
            <w:r w:rsidR="005C4946">
              <w:rPr>
                <w:rFonts w:eastAsia="Times New Roman" w:cs="Times New Roman"/>
                <w:color w:val="000000" w:themeColor="text1"/>
                <w:sz w:val="16"/>
                <w:szCs w:val="16"/>
                <w:lang w:eastAsia="en-AU"/>
              </w:rPr>
              <w:instrText xml:space="preserve"> ADDIN EN.CITE.DATA </w:instrText>
            </w:r>
            <w:r w:rsidR="005C4946">
              <w:rPr>
                <w:rFonts w:eastAsia="Times New Roman" w:cs="Times New Roman"/>
                <w:color w:val="000000" w:themeColor="text1"/>
                <w:sz w:val="16"/>
                <w:szCs w:val="16"/>
                <w:lang w:eastAsia="en-AU"/>
              </w:rPr>
            </w:r>
            <w:r w:rsidR="005C4946">
              <w:rPr>
                <w:rFonts w:eastAsia="Times New Roman" w:cs="Times New Roman"/>
                <w:color w:val="000000" w:themeColor="text1"/>
                <w:sz w:val="16"/>
                <w:szCs w:val="16"/>
                <w:lang w:eastAsia="en-AU"/>
              </w:rPr>
              <w:fldChar w:fldCharType="end"/>
            </w:r>
            <w:r w:rsidRPr="0091560A">
              <w:rPr>
                <w:rFonts w:eastAsia="Times New Roman" w:cs="Times New Roman"/>
                <w:color w:val="000000" w:themeColor="text1"/>
                <w:sz w:val="16"/>
                <w:szCs w:val="16"/>
                <w:lang w:eastAsia="en-AU"/>
              </w:rPr>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(Fridriksdottir Th et al., 2021)</w:t>
            </w:r>
            <w:r w:rsidRPr="0091560A">
              <w:rPr>
                <w:rFonts w:eastAsia="Times New Roman" w:cs="Times New Roman"/>
                <w:color w:val="000000" w:themeColor="text1"/>
                <w:sz w:val="16"/>
                <w:szCs w:val="16"/>
                <w:lang w:eastAsia="en-AU"/>
              </w:rPr>
              <w:fldChar w:fldCharType="end"/>
            </w:r>
          </w:p>
          <w:p w14:paraId="49487B14" w14:textId="77777777" w:rsidR="00574EB4" w:rsidRPr="0091560A" w:rsidRDefault="00574EB4">
            <w:pPr>
              <w:spacing w:after="0" w:line="240" w:lineRule="auto"/>
              <w:rPr>
                <w:rFonts w:eastAsia="Times New Roman" w:cs="Times New Roman"/>
                <w:color w:val="000000"/>
                <w:sz w:val="16"/>
                <w:szCs w:val="16"/>
                <w:lang w:eastAsia="en-AU"/>
              </w:rPr>
            </w:pPr>
          </w:p>
          <w:p w14:paraId="7CA6953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Iceland</w:t>
            </w:r>
          </w:p>
        </w:tc>
        <w:tc>
          <w:tcPr>
            <w:tcW w:w="1232" w:type="dxa"/>
          </w:tcPr>
          <w:p w14:paraId="1DB74ED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C58BC0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Paracetamol</w:t>
            </w:r>
          </w:p>
        </w:tc>
        <w:tc>
          <w:tcPr>
            <w:tcW w:w="2409" w:type="dxa"/>
            <w:shd w:val="clear" w:color="auto" w:fill="auto"/>
            <w:noWrap/>
          </w:tcPr>
          <w:p w14:paraId="1331AF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patients with a measurement of serum paracetamol who had been admitted to Landspitali University Hospital in Iceland between January 1, 2010, and</w:t>
            </w:r>
            <w:r w:rsidRPr="0091560A" w:rsidDel="00D2000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December 31, 2017</w:t>
            </w:r>
          </w:p>
        </w:tc>
        <w:tc>
          <w:tcPr>
            <w:tcW w:w="1279" w:type="dxa"/>
            <w:shd w:val="clear" w:color="auto" w:fill="auto"/>
            <w:noWrap/>
          </w:tcPr>
          <w:p w14:paraId="7425ED3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542</w:t>
            </w:r>
          </w:p>
        </w:tc>
        <w:tc>
          <w:tcPr>
            <w:tcW w:w="1452" w:type="dxa"/>
            <w:shd w:val="clear" w:color="auto" w:fill="auto"/>
            <w:noWrap/>
          </w:tcPr>
          <w:p w14:paraId="6E09D6D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ages</w:t>
            </w:r>
          </w:p>
        </w:tc>
        <w:tc>
          <w:tcPr>
            <w:tcW w:w="1417" w:type="dxa"/>
            <w:shd w:val="clear" w:color="auto" w:fill="auto"/>
            <w:noWrap/>
          </w:tcPr>
          <w:p w14:paraId="0A83756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81%</w:t>
            </w:r>
          </w:p>
        </w:tc>
        <w:tc>
          <w:tcPr>
            <w:tcW w:w="4630" w:type="dxa"/>
            <w:shd w:val="clear" w:color="auto" w:fill="auto"/>
          </w:tcPr>
          <w:p w14:paraId="703CE4E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Intentional self-poisoning occurred more often in females (85% vs. 70%)</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45% of intentional self-poisoning occurred in the age group 16-25 years </w:t>
            </w:r>
          </w:p>
        </w:tc>
      </w:tr>
      <w:tr w:rsidR="00574EB4" w:rsidRPr="0091560A" w14:paraId="73B242AC" w14:textId="77777777" w:rsidTr="0035719A">
        <w:trPr>
          <w:trHeight w:val="688"/>
        </w:trPr>
        <w:tc>
          <w:tcPr>
            <w:tcW w:w="1456" w:type="dxa"/>
            <w:shd w:val="clear" w:color="auto" w:fill="auto"/>
            <w:noWrap/>
          </w:tcPr>
          <w:p w14:paraId="1FD7506D" w14:textId="606FA16D"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Gedeborg (2017) </w:t>
            </w:r>
            <w:r w:rsidRPr="0091560A">
              <w:rPr>
                <w:rFonts w:eastAsia="Times New Roman" w:cs="Times New Roman"/>
                <w:b/>
                <w:bCs/>
                <w:color w:val="000000"/>
                <w:sz w:val="16"/>
                <w:szCs w:val="16"/>
                <w:lang w:eastAsia="en-AU"/>
              </w:rPr>
              <w:fldChar w:fldCharType="begin"/>
            </w:r>
            <w:r w:rsidR="006E08D8">
              <w:rPr>
                <w:rFonts w:eastAsia="Times New Roman" w:cs="Times New Roman"/>
                <w:b/>
                <w:bCs/>
                <w:color w:val="000000"/>
                <w:sz w:val="16"/>
                <w:szCs w:val="16"/>
                <w:lang w:eastAsia="en-AU"/>
              </w:rPr>
              <w:instrText xml:space="preserve"> ADDIN EN.CITE &lt;EndNote&gt;&lt;Cite&gt;&lt;Author&gt;Gedeborg&lt;/Author&gt;&lt;Year&gt;2017&lt;/Year&gt;&lt;RecNum&gt;871&lt;/RecNum&gt;&lt;DisplayText&gt;(Gedeborg et al., 2017)&lt;/DisplayText&gt;&lt;record&gt;&lt;rec-number&gt;871&lt;/rec-number&gt;&lt;foreign-keys&gt;&lt;key app="EN" db-id="90p22wx96ddedpe0r9pxtt9gzz05dd5ev299" timestamp="1657000537"&gt;871&lt;/key&gt;&lt;/foreign-keys&gt;&lt;ref-type name="Journal Article"&gt;17&lt;/ref-type&gt;&lt;contributors&gt;&lt;authors&gt;&lt;author&gt;Gedeborg, R.&lt;/author&gt;&lt;author&gt;Svennblad, B.&lt;/author&gt;&lt;author&gt;Holm, L.&lt;/author&gt;&lt;author&gt;Sjogren, H.&lt;/author&gt;&lt;author&gt;Bardage, C.&lt;/author&gt;&lt;author&gt;Personne, M.&lt;/author&gt;&lt;author&gt;Sjoberg, G.&lt;/author&gt;&lt;author&gt;Feltelius, N.&lt;/author&gt;&lt;author&gt;Zethelius, B.&lt;/author&gt;&lt;/authors&gt;&lt;/contributors&gt;&lt;titles&gt;&lt;title&gt;Increased availability of paracetamol in Sweden and incidence of paracetamol poisoning: using laboratory data to increase validity of a population-based registry study&lt;/title&gt;&lt;secondary-title&gt;Pharmacoepidemiology and Drug Safety&lt;/secondary-title&gt;&lt;/titles&gt;&lt;periodical&gt;&lt;full-title&gt;Pharmacoepidemiology and Drug Safety&lt;/full-title&gt;&lt;/periodical&gt;&lt;pages&gt;518-527&lt;/pages&gt;&lt;volume&gt;26&lt;/volume&gt;&lt;number&gt;5&lt;/number&gt;&lt;dates&gt;&lt;year&gt;2017&lt;/year&gt;&lt;/dates&gt;&lt;urls&gt;&lt;related-urls&gt;&lt;url&gt;http://onlinelibrary.wiley.com/journal/10.1002/(ISSN)1099-1557http://ovidsp.ovid.com/ovidweb.cgi?T=JS&amp;amp;PAGE=reference&amp;amp;D=emed18&amp;amp;NEWS=N&amp;amp;AN=615674807&lt;/url&gt;&lt;/related-urls&gt;&lt;/urls&gt;&lt;electronic-resource-num&gt;http://dx.doi.org/10.1002/pds.4166&lt;/electronic-resource-num&gt;&lt;/record&gt;&lt;/Cite&gt;&lt;/EndNote&gt;</w:instrText>
            </w:r>
            <w:r w:rsidRPr="0091560A">
              <w:rPr>
                <w:rFonts w:eastAsia="Times New Roman" w:cs="Times New Roman"/>
                <w:b/>
                <w:bCs/>
                <w:color w:val="000000"/>
                <w:sz w:val="16"/>
                <w:szCs w:val="16"/>
                <w:lang w:eastAsia="en-AU"/>
              </w:rPr>
              <w:fldChar w:fldCharType="separate"/>
            </w:r>
            <w:r w:rsidRPr="0091560A">
              <w:rPr>
                <w:rFonts w:eastAsia="Times New Roman" w:cs="Times New Roman"/>
                <w:b/>
                <w:bCs/>
                <w:noProof/>
                <w:color w:val="000000"/>
                <w:sz w:val="16"/>
                <w:szCs w:val="16"/>
                <w:lang w:eastAsia="en-AU"/>
              </w:rPr>
              <w:t>(Gedeborg et al., 2017)</w:t>
            </w:r>
            <w:r w:rsidRPr="0091560A">
              <w:rPr>
                <w:rFonts w:eastAsia="Times New Roman" w:cs="Times New Roman"/>
                <w:b/>
                <w:bCs/>
                <w:color w:val="000000"/>
                <w:sz w:val="16"/>
                <w:szCs w:val="16"/>
                <w:lang w:eastAsia="en-AU"/>
              </w:rPr>
              <w:fldChar w:fldCharType="end"/>
            </w:r>
          </w:p>
          <w:p w14:paraId="22353B8B" w14:textId="77777777" w:rsidR="00574EB4" w:rsidRPr="0091560A" w:rsidRDefault="00574EB4">
            <w:pPr>
              <w:spacing w:after="0" w:line="240" w:lineRule="auto"/>
              <w:rPr>
                <w:rFonts w:eastAsia="Times New Roman" w:cs="Times New Roman"/>
                <w:color w:val="000000"/>
                <w:sz w:val="16"/>
                <w:szCs w:val="16"/>
                <w:lang w:eastAsia="en-AU"/>
              </w:rPr>
            </w:pPr>
          </w:p>
          <w:p w14:paraId="6F3A0415"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color w:val="000000"/>
                <w:sz w:val="16"/>
                <w:szCs w:val="16"/>
                <w:lang w:eastAsia="en-AU"/>
              </w:rPr>
              <w:t>Sweden</w:t>
            </w:r>
          </w:p>
        </w:tc>
        <w:tc>
          <w:tcPr>
            <w:tcW w:w="1232" w:type="dxa"/>
          </w:tcPr>
          <w:p w14:paraId="1FBB898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7896AE5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47AA49D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Potential cohort members were identified from hospital discharge diagnoses and cause of death in national </w:t>
            </w:r>
            <w:r w:rsidRPr="00291399">
              <w:rPr>
                <w:rFonts w:eastAsia="Times New Roman" w:cs="Times New Roman"/>
                <w:color w:val="000000" w:themeColor="text1"/>
                <w:sz w:val="16"/>
                <w:szCs w:val="16"/>
                <w:lang w:eastAsia="en-AU"/>
              </w:rPr>
              <w:t>health-care</w:t>
            </w:r>
            <w:r w:rsidRPr="0091560A">
              <w:rPr>
                <w:rFonts w:eastAsia="Times New Roman" w:cs="Times New Roman"/>
                <w:color w:val="000000" w:themeColor="text1"/>
                <w:sz w:val="16"/>
                <w:szCs w:val="16"/>
                <w:lang w:eastAsia="en-AU"/>
              </w:rPr>
              <w:t xml:space="preserve"> databases, as well as laboratory results on serum paracetamol. All 21 regions in Sweden were asked to provide serum paracetamol results from January 1, 2000, to December 31, 2013</w:t>
            </w:r>
          </w:p>
        </w:tc>
        <w:tc>
          <w:tcPr>
            <w:tcW w:w="1279" w:type="dxa"/>
            <w:shd w:val="clear" w:color="auto" w:fill="auto"/>
            <w:noWrap/>
          </w:tcPr>
          <w:p w14:paraId="6ADEC27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12,068 poisonings</w:t>
            </w:r>
          </w:p>
        </w:tc>
        <w:tc>
          <w:tcPr>
            <w:tcW w:w="1452" w:type="dxa"/>
            <w:shd w:val="clear" w:color="auto" w:fill="auto"/>
            <w:noWrap/>
          </w:tcPr>
          <w:p w14:paraId="7ED6825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Median = 28</w:t>
            </w:r>
          </w:p>
        </w:tc>
        <w:tc>
          <w:tcPr>
            <w:tcW w:w="1417" w:type="dxa"/>
            <w:shd w:val="clear" w:color="auto" w:fill="auto"/>
            <w:noWrap/>
          </w:tcPr>
          <w:p w14:paraId="0653A91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85%</w:t>
            </w:r>
          </w:p>
        </w:tc>
        <w:tc>
          <w:tcPr>
            <w:tcW w:w="4630" w:type="dxa"/>
            <w:shd w:val="clear" w:color="auto" w:fill="auto"/>
          </w:tcPr>
          <w:p w14:paraId="528B7F1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79% of intentional cases female</w:t>
            </w:r>
          </w:p>
          <w:p w14:paraId="4C97B973"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41% of intentional cases aged 15-24 years (highest proportion)</w:t>
            </w:r>
          </w:p>
        </w:tc>
      </w:tr>
      <w:tr w:rsidR="00574EB4" w:rsidRPr="0091560A" w14:paraId="2C520AB6" w14:textId="77777777" w:rsidTr="0035719A">
        <w:trPr>
          <w:trHeight w:val="1013"/>
        </w:trPr>
        <w:tc>
          <w:tcPr>
            <w:tcW w:w="1456" w:type="dxa"/>
            <w:shd w:val="clear" w:color="auto" w:fill="auto"/>
            <w:noWrap/>
          </w:tcPr>
          <w:p w14:paraId="18B4AEC8" w14:textId="1D9993E2"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Graudins (2015)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&lt;EndNote&gt;&lt;Cite&gt;&lt;Author&gt;Graudins&lt;/Author&gt;&lt;Year&gt;2015&lt;/Year&gt;&lt;RecNum&gt;925&lt;/RecNum&gt;&lt;DisplayText&gt;(Graudins, 2015)&lt;/DisplayText&gt;&lt;record&gt;&lt;rec-number&gt;925&lt;/rec-number&gt;&lt;foreign-keys&gt;&lt;key app="EN" db-id="90p22wx96ddedpe0r9pxtt9gzz05dd5ev299" timestamp="1657082564"&gt;925&lt;/key&gt;&lt;/foreign-keys&gt;&lt;ref-type name="Journal Article"&gt;17&lt;/ref-type&gt;&lt;contributors&gt;&lt;authors&gt;&lt;author&gt;Graudins, Andis&lt;/author&gt;&lt;/authors&gt;&lt;/contributors&gt;&lt;titles&gt;&lt;title&gt;Paracetamol poisoning in adolescents in an Australian setting: Not quite adults: Adolescent Paracetamol Poisoning&lt;/title&gt;&lt;secondary-title&gt;Emergency medicine Australasia&lt;/secondary-title&gt;&lt;/titles&gt;&lt;pages&gt;139-144&lt;/pages&gt;&lt;volume&gt;27&lt;/volume&gt;&lt;number&gt;2&lt;/number&gt;&lt;dates&gt;&lt;year&gt;2015&lt;/year&gt;&lt;/dates&gt;&lt;isbn&gt;1742-6731&lt;/isbn&gt;&lt;urls&gt;&lt;related-urls&gt;&lt;url&gt;https://go.exlibris.link/77qJSy3F&lt;/url&gt;&lt;/related-urls&gt;&lt;/urls&gt;&lt;electronic-resource-num&gt;10.1111/1742-6723.12373&lt;/electronic-resource-num&gt;&lt;language&gt;English&lt;/languag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(Graudins, 2015)</w:t>
            </w:r>
            <w:r w:rsidRPr="0091560A">
              <w:rPr>
                <w:rFonts w:eastAsia="Times New Roman" w:cs="Times New Roman"/>
                <w:color w:val="000000" w:themeColor="text1"/>
                <w:sz w:val="16"/>
                <w:szCs w:val="16"/>
                <w:lang w:eastAsia="en-AU"/>
              </w:rPr>
              <w:fldChar w:fldCharType="end"/>
            </w:r>
          </w:p>
          <w:p w14:paraId="66A1F084"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Australia</w:t>
            </w:r>
          </w:p>
        </w:tc>
        <w:tc>
          <w:tcPr>
            <w:tcW w:w="1232" w:type="dxa"/>
          </w:tcPr>
          <w:p w14:paraId="6D94EB3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050F9E9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Paracetamol</w:t>
            </w:r>
          </w:p>
        </w:tc>
        <w:tc>
          <w:tcPr>
            <w:tcW w:w="2409" w:type="dxa"/>
            <w:shd w:val="clear" w:color="auto" w:fill="auto"/>
            <w:noWrap/>
          </w:tcPr>
          <w:p w14:paraId="43435D45" w14:textId="5AAF4E76"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Patients with paracetamol poisoning presenting to Monash Health E</w:t>
            </w:r>
            <w:r w:rsidR="00787E88" w:rsidRPr="0091560A">
              <w:rPr>
                <w:rFonts w:eastAsia="Times New Roman" w:cs="Times New Roman"/>
                <w:color w:val="000000" w:themeColor="text1"/>
                <w:sz w:val="16"/>
                <w:szCs w:val="16"/>
                <w:lang w:eastAsia="en-AU"/>
              </w:rPr>
              <w:t>d</w:t>
            </w:r>
            <w:r w:rsidRPr="0091560A">
              <w:rPr>
                <w:rFonts w:eastAsia="Times New Roman" w:cs="Times New Roman"/>
                <w:color w:val="000000" w:themeColor="text1"/>
                <w:sz w:val="16"/>
                <w:szCs w:val="16"/>
                <w:lang w:eastAsia="en-AU"/>
              </w:rPr>
              <w:t>s from October 1, 2009, and September 30, 2013</w:t>
            </w:r>
          </w:p>
        </w:tc>
        <w:tc>
          <w:tcPr>
            <w:tcW w:w="1279" w:type="dxa"/>
            <w:shd w:val="clear" w:color="auto" w:fill="auto"/>
            <w:noWrap/>
          </w:tcPr>
          <w:p w14:paraId="0A5E012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867 (220 adolescents, 647 adults)</w:t>
            </w:r>
          </w:p>
        </w:tc>
        <w:tc>
          <w:tcPr>
            <w:tcW w:w="1452" w:type="dxa"/>
            <w:shd w:val="clear" w:color="auto" w:fill="auto"/>
            <w:noWrap/>
          </w:tcPr>
          <w:p w14:paraId="535FDE68"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Adolescents: Median = 16; IQR = 12-17 Adults: Median = 27; IQR = 18-88 </w:t>
            </w:r>
          </w:p>
        </w:tc>
        <w:tc>
          <w:tcPr>
            <w:tcW w:w="1417" w:type="dxa"/>
            <w:shd w:val="clear" w:color="auto" w:fill="auto"/>
            <w:noWrap/>
          </w:tcPr>
          <w:p w14:paraId="1FE42B6D"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4630" w:type="dxa"/>
            <w:shd w:val="clear" w:color="auto" w:fill="auto"/>
          </w:tcPr>
          <w:p w14:paraId="0F62C0C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Age: </w:t>
            </w:r>
            <w:r w:rsidRPr="0091560A">
              <w:rPr>
                <w:rFonts w:eastAsia="Times New Roman" w:cs="Times New Roman"/>
                <w:color w:val="000000" w:themeColor="text1"/>
                <w:sz w:val="16"/>
                <w:szCs w:val="16"/>
                <w:lang w:eastAsia="en-AU"/>
              </w:rPr>
              <w:t>Adolescents were significantly more likely to present with intentional self-poisoning and less likely to present with report of an accidental supratherapeutic ingestion of paracetamol than adults</w:t>
            </w:r>
          </w:p>
          <w:p w14:paraId="5A8B47E5" w14:textId="77777777" w:rsidR="00574EB4" w:rsidRPr="0091560A" w:rsidRDefault="00574EB4">
            <w:pPr>
              <w:spacing w:after="0" w:line="240" w:lineRule="auto"/>
              <w:rPr>
                <w:rFonts w:eastAsia="Times New Roman" w:cs="Times New Roman"/>
                <w:sz w:val="16"/>
                <w:szCs w:val="16"/>
              </w:rPr>
            </w:pPr>
            <w:r w:rsidRPr="0091560A">
              <w:rPr>
                <w:rFonts w:eastAsia="Times New Roman" w:cs="Times New Roman"/>
                <w:b/>
                <w:bCs/>
                <w:color w:val="000000" w:themeColor="text1"/>
                <w:sz w:val="16"/>
                <w:szCs w:val="16"/>
                <w:lang w:eastAsia="en-AU"/>
              </w:rPr>
              <w:t xml:space="preserve">Dosage: </w:t>
            </w:r>
            <w:r w:rsidRPr="0091560A">
              <w:rPr>
                <w:rFonts w:eastAsia="Times New Roman" w:cs="Times New Roman"/>
                <w:color w:val="000000" w:themeColor="text1"/>
                <w:sz w:val="16"/>
                <w:szCs w:val="16"/>
                <w:lang w:eastAsia="en-AU"/>
              </w:rPr>
              <w:t xml:space="preserve">No </w:t>
            </w:r>
            <w:r w:rsidRPr="0091560A">
              <w:rPr>
                <w:rFonts w:eastAsia="Times New Roman" w:cs="Times New Roman"/>
                <w:sz w:val="16"/>
                <w:szCs w:val="16"/>
              </w:rPr>
              <w:t>acetylcysteine treatment required:</w:t>
            </w:r>
            <w:r w:rsidRPr="0091560A">
              <w:rPr>
                <w:rFonts w:eastAsia="Times New Roman" w:cs="Times New Roman"/>
                <w:color w:val="000000" w:themeColor="text1"/>
                <w:sz w:val="16"/>
                <w:szCs w:val="16"/>
                <w:lang w:eastAsia="en-AU"/>
              </w:rPr>
              <w:t xml:space="preserve"> 7g (IQR = 5-10g); A</w:t>
            </w:r>
            <w:r w:rsidRPr="0091560A">
              <w:rPr>
                <w:rFonts w:eastAsia="Times New Roman" w:cs="Times New Roman"/>
                <w:sz w:val="16"/>
                <w:szCs w:val="16"/>
              </w:rPr>
              <w:t>cetylcysteine treatment required: 18g (IQR = 12-25g)</w:t>
            </w:r>
          </w:p>
        </w:tc>
      </w:tr>
      <w:tr w:rsidR="00574EB4" w:rsidRPr="0091560A" w14:paraId="163A59DB" w14:textId="77777777" w:rsidTr="0035719A">
        <w:trPr>
          <w:trHeight w:val="1188"/>
        </w:trPr>
        <w:tc>
          <w:tcPr>
            <w:tcW w:w="1456" w:type="dxa"/>
            <w:tcBorders>
              <w:top w:val="single" w:sz="4" w:space="0" w:color="auto"/>
              <w:bottom w:val="single" w:sz="4" w:space="0" w:color="auto"/>
            </w:tcBorders>
            <w:shd w:val="clear" w:color="auto" w:fill="auto"/>
            <w:noWrap/>
          </w:tcPr>
          <w:p w14:paraId="6271BEE2" w14:textId="075FFD20"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Gyamlani (2002)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&lt;EndNote&gt;&lt;Cite&gt;&lt;Author&gt;Gyamlani&lt;/Author&gt;&lt;Year&gt;2002&lt;/Year&gt;&lt;RecNum&gt;873&lt;/RecNum&gt;&lt;DisplayText&gt;(Gyamlani &amp;amp; Parikh, 2002)&lt;/DisplayText&gt;&lt;record&gt;&lt;rec-number&gt;873&lt;/rec-number&gt;&lt;foreign-keys&gt;&lt;key app="EN" db-id="90p22wx96ddedpe0r9pxtt9gzz05dd5ev299" timestamp="1657000537"&gt;873&lt;/key&gt;&lt;/foreign-keys&gt;&lt;ref-type name="Journal Article"&gt;17&lt;/ref-type&gt;&lt;contributors&gt;&lt;authors&gt;&lt;author&gt;Gyamlani, G. G.&lt;/author&gt;&lt;author&gt;Parikh, C. R.&lt;/author&gt;&lt;/authors&gt;&lt;/contributors&gt;&lt;titles&gt;&lt;title&gt;Acetaminophen toxicity: Suicidal vs accidental&lt;/title&gt;&lt;secondary-title&gt;Critical Care&lt;/secondary-title&gt;&lt;/titles&gt;&lt;pages&gt;155-159&lt;/pages&gt;&lt;volume&gt;6&lt;/volume&gt;&lt;number&gt;2&lt;/number&gt;&lt;dates&gt;&lt;year&gt;2002&lt;/year&gt;&lt;/dates&gt;&lt;urls&gt;&lt;related-urls&gt;&lt;url&gt;http://ovidsp.ovid.com/ovidweb.cgi?T=JS&amp;amp;PAGE=reference&amp;amp;D=emed7&amp;amp;NEWS=N&amp;amp;AN=34296345&lt;/url&gt;&lt;/related-urls&gt;&lt;/urls&gt;&lt;electronic-resource-num&gt;http://dx.doi.org/10.1186/cc1475&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(Gyamlani &amp; Parikh, 2002)</w:t>
            </w:r>
            <w:r w:rsidRPr="0091560A">
              <w:rPr>
                <w:rFonts w:eastAsia="Times New Roman" w:cs="Times New Roman"/>
                <w:color w:val="000000"/>
                <w:sz w:val="16"/>
                <w:szCs w:val="16"/>
                <w:lang w:eastAsia="en-AU"/>
              </w:rPr>
              <w:fldChar w:fldCharType="end"/>
            </w:r>
          </w:p>
          <w:p w14:paraId="40B4CAFA" w14:textId="77777777" w:rsidR="00574EB4" w:rsidRPr="0091560A" w:rsidRDefault="00574EB4">
            <w:pPr>
              <w:spacing w:after="0" w:line="240" w:lineRule="auto"/>
              <w:rPr>
                <w:rFonts w:eastAsia="Times New Roman" w:cs="Times New Roman"/>
                <w:color w:val="000000"/>
                <w:sz w:val="16"/>
                <w:szCs w:val="16"/>
                <w:lang w:eastAsia="en-AU"/>
              </w:rPr>
            </w:pPr>
          </w:p>
          <w:p w14:paraId="72DBC1B8" w14:textId="6CBCB3AC"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Borders>
              <w:top w:val="single" w:sz="4" w:space="0" w:color="auto"/>
              <w:bottom w:val="single" w:sz="4" w:space="0" w:color="auto"/>
            </w:tcBorders>
          </w:tcPr>
          <w:p w14:paraId="73A3951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tcBorders>
              <w:top w:val="single" w:sz="4" w:space="0" w:color="auto"/>
              <w:bottom w:val="single" w:sz="4" w:space="0" w:color="auto"/>
            </w:tcBorders>
            <w:shd w:val="clear" w:color="auto" w:fill="auto"/>
            <w:noWrap/>
          </w:tcPr>
          <w:p w14:paraId="659ABCA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tcBorders>
              <w:top w:val="single" w:sz="4" w:space="0" w:color="auto"/>
              <w:bottom w:val="single" w:sz="4" w:space="0" w:color="auto"/>
            </w:tcBorders>
            <w:shd w:val="clear" w:color="auto" w:fill="auto"/>
            <w:noWrap/>
          </w:tcPr>
          <w:p w14:paraId="7C44999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Patients with a discharge diagnosis of paracetamol overdose from January 1996 to April 1999 at the Nassau University Medical Center </w:t>
            </w:r>
          </w:p>
        </w:tc>
        <w:tc>
          <w:tcPr>
            <w:tcW w:w="1279" w:type="dxa"/>
            <w:tcBorders>
              <w:top w:val="single" w:sz="4" w:space="0" w:color="auto"/>
              <w:bottom w:val="single" w:sz="4" w:space="0" w:color="auto"/>
            </w:tcBorders>
            <w:shd w:val="clear" w:color="auto" w:fill="auto"/>
            <w:noWrap/>
          </w:tcPr>
          <w:p w14:paraId="6EC58C9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93</w:t>
            </w:r>
          </w:p>
        </w:tc>
        <w:tc>
          <w:tcPr>
            <w:tcW w:w="1452" w:type="dxa"/>
            <w:tcBorders>
              <w:top w:val="single" w:sz="4" w:space="0" w:color="auto"/>
              <w:bottom w:val="single" w:sz="4" w:space="0" w:color="auto"/>
            </w:tcBorders>
            <w:shd w:val="clear" w:color="auto" w:fill="auto"/>
            <w:noWrap/>
          </w:tcPr>
          <w:p w14:paraId="2BAFB9E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M = 27; SD = 15; range = 12-75</w:t>
            </w:r>
          </w:p>
          <w:p w14:paraId="0F7B913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Accidental:  M = 35; SD = 22, range = 1-88 </w:t>
            </w:r>
          </w:p>
        </w:tc>
        <w:tc>
          <w:tcPr>
            <w:tcW w:w="1417" w:type="dxa"/>
            <w:tcBorders>
              <w:top w:val="single" w:sz="4" w:space="0" w:color="auto"/>
              <w:bottom w:val="single" w:sz="4" w:space="0" w:color="auto"/>
            </w:tcBorders>
            <w:shd w:val="clear" w:color="auto" w:fill="auto"/>
            <w:noWrap/>
          </w:tcPr>
          <w:p w14:paraId="127D8FB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86% </w:t>
            </w:r>
          </w:p>
        </w:tc>
        <w:tc>
          <w:tcPr>
            <w:tcW w:w="4630" w:type="dxa"/>
            <w:tcBorders>
              <w:top w:val="single" w:sz="4" w:space="0" w:color="auto"/>
              <w:bottom w:val="single" w:sz="4" w:space="0" w:color="auto"/>
            </w:tcBorders>
            <w:shd w:val="clear" w:color="auto" w:fill="auto"/>
          </w:tcPr>
          <w:p w14:paraId="7600336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Suicidal intent:</w:t>
            </w:r>
            <w:r w:rsidRPr="0091560A">
              <w:rPr>
                <w:rFonts w:eastAsia="Times New Roman" w:cs="Times New Roman"/>
                <w:color w:val="000000"/>
                <w:sz w:val="16"/>
                <w:szCs w:val="16"/>
                <w:lang w:eastAsia="en-AU"/>
              </w:rPr>
              <w:t xml:space="preserve"> 100% of intentional cases had suicidal intent</w:t>
            </w:r>
          </w:p>
          <w:p w14:paraId="00C1E0C6"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Intentional cases tended to be younger than the accidental cases </w:t>
            </w:r>
          </w:p>
          <w:p w14:paraId="28D8CF4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Intentional cases had a female to male ratio of 2:1, which was not significantly different from accidental cases</w:t>
            </w:r>
          </w:p>
          <w:p w14:paraId="20952F0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 xml:space="preserve">Alcohol use: </w:t>
            </w:r>
            <w:r w:rsidRPr="0091560A">
              <w:rPr>
                <w:rFonts w:eastAsia="Times New Roman" w:cs="Times New Roman"/>
                <w:color w:val="000000" w:themeColor="text1"/>
                <w:sz w:val="16"/>
                <w:szCs w:val="16"/>
                <w:lang w:eastAsia="en-AU"/>
              </w:rPr>
              <w:t>45% also consumed alcohol during their overdose; 18% experienced chronic alcohol abuse (not significantly different from those with accidental overdose)</w:t>
            </w:r>
          </w:p>
        </w:tc>
      </w:tr>
      <w:tr w:rsidR="00574EB4" w:rsidRPr="0091560A" w14:paraId="6C1744A8" w14:textId="77777777" w:rsidTr="0035719A">
        <w:trPr>
          <w:trHeight w:val="688"/>
        </w:trPr>
        <w:tc>
          <w:tcPr>
            <w:tcW w:w="1456" w:type="dxa"/>
            <w:shd w:val="clear" w:color="auto" w:fill="auto"/>
            <w:noWrap/>
          </w:tcPr>
          <w:p w14:paraId="5795DFC4" w14:textId="48B733BD"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Haw (2015)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&lt;EndNote&gt;&lt;Cite&gt;&lt;Author&gt;Haw&lt;/Author&gt;&lt;Year&gt;2015&lt;/Year&gt;&lt;RecNum&gt;875&lt;/RecNum&gt;&lt;DisplayText&gt;(Haw et al., 2015)&lt;/DisplayText&gt;&lt;record&gt;&lt;rec-number&gt;875&lt;/rec-number&gt;&lt;foreign-keys&gt;&lt;key app="EN" db-id="90p22wx96ddedpe0r9pxtt9gzz05dd5ev299" timestamp="1657000537"&gt;875&lt;/key&gt;&lt;/foreign-keys&gt;&lt;ref-type name="Journal Article"&gt;17&lt;/ref-type&gt;&lt;contributors&gt;&lt;authors&gt;&lt;author&gt;Haw, C.&lt;/author&gt;&lt;author&gt;Casey, D.&lt;/author&gt;&lt;author&gt;Holmes, J.&lt;/author&gt;&lt;author&gt;Hawton, K.&lt;/author&gt;&lt;/authors&gt;&lt;/contributors&gt;&lt;titles&gt;&lt;title&gt;Suicidal Intent and Method of Self-Harm: A Large-scale Study of Self-Harm Patients Presenting to a General Hospital&lt;/title&gt;&lt;secondary-title&gt;Suicide &amp;amp; life-threatening behavior&lt;/secondary-title&gt;&lt;/titles&gt;&lt;pages&gt;732-746&lt;/pages&gt;&lt;volume&gt;45&lt;/volume&gt;&lt;number&gt;6&lt;/number&gt;&lt;dates&gt;&lt;year&gt;2015&lt;/year&gt;&lt;/dates&gt;&lt;urls&gt;&lt;related-urls&gt;&lt;url&gt;http://ovidsp.ovid.com/ovidweb.cgi?T=JS&amp;amp;PAGE=reference&amp;amp;D=emed16&amp;amp;NEWS=N&amp;amp;AN=611791816&lt;/url&gt;&lt;/related-urls&gt;&lt;/urls&gt;&lt;electronic-resource-num&gt;http://dx.doi.org/10.1111/sltb.12168&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(Haw et al., 2015)</w:t>
            </w:r>
            <w:r w:rsidRPr="0091560A">
              <w:rPr>
                <w:rFonts w:eastAsia="Times New Roman" w:cs="Times New Roman"/>
                <w:color w:val="000000"/>
                <w:sz w:val="16"/>
                <w:szCs w:val="16"/>
                <w:lang w:eastAsia="en-AU"/>
              </w:rPr>
              <w:fldChar w:fldCharType="end"/>
            </w:r>
          </w:p>
          <w:p w14:paraId="2BB6430D" w14:textId="77777777" w:rsidR="00574EB4" w:rsidRPr="0091560A" w:rsidRDefault="00574EB4">
            <w:pPr>
              <w:spacing w:after="0" w:line="240" w:lineRule="auto"/>
              <w:rPr>
                <w:rFonts w:eastAsia="Times New Roman" w:cs="Times New Roman"/>
                <w:color w:val="000000"/>
                <w:sz w:val="16"/>
                <w:szCs w:val="16"/>
                <w:lang w:eastAsia="en-AU"/>
              </w:rPr>
            </w:pPr>
          </w:p>
          <w:p w14:paraId="0A37079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UK</w:t>
            </w:r>
          </w:p>
        </w:tc>
        <w:tc>
          <w:tcPr>
            <w:tcW w:w="1232" w:type="dxa"/>
          </w:tcPr>
          <w:p w14:paraId="7C2BED3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3C387FB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Paracetamol </w:t>
            </w:r>
          </w:p>
          <w:p w14:paraId="5E8891C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(other self-poisoning drugs)  </w:t>
            </w:r>
          </w:p>
        </w:tc>
        <w:tc>
          <w:tcPr>
            <w:tcW w:w="2409" w:type="dxa"/>
            <w:shd w:val="clear" w:color="auto" w:fill="auto"/>
            <w:noWrap/>
          </w:tcPr>
          <w:p w14:paraId="384D7AA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who presented to John Radcliffe Hospital in Oxford following an episode of self-harm from 2004</w:t>
            </w:r>
            <w:r w:rsidRPr="0091560A" w:rsidDel="00D2000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2011, identified via the Oxford Monitoring</w:t>
            </w:r>
            <w:r w:rsidRPr="0091560A" w:rsidDel="15B347E2">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System for Attempted</w:t>
            </w:r>
            <w:r w:rsidRPr="0091560A" w:rsidDel="15B347E2">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Suicide who had undergone psychosocial assessment</w:t>
            </w:r>
          </w:p>
        </w:tc>
        <w:tc>
          <w:tcPr>
            <w:tcW w:w="1279" w:type="dxa"/>
            <w:shd w:val="clear" w:color="auto" w:fill="auto"/>
            <w:noWrap/>
          </w:tcPr>
          <w:p w14:paraId="0F66253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2,164 single method self-poisonings (892 with paracetamol, 1,272 with another drug) </w:t>
            </w:r>
          </w:p>
        </w:tc>
        <w:tc>
          <w:tcPr>
            <w:tcW w:w="1452" w:type="dxa"/>
            <w:shd w:val="clear" w:color="auto" w:fill="auto"/>
            <w:noWrap/>
          </w:tcPr>
          <w:p w14:paraId="5CAE87B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Range = 12+ </w:t>
            </w:r>
          </w:p>
        </w:tc>
        <w:tc>
          <w:tcPr>
            <w:tcW w:w="1417" w:type="dxa"/>
            <w:shd w:val="clear" w:color="auto" w:fill="auto"/>
            <w:noWrap/>
          </w:tcPr>
          <w:p w14:paraId="2E9893E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2E6ECF6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People who self-poisoned with paracetamol (pure paracetamol, co-proxamol or other paracetamol compounds) had significantly lower median scores on the Suicidal Intent Scale than people who self-poisoned with salicylates, gas, or opiates and recreational drugs. There was no significant difference in suicidal intent for self-poisoning with paracetamol compared to antidepressants, benzodiazepines and hypnotics, major tranquilisers, mood stabilisers, non-ingestible poisons, nonsteroidal analgesics, other prescribed medicines, or other drugs</w:t>
            </w:r>
          </w:p>
        </w:tc>
      </w:tr>
      <w:tr w:rsidR="00574EB4" w:rsidRPr="0091560A" w14:paraId="10203D81" w14:textId="77777777" w:rsidTr="0035719A">
        <w:trPr>
          <w:trHeight w:val="688"/>
        </w:trPr>
        <w:tc>
          <w:tcPr>
            <w:tcW w:w="1456" w:type="dxa"/>
            <w:shd w:val="clear" w:color="auto" w:fill="auto"/>
            <w:noWrap/>
          </w:tcPr>
          <w:p w14:paraId="53B1E19B" w14:textId="134810DB"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Hawton (1996)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(K. Hawton et al., 1996)</w:t>
            </w:r>
            <w:r w:rsidRPr="0091560A">
              <w:rPr>
                <w:rFonts w:eastAsia="Times New Roman" w:cs="Times New Roman"/>
                <w:color w:val="000000"/>
                <w:sz w:val="16"/>
                <w:szCs w:val="16"/>
                <w:lang w:eastAsia="en-AU"/>
              </w:rPr>
              <w:fldChar w:fldCharType="end"/>
            </w:r>
          </w:p>
          <w:p w14:paraId="6A28EBD2" w14:textId="77777777" w:rsidR="00574EB4" w:rsidRPr="0091560A" w:rsidRDefault="00574EB4">
            <w:pPr>
              <w:spacing w:after="0" w:line="240" w:lineRule="auto"/>
              <w:rPr>
                <w:rFonts w:eastAsia="Times New Roman" w:cs="Times New Roman"/>
                <w:color w:val="000000"/>
                <w:sz w:val="16"/>
                <w:szCs w:val="16"/>
                <w:lang w:eastAsia="en-AU"/>
              </w:rPr>
            </w:pPr>
          </w:p>
          <w:p w14:paraId="3EEBC27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England, UK</w:t>
            </w:r>
          </w:p>
        </w:tc>
        <w:tc>
          <w:tcPr>
            <w:tcW w:w="1232" w:type="dxa"/>
          </w:tcPr>
          <w:p w14:paraId="758F12C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Qualitative </w:t>
            </w:r>
          </w:p>
        </w:tc>
        <w:tc>
          <w:tcPr>
            <w:tcW w:w="1429" w:type="dxa"/>
            <w:shd w:val="clear" w:color="auto" w:fill="auto"/>
            <w:noWrap/>
          </w:tcPr>
          <w:p w14:paraId="0CD0898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3738D81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Consecutive self-poisoning patients who were admitted to the John Radcliffe Hospital in Oxford from September 1992 to March 1993, having taken overdoses of paracetamol or paracetamol-containing compounds, or both</w:t>
            </w:r>
          </w:p>
        </w:tc>
        <w:tc>
          <w:tcPr>
            <w:tcW w:w="1279" w:type="dxa"/>
            <w:shd w:val="clear" w:color="auto" w:fill="auto"/>
            <w:noWrap/>
          </w:tcPr>
          <w:p w14:paraId="1AC687E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80</w:t>
            </w:r>
          </w:p>
        </w:tc>
        <w:tc>
          <w:tcPr>
            <w:tcW w:w="1452" w:type="dxa"/>
            <w:shd w:val="clear" w:color="auto" w:fill="auto"/>
            <w:noWrap/>
          </w:tcPr>
          <w:p w14:paraId="4D578BF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13-20 = 40%</w:t>
            </w:r>
          </w:p>
          <w:p w14:paraId="32A08826"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21-35 = 40%</w:t>
            </w:r>
          </w:p>
          <w:p w14:paraId="5393ED5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36+ = 20% </w:t>
            </w:r>
          </w:p>
          <w:p w14:paraId="6D055D79" w14:textId="77777777" w:rsidR="00574EB4" w:rsidRPr="0091560A" w:rsidRDefault="00574EB4">
            <w:pPr>
              <w:spacing w:after="0" w:line="240" w:lineRule="auto"/>
              <w:rPr>
                <w:rFonts w:eastAsia="Times New Roman" w:cs="Times New Roman"/>
                <w:color w:val="000000"/>
                <w:sz w:val="16"/>
                <w:szCs w:val="16"/>
                <w:lang w:eastAsia="en-AU"/>
              </w:rPr>
            </w:pPr>
          </w:p>
        </w:tc>
        <w:tc>
          <w:tcPr>
            <w:tcW w:w="1417" w:type="dxa"/>
            <w:shd w:val="clear" w:color="auto" w:fill="auto"/>
            <w:noWrap/>
          </w:tcPr>
          <w:p w14:paraId="01DFEB9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w:t>
            </w:r>
          </w:p>
        </w:tc>
        <w:tc>
          <w:tcPr>
            <w:tcW w:w="4630" w:type="dxa"/>
            <w:shd w:val="clear" w:color="auto" w:fill="auto"/>
          </w:tcPr>
          <w:p w14:paraId="065E94D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Sex:</w:t>
            </w:r>
            <w:r w:rsidRPr="0091560A">
              <w:rPr>
                <w:rFonts w:eastAsia="Times New Roman" w:cs="Times New Roman"/>
                <w:color w:val="000000" w:themeColor="text1"/>
                <w:sz w:val="16"/>
                <w:szCs w:val="16"/>
                <w:lang w:eastAsia="en-AU"/>
              </w:rPr>
              <w:t xml:space="preserve"> Self-poisoners included more females (66%) than males (34%)</w:t>
            </w:r>
          </w:p>
          <w:p w14:paraId="7581D04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Mental health symptoms:</w:t>
            </w:r>
            <w:r w:rsidRPr="0091560A">
              <w:rPr>
                <w:rFonts w:eastAsia="Times New Roman" w:cs="Times New Roman"/>
                <w:color w:val="000000" w:themeColor="text1"/>
                <w:sz w:val="16"/>
                <w:szCs w:val="16"/>
                <w:lang w:eastAsia="en-AU"/>
              </w:rPr>
              <w:t xml:space="preserve"> 47% moderate to severe depressive symptoms</w:t>
            </w:r>
            <w:r w:rsidRPr="0091560A">
              <w:rPr>
                <w:rFonts w:cs="Times New Roman"/>
              </w:rPr>
              <w:br/>
            </w:r>
            <w:r w:rsidRPr="0091560A">
              <w:rPr>
                <w:rFonts w:eastAsia="Times New Roman" w:cs="Times New Roman"/>
                <w:b/>
                <w:bCs/>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48% previous self-harm; 29% previous paracetamol self-poisoning</w:t>
            </w:r>
            <w:r w:rsidRPr="0091560A">
              <w:rPr>
                <w:rFonts w:cs="Times New Roman"/>
              </w:rPr>
              <w:br/>
            </w:r>
            <w:r w:rsidRPr="0091560A">
              <w:rPr>
                <w:rFonts w:eastAsia="Times New Roman" w:cs="Times New Roman"/>
                <w:b/>
                <w:bCs/>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60% reported low to moderate suicidal intent according to SIS. Clinical assessors thought 39% participants wanted to die, 25% had not wanted to die, and 36% did not mind either way. Cases who took more than 25 tablets had higher suicidal intent than those who took 25 or less tablets</w:t>
            </w:r>
            <w:r w:rsidRPr="0091560A">
              <w:rPr>
                <w:rFonts w:cs="Times New Roman"/>
              </w:rPr>
              <w:br/>
            </w:r>
            <w:r w:rsidRPr="0091560A">
              <w:rPr>
                <w:rFonts w:eastAsia="Times New Roman" w:cs="Times New Roman"/>
                <w:b/>
                <w:bCs/>
                <w:color w:val="000000" w:themeColor="text1"/>
                <w:sz w:val="16"/>
                <w:szCs w:val="16"/>
                <w:lang w:eastAsia="en-AU"/>
              </w:rPr>
              <w:t xml:space="preserve">Co-ingestion substances: </w:t>
            </w:r>
            <w:r w:rsidRPr="0091560A">
              <w:rPr>
                <w:rFonts w:eastAsia="Times New Roman" w:cs="Times New Roman"/>
                <w:color w:val="000000" w:themeColor="text1"/>
                <w:sz w:val="16"/>
                <w:szCs w:val="16"/>
                <w:lang w:eastAsia="en-AU"/>
              </w:rPr>
              <w:t>25% took other substances in addition to paracetamol</w:t>
            </w:r>
            <w:r w:rsidRPr="0091560A">
              <w:rPr>
                <w:rFonts w:cs="Times New Roman"/>
              </w:rPr>
              <w:br/>
            </w:r>
            <w:r w:rsidRPr="0091560A">
              <w:rPr>
                <w:rFonts w:eastAsia="Times New Roman" w:cs="Times New Roman"/>
                <w:b/>
                <w:bCs/>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23% also consumed alcohol</w:t>
            </w:r>
            <w:r w:rsidRPr="0091560A">
              <w:rPr>
                <w:rFonts w:cs="Times New Roman"/>
              </w:rPr>
              <w:br/>
            </w:r>
            <w:r w:rsidRPr="0091560A">
              <w:rPr>
                <w:rFonts w:eastAsia="Times New Roman" w:cs="Times New Roman"/>
                <w:b/>
                <w:bCs/>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The number of tablets taken were 1-25 (35 patients), 26-50 (27 patients), &gt;50 (15 patients), unknown (3 patients)</w:t>
            </w:r>
          </w:p>
        </w:tc>
      </w:tr>
      <w:tr w:rsidR="00574EB4" w:rsidRPr="0091560A" w14:paraId="328DFFD3" w14:textId="77777777" w:rsidTr="0035719A">
        <w:trPr>
          <w:trHeight w:val="1013"/>
        </w:trPr>
        <w:tc>
          <w:tcPr>
            <w:tcW w:w="1456" w:type="dxa"/>
            <w:shd w:val="clear" w:color="auto" w:fill="auto"/>
            <w:noWrap/>
          </w:tcPr>
          <w:p w14:paraId="3FE44306" w14:textId="0F27819F"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Hawton (2003)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&lt;EndNote&gt;&lt;Cite&gt;&lt;Author&gt;Hawton&lt;/Author&gt;&lt;Year&gt;2003&lt;/Year&gt;&lt;RecNum&gt;882&lt;/RecNum&gt;&lt;DisplayText&gt;(K. Hawton et al., 2003)&lt;/DisplayText&gt;&lt;record&gt;&lt;rec-number&gt;882&lt;/rec-number&gt;&lt;foreign-keys&gt;&lt;key app="EN" db-id="90p22wx96ddedpe0r9pxtt9gzz05dd5ev299" timestamp="1657000537"&gt;882&lt;/key&gt;&lt;/foreign-keys&gt;&lt;ref-type name="Journal Article"&gt;17&lt;/ref-type&gt;&lt;contributors&gt;&lt;authors&gt;&lt;author&gt;Hawton, K.&lt;/author&gt;&lt;author&gt;Simkin, S.&lt;/author&gt;&lt;author&gt;Deeks, J.&lt;/author&gt;&lt;/authors&gt;&lt;/contributors&gt;&lt;titles&gt;&lt;title&gt;Co-proxamol and suicide: A study of national mortality statistics and local non-fatal self poisonings&lt;/title&gt;&lt;secondary-title&gt;British Medical Journal&lt;/secondary-title&gt;&lt;/titles&gt;&lt;pages&gt;1006-1008&lt;/pages&gt;&lt;volume&gt;326&lt;/volume&gt;&lt;number&gt;7397&lt;/number&gt;&lt;dates&gt;&lt;year&gt;2003&lt;/year&gt;&lt;/dates&gt;&lt;urls&gt;&lt;related-urls&gt;&lt;url&gt;http://www.bmj.com/http://ovidsp.ovid.com/ovidweb.cgi?T=JS&amp;amp;PAGE=reference&amp;amp;D=emed22&amp;amp;NEWS=N&amp;amp;AN=36566857&lt;/url&gt;&lt;/related-urls&gt;&lt;/urls&gt;&lt;electronic-resource-num&gt;http://dx.doi.org/10.1136/bmj.326.7397.1006&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(K. Hawton et al., 2003)</w:t>
            </w:r>
            <w:r w:rsidRPr="0091560A">
              <w:rPr>
                <w:rFonts w:eastAsia="Times New Roman" w:cs="Times New Roman"/>
                <w:color w:val="000000" w:themeColor="text1"/>
                <w:sz w:val="16"/>
                <w:szCs w:val="16"/>
                <w:lang w:eastAsia="en-AU"/>
              </w:rPr>
              <w:fldChar w:fldCharType="end"/>
            </w:r>
          </w:p>
          <w:p w14:paraId="32EC09C2"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England &amp; Wales, UK</w:t>
            </w:r>
          </w:p>
        </w:tc>
        <w:tc>
          <w:tcPr>
            <w:tcW w:w="1232" w:type="dxa"/>
          </w:tcPr>
          <w:p w14:paraId="243F2362"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253D1A2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Paracetamol </w:t>
            </w:r>
          </w:p>
          <w:p w14:paraId="342122C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(other self-poisoning drugs)</w:t>
            </w:r>
          </w:p>
          <w:p w14:paraId="76413477"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2409" w:type="dxa"/>
            <w:shd w:val="clear" w:color="auto" w:fill="auto"/>
            <w:noWrap/>
          </w:tcPr>
          <w:p w14:paraId="3E86AE32" w14:textId="77777777" w:rsidR="00574EB4" w:rsidRPr="0091560A" w:rsidRDefault="00574EB4">
            <w:pPr>
              <w:spacing w:line="240" w:lineRule="auto"/>
              <w:rPr>
                <w:rFonts w:cs="Times New Roman"/>
              </w:rPr>
            </w:pPr>
            <w:r w:rsidRPr="0091560A">
              <w:rPr>
                <w:rFonts w:eastAsia="Times New Roman" w:cs="Times New Roman"/>
                <w:sz w:val="16"/>
                <w:szCs w:val="16"/>
              </w:rPr>
              <w:t>Data from the Office for National Statistics on deaths in people aged 10 years and over in England and Wales from 1997 to 1999</w:t>
            </w:r>
          </w:p>
        </w:tc>
        <w:tc>
          <w:tcPr>
            <w:tcW w:w="1279" w:type="dxa"/>
            <w:shd w:val="clear" w:color="auto" w:fill="auto"/>
            <w:noWrap/>
          </w:tcPr>
          <w:p w14:paraId="4FD57C78"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4,162 (368 paracetamol alone deaths)</w:t>
            </w:r>
          </w:p>
        </w:tc>
        <w:tc>
          <w:tcPr>
            <w:tcW w:w="1452" w:type="dxa"/>
            <w:shd w:val="clear" w:color="auto" w:fill="auto"/>
            <w:noWrap/>
          </w:tcPr>
          <w:p w14:paraId="4C14EC4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Range = 10+ </w:t>
            </w:r>
          </w:p>
        </w:tc>
        <w:tc>
          <w:tcPr>
            <w:tcW w:w="1417" w:type="dxa"/>
            <w:shd w:val="clear" w:color="auto" w:fill="auto"/>
            <w:noWrap/>
          </w:tcPr>
          <w:p w14:paraId="59B9FE3E"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4F5B7A2C" w14:textId="77777777" w:rsidR="00574EB4" w:rsidRPr="0091560A" w:rsidRDefault="00574EB4">
            <w:pPr>
              <w:spacing w:after="0" w:line="240" w:lineRule="auto"/>
              <w:contextualSpacing/>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Sex: </w:t>
            </w:r>
            <w:r w:rsidRPr="0091560A">
              <w:rPr>
                <w:rFonts w:eastAsia="Times New Roman" w:cs="Times New Roman"/>
                <w:color w:val="000000" w:themeColor="text1"/>
                <w:sz w:val="16"/>
                <w:szCs w:val="16"/>
                <w:lang w:eastAsia="en-AU"/>
              </w:rPr>
              <w:t>Women more likely to use paracetamol alone than men</w:t>
            </w:r>
          </w:p>
          <w:p w14:paraId="036AC82C" w14:textId="77777777" w:rsidR="00574EB4" w:rsidRPr="0091560A" w:rsidRDefault="00574EB4">
            <w:pPr>
              <w:spacing w:after="0" w:line="240" w:lineRule="auto"/>
              <w:contextualSpacing/>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The use of paracetamol alone increased with age</w:t>
            </w:r>
          </w:p>
        </w:tc>
      </w:tr>
      <w:tr w:rsidR="00574EB4" w:rsidRPr="0091560A" w14:paraId="03C00660" w14:textId="77777777" w:rsidTr="0035719A">
        <w:trPr>
          <w:trHeight w:val="688"/>
        </w:trPr>
        <w:tc>
          <w:tcPr>
            <w:tcW w:w="1456" w:type="dxa"/>
            <w:shd w:val="clear" w:color="auto" w:fill="auto"/>
            <w:noWrap/>
          </w:tcPr>
          <w:p w14:paraId="0C9C1234" w14:textId="772E7C81"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Hawton (2007)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&lt;EndNote&gt;&lt;Cite&gt;&lt;Author&gt;Hawton&lt;/Author&gt;&lt;Year&gt;2007&lt;/Year&gt;&lt;RecNum&gt;877&lt;/RecNum&gt;&lt;DisplayText&gt;(K. Hawton et al., 2007)&lt;/DisplayText&gt;&lt;record&gt;&lt;rec-number&gt;877&lt;/rec-number&gt;&lt;foreign-keys&gt;&lt;key app="EN" db-id="90p22wx96ddedpe0r9pxtt9gzz05dd5ev299" timestamp="1657000537"&gt;877&lt;/key&gt;&lt;/foreign-keys&gt;&lt;ref-type name="Journal Article"&gt;17&lt;/ref-type&gt;&lt;contributors&gt;&lt;authors&gt;&lt;author&gt;Hawton, Keith&lt;/author&gt;&lt;author&gt;Bergen, Helen&lt;/author&gt;&lt;author&gt;Casey, Deborah&lt;/author&gt;&lt;author&gt;Simkin, Sue&lt;/author&gt;&lt;author&gt;Palmer, Ben&lt;/author&gt;&lt;author&gt;Cooper, Jayne&lt;/author&gt;&lt;author&gt;Kapur, Nav&lt;/author&gt;&lt;author&gt;Horrocks, Judith&lt;/author&gt;&lt;author&gt;House, Allan&lt;/author&gt;&lt;author&gt;Lilley, Rachael&lt;/author&gt;&lt;author&gt;Noble, Rachael&lt;/author&gt;&lt;author&gt;Owens, David&lt;/author&gt;&lt;/authors&gt;&lt;/contributors&gt;&lt;titles&gt;&lt;title&gt;Self-harm in England: A tale of three cities: Multicentre study of self-harm&lt;/title&gt;&lt;secondary-title&gt;Social Psychiatry and Psychiatric Epidemiology: The International Journal for Research in Social and Genetic Epidemiology and Mental Health Services&lt;/secondary-title&gt;&lt;/titles&gt;&lt;pages&gt;513-521&lt;/pages&gt;&lt;volume&gt;42&lt;/volume&gt;&lt;number&gt;7&lt;/number&gt;&lt;dates&gt;&lt;year&gt;2007&lt;/year&gt;&lt;/dates&gt;&lt;urls&gt;&lt;related-urls&gt;&lt;url&gt;http://ovidsp.ovid.com/ovidweb.cgi?T=JS&amp;amp;PAGE=reference&amp;amp;D=psyc5&amp;amp;NEWS=N&amp;amp;AN=2008-08076-001&lt;/url&gt;&lt;/related-urls&gt;&lt;/urls&gt;&lt;electronic-resource-num&gt;https://dx.doi.org/10.1007/s00127-007-0199-7&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(K. Hawton et al., 2007)</w:t>
            </w:r>
            <w:r w:rsidRPr="0091560A">
              <w:rPr>
                <w:rFonts w:eastAsia="Times New Roman" w:cs="Times New Roman"/>
                <w:color w:val="000000"/>
                <w:sz w:val="16"/>
                <w:szCs w:val="16"/>
                <w:lang w:eastAsia="en-AU"/>
              </w:rPr>
              <w:fldChar w:fldCharType="end"/>
            </w:r>
          </w:p>
          <w:p w14:paraId="5A73127B" w14:textId="77777777" w:rsidR="00574EB4" w:rsidRPr="0091560A" w:rsidRDefault="00574EB4">
            <w:pPr>
              <w:spacing w:after="0" w:line="240" w:lineRule="auto"/>
              <w:rPr>
                <w:rFonts w:eastAsia="Times New Roman" w:cs="Times New Roman"/>
                <w:color w:val="000000"/>
                <w:sz w:val="16"/>
                <w:szCs w:val="16"/>
                <w:lang w:eastAsia="en-AU"/>
              </w:rPr>
            </w:pPr>
          </w:p>
          <w:p w14:paraId="0B98DE5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England, UK</w:t>
            </w:r>
          </w:p>
        </w:tc>
        <w:tc>
          <w:tcPr>
            <w:tcW w:w="1232" w:type="dxa"/>
          </w:tcPr>
          <w:p w14:paraId="02975BE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03AE20D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 (other self-poisoning drugs)</w:t>
            </w:r>
          </w:p>
        </w:tc>
        <w:tc>
          <w:tcPr>
            <w:tcW w:w="2409" w:type="dxa"/>
            <w:shd w:val="clear" w:color="auto" w:fill="auto"/>
            <w:noWrap/>
          </w:tcPr>
          <w:p w14:paraId="4A2D8842" w14:textId="51DCFE14"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who presented with self-harm to E</w:t>
            </w:r>
            <w:r w:rsidR="00787E88" w:rsidRPr="0091560A">
              <w:rPr>
                <w:rFonts w:eastAsia="Times New Roman" w:cs="Times New Roman"/>
                <w:color w:val="000000" w:themeColor="text1"/>
                <w:sz w:val="16"/>
                <w:szCs w:val="16"/>
                <w:lang w:eastAsia="en-AU"/>
              </w:rPr>
              <w:t>d</w:t>
            </w:r>
            <w:r w:rsidRPr="0091560A">
              <w:rPr>
                <w:rFonts w:eastAsia="Times New Roman" w:cs="Times New Roman"/>
                <w:color w:val="000000" w:themeColor="text1"/>
                <w:sz w:val="16"/>
                <w:szCs w:val="16"/>
                <w:lang w:eastAsia="en-AU"/>
              </w:rPr>
              <w:t>s at general hospitals in Oxford (one hospital), Manchester (three hospitals) and Leeds (two hospitals) from</w:t>
            </w:r>
            <w:r w:rsidRPr="0091560A" w:rsidDel="00521EE8">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March 1, 2000, to August 31, 2001</w:t>
            </w:r>
          </w:p>
        </w:tc>
        <w:tc>
          <w:tcPr>
            <w:tcW w:w="1279" w:type="dxa"/>
            <w:shd w:val="clear" w:color="auto" w:fill="auto"/>
            <w:noWrap/>
          </w:tcPr>
          <w:p w14:paraId="4FD11B6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7,344 (all cases of self-harm; not specific to self-poisoning)</w:t>
            </w:r>
          </w:p>
        </w:tc>
        <w:tc>
          <w:tcPr>
            <w:tcW w:w="1452" w:type="dxa"/>
            <w:shd w:val="clear" w:color="auto" w:fill="auto"/>
            <w:noWrap/>
          </w:tcPr>
          <w:p w14:paraId="2414AA9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ages</w:t>
            </w:r>
          </w:p>
        </w:tc>
        <w:tc>
          <w:tcPr>
            <w:tcW w:w="1417" w:type="dxa"/>
            <w:shd w:val="clear" w:color="auto" w:fill="auto"/>
            <w:noWrap/>
          </w:tcPr>
          <w:p w14:paraId="47E02AF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7DDDC2C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More females than males used paracetamol for self-poisoning</w:t>
            </w:r>
          </w:p>
          <w:p w14:paraId="3F859C0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Proportion of self-poisonings involving paracetamol decreased with increasing age</w:t>
            </w:r>
          </w:p>
        </w:tc>
      </w:tr>
      <w:tr w:rsidR="00574EB4" w:rsidRPr="0091560A" w14:paraId="6AA96D5B" w14:textId="77777777" w:rsidTr="0035719A">
        <w:trPr>
          <w:trHeight w:val="688"/>
        </w:trPr>
        <w:tc>
          <w:tcPr>
            <w:tcW w:w="1456" w:type="dxa"/>
            <w:shd w:val="clear" w:color="auto" w:fill="auto"/>
            <w:noWrap/>
          </w:tcPr>
          <w:p w14:paraId="78C14313" w14:textId="6C9ACFC5" w:rsidR="00574EB4" w:rsidRPr="0091560A" w:rsidRDefault="00574EB4">
            <w:pPr>
              <w:spacing w:after="0" w:line="240" w:lineRule="auto"/>
              <w:textAlignment w:val="baseline"/>
              <w:rPr>
                <w:rFonts w:eastAsia="Times New Roman" w:cs="Times New Roman"/>
                <w:b/>
                <w:sz w:val="16"/>
                <w:szCs w:val="16"/>
                <w:lang w:eastAsia="en-AU"/>
              </w:rPr>
            </w:pPr>
            <w:r w:rsidRPr="0091560A">
              <w:rPr>
                <w:rFonts w:eastAsia="Times New Roman" w:cs="Times New Roman"/>
                <w:b/>
                <w:sz w:val="16"/>
                <w:szCs w:val="16"/>
                <w:lang w:eastAsia="en-AU"/>
              </w:rPr>
              <w:t xml:space="preserve">Hawton (2008) </w:t>
            </w:r>
            <w:r w:rsidRPr="0091560A">
              <w:rPr>
                <w:rFonts w:eastAsia="Times New Roman" w:cs="Times New Roman"/>
                <w:bCs/>
                <w:sz w:val="16"/>
                <w:szCs w:val="16"/>
                <w:lang w:eastAsia="en-AU"/>
              </w:rPr>
              <w:fldChar w:fldCharType="begin"/>
            </w:r>
            <w:r w:rsidR="00D709C3" w:rsidRPr="0091560A">
              <w:rPr>
                <w:rFonts w:eastAsia="Times New Roman" w:cs="Times New Roman"/>
                <w:bCs/>
                <w:sz w:val="16"/>
                <w:szCs w:val="16"/>
                <w:lang w:eastAsia="en-AU"/>
              </w:rPr>
              <w:instrText xml:space="preserve"> ADDIN EN.CITE &lt;EndNote&gt;&lt;Cite&gt;&lt;Author&gt;Hawton&lt;/Author&gt;&lt;Year&gt;2008&lt;/Year&gt;&lt;RecNum&gt;933&lt;/RecNum&gt;&lt;DisplayText&gt;(K. Hawton, Harriss, L., 2008)&lt;/DisplayText&gt;&lt;record&gt;&lt;rec-number&gt;933&lt;/rec-number&gt;&lt;foreign-keys&gt;&lt;key app="EN" db-id="90p22wx96ddedpe0r9pxtt9gzz05dd5ev299" timestamp="1658378945"&gt;933&lt;/key&gt;&lt;/foreign-keys&gt;&lt;ref-type name="Journal Article"&gt;17&lt;/ref-type&gt;&lt;contributors&gt;&lt;authors&gt;&lt;author&gt;Hawton, K., Harriss, L.&lt;/author&gt;&lt;/authors&gt;&lt;/contributors&gt;&lt;titles&gt;&lt;title&gt;Deliberate self-harm by under-15-year-olds: characteristics, trends and outcome&lt;/title&gt;&lt;secondary-title&gt;Journal of Child Psychology and Psychiatry&lt;/secondary-title&gt;&lt;/titles&gt;&lt;pages&gt;441-448&lt;/pages&gt;&lt;volume&gt;49&lt;/volume&gt;&lt;dates&gt;&lt;year&gt;2008&lt;/year&gt;&lt;/dates&gt;&lt;urls&gt;&lt;/urls&gt;&lt;/record&gt;&lt;/Cite&gt;&lt;/EndNote&gt;</w:instrText>
            </w:r>
            <w:r w:rsidRPr="0091560A">
              <w:rPr>
                <w:rFonts w:eastAsia="Times New Roman" w:cs="Times New Roman"/>
                <w:bCs/>
                <w:sz w:val="16"/>
                <w:szCs w:val="16"/>
                <w:lang w:eastAsia="en-AU"/>
              </w:rPr>
              <w:fldChar w:fldCharType="separate"/>
            </w:r>
            <w:r w:rsidRPr="0091560A">
              <w:rPr>
                <w:rFonts w:eastAsia="Times New Roman" w:cs="Times New Roman"/>
                <w:bCs/>
                <w:noProof/>
                <w:sz w:val="16"/>
                <w:szCs w:val="16"/>
                <w:lang w:eastAsia="en-AU"/>
              </w:rPr>
              <w:t>(K. Hawton, Harriss, L., 2008)</w:t>
            </w:r>
            <w:r w:rsidRPr="0091560A">
              <w:rPr>
                <w:rFonts w:eastAsia="Times New Roman" w:cs="Times New Roman"/>
                <w:bCs/>
                <w:sz w:val="16"/>
                <w:szCs w:val="16"/>
                <w:lang w:eastAsia="en-AU"/>
              </w:rPr>
              <w:fldChar w:fldCharType="end"/>
            </w:r>
          </w:p>
          <w:p w14:paraId="29372491" w14:textId="77777777" w:rsidR="00574EB4" w:rsidRPr="0091560A" w:rsidRDefault="00574EB4">
            <w:pPr>
              <w:spacing w:after="0" w:line="240" w:lineRule="auto"/>
              <w:textAlignment w:val="baseline"/>
              <w:rPr>
                <w:rFonts w:eastAsia="Times New Roman" w:cs="Times New Roman"/>
                <w:sz w:val="16"/>
                <w:szCs w:val="16"/>
                <w:lang w:eastAsia="en-AU"/>
              </w:rPr>
            </w:pPr>
          </w:p>
          <w:p w14:paraId="4382A179"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sz w:val="16"/>
                <w:szCs w:val="16"/>
                <w:lang w:eastAsia="en-AU"/>
              </w:rPr>
              <w:t>UK</w:t>
            </w:r>
          </w:p>
        </w:tc>
        <w:tc>
          <w:tcPr>
            <w:tcW w:w="1232" w:type="dxa"/>
          </w:tcPr>
          <w:p w14:paraId="05796DC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E756EC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 and compounds</w:t>
            </w:r>
          </w:p>
        </w:tc>
        <w:tc>
          <w:tcPr>
            <w:tcW w:w="2409" w:type="dxa"/>
            <w:shd w:val="clear" w:color="auto" w:fill="auto"/>
            <w:noWrap/>
          </w:tcPr>
          <w:p w14:paraId="1A28331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presenting to a general hospital following deliberate self-harm from</w:t>
            </w:r>
            <w:r w:rsidRPr="0091560A" w:rsidDel="00521EE8">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January 1, 1978, to December 31, 2003</w:t>
            </w:r>
          </w:p>
        </w:tc>
        <w:tc>
          <w:tcPr>
            <w:tcW w:w="1279" w:type="dxa"/>
            <w:shd w:val="clear" w:color="auto" w:fill="auto"/>
            <w:noWrap/>
          </w:tcPr>
          <w:p w14:paraId="133DE9C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710 individuals (831 episodes)</w:t>
            </w:r>
          </w:p>
        </w:tc>
        <w:tc>
          <w:tcPr>
            <w:tcW w:w="1452" w:type="dxa"/>
            <w:shd w:val="clear" w:color="auto" w:fill="auto"/>
            <w:noWrap/>
          </w:tcPr>
          <w:p w14:paraId="493E5601"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8 = 0.1%</w:t>
            </w:r>
          </w:p>
          <w:p w14:paraId="77762E9D"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9 = 0.1%</w:t>
            </w:r>
          </w:p>
          <w:p w14:paraId="0BE73D77"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10 = 1.3%</w:t>
            </w:r>
          </w:p>
          <w:p w14:paraId="412DBE98"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11 = 2.4%</w:t>
            </w:r>
          </w:p>
          <w:p w14:paraId="12F5A82F"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12 = 9.3%</w:t>
            </w:r>
          </w:p>
          <w:p w14:paraId="7541DA2E" w14:textId="77777777" w:rsidR="00574EB4" w:rsidRPr="0091560A" w:rsidRDefault="00574EB4">
            <w:pPr>
              <w:spacing w:after="0" w:line="240" w:lineRule="auto"/>
              <w:textAlignment w:val="baseline"/>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13 = 27.7%</w:t>
            </w:r>
          </w:p>
          <w:p w14:paraId="7A5BFF0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14 = 59.0%</w:t>
            </w:r>
          </w:p>
        </w:tc>
        <w:tc>
          <w:tcPr>
            <w:tcW w:w="1417" w:type="dxa"/>
            <w:shd w:val="clear" w:color="auto" w:fill="auto"/>
            <w:noWrap/>
          </w:tcPr>
          <w:p w14:paraId="3652E9E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25E5598E"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Sex: </w:t>
            </w:r>
            <w:r w:rsidRPr="0091560A">
              <w:rPr>
                <w:rFonts w:eastAsia="Times New Roman" w:cs="Times New Roman"/>
                <w:color w:val="000000"/>
                <w:sz w:val="16"/>
                <w:szCs w:val="16"/>
                <w:lang w:eastAsia="en-AU"/>
              </w:rPr>
              <w:t>A similar proportion of male (54.4%) and female (55.6%) patients used paracetamol (and compounds) for intentional self-harm</w:t>
            </w:r>
          </w:p>
        </w:tc>
      </w:tr>
      <w:tr w:rsidR="00574EB4" w:rsidRPr="0091560A" w14:paraId="29882DD9" w14:textId="77777777" w:rsidTr="0035719A">
        <w:trPr>
          <w:trHeight w:val="688"/>
        </w:trPr>
        <w:tc>
          <w:tcPr>
            <w:tcW w:w="1456" w:type="dxa"/>
            <w:shd w:val="clear" w:color="auto" w:fill="auto"/>
            <w:noWrap/>
          </w:tcPr>
          <w:p w14:paraId="00D534EC" w14:textId="0F5EAD79"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Hedeland (2013) </w:t>
            </w:r>
            <w:r w:rsidRPr="0076490A">
              <w:rPr>
                <w:rFonts w:eastAsia="Times New Roman" w:cs="Times New Roman"/>
                <w:color w:val="000000"/>
                <w:sz w:val="16"/>
                <w:szCs w:val="16"/>
                <w:lang w:eastAsia="en-AU"/>
              </w:rPr>
              <w:fldChar w:fldCharType="begin"/>
            </w:r>
            <w:r w:rsidR="00D709C3" w:rsidRPr="0076490A">
              <w:rPr>
                <w:rFonts w:eastAsia="Times New Roman" w:cs="Times New Roman"/>
                <w:color w:val="000000"/>
                <w:sz w:val="16"/>
                <w:szCs w:val="16"/>
                <w:lang w:eastAsia="en-AU"/>
              </w:rPr>
              <w:instrText xml:space="preserve"> ADDIN EN.CITE &lt;EndNote&gt;&lt;Cite&gt;&lt;Author&gt;Hedeland&lt;/Author&gt;&lt;Year&gt;2013&lt;/Year&gt;&lt;RecNum&gt;884&lt;/RecNum&gt;&lt;DisplayText&gt;(Hedeland et al., 2013)&lt;/DisplayText&gt;&lt;record&gt;&lt;rec-number&gt;884&lt;/rec-number&gt;&lt;foreign-keys&gt;&lt;key app="EN" db-id="90p22wx96ddedpe0r9pxtt9gzz05dd5ev299" timestamp="1657000537"&gt;884&lt;/key&gt;&lt;/foreign-keys&gt;&lt;ref-type name="Journal Article"&gt;17&lt;/ref-type&gt;&lt;contributors&gt;&lt;authors&gt;&lt;author&gt;Hedeland, R. L.&lt;/author&gt;&lt;author&gt;Jorgensen, M. H.&lt;/author&gt;&lt;author&gt;Teilmann, G.&lt;/author&gt;&lt;author&gt;Thiesen, L. R.&lt;/author&gt;&lt;author&gt;Valentiner, M.&lt;/author&gt;&lt;author&gt;Iskandar, A.&lt;/author&gt;&lt;author&gt;Morthorst, B.&lt;/author&gt;&lt;author&gt;Andersen, J.&lt;/author&gt;&lt;/authors&gt;&lt;/contributors&gt;&lt;titles&gt;&lt;title&gt;Childhood suicide attempts with acetaminophen in Denmark: characteristics, social behaviour, trends and risk factors&lt;/title&gt;&lt;secondary-title&gt;Scandinavian journal of public health&lt;/secondary-title&gt;&lt;/titles&gt;&lt;pages&gt;240-246&lt;/pages&gt;&lt;volume&gt;41&lt;/volume&gt;&lt;number&gt;3&lt;/number&gt;&lt;dates&gt;&lt;year&gt;2013&lt;/year&gt;&lt;/dates&gt;&lt;urls&gt;&lt;related-urls&gt;&lt;url&gt;http://ovidsp.ovid.com/ovidweb.cgi?T=JS&amp;amp;PAGE=reference&amp;amp;D=emed14&amp;amp;NEWS=N&amp;amp;AN=369160785&lt;/url&gt;&lt;/related-urls&gt;&lt;/urls&gt;&lt;electronic-resource-num&gt;http://dx.doi.org/10.1177/1403494812474122&lt;/electronic-resource-num&gt;&lt;/record&gt;&lt;/Cite&gt;&lt;/EndNote&gt;</w:instrText>
            </w:r>
            <w:r w:rsidRPr="0076490A">
              <w:rPr>
                <w:rFonts w:eastAsia="Times New Roman" w:cs="Times New Roman"/>
                <w:color w:val="000000"/>
                <w:sz w:val="16"/>
                <w:szCs w:val="16"/>
                <w:lang w:eastAsia="en-AU"/>
              </w:rPr>
              <w:fldChar w:fldCharType="separate"/>
            </w:r>
            <w:r w:rsidRPr="0076490A">
              <w:rPr>
                <w:rFonts w:eastAsia="Times New Roman" w:cs="Times New Roman"/>
                <w:noProof/>
                <w:color w:val="000000"/>
                <w:sz w:val="16"/>
                <w:szCs w:val="16"/>
                <w:lang w:eastAsia="en-AU"/>
              </w:rPr>
              <w:t>(Hedeland et al., 2013)</w:t>
            </w:r>
            <w:r w:rsidRPr="0076490A">
              <w:rPr>
                <w:rFonts w:eastAsia="Times New Roman" w:cs="Times New Roman"/>
                <w:color w:val="000000"/>
                <w:sz w:val="16"/>
                <w:szCs w:val="16"/>
                <w:lang w:eastAsia="en-AU"/>
              </w:rPr>
              <w:fldChar w:fldCharType="end"/>
            </w:r>
          </w:p>
          <w:p w14:paraId="0E5BF4B0" w14:textId="77777777" w:rsidR="00574EB4" w:rsidRPr="0091560A" w:rsidRDefault="00574EB4">
            <w:pPr>
              <w:spacing w:after="0" w:line="240" w:lineRule="auto"/>
              <w:rPr>
                <w:rFonts w:eastAsia="Times New Roman" w:cs="Times New Roman"/>
                <w:color w:val="000000"/>
                <w:sz w:val="16"/>
                <w:szCs w:val="16"/>
                <w:lang w:eastAsia="en-AU"/>
              </w:rPr>
            </w:pPr>
          </w:p>
          <w:p w14:paraId="78C6CB31"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t>Denmark</w:t>
            </w:r>
          </w:p>
        </w:tc>
        <w:tc>
          <w:tcPr>
            <w:tcW w:w="1232" w:type="dxa"/>
          </w:tcPr>
          <w:p w14:paraId="7D6E188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Case-control</w:t>
            </w:r>
          </w:p>
        </w:tc>
        <w:tc>
          <w:tcPr>
            <w:tcW w:w="1429" w:type="dxa"/>
            <w:shd w:val="clear" w:color="auto" w:fill="auto"/>
            <w:noWrap/>
          </w:tcPr>
          <w:p w14:paraId="03B0406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BA4446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 xml:space="preserve">Admissions to the Paediatric Department of </w:t>
            </w:r>
            <w:r w:rsidRPr="0091560A">
              <w:rPr>
                <w:rFonts w:eastAsia="Times New Roman" w:cs="Times New Roman"/>
                <w:sz w:val="16"/>
                <w:szCs w:val="16"/>
                <w:lang w:eastAsia="en-AU"/>
              </w:rPr>
              <w:t xml:space="preserve">Hillerød </w:t>
            </w:r>
            <w:r w:rsidRPr="0091560A">
              <w:rPr>
                <w:rFonts w:eastAsia="Times New Roman" w:cs="Times New Roman"/>
                <w:color w:val="000000"/>
                <w:sz w:val="16"/>
                <w:szCs w:val="16"/>
                <w:lang w:eastAsia="en-AU"/>
              </w:rPr>
              <w:t>Hospital because of suicide attempts with paracetamol between January 2006 and July 2011 (identified through ICD10 diagnoses DT39, DT390, DT398 &amp; DT398A)</w:t>
            </w:r>
          </w:p>
        </w:tc>
        <w:tc>
          <w:tcPr>
            <w:tcW w:w="1279" w:type="dxa"/>
            <w:shd w:val="clear" w:color="auto" w:fill="auto"/>
            <w:noWrap/>
          </w:tcPr>
          <w:p w14:paraId="07E1F79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107 cases (+ 59 aged- and gender- matched healthy controls)</w:t>
            </w:r>
          </w:p>
        </w:tc>
        <w:tc>
          <w:tcPr>
            <w:tcW w:w="1452" w:type="dxa"/>
            <w:shd w:val="clear" w:color="auto" w:fill="auto"/>
            <w:noWrap/>
          </w:tcPr>
          <w:p w14:paraId="02E44E9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Cases: M = 13.5;</w:t>
            </w:r>
            <w:r w:rsidRPr="0091560A" w:rsidDel="002722C6">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range = 11-15</w:t>
            </w:r>
            <w:r w:rsidRPr="0091560A">
              <w:rPr>
                <w:rFonts w:cs="Times New Roman"/>
              </w:rPr>
              <w:br/>
            </w:r>
            <w:r w:rsidRPr="0091560A">
              <w:rPr>
                <w:rFonts w:eastAsia="Times New Roman" w:cs="Times New Roman"/>
                <w:color w:val="000000" w:themeColor="text1"/>
                <w:sz w:val="16"/>
                <w:szCs w:val="16"/>
                <w:lang w:eastAsia="en-AU"/>
              </w:rPr>
              <w:t>Controls: M = 13.4; range = 11-15</w:t>
            </w:r>
          </w:p>
        </w:tc>
        <w:tc>
          <w:tcPr>
            <w:tcW w:w="1417" w:type="dxa"/>
            <w:shd w:val="clear" w:color="auto" w:fill="auto"/>
            <w:noWrap/>
          </w:tcPr>
          <w:p w14:paraId="0BA7146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23C67356"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100% of cases were classified as having suicidal intent </w:t>
            </w:r>
          </w:p>
          <w:p w14:paraId="0F437264" w14:textId="77777777" w:rsidR="00574EB4" w:rsidRPr="0091560A" w:rsidRDefault="00574EB4">
            <w:pPr>
              <w:spacing w:after="0" w:line="240" w:lineRule="auto"/>
              <w:rPr>
                <w:rFonts w:eastAsia="Times New Roman" w:cs="Times New Roman"/>
                <w:b/>
                <w:color w:val="000000" w:themeColor="text1"/>
                <w:sz w:val="16"/>
                <w:szCs w:val="16"/>
                <w:lang w:eastAsia="en-AU"/>
              </w:rPr>
            </w:pPr>
            <w:r w:rsidRPr="0091560A">
              <w:rPr>
                <w:rFonts w:eastAsia="Times New Roman" w:cs="Times New Roman"/>
                <w:b/>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Mean paracetamol intake was 10.8g (SD = 7.3, range = 0.5-45)</w:t>
            </w:r>
            <w:r w:rsidRPr="0091560A">
              <w:rPr>
                <w:rFonts w:cs="Times New Roman"/>
              </w:rPr>
              <w:br/>
            </w:r>
            <w:r w:rsidRPr="0091560A">
              <w:rPr>
                <w:rFonts w:eastAsia="Times New Roman" w:cs="Times New Roman"/>
                <w:b/>
                <w:color w:val="000000" w:themeColor="text1"/>
                <w:sz w:val="16"/>
                <w:szCs w:val="16"/>
                <w:lang w:eastAsia="en-AU"/>
              </w:rPr>
              <w:t>Discovery of suicide attempt:</w:t>
            </w:r>
            <w:r w:rsidRPr="0091560A">
              <w:rPr>
                <w:rFonts w:eastAsia="Times New Roman" w:cs="Times New Roman"/>
                <w:color w:val="000000" w:themeColor="text1"/>
                <w:sz w:val="16"/>
                <w:szCs w:val="16"/>
                <w:lang w:eastAsia="en-AU"/>
              </w:rPr>
              <w:t xml:space="preserve"> 42% told their parents; 30% told it to friends/boyfriend/girlfriend; 12% were discovered without the child wanting it to be discovered; 10% told other adults; 6% discovered in other ways</w:t>
            </w:r>
            <w:r w:rsidRPr="0091560A">
              <w:rPr>
                <w:rFonts w:cs="Times New Roman"/>
              </w:rPr>
              <w:br/>
            </w:r>
            <w:r w:rsidRPr="0091560A">
              <w:rPr>
                <w:rFonts w:eastAsia="Times New Roman" w:cs="Times New Roman"/>
                <w:b/>
                <w:color w:val="000000" w:themeColor="text1"/>
                <w:sz w:val="16"/>
                <w:szCs w:val="16"/>
                <w:lang w:eastAsia="en-AU"/>
              </w:rPr>
              <w:t>Self-mutilation:</w:t>
            </w:r>
            <w:r w:rsidRPr="0091560A">
              <w:rPr>
                <w:rFonts w:eastAsia="Times New Roman" w:cs="Times New Roman"/>
                <w:color w:val="000000" w:themeColor="text1"/>
                <w:sz w:val="16"/>
                <w:szCs w:val="16"/>
                <w:lang w:eastAsia="en-AU"/>
              </w:rPr>
              <w:t xml:space="preserve"> 40% of children mutilated themselves repeatedly (&gt;3x in previous 6 months)</w:t>
            </w:r>
            <w:r w:rsidRPr="0091560A">
              <w:rPr>
                <w:rFonts w:cs="Times New Roman"/>
              </w:rPr>
              <w:br/>
            </w:r>
            <w:r w:rsidRPr="0091560A">
              <w:rPr>
                <w:rFonts w:eastAsia="Times New Roman" w:cs="Times New Roman"/>
                <w:b/>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21% of children had 1+ previous suicide attempt</w:t>
            </w:r>
            <w:r w:rsidRPr="0091560A">
              <w:rPr>
                <w:rFonts w:cs="Times New Roman"/>
              </w:rPr>
              <w:br/>
            </w:r>
            <w:r w:rsidRPr="0091560A">
              <w:rPr>
                <w:rFonts w:eastAsia="Times New Roman" w:cs="Times New Roman"/>
                <w:b/>
                <w:color w:val="000000" w:themeColor="text1"/>
                <w:sz w:val="16"/>
                <w:szCs w:val="16"/>
                <w:lang w:eastAsia="en-AU"/>
              </w:rPr>
              <w:t>Exposure to suicide:</w:t>
            </w:r>
            <w:r w:rsidRPr="0091560A">
              <w:rPr>
                <w:rFonts w:eastAsia="Times New Roman" w:cs="Times New Roman"/>
                <w:color w:val="000000" w:themeColor="text1"/>
                <w:sz w:val="16"/>
                <w:szCs w:val="16"/>
                <w:lang w:eastAsia="en-AU"/>
              </w:rPr>
              <w:t xml:space="preserve"> 23.5% of children had been exposed to suicide attempts in their surroundings</w:t>
            </w:r>
          </w:p>
        </w:tc>
      </w:tr>
      <w:tr w:rsidR="00574EB4" w:rsidRPr="0091560A" w14:paraId="1BDBA8A2" w14:textId="77777777" w:rsidTr="0035719A">
        <w:trPr>
          <w:trHeight w:val="688"/>
        </w:trPr>
        <w:tc>
          <w:tcPr>
            <w:tcW w:w="1456" w:type="dxa"/>
            <w:shd w:val="clear" w:color="auto" w:fill="auto"/>
            <w:noWrap/>
          </w:tcPr>
          <w:p w14:paraId="6853B2E9" w14:textId="49EEF8D9"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Hedeland (2016) </w:t>
            </w:r>
            <w:r w:rsidRPr="0076490A">
              <w:rPr>
                <w:rFonts w:eastAsia="Times New Roman" w:cs="Times New Roman"/>
                <w:color w:val="000000"/>
                <w:sz w:val="16"/>
                <w:szCs w:val="16"/>
                <w:lang w:eastAsia="en-AU"/>
              </w:rPr>
              <w:fldChar w:fldCharType="begin"/>
            </w:r>
            <w:r w:rsidR="00D709C3" w:rsidRPr="0076490A">
              <w:rPr>
                <w:rFonts w:eastAsia="Times New Roman" w:cs="Times New Roman"/>
                <w:color w:val="000000"/>
                <w:sz w:val="16"/>
                <w:szCs w:val="16"/>
                <w:lang w:eastAsia="en-AU"/>
              </w:rPr>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76490A">
              <w:rPr>
                <w:rFonts w:eastAsia="Times New Roman" w:cs="Times New Roman"/>
                <w:color w:val="000000"/>
                <w:sz w:val="16"/>
                <w:szCs w:val="16"/>
                <w:lang w:eastAsia="en-AU"/>
              </w:rPr>
              <w:fldChar w:fldCharType="separate"/>
            </w:r>
            <w:r w:rsidRPr="0076490A">
              <w:rPr>
                <w:rFonts w:eastAsia="Times New Roman" w:cs="Times New Roman"/>
                <w:noProof/>
                <w:color w:val="000000"/>
                <w:sz w:val="16"/>
                <w:szCs w:val="16"/>
                <w:lang w:eastAsia="en-AU"/>
              </w:rPr>
              <w:t>(Hedeland et al., 2016)</w:t>
            </w:r>
            <w:r w:rsidRPr="0076490A">
              <w:rPr>
                <w:rFonts w:eastAsia="Times New Roman" w:cs="Times New Roman"/>
                <w:color w:val="000000"/>
                <w:sz w:val="16"/>
                <w:szCs w:val="16"/>
                <w:lang w:eastAsia="en-AU"/>
              </w:rPr>
              <w:fldChar w:fldCharType="end"/>
            </w:r>
          </w:p>
          <w:p w14:paraId="6E038B5E" w14:textId="77777777" w:rsidR="00574EB4" w:rsidRPr="0091560A" w:rsidRDefault="00574EB4">
            <w:pPr>
              <w:spacing w:after="0" w:line="240" w:lineRule="auto"/>
              <w:rPr>
                <w:rFonts w:eastAsia="Times New Roman" w:cs="Times New Roman"/>
                <w:color w:val="000000"/>
                <w:sz w:val="16"/>
                <w:szCs w:val="16"/>
                <w:lang w:eastAsia="en-AU"/>
              </w:rPr>
            </w:pPr>
          </w:p>
          <w:p w14:paraId="19067AE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Denmark</w:t>
            </w:r>
          </w:p>
        </w:tc>
        <w:tc>
          <w:tcPr>
            <w:tcW w:w="1232" w:type="dxa"/>
          </w:tcPr>
          <w:p w14:paraId="28A5BD2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Case-control</w:t>
            </w:r>
          </w:p>
        </w:tc>
        <w:tc>
          <w:tcPr>
            <w:tcW w:w="1429" w:type="dxa"/>
            <w:shd w:val="clear" w:color="auto" w:fill="auto"/>
            <w:noWrap/>
          </w:tcPr>
          <w:p w14:paraId="7956FED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97CB29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Adolescents admitted to a paediatric department in Denmark after a suicide attempt with paracetamol between November 2011 and August 2014. All 17 paediatric departments in Denmark and the Medical Department of Bornholms hospital participated in the study</w:t>
            </w:r>
          </w:p>
        </w:tc>
        <w:tc>
          <w:tcPr>
            <w:tcW w:w="1279" w:type="dxa"/>
            <w:shd w:val="clear" w:color="auto" w:fill="auto"/>
            <w:noWrap/>
          </w:tcPr>
          <w:p w14:paraId="5FDB1A6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381 (+ 296 aged- and gender-matched healthy controls)</w:t>
            </w:r>
          </w:p>
        </w:tc>
        <w:tc>
          <w:tcPr>
            <w:tcW w:w="1452" w:type="dxa"/>
            <w:shd w:val="clear" w:color="auto" w:fill="auto"/>
            <w:noWrap/>
          </w:tcPr>
          <w:p w14:paraId="73909DF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Cases: M = 14.8; range = 10-17</w:t>
            </w:r>
            <w:r w:rsidRPr="0091560A">
              <w:rPr>
                <w:rFonts w:cs="Times New Roman"/>
              </w:rPr>
              <w:br/>
            </w:r>
            <w:r w:rsidRPr="0091560A">
              <w:rPr>
                <w:rFonts w:eastAsia="Times New Roman" w:cs="Times New Roman"/>
                <w:color w:val="000000" w:themeColor="text1"/>
                <w:sz w:val="16"/>
                <w:szCs w:val="16"/>
                <w:lang w:eastAsia="en-AU"/>
              </w:rPr>
              <w:t>Controls: M = 14.6; range = 11-17</w:t>
            </w:r>
          </w:p>
        </w:tc>
        <w:tc>
          <w:tcPr>
            <w:tcW w:w="1417" w:type="dxa"/>
            <w:shd w:val="clear" w:color="auto" w:fill="auto"/>
            <w:noWrap/>
          </w:tcPr>
          <w:p w14:paraId="0E08B73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7F69928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100% of cases were classified as having suicidal intent  </w:t>
            </w:r>
          </w:p>
          <w:p w14:paraId="1026D47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Mean intake of 11.4g (range 2.5-70g). Intake not associated with gender, relationship with parents/siblings/friends; purposes or reasons for the suicide attempt, self-mutilation, the duration of suicidal ideation, previous suicide attempts, whether the suicide was planned or not, suicide deaths or suicide attempts in the adolescent’s surroundings</w:t>
            </w:r>
            <w:r w:rsidRPr="0091560A">
              <w:rPr>
                <w:rFonts w:cs="Times New Roman"/>
              </w:rPr>
              <w:br/>
            </w:r>
            <w:r w:rsidRPr="0091560A">
              <w:rPr>
                <w:rFonts w:eastAsia="Times New Roman" w:cs="Times New Roman"/>
                <w:b/>
                <w:color w:val="000000" w:themeColor="text1"/>
                <w:sz w:val="16"/>
                <w:szCs w:val="16"/>
                <w:lang w:eastAsia="en-AU"/>
              </w:rPr>
              <w:t>Living situation:</w:t>
            </w:r>
            <w:r w:rsidRPr="0091560A">
              <w:rPr>
                <w:rFonts w:eastAsia="Times New Roman" w:cs="Times New Roman"/>
                <w:color w:val="000000" w:themeColor="text1"/>
                <w:sz w:val="16"/>
                <w:szCs w:val="16"/>
                <w:lang w:eastAsia="en-AU"/>
              </w:rPr>
              <w:t xml:space="preserve"> 58% of parents in the study group were divorced vs. 25% of parents in the control group</w:t>
            </w:r>
            <w:r w:rsidRPr="0091560A">
              <w:rPr>
                <w:rFonts w:cs="Times New Roman"/>
              </w:rPr>
              <w:br/>
            </w:r>
            <w:r w:rsidRPr="0091560A">
              <w:rPr>
                <w:rFonts w:eastAsia="Times New Roman" w:cs="Times New Roman"/>
                <w:b/>
                <w:color w:val="000000" w:themeColor="text1"/>
                <w:sz w:val="16"/>
                <w:szCs w:val="16"/>
                <w:lang w:eastAsia="en-AU"/>
              </w:rPr>
              <w:t>Self-mutilation:</w:t>
            </w:r>
            <w:r w:rsidRPr="0091560A">
              <w:rPr>
                <w:rFonts w:eastAsia="Times New Roman" w:cs="Times New Roman"/>
                <w:color w:val="000000" w:themeColor="text1"/>
                <w:sz w:val="16"/>
                <w:szCs w:val="16"/>
                <w:lang w:eastAsia="en-AU"/>
              </w:rPr>
              <w:t xml:space="preserve"> 44% of cases had mutilated themselves repeatedly (&gt;3x in past 6 months)</w:t>
            </w:r>
            <w:r w:rsidRPr="0091560A">
              <w:rPr>
                <w:rFonts w:cs="Times New Roman"/>
              </w:rPr>
              <w:br/>
            </w:r>
            <w:r w:rsidRPr="0091560A">
              <w:rPr>
                <w:rFonts w:eastAsia="Times New Roman" w:cs="Times New Roman"/>
                <w:b/>
                <w:color w:val="000000" w:themeColor="text1"/>
                <w:sz w:val="16"/>
                <w:szCs w:val="16"/>
                <w:lang w:eastAsia="en-AU"/>
              </w:rPr>
              <w:t>Duration of suicidal ideation:</w:t>
            </w:r>
            <w:r w:rsidRPr="0091560A">
              <w:rPr>
                <w:rFonts w:eastAsia="Times New Roman" w:cs="Times New Roman"/>
                <w:color w:val="000000" w:themeColor="text1"/>
                <w:sz w:val="16"/>
                <w:szCs w:val="16"/>
                <w:lang w:eastAsia="en-AU"/>
              </w:rPr>
              <w:t xml:space="preserve"> 44% with SI for at least one month; 44% with SI for more than 6 months; 37% only experienced SI for minutes/hours before suicide attempt</w:t>
            </w:r>
            <w:r w:rsidRPr="0091560A">
              <w:rPr>
                <w:rFonts w:cs="Times New Roman"/>
              </w:rPr>
              <w:br/>
            </w:r>
            <w:r w:rsidRPr="0091560A">
              <w:rPr>
                <w:rFonts w:eastAsia="Times New Roman" w:cs="Times New Roman"/>
                <w:b/>
                <w:color w:val="000000" w:themeColor="text1"/>
                <w:sz w:val="16"/>
                <w:szCs w:val="16"/>
                <w:lang w:eastAsia="en-AU"/>
              </w:rPr>
              <w:t>Exposure to suicide:</w:t>
            </w:r>
            <w:r w:rsidRPr="0091560A">
              <w:rPr>
                <w:rFonts w:eastAsia="Times New Roman" w:cs="Times New Roman"/>
                <w:color w:val="000000" w:themeColor="text1"/>
                <w:sz w:val="16"/>
                <w:szCs w:val="16"/>
                <w:lang w:eastAsia="en-AU"/>
              </w:rPr>
              <w:t xml:space="preserve"> 40% of cases had been exposed to suicide attempts or suicide deaths in their surroundings</w:t>
            </w:r>
          </w:p>
          <w:p w14:paraId="3CB2365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32% had a previous suicide attempt</w:t>
            </w:r>
          </w:p>
        </w:tc>
      </w:tr>
      <w:tr w:rsidR="00574EB4" w:rsidRPr="0091560A" w14:paraId="515D5708" w14:textId="77777777" w:rsidTr="0035719A">
        <w:trPr>
          <w:trHeight w:val="688"/>
        </w:trPr>
        <w:tc>
          <w:tcPr>
            <w:tcW w:w="1456" w:type="dxa"/>
            <w:shd w:val="clear" w:color="auto" w:fill="auto"/>
            <w:noWrap/>
          </w:tcPr>
          <w:p w14:paraId="54E12073" w14:textId="4DC04152"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John (2016) </w:t>
            </w:r>
            <w:r w:rsidRPr="0091560A">
              <w:rPr>
                <w:rFonts w:eastAsia="Times New Roman" w:cs="Times New Roman"/>
                <w:sz w:val="16"/>
                <w:szCs w:val="16"/>
                <w:lang w:eastAsia="en-AU"/>
              </w:rPr>
              <w:fldChar w:fldCharType="begin">
                <w:fldData xml:space="preserve">PEVuZE5vdGU+PENpdGU+PEF1dGhvcj5Kb2huPC9BdXRob3I+PFllYXI+MjAxNjwvWWVhcj48UmVj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</w:fldData>
              </w:fldChar>
            </w:r>
            <w:r w:rsidR="00644BDC" w:rsidRPr="0091560A">
              <w:rPr>
                <w:rFonts w:eastAsia="Times New Roman" w:cs="Times New Roman"/>
                <w:sz w:val="16"/>
                <w:szCs w:val="16"/>
                <w:lang w:eastAsia="en-AU"/>
              </w:rPr>
              <w:instrText xml:space="preserve"> ADDIN EN.CITE </w:instrText>
            </w:r>
            <w:r w:rsidR="00644BDC" w:rsidRPr="0091560A">
              <w:rPr>
                <w:rFonts w:eastAsia="Times New Roman" w:cs="Times New Roman"/>
                <w:sz w:val="16"/>
                <w:szCs w:val="16"/>
                <w:lang w:eastAsia="en-AU"/>
              </w:rPr>
              <w:fldChar w:fldCharType="begin">
                <w:fldData xml:space="preserve">PEVuZE5vdGU+PENpdGU+PEF1dGhvcj5Kb2huPC9BdXRob3I+PFllYXI+MjAxNjwvWWVhcj48UmVj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</w:fldData>
              </w:fldChar>
            </w:r>
            <w:r w:rsidR="00644BDC" w:rsidRPr="0091560A">
              <w:rPr>
                <w:rFonts w:eastAsia="Times New Roman" w:cs="Times New Roman"/>
                <w:sz w:val="16"/>
                <w:szCs w:val="16"/>
                <w:lang w:eastAsia="en-AU"/>
              </w:rPr>
              <w:instrText xml:space="preserve"> ADDIN EN.CITE.DATA </w:instrText>
            </w:r>
            <w:r w:rsidR="00644BDC" w:rsidRPr="0091560A">
              <w:rPr>
                <w:rFonts w:eastAsia="Times New Roman" w:cs="Times New Roman"/>
                <w:sz w:val="16"/>
                <w:szCs w:val="16"/>
                <w:lang w:eastAsia="en-AU"/>
              </w:rPr>
            </w:r>
            <w:r w:rsidR="00644BDC" w:rsidRPr="0091560A">
              <w:rPr>
                <w:rFonts w:eastAsia="Times New Roman" w:cs="Times New Roman"/>
                <w:sz w:val="16"/>
                <w:szCs w:val="16"/>
                <w:lang w:eastAsia="en-AU"/>
              </w:rPr>
              <w:fldChar w:fldCharType="end"/>
            </w:r>
            <w:r w:rsidRPr="0091560A">
              <w:rPr>
                <w:rFonts w:eastAsia="Times New Roman" w:cs="Times New Roman"/>
                <w:sz w:val="16"/>
                <w:szCs w:val="16"/>
                <w:lang w:eastAsia="en-AU"/>
              </w:rPr>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(John et al., 2016)</w:t>
            </w:r>
            <w:r w:rsidRPr="0091560A">
              <w:rPr>
                <w:rFonts w:eastAsia="Times New Roman" w:cs="Times New Roman"/>
                <w:sz w:val="16"/>
                <w:szCs w:val="16"/>
                <w:lang w:eastAsia="en-AU"/>
              </w:rPr>
              <w:fldChar w:fldCharType="end"/>
            </w:r>
          </w:p>
          <w:p w14:paraId="5BA6AE32" w14:textId="77777777" w:rsidR="00574EB4" w:rsidRPr="0091560A" w:rsidRDefault="00574EB4">
            <w:pPr>
              <w:spacing w:after="0" w:line="240" w:lineRule="auto"/>
              <w:rPr>
                <w:rFonts w:eastAsia="Times New Roman" w:cs="Times New Roman"/>
                <w:b/>
                <w:bCs/>
                <w:sz w:val="16"/>
                <w:szCs w:val="16"/>
                <w:lang w:eastAsia="en-AU"/>
              </w:rPr>
            </w:pPr>
          </w:p>
          <w:p w14:paraId="2475ACE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sz w:val="16"/>
                <w:szCs w:val="16"/>
                <w:lang w:eastAsia="en-AU"/>
              </w:rPr>
              <w:t>Wales, UK</w:t>
            </w:r>
          </w:p>
        </w:tc>
        <w:tc>
          <w:tcPr>
            <w:tcW w:w="1232" w:type="dxa"/>
          </w:tcPr>
          <w:p w14:paraId="5175D8C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sz w:val="16"/>
                <w:szCs w:val="16"/>
                <w:lang w:eastAsia="en-AU"/>
              </w:rPr>
              <w:t>Observational or cohort</w:t>
            </w:r>
          </w:p>
        </w:tc>
        <w:tc>
          <w:tcPr>
            <w:tcW w:w="1429" w:type="dxa"/>
            <w:shd w:val="clear" w:color="auto" w:fill="auto"/>
            <w:noWrap/>
          </w:tcPr>
          <w:p w14:paraId="3109339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sz w:val="16"/>
                <w:szCs w:val="16"/>
                <w:lang w:eastAsia="en-AU"/>
              </w:rPr>
              <w:t>Paracetamol</w:t>
            </w:r>
          </w:p>
        </w:tc>
        <w:tc>
          <w:tcPr>
            <w:tcW w:w="2409" w:type="dxa"/>
            <w:shd w:val="clear" w:color="auto" w:fill="auto"/>
            <w:noWrap/>
          </w:tcPr>
          <w:p w14:paraId="490DDD29"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Incidents of non-accidental, non-fatal poisoning across Wales, identified from electronic ambulance call centre records and paper records completed by attending ambulance crews, from December 2007 to February 2008</w:t>
            </w:r>
          </w:p>
        </w:tc>
        <w:tc>
          <w:tcPr>
            <w:tcW w:w="1279" w:type="dxa"/>
            <w:shd w:val="clear" w:color="auto" w:fill="auto"/>
            <w:noWrap/>
          </w:tcPr>
          <w:p w14:paraId="33EA408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sz w:val="16"/>
                <w:szCs w:val="16"/>
                <w:lang w:eastAsia="en-AU"/>
              </w:rPr>
              <w:t>1,827 (484 with paracetamol)</w:t>
            </w:r>
          </w:p>
        </w:tc>
        <w:tc>
          <w:tcPr>
            <w:tcW w:w="1452" w:type="dxa"/>
            <w:shd w:val="clear" w:color="auto" w:fill="auto"/>
            <w:noWrap/>
          </w:tcPr>
          <w:p w14:paraId="3CBAD56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M = 34.85</w:t>
            </w:r>
          </w:p>
        </w:tc>
        <w:tc>
          <w:tcPr>
            <w:tcW w:w="1417" w:type="dxa"/>
            <w:shd w:val="clear" w:color="auto" w:fill="auto"/>
            <w:noWrap/>
          </w:tcPr>
          <w:p w14:paraId="6698F5F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sz w:val="16"/>
                <w:szCs w:val="16"/>
                <w:lang w:eastAsia="en-AU"/>
              </w:rPr>
              <w:t>100%</w:t>
            </w:r>
          </w:p>
        </w:tc>
        <w:tc>
          <w:tcPr>
            <w:tcW w:w="4630" w:type="dxa"/>
            <w:shd w:val="clear" w:color="auto" w:fill="auto"/>
          </w:tcPr>
          <w:p w14:paraId="15216EC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Co-ingested alcohol: </w:t>
            </w:r>
            <w:r w:rsidRPr="0091560A">
              <w:rPr>
                <w:rFonts w:eastAsia="Times New Roman" w:cs="Times New Roman"/>
                <w:color w:val="000000" w:themeColor="text1"/>
                <w:sz w:val="16"/>
                <w:szCs w:val="16"/>
                <w:lang w:eastAsia="en-AU"/>
              </w:rPr>
              <w:t>45.3%</w:t>
            </w:r>
          </w:p>
          <w:p w14:paraId="3EA4BFC2"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 xml:space="preserve">Suicidal ideation: </w:t>
            </w:r>
            <w:r w:rsidRPr="0091560A">
              <w:rPr>
                <w:rFonts w:eastAsia="Times New Roman" w:cs="Times New Roman"/>
                <w:color w:val="000000" w:themeColor="text1"/>
                <w:sz w:val="16"/>
                <w:szCs w:val="16"/>
                <w:lang w:eastAsia="en-AU"/>
              </w:rPr>
              <w:t>6.2%</w:t>
            </w:r>
          </w:p>
        </w:tc>
      </w:tr>
      <w:tr w:rsidR="00574EB4" w:rsidRPr="0091560A" w14:paraId="0E30117B" w14:textId="77777777" w:rsidTr="0035719A">
        <w:trPr>
          <w:trHeight w:val="688"/>
        </w:trPr>
        <w:tc>
          <w:tcPr>
            <w:tcW w:w="1456" w:type="dxa"/>
            <w:shd w:val="clear" w:color="auto" w:fill="auto"/>
            <w:noWrap/>
          </w:tcPr>
          <w:p w14:paraId="04E0BAC8" w14:textId="7E185D88"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Kaur (2020)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&lt;EndNote&gt;&lt;Cite&gt;&lt;Author&gt;Kaur&lt;/Author&gt;&lt;Year&gt;2020&lt;/Year&gt;&lt;RecNum&gt;887&lt;/RecNum&gt;&lt;DisplayText&gt;(Kaur et al., 2020)&lt;/DisplayText&gt;&lt;record&gt;&lt;rec-number&gt;887&lt;/rec-number&gt;&lt;foreign-keys&gt;&lt;key app="EN" db-id="90p22wx96ddedpe0r9pxtt9gzz05dd5ev299" timestamp="1657000537"&gt;887&lt;/key&gt;&lt;/foreign-keys&gt;&lt;ref-type name="Journal Article"&gt;17&lt;/ref-type&gt;&lt;contributors&gt;&lt;authors&gt;&lt;author&gt;Kaur, Jaskiran&lt;/author&gt;&lt;author&gt;McFaull, Steven R.&lt;/author&gt;&lt;author&gt;Bang, Felix&lt;/author&gt;&lt;/authors&gt;&lt;/contributors&gt;&lt;titles&gt;&lt;title&gt;Trends in emergency department visits for acetaminophen-related poisonings: 2011-2019&lt;/title&gt;&lt;secondary-title&gt;Tendances des visites aux services des urgences pour des intoxications liees a l&amp;apos;acetaminophene, 2011 a 2019.&lt;/secondary-title&gt;&lt;/titles&gt;&lt;pages&gt;130-133&lt;/pages&gt;&lt;volume&gt;40&lt;/volume&gt;&lt;number&gt;4&lt;/number&gt;&lt;dates&gt;&lt;year&gt;2020&lt;/year&gt;&lt;/dates&gt;&lt;urls&gt;&lt;related-urls&gt;&lt;url&gt;http://ovidsp.ovid.com/ovidweb.cgi?T=JS&amp;amp;PAGE=reference&amp;amp;D=med17&amp;amp;NEWS=N&amp;amp;AN=32270671&lt;/url&gt;&lt;/related-urls&gt;&lt;/urls&gt;&lt;electronic-resource-num&gt;https://dx.doi.org/10.24095/hpcdp.40.4.05&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(Kaur et al., 2020)</w:t>
            </w:r>
            <w:r w:rsidRPr="0091560A">
              <w:rPr>
                <w:rFonts w:eastAsia="Times New Roman" w:cs="Times New Roman"/>
                <w:color w:val="000000"/>
                <w:sz w:val="16"/>
                <w:szCs w:val="16"/>
                <w:lang w:eastAsia="en-AU"/>
              </w:rPr>
              <w:fldChar w:fldCharType="end"/>
            </w:r>
          </w:p>
          <w:p w14:paraId="3C6A3B36" w14:textId="77777777" w:rsidR="00574EB4" w:rsidRPr="0091560A" w:rsidRDefault="00574EB4">
            <w:pPr>
              <w:spacing w:after="0" w:line="240" w:lineRule="auto"/>
              <w:rPr>
                <w:rFonts w:eastAsia="Times New Roman" w:cs="Times New Roman"/>
                <w:color w:val="000000"/>
                <w:sz w:val="16"/>
                <w:szCs w:val="16"/>
                <w:lang w:eastAsia="en-AU"/>
              </w:rPr>
            </w:pPr>
          </w:p>
          <w:p w14:paraId="526E551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Canada</w:t>
            </w:r>
          </w:p>
        </w:tc>
        <w:tc>
          <w:tcPr>
            <w:tcW w:w="1232" w:type="dxa"/>
          </w:tcPr>
          <w:p w14:paraId="6DC24DD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5230CA5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34CFE72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Admissions to one of 19 paediatric and general hospital emergency departments across Canada for paracetamol-related poisonings from April 1, 2011, and February 23, 2019</w:t>
            </w:r>
          </w:p>
        </w:tc>
        <w:tc>
          <w:tcPr>
            <w:tcW w:w="1279" w:type="dxa"/>
            <w:shd w:val="clear" w:color="auto" w:fill="auto"/>
            <w:noWrap/>
          </w:tcPr>
          <w:p w14:paraId="26E3210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3,721</w:t>
            </w:r>
          </w:p>
        </w:tc>
        <w:tc>
          <w:tcPr>
            <w:tcW w:w="1452" w:type="dxa"/>
            <w:shd w:val="clear" w:color="auto" w:fill="auto"/>
            <w:noWrap/>
          </w:tcPr>
          <w:p w14:paraId="7275DD6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Median = 14; IQR = 2-16</w:t>
            </w:r>
          </w:p>
        </w:tc>
        <w:tc>
          <w:tcPr>
            <w:tcW w:w="1417" w:type="dxa"/>
            <w:shd w:val="clear" w:color="auto" w:fill="auto"/>
            <w:noWrap/>
          </w:tcPr>
          <w:p w14:paraId="2EBCBC6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48.6%</w:t>
            </w:r>
          </w:p>
        </w:tc>
        <w:tc>
          <w:tcPr>
            <w:tcW w:w="4630" w:type="dxa"/>
            <w:shd w:val="clear" w:color="auto" w:fill="auto"/>
          </w:tcPr>
          <w:p w14:paraId="19945D3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Intentional poisonings significantly higher in those aged 15-19 years </w:t>
            </w:r>
          </w:p>
          <w:p w14:paraId="6BC8B76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Sex</w:t>
            </w:r>
            <w:r w:rsidRPr="0091560A">
              <w:rPr>
                <w:rFonts w:eastAsia="Times New Roman" w:cs="Times New Roman"/>
                <w:color w:val="000000" w:themeColor="text1"/>
                <w:sz w:val="16"/>
                <w:szCs w:val="16"/>
                <w:lang w:eastAsia="en-AU"/>
              </w:rPr>
              <w:t>: Intentional poisonings significantly higher in females. Intentional poisonings (as compared to unintentional poisonings) predominated in both sexes from age 10 years and over</w:t>
            </w:r>
          </w:p>
        </w:tc>
      </w:tr>
      <w:tr w:rsidR="00574EB4" w:rsidRPr="0091560A" w14:paraId="2152FD66" w14:textId="77777777" w:rsidTr="0035719A">
        <w:trPr>
          <w:trHeight w:val="688"/>
        </w:trPr>
        <w:tc>
          <w:tcPr>
            <w:tcW w:w="1456" w:type="dxa"/>
            <w:shd w:val="clear" w:color="auto" w:fill="auto"/>
            <w:noWrap/>
          </w:tcPr>
          <w:p w14:paraId="651B5E4B" w14:textId="3D82AB69"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Kjartansdottir (2012) </w:t>
            </w:r>
            <w:r w:rsidRPr="0091560A">
              <w:rPr>
                <w:rFonts w:eastAsia="Times New Roman" w:cs="Times New Roman"/>
                <w:color w:val="000000"/>
                <w:sz w:val="16"/>
                <w:szCs w:val="16"/>
                <w:lang w:eastAsia="en-AU"/>
              </w:rPr>
              <w:fldChar w:fldCharType="begin"/>
            </w:r>
            <w:r w:rsidR="006E08D8">
              <w:rPr>
                <w:rFonts w:eastAsia="Times New Roman" w:cs="Times New Roman"/>
                <w:color w:val="000000"/>
                <w:sz w:val="16"/>
                <w:szCs w:val="16"/>
                <w:lang w:eastAsia="en-AU"/>
              </w:rPr>
              <w:instrText xml:space="preserve"> ADDIN EN.CITE &lt;EndNote&gt;&lt;Cite&gt;&lt;Author&gt;Kjartansdottir&lt;/Author&gt;&lt;Year&gt;2012&lt;/Year&gt;&lt;RecNum&gt;889&lt;/RecNum&gt;&lt;DisplayText&gt;(Kjartansdottir et al., 2012)&lt;/DisplayText&gt;&lt;record&gt;&lt;rec-number&gt;889&lt;/rec-number&gt;&lt;foreign-keys&gt;&lt;key app="EN" db-id="90p22wx96ddedpe0r9pxtt9gzz05dd5ev299" timestamp="1657000537"&gt;889&lt;/key&gt;&lt;/foreign-keys&gt;&lt;ref-type name="Journal Article"&gt;17&lt;/ref-type&gt;&lt;contributors&gt;&lt;authors&gt;&lt;author&gt;Kjartansdottir, I.&lt;/author&gt;&lt;author&gt;Bergmann, O. M.&lt;/author&gt;&lt;author&gt;Arnadottir, R. S.&lt;/author&gt;&lt;author&gt;Bjornsson, E. S.&lt;/author&gt;&lt;/authors&gt;&lt;/contributors&gt;&lt;titles&gt;&lt;title&gt;Paracetamol intoxications: A retrospective population-based study in Iceland&lt;/title&gt;&lt;secondary-title&gt;Scandinavian Journal of Gastroenterology&lt;/secondary-title&gt;&lt;/titles&gt;&lt;periodical&gt;&lt;full-title&gt;Scandinavian Journal of Gastroenterology&lt;/full-title&gt;&lt;/periodical&gt;&lt;pages&gt;1344-1352&lt;/pages&gt;&lt;volume&gt;47&lt;/volume&gt;&lt;number&gt;11&lt;/number&gt;&lt;dates&gt;&lt;year&gt;2012&lt;/year&gt;&lt;/dates&gt;&lt;urls&gt;&lt;related-urls&gt;&lt;url&gt;http://ovidsp.ovid.com/ovidweb.cgi?T=JS&amp;amp;PAGE=reference&amp;amp;D=emed13&amp;amp;NEWS=N&amp;amp;AN=365856245&lt;/url&gt;&lt;/related-urls&gt;&lt;/urls&gt;&lt;electronic-resource-num&gt;http://dx.doi.org/10.3109/00365521.2012.703236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(Kjartansdottir et al., 2012)</w:t>
            </w:r>
            <w:r w:rsidRPr="0091560A">
              <w:rPr>
                <w:rFonts w:eastAsia="Times New Roman" w:cs="Times New Roman"/>
                <w:color w:val="000000"/>
                <w:sz w:val="16"/>
                <w:szCs w:val="16"/>
                <w:lang w:eastAsia="en-AU"/>
              </w:rPr>
              <w:fldChar w:fldCharType="end"/>
            </w:r>
          </w:p>
          <w:p w14:paraId="65FD4F71" w14:textId="77777777" w:rsidR="00574EB4" w:rsidRPr="0091560A" w:rsidRDefault="00574EB4">
            <w:pPr>
              <w:spacing w:after="0" w:line="240" w:lineRule="auto"/>
              <w:rPr>
                <w:rFonts w:eastAsia="Times New Roman" w:cs="Times New Roman"/>
                <w:color w:val="000000"/>
                <w:sz w:val="16"/>
                <w:szCs w:val="16"/>
                <w:lang w:eastAsia="en-AU"/>
              </w:rPr>
            </w:pPr>
          </w:p>
          <w:p w14:paraId="41DD86F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Iceland</w:t>
            </w:r>
          </w:p>
        </w:tc>
        <w:tc>
          <w:tcPr>
            <w:tcW w:w="1232" w:type="dxa"/>
          </w:tcPr>
          <w:p w14:paraId="6A90185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35035EB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D55251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residents within the catchment area who presented to the National University Hospital from 2004 to 2009 with overdose or liver injury and whose reported paracetamol ingestion exceeded the recommended daily dose of 4g or detection of serum paracetamol levels greater than 10mg/l</w:t>
            </w:r>
          </w:p>
        </w:tc>
        <w:tc>
          <w:tcPr>
            <w:tcW w:w="1279" w:type="dxa"/>
            <w:shd w:val="clear" w:color="auto" w:fill="auto"/>
            <w:noWrap/>
          </w:tcPr>
          <w:p w14:paraId="267BB27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286 patients (326 visits), 182 hospitalised index visits </w:t>
            </w:r>
          </w:p>
        </w:tc>
        <w:tc>
          <w:tcPr>
            <w:tcW w:w="1452" w:type="dxa"/>
            <w:shd w:val="clear" w:color="auto" w:fill="auto"/>
            <w:noWrap/>
          </w:tcPr>
          <w:p w14:paraId="7279C53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Hospitalised index visits: Median = 28; IQR = 19-43</w:t>
            </w:r>
          </w:p>
        </w:tc>
        <w:tc>
          <w:tcPr>
            <w:tcW w:w="1417" w:type="dxa"/>
            <w:shd w:val="clear" w:color="auto" w:fill="auto"/>
            <w:noWrap/>
          </w:tcPr>
          <w:p w14:paraId="4490785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91% </w:t>
            </w:r>
          </w:p>
        </w:tc>
        <w:tc>
          <w:tcPr>
            <w:tcW w:w="4630" w:type="dxa"/>
            <w:shd w:val="clear" w:color="auto" w:fill="auto"/>
          </w:tcPr>
          <w:p w14:paraId="7566ABCD"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Age: </w:t>
            </w:r>
            <w:r w:rsidRPr="0091560A">
              <w:rPr>
                <w:rFonts w:eastAsia="Times New Roman" w:cs="Times New Roman"/>
                <w:color w:val="000000"/>
                <w:sz w:val="16"/>
                <w:szCs w:val="16"/>
                <w:lang w:eastAsia="en-AU"/>
              </w:rPr>
              <w:t>Intentional cases tended to be younger than unintentional cases</w:t>
            </w:r>
          </w:p>
          <w:p w14:paraId="7ED9C8C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 xml:space="preserve">Sex: </w:t>
            </w:r>
            <w:r w:rsidRPr="0091560A">
              <w:rPr>
                <w:rFonts w:eastAsia="Times New Roman" w:cs="Times New Roman"/>
                <w:color w:val="000000" w:themeColor="text1"/>
                <w:sz w:val="16"/>
                <w:szCs w:val="16"/>
                <w:lang w:eastAsia="en-AU"/>
              </w:rPr>
              <w:t>73% of intentional cases female, with no difference when compared to unintentional cases</w:t>
            </w:r>
          </w:p>
          <w:p w14:paraId="03F7D34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Alcohol consumption:</w:t>
            </w:r>
            <w:r w:rsidRPr="0091560A">
              <w:rPr>
                <w:rFonts w:eastAsia="Times New Roman" w:cs="Times New Roman"/>
                <w:color w:val="000000" w:themeColor="text1"/>
                <w:sz w:val="16"/>
                <w:szCs w:val="16"/>
                <w:lang w:eastAsia="en-AU"/>
              </w:rPr>
              <w:t xml:space="preserve"> Present in 46% of intentional cases, with no difference when compared to unintentional cases</w:t>
            </w:r>
          </w:p>
          <w:p w14:paraId="55704C8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Alcohol abuse:</w:t>
            </w:r>
            <w:r w:rsidRPr="0091560A">
              <w:rPr>
                <w:rFonts w:eastAsia="Times New Roman" w:cs="Times New Roman"/>
                <w:color w:val="000000" w:themeColor="text1"/>
                <w:sz w:val="16"/>
                <w:szCs w:val="16"/>
                <w:lang w:eastAsia="en-AU"/>
              </w:rPr>
              <w:t xml:space="preserve"> 30% of intentional cases had a history of alcohol abuse, and this proportion was higher in accidental cases (63%) </w:t>
            </w:r>
          </w:p>
          <w:p w14:paraId="50352180" w14:textId="77777777" w:rsidR="00574EB4" w:rsidRPr="0091560A" w:rsidRDefault="00574EB4">
            <w:pPr>
              <w:spacing w:after="0" w:line="240" w:lineRule="auto"/>
              <w:rPr>
                <w:rFonts w:eastAsia="Times New Roman" w:cs="Times New Roman"/>
                <w:color w:val="000000"/>
                <w:sz w:val="16"/>
                <w:szCs w:val="16"/>
                <w:lang w:eastAsia="en-AU"/>
              </w:rPr>
            </w:pPr>
          </w:p>
        </w:tc>
      </w:tr>
      <w:tr w:rsidR="00574EB4" w:rsidRPr="0091560A" w14:paraId="59F571FF" w14:textId="77777777" w:rsidTr="0035719A">
        <w:trPr>
          <w:trHeight w:val="1368"/>
        </w:trPr>
        <w:tc>
          <w:tcPr>
            <w:tcW w:w="1456" w:type="dxa"/>
            <w:tcBorders>
              <w:top w:val="single" w:sz="4" w:space="0" w:color="auto"/>
              <w:bottom w:val="single" w:sz="4" w:space="0" w:color="auto"/>
            </w:tcBorders>
            <w:shd w:val="clear" w:color="auto" w:fill="auto"/>
            <w:noWrap/>
          </w:tcPr>
          <w:p w14:paraId="07CFF9FD" w14:textId="7E8F34FB"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Kominek (2015)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&lt;EndNote&gt;&lt;Cite&gt;&lt;Author&gt;Kominek&lt;/Author&gt;&lt;Year&gt;2015&lt;/Year&gt;&lt;RecNum&gt;890&lt;/RecNum&gt;&lt;DisplayText&gt;(Kominek et al., 2015)&lt;/DisplayText&gt;&lt;record&gt;&lt;rec-number&gt;890&lt;/rec-number&gt;&lt;foreign-keys&gt;&lt;key app="EN" db-id="90p22wx96ddedpe0r9pxtt9gzz05dd5ev299" timestamp="1657000537"&gt;890&lt;/key&gt;&lt;/foreign-keys&gt;&lt;ref-type name="Journal Article"&gt;17&lt;/ref-type&gt;&lt;contributors&gt;&lt;authors&gt;&lt;author&gt;Kominek, K.&lt;/author&gt;&lt;author&gt;Pawlowska-Kamieniak, A.&lt;/author&gt;&lt;author&gt;Mroczkowska-Juchkiewicz, A.&lt;/author&gt;&lt;author&gt;Krawiec, P.&lt;/author&gt;&lt;author&gt;Pac-Kozuchowska, E.&lt;/author&gt;&lt;/authors&gt;&lt;/contributors&gt;&lt;titles&gt;&lt;title&gt;Intentional and accidental paracetamol poisoning in childhood - a retrospective analysis&lt;/title&gt;&lt;secondary-title&gt;Postepy higieny i medycyny doswiadczalnej (Online)&lt;/secondary-title&gt;&lt;/titles&gt;&lt;pages&gt;452-456&lt;/pages&gt;&lt;volume&gt;69&lt;/volume&gt;&lt;dates&gt;&lt;year&gt;2015&lt;/year&gt;&lt;/dates&gt;&lt;urls&gt;&lt;related-urls&gt;&lt;url&gt;http://ovidsp.ovid.com/ovidweb.cgi?T=JS&amp;amp;PAGE=reference&amp;amp;D=emed16&amp;amp;NEWS=N&amp;amp;AN=605612688&lt;/url&gt;&lt;/related-urls&gt;&lt;/urls&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(Kominek et al., 2015)</w:t>
            </w:r>
            <w:r w:rsidRPr="0091560A">
              <w:rPr>
                <w:rFonts w:eastAsia="Times New Roman" w:cs="Times New Roman"/>
                <w:color w:val="000000"/>
                <w:sz w:val="16"/>
                <w:szCs w:val="16"/>
                <w:lang w:eastAsia="en-AU"/>
              </w:rPr>
              <w:fldChar w:fldCharType="end"/>
            </w:r>
          </w:p>
          <w:p w14:paraId="50B620C5" w14:textId="77777777" w:rsidR="00574EB4" w:rsidRPr="0091560A" w:rsidRDefault="00574EB4">
            <w:pPr>
              <w:spacing w:after="0" w:line="240" w:lineRule="auto"/>
              <w:rPr>
                <w:rFonts w:eastAsia="Times New Roman" w:cs="Times New Roman"/>
                <w:color w:val="000000"/>
                <w:sz w:val="16"/>
                <w:szCs w:val="16"/>
                <w:lang w:eastAsia="en-AU"/>
              </w:rPr>
            </w:pPr>
          </w:p>
          <w:p w14:paraId="761418C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Poland</w:t>
            </w:r>
          </w:p>
        </w:tc>
        <w:tc>
          <w:tcPr>
            <w:tcW w:w="1232" w:type="dxa"/>
            <w:tcBorders>
              <w:top w:val="single" w:sz="4" w:space="0" w:color="auto"/>
              <w:bottom w:val="single" w:sz="4" w:space="0" w:color="auto"/>
            </w:tcBorders>
          </w:tcPr>
          <w:p w14:paraId="7C087E9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tcBorders>
              <w:top w:val="single" w:sz="4" w:space="0" w:color="auto"/>
              <w:bottom w:val="single" w:sz="4" w:space="0" w:color="auto"/>
            </w:tcBorders>
            <w:shd w:val="clear" w:color="auto" w:fill="auto"/>
            <w:noWrap/>
          </w:tcPr>
          <w:p w14:paraId="6CEE168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tcBorders>
              <w:top w:val="single" w:sz="4" w:space="0" w:color="auto"/>
              <w:bottom w:val="single" w:sz="4" w:space="0" w:color="auto"/>
            </w:tcBorders>
            <w:shd w:val="clear" w:color="auto" w:fill="auto"/>
            <w:noWrap/>
          </w:tcPr>
          <w:p w14:paraId="04E38D5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hospitalised in the Paediatric Clinic at the Children’s Clinical Hospital in Lublin from 2004 to 2012 due to paracetamol poisoning</w:t>
            </w:r>
          </w:p>
        </w:tc>
        <w:tc>
          <w:tcPr>
            <w:tcW w:w="1279" w:type="dxa"/>
            <w:tcBorders>
              <w:top w:val="single" w:sz="4" w:space="0" w:color="auto"/>
              <w:bottom w:val="single" w:sz="4" w:space="0" w:color="auto"/>
            </w:tcBorders>
            <w:shd w:val="clear" w:color="auto" w:fill="auto"/>
            <w:noWrap/>
          </w:tcPr>
          <w:p w14:paraId="28B1268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44</w:t>
            </w:r>
          </w:p>
        </w:tc>
        <w:tc>
          <w:tcPr>
            <w:tcW w:w="1452" w:type="dxa"/>
            <w:tcBorders>
              <w:top w:val="single" w:sz="4" w:space="0" w:color="auto"/>
              <w:bottom w:val="single" w:sz="4" w:space="0" w:color="auto"/>
            </w:tcBorders>
            <w:shd w:val="clear" w:color="auto" w:fill="auto"/>
            <w:noWrap/>
          </w:tcPr>
          <w:p w14:paraId="2F1FFB8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M = 15; range = 12-17</w:t>
            </w:r>
          </w:p>
          <w:p w14:paraId="79017F3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Accidental: M = 3; range = 2-4</w:t>
            </w:r>
          </w:p>
          <w:p w14:paraId="497AA05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Drug overdose: M = 15; range = 14-16</w:t>
            </w:r>
          </w:p>
        </w:tc>
        <w:tc>
          <w:tcPr>
            <w:tcW w:w="1417" w:type="dxa"/>
            <w:tcBorders>
              <w:top w:val="single" w:sz="4" w:space="0" w:color="auto"/>
              <w:bottom w:val="single" w:sz="4" w:space="0" w:color="auto"/>
            </w:tcBorders>
            <w:shd w:val="clear" w:color="auto" w:fill="auto"/>
            <w:noWrap/>
          </w:tcPr>
          <w:p w14:paraId="00664CE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68.2%</w:t>
            </w:r>
          </w:p>
        </w:tc>
        <w:tc>
          <w:tcPr>
            <w:tcW w:w="4630" w:type="dxa"/>
            <w:tcBorders>
              <w:top w:val="single" w:sz="4" w:space="0" w:color="auto"/>
              <w:bottom w:val="single" w:sz="4" w:space="0" w:color="auto"/>
            </w:tcBorders>
            <w:shd w:val="clear" w:color="auto" w:fill="auto"/>
          </w:tcPr>
          <w:p w14:paraId="6F9FFF5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93.3% of patients with intentional self-poisoning were female</w:t>
            </w:r>
          </w:p>
          <w:p w14:paraId="6813C83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 xml:space="preserve">Dosage: </w:t>
            </w:r>
            <w:r w:rsidRPr="0091560A">
              <w:rPr>
                <w:rFonts w:eastAsia="Times New Roman" w:cs="Times New Roman"/>
                <w:color w:val="000000" w:themeColor="text1"/>
                <w:sz w:val="16"/>
                <w:szCs w:val="16"/>
                <w:lang w:eastAsia="en-AU"/>
              </w:rPr>
              <w:t xml:space="preserve">56-490mg/kg body weight (average = 192mg/kg body weight) </w:t>
            </w:r>
          </w:p>
        </w:tc>
      </w:tr>
      <w:tr w:rsidR="00574EB4" w:rsidRPr="0091560A" w14:paraId="6F8F3F52" w14:textId="77777777" w:rsidTr="0035719A">
        <w:trPr>
          <w:trHeight w:val="688"/>
        </w:trPr>
        <w:tc>
          <w:tcPr>
            <w:tcW w:w="1456" w:type="dxa"/>
            <w:shd w:val="clear" w:color="auto" w:fill="auto"/>
            <w:noWrap/>
          </w:tcPr>
          <w:p w14:paraId="3823396D" w14:textId="54C55A95"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Kummer (2021) </w:t>
            </w:r>
            <w:r w:rsidRPr="0076490A">
              <w:rPr>
                <w:rFonts w:eastAsia="Times New Roman" w:cs="Times New Roman"/>
                <w:color w:val="000000"/>
                <w:sz w:val="16"/>
                <w:szCs w:val="16"/>
                <w:lang w:eastAsia="en-AU"/>
              </w:rPr>
              <w:fldChar w:fldCharType="begin"/>
            </w:r>
            <w:r w:rsidR="00D709C3" w:rsidRPr="0076490A">
              <w:rPr>
                <w:rFonts w:eastAsia="Times New Roman" w:cs="Times New Roman"/>
                <w:color w:val="000000"/>
                <w:sz w:val="16"/>
                <w:szCs w:val="16"/>
                <w:lang w:eastAsia="en-AU"/>
              </w:rPr>
              <w:instrText xml:space="preserve"> ADDIN EN.CITE &lt;EndNote&gt;&lt;Cite&gt;&lt;Author&gt;Kummer&lt;/Author&gt;&lt;Year&gt;2021&lt;/Year&gt;&lt;RecNum&gt;891&lt;/RecNum&gt;&lt;DisplayText&gt;(Kummer et al., 2021)&lt;/DisplayText&gt;&lt;record&gt;&lt;rec-number&gt;891&lt;/rec-number&gt;&lt;foreign-keys&gt;&lt;key app="EN" db-id="90p22wx96ddedpe0r9pxtt9gzz05dd5ev299" timestamp="1657000537"&gt;891&lt;/key&gt;&lt;/foreign-keys&gt;&lt;ref-type name="Journal Article"&gt;17&lt;/ref-type&gt;&lt;contributors&gt;&lt;authors&gt;&lt;author&gt;Kummer, M.&lt;/author&gt;&lt;author&gt;Muller, T.&lt;/author&gt;&lt;author&gt;Exadaktylos, A. K.&lt;/author&gt;&lt;author&gt;Krahenbuhl, S.&lt;/author&gt;&lt;author&gt;Liakoni, E.&lt;/author&gt;&lt;/authors&gt;&lt;/contributors&gt;&lt;titles&gt;&lt;title&gt;Characteristics of presentations to the emergency department following attempted suicide with drugs&lt;/title&gt;&lt;secondary-title&gt;International Journal of Environmental Research and Public Health&lt;/secondary-title&gt;&lt;/titles&gt;&lt;pages&gt;10232&lt;/pages&gt;&lt;volume&gt;18&lt;/volume&gt;&lt;number&gt;19&lt;/number&gt;&lt;dates&gt;&lt;year&gt;2021&lt;/year&gt;&lt;/dates&gt;&lt;urls&gt;&lt;related-urls&gt;&lt;url&gt;https://www.mdpi.com/1660-4601/18/19/10232/pdfhttp://ovidsp.ovid.com/ovidweb.cgi?T=JS&amp;amp;PAGE=reference&amp;amp;D=emexb&amp;amp;NEWS=N&amp;amp;AN=2013928503&lt;/url&gt;&lt;/related-urls&gt;&lt;/urls&gt;&lt;electronic-resource-num&gt;http://dx.doi.org/10.3390/ijerph181910232&lt;/electronic-resource-num&gt;&lt;/record&gt;&lt;/Cite&gt;&lt;/EndNote&gt;</w:instrText>
            </w:r>
            <w:r w:rsidRPr="0076490A">
              <w:rPr>
                <w:rFonts w:eastAsia="Times New Roman" w:cs="Times New Roman"/>
                <w:color w:val="000000"/>
                <w:sz w:val="16"/>
                <w:szCs w:val="16"/>
                <w:lang w:eastAsia="en-AU"/>
              </w:rPr>
              <w:fldChar w:fldCharType="separate"/>
            </w:r>
            <w:r w:rsidRPr="0076490A">
              <w:rPr>
                <w:rFonts w:eastAsia="Times New Roman" w:cs="Times New Roman"/>
                <w:noProof/>
                <w:color w:val="000000"/>
                <w:sz w:val="16"/>
                <w:szCs w:val="16"/>
                <w:lang w:eastAsia="en-AU"/>
              </w:rPr>
              <w:t>(Kummer et al., 2021)</w:t>
            </w:r>
            <w:r w:rsidRPr="0076490A">
              <w:rPr>
                <w:rFonts w:eastAsia="Times New Roman" w:cs="Times New Roman"/>
                <w:color w:val="000000"/>
                <w:sz w:val="16"/>
                <w:szCs w:val="16"/>
                <w:lang w:eastAsia="en-AU"/>
              </w:rPr>
              <w:fldChar w:fldCharType="end"/>
            </w:r>
          </w:p>
          <w:p w14:paraId="3A5ED2C1" w14:textId="77777777" w:rsidR="00574EB4" w:rsidRPr="0091560A" w:rsidRDefault="00574EB4">
            <w:pPr>
              <w:spacing w:after="0" w:line="240" w:lineRule="auto"/>
              <w:rPr>
                <w:rFonts w:eastAsia="Times New Roman" w:cs="Times New Roman"/>
                <w:color w:val="000000"/>
                <w:sz w:val="16"/>
                <w:szCs w:val="16"/>
                <w:lang w:eastAsia="en-AU"/>
              </w:rPr>
            </w:pPr>
          </w:p>
          <w:p w14:paraId="62C80CE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Switzerland</w:t>
            </w:r>
          </w:p>
        </w:tc>
        <w:tc>
          <w:tcPr>
            <w:tcW w:w="1232" w:type="dxa"/>
          </w:tcPr>
          <w:p w14:paraId="2FA2FA9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A7541F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Paracetamol (other self-poisoning drugs) </w:t>
            </w:r>
          </w:p>
        </w:tc>
        <w:tc>
          <w:tcPr>
            <w:tcW w:w="2409" w:type="dxa"/>
            <w:shd w:val="clear" w:color="auto" w:fill="auto"/>
            <w:noWrap/>
          </w:tcPr>
          <w:p w14:paraId="1F6F530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Cases presenting at the ED of the University Hospital of Bern, Switzerland, from May 2012 to August 2016, after attempted suicide with drugs</w:t>
            </w:r>
          </w:p>
        </w:tc>
        <w:tc>
          <w:tcPr>
            <w:tcW w:w="1279" w:type="dxa"/>
            <w:shd w:val="clear" w:color="auto" w:fill="auto"/>
            <w:noWrap/>
          </w:tcPr>
          <w:p w14:paraId="0CD202C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488 (111 with paracetamol)</w:t>
            </w:r>
          </w:p>
        </w:tc>
        <w:tc>
          <w:tcPr>
            <w:tcW w:w="1452" w:type="dxa"/>
            <w:shd w:val="clear" w:color="auto" w:fill="auto"/>
            <w:noWrap/>
          </w:tcPr>
          <w:p w14:paraId="6FC132B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 = 37, SD = 16, median = 33; range = 16-93</w:t>
            </w:r>
          </w:p>
        </w:tc>
        <w:tc>
          <w:tcPr>
            <w:tcW w:w="1417" w:type="dxa"/>
            <w:shd w:val="clear" w:color="auto" w:fill="auto"/>
            <w:noWrap/>
          </w:tcPr>
          <w:p w14:paraId="61C410B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39C31693"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Females more likely to use paracetamol</w:t>
            </w:r>
            <w:r w:rsidRPr="0091560A">
              <w:rPr>
                <w:rFonts w:eastAsia="Times New Roman" w:cs="Times New Roman"/>
                <w:b/>
                <w:bCs/>
                <w:color w:val="000000" w:themeColor="text1"/>
                <w:sz w:val="16"/>
                <w:szCs w:val="16"/>
                <w:lang w:eastAsia="en-AU"/>
              </w:rPr>
              <w:t xml:space="preserve"> </w:t>
            </w:r>
          </w:p>
          <w:p w14:paraId="0C45DF2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Paracetamol more commonly used among patients under 30 years compared to older age groups</w:t>
            </w:r>
            <w:r w:rsidRPr="0091560A">
              <w:rPr>
                <w:rFonts w:cs="Times New Roman"/>
              </w:rPr>
              <w:br/>
            </w:r>
          </w:p>
        </w:tc>
      </w:tr>
      <w:tr w:rsidR="00574EB4" w:rsidRPr="0091560A" w14:paraId="1853E265" w14:textId="77777777" w:rsidTr="0035719A">
        <w:trPr>
          <w:trHeight w:val="688"/>
        </w:trPr>
        <w:tc>
          <w:tcPr>
            <w:tcW w:w="1456" w:type="dxa"/>
            <w:shd w:val="clear" w:color="auto" w:fill="auto"/>
            <w:noWrap/>
          </w:tcPr>
          <w:p w14:paraId="657D30A9" w14:textId="06DD7190"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Kumpula (2020) </w:t>
            </w:r>
            <w:r w:rsidRPr="0076490A">
              <w:rPr>
                <w:rFonts w:eastAsia="Times New Roman" w:cs="Times New Roman"/>
                <w:color w:val="000000"/>
                <w:sz w:val="16"/>
                <w:szCs w:val="16"/>
                <w:lang w:eastAsia="en-AU"/>
              </w:rPr>
              <w:fldChar w:fldCharType="begin"/>
            </w:r>
            <w:r w:rsidR="00416846" w:rsidRPr="0076490A">
              <w:rPr>
                <w:rFonts w:eastAsia="Times New Roman" w:cs="Times New Roman"/>
                <w:color w:val="000000"/>
                <w:sz w:val="16"/>
                <w:szCs w:val="16"/>
                <w:lang w:eastAsia="en-AU"/>
              </w:rPr>
              <w:instrText xml:space="preserve"> ADDIN EN.CITE &lt;EndNote&gt;&lt;Cite&gt;&lt;Author&gt;Kumpula&lt;/Author&gt;&lt;Year&gt;2020&lt;/Year&gt;&lt;RecNum&gt;892&lt;/RecNum&gt;&lt;DisplayText&gt;(E.-K. Kumpula et al., 2020)&lt;/DisplayText&gt;&lt;record&gt;&lt;rec-number&gt;892&lt;/rec-number&gt;&lt;foreign-keys&gt;&lt;key app="EN" db-id="90p22wx96ddedpe0r9pxtt9gzz05dd5ev299" timestamp="1657000537"&gt;892&lt;/key&gt;&lt;/foreign-keys&gt;&lt;ref-type name="Journal Article"&gt;17&lt;/ref-type&gt;&lt;contributors&gt;&lt;authors&gt;&lt;author&gt;Kumpula, Eeva-Katri&lt;/author&gt;&lt;author&gt;Lambie, Bruce&lt;/author&gt;&lt;author&gt;Quigley, Paul&lt;/author&gt;&lt;author&gt;Nada-Raja, Shyamala&lt;/author&gt;&lt;author&gt;Norris, Pauline&lt;/author&gt;&lt;/authors&gt;&lt;/contributors&gt;&lt;titles&gt;&lt;title&gt;Prescribers aware: a cross-sectional study from New Zealand emergency departments on the substances used in intentional self-poisoning and their sources&lt;/title&gt;&lt;secondary-title&gt;Journal of Primary Health Care&lt;/secondary-title&gt;&lt;/titles&gt;&lt;pages&gt;235-243&lt;/pages&gt;&lt;volume&gt;12&lt;/volume&gt;&lt;number&gt;3&lt;/number&gt;&lt;dates&gt;&lt;year&gt;2020&lt;/year&gt;&lt;/dates&gt;&lt;accession-num&gt;146123459. Language: English. Entry Date: 20201012. Revision Date: 20201012. Publication Type: Article&lt;/accession-num&gt;&lt;urls&gt;&lt;related-urls&gt;&lt;url&gt;https://search.ebscohost.com/login.aspx?direct=true&amp;amp;db=cin20&amp;amp;AN=146123459&amp;amp;site=ehost-live&lt;/url&gt;&lt;/related-urls&gt;&lt;/urls&gt;&lt;electronic-resource-num&gt;10.1071/HC20017&lt;/electronic-resource-num&gt;&lt;/record&gt;&lt;/Cite&gt;&lt;/EndNote&gt;</w:instrText>
            </w:r>
            <w:r w:rsidRPr="0076490A">
              <w:rPr>
                <w:rFonts w:eastAsia="Times New Roman" w:cs="Times New Roman"/>
                <w:color w:val="000000"/>
                <w:sz w:val="16"/>
                <w:szCs w:val="16"/>
                <w:lang w:eastAsia="en-AU"/>
              </w:rPr>
              <w:fldChar w:fldCharType="separate"/>
            </w:r>
            <w:r w:rsidR="00416846" w:rsidRPr="0076490A">
              <w:rPr>
                <w:rFonts w:eastAsia="Times New Roman" w:cs="Times New Roman"/>
                <w:noProof/>
                <w:color w:val="000000"/>
                <w:sz w:val="16"/>
                <w:szCs w:val="16"/>
                <w:lang w:eastAsia="en-AU"/>
              </w:rPr>
              <w:t>(E.-K. Kumpula et al., 2020)</w:t>
            </w:r>
            <w:r w:rsidRPr="0076490A">
              <w:rPr>
                <w:rFonts w:eastAsia="Times New Roman" w:cs="Times New Roman"/>
                <w:color w:val="000000"/>
                <w:sz w:val="16"/>
                <w:szCs w:val="16"/>
                <w:lang w:eastAsia="en-AU"/>
              </w:rPr>
              <w:fldChar w:fldCharType="end"/>
            </w:r>
          </w:p>
          <w:p w14:paraId="0EC0B79D" w14:textId="77777777" w:rsidR="00574EB4" w:rsidRPr="0091560A" w:rsidRDefault="00574EB4">
            <w:pPr>
              <w:spacing w:after="0" w:line="240" w:lineRule="auto"/>
              <w:rPr>
                <w:rFonts w:eastAsia="Times New Roman" w:cs="Times New Roman"/>
                <w:color w:val="000000"/>
                <w:sz w:val="16"/>
                <w:szCs w:val="16"/>
                <w:lang w:eastAsia="en-AU"/>
              </w:rPr>
            </w:pPr>
          </w:p>
          <w:p w14:paraId="1250AAF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New Zealand</w:t>
            </w:r>
          </w:p>
        </w:tc>
        <w:tc>
          <w:tcPr>
            <w:tcW w:w="1232" w:type="dxa"/>
          </w:tcPr>
          <w:p w14:paraId="3BBAE67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Cross-sectional</w:t>
            </w:r>
          </w:p>
        </w:tc>
        <w:tc>
          <w:tcPr>
            <w:tcW w:w="1429" w:type="dxa"/>
            <w:shd w:val="clear" w:color="auto" w:fill="auto"/>
            <w:noWrap/>
          </w:tcPr>
          <w:p w14:paraId="0C29752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 (other self-poisoning medications)</w:t>
            </w:r>
          </w:p>
        </w:tc>
        <w:tc>
          <w:tcPr>
            <w:tcW w:w="2409" w:type="dxa"/>
            <w:shd w:val="clear" w:color="auto" w:fill="auto"/>
            <w:noWrap/>
          </w:tcPr>
          <w:p w14:paraId="2D7FF292" w14:textId="39B064E1"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Purposeful, non-representative sample of patients presenting to three New Zealand public hospital E</w:t>
            </w:r>
            <w:r w:rsidR="00787E88" w:rsidRPr="0091560A">
              <w:rPr>
                <w:rFonts w:eastAsia="Times New Roman" w:cs="Times New Roman"/>
                <w:color w:val="000000" w:themeColor="text1"/>
                <w:sz w:val="16"/>
                <w:szCs w:val="16"/>
                <w:lang w:eastAsia="en-AU"/>
              </w:rPr>
              <w:t>d</w:t>
            </w:r>
            <w:r w:rsidRPr="0091560A">
              <w:rPr>
                <w:rFonts w:eastAsia="Times New Roman" w:cs="Times New Roman"/>
                <w:color w:val="000000" w:themeColor="text1"/>
                <w:sz w:val="16"/>
                <w:szCs w:val="16"/>
                <w:lang w:eastAsia="en-AU"/>
              </w:rPr>
              <w:t>s with intentional self-poisoning. Data was collected from May 2016 to October 2017 from Dunedin Hospital, September 2016 to October 2017 in Wellington Regional Hospital, and March 2017 to September 2017 in Southland Hospital</w:t>
            </w:r>
          </w:p>
        </w:tc>
        <w:tc>
          <w:tcPr>
            <w:tcW w:w="1279" w:type="dxa"/>
            <w:shd w:val="clear" w:color="auto" w:fill="auto"/>
            <w:noWrap/>
          </w:tcPr>
          <w:p w14:paraId="2089949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102</w:t>
            </w:r>
          </w:p>
        </w:tc>
        <w:tc>
          <w:tcPr>
            <w:tcW w:w="1452" w:type="dxa"/>
            <w:shd w:val="clear" w:color="auto" w:fill="auto"/>
            <w:noWrap/>
          </w:tcPr>
          <w:p w14:paraId="5917597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Median = 21.5; IQR = 18.3-29; range = 16+</w:t>
            </w:r>
            <w:r w:rsidRPr="0091560A">
              <w:rPr>
                <w:rFonts w:cs="Times New Roman"/>
              </w:rPr>
              <w:br/>
            </w:r>
            <w:r w:rsidRPr="0091560A">
              <w:rPr>
                <w:rFonts w:cs="Times New Roman"/>
              </w:rPr>
              <w:br/>
            </w:r>
          </w:p>
        </w:tc>
        <w:tc>
          <w:tcPr>
            <w:tcW w:w="1417" w:type="dxa"/>
            <w:shd w:val="clear" w:color="auto" w:fill="auto"/>
            <w:noWrap/>
          </w:tcPr>
          <w:p w14:paraId="6FD05C4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27703FFF"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Median amount of paracetamol exposure was 3.3DDD (IQR =2.0-4.3; equivalent to 10g – 20 x 500mg tablets)</w:t>
            </w:r>
          </w:p>
        </w:tc>
      </w:tr>
      <w:tr w:rsidR="00574EB4" w:rsidRPr="0091560A" w14:paraId="48547C35" w14:textId="77777777" w:rsidTr="0035719A">
        <w:trPr>
          <w:trHeight w:val="688"/>
        </w:trPr>
        <w:tc>
          <w:tcPr>
            <w:tcW w:w="1456" w:type="dxa"/>
            <w:shd w:val="clear" w:color="auto" w:fill="auto"/>
            <w:noWrap/>
          </w:tcPr>
          <w:p w14:paraId="6520FE7A" w14:textId="0D023D1F"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Makin (2000)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&lt;EndNote&gt;&lt;Cite&gt;&lt;Author&gt;Makin&lt;/Author&gt;&lt;Year&gt;2000&lt;/Year&gt;&lt;RecNum&gt;895&lt;/RecNum&gt;&lt;DisplayText&gt;(Makin &amp;amp; Williams, 2000)&lt;/DisplayText&gt;&lt;record&gt;&lt;rec-number&gt;895&lt;/rec-number&gt;&lt;foreign-keys&gt;&lt;key app="EN" db-id="90p22wx96ddedpe0r9pxtt9gzz05dd5ev299" timestamp="1657000537"&gt;895&lt;/key&gt;&lt;/foreign-keys&gt;&lt;ref-type name="Journal Article"&gt;17&lt;/ref-type&gt;&lt;contributors&gt;&lt;authors&gt;&lt;author&gt;Makin, A.&lt;/author&gt;&lt;author&gt;Williams, R.&lt;/author&gt;&lt;/authors&gt;&lt;/contributors&gt;&lt;titles&gt;&lt;title&gt;Paracetamol hepatotoxicity and alcohol consumption in deliberate and accidental overdose&lt;/title&gt;&lt;secondary-title&gt;QJM - Monthly Journal of the Association of Physicians&lt;/secondary-title&gt;&lt;/titles&gt;&lt;pages&gt;341-349&lt;/pages&gt;&lt;volume&gt;93&lt;/volume&gt;&lt;number&gt;6&lt;/number&gt;&lt;dates&gt;&lt;year&gt;2000&lt;/year&gt;&lt;/dates&gt;&lt;urls&gt;&lt;related-urls&gt;&lt;url&gt;http://qjmed.oxfordjournals.org/http://ovidsp.ovid.com/ovidweb.cgi?T=JS&amp;amp;PAGE=reference&amp;amp;D=emed22&amp;amp;NEWS=N&amp;amp;AN=30386805&lt;/url&gt;&lt;/related-urls&gt;&lt;/urls&gt;&lt;electronic-resource-num&gt;http://dx.doi.org/10.1093/qjmed/93.6.341&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(Makin &amp; Williams, 2000)</w:t>
            </w:r>
            <w:r w:rsidRPr="0091560A">
              <w:rPr>
                <w:rFonts w:eastAsia="Times New Roman" w:cs="Times New Roman"/>
                <w:color w:val="000000"/>
                <w:sz w:val="16"/>
                <w:szCs w:val="16"/>
                <w:lang w:eastAsia="en-AU"/>
              </w:rPr>
              <w:fldChar w:fldCharType="end"/>
            </w:r>
          </w:p>
          <w:p w14:paraId="3DCF7A98" w14:textId="77777777" w:rsidR="00574EB4" w:rsidRPr="0091560A" w:rsidRDefault="00574EB4">
            <w:pPr>
              <w:spacing w:after="0" w:line="240" w:lineRule="auto"/>
              <w:rPr>
                <w:rFonts w:eastAsia="Times New Roman" w:cs="Times New Roman"/>
                <w:color w:val="000000"/>
                <w:sz w:val="16"/>
                <w:szCs w:val="16"/>
                <w:lang w:eastAsia="en-AU"/>
              </w:rPr>
            </w:pPr>
          </w:p>
          <w:p w14:paraId="5B9EDEC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London, UK</w:t>
            </w:r>
          </w:p>
        </w:tc>
        <w:tc>
          <w:tcPr>
            <w:tcW w:w="1232" w:type="dxa"/>
          </w:tcPr>
          <w:p w14:paraId="78D45B2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05BA5E4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9BFCC18" w14:textId="2C6739C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treated for paracetamol-induced severe hepatoxicity in the Liver Failure Unit of King</w:t>
            </w:r>
            <w:r w:rsidR="00787E88">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s College Hospital from January 1987 to December 1993</w:t>
            </w:r>
          </w:p>
        </w:tc>
        <w:tc>
          <w:tcPr>
            <w:tcW w:w="1279" w:type="dxa"/>
            <w:shd w:val="clear" w:color="auto" w:fill="auto"/>
            <w:noWrap/>
          </w:tcPr>
          <w:p w14:paraId="2E0589B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553</w:t>
            </w:r>
          </w:p>
        </w:tc>
        <w:tc>
          <w:tcPr>
            <w:tcW w:w="1452" w:type="dxa"/>
            <w:shd w:val="clear" w:color="auto" w:fill="auto"/>
            <w:noWrap/>
          </w:tcPr>
          <w:p w14:paraId="257FFE0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&lt;30 = 54%</w:t>
            </w:r>
          </w:p>
          <w:p w14:paraId="3A412B4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30-50 =</w:t>
            </w:r>
            <w:r w:rsidRPr="0091560A" w:rsidDel="002722C6">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37%</w:t>
            </w:r>
          </w:p>
          <w:p w14:paraId="71255F3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themeColor="text1"/>
                <w:sz w:val="16"/>
                <w:szCs w:val="16"/>
                <w:lang w:eastAsia="en-AU"/>
              </w:rPr>
              <w:t>&gt;50 = 9%</w:t>
            </w:r>
          </w:p>
        </w:tc>
        <w:tc>
          <w:tcPr>
            <w:tcW w:w="1417" w:type="dxa"/>
            <w:shd w:val="clear" w:color="auto" w:fill="auto"/>
            <w:noWrap/>
          </w:tcPr>
          <w:p w14:paraId="41C28B7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93.1% </w:t>
            </w:r>
          </w:p>
        </w:tc>
        <w:tc>
          <w:tcPr>
            <w:tcW w:w="4630" w:type="dxa"/>
            <w:shd w:val="clear" w:color="auto" w:fill="auto"/>
          </w:tcPr>
          <w:p w14:paraId="5F6CF69F"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Sex: </w:t>
            </w:r>
            <w:r w:rsidRPr="0091560A">
              <w:rPr>
                <w:rFonts w:eastAsia="Times New Roman" w:cs="Times New Roman"/>
                <w:color w:val="000000" w:themeColor="text1"/>
                <w:sz w:val="16"/>
                <w:szCs w:val="16"/>
                <w:lang w:eastAsia="en-AU"/>
              </w:rPr>
              <w:t>More cases in females</w:t>
            </w:r>
          </w:p>
          <w:p w14:paraId="723E19E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93.1% self-poisoned at a single time point with suicidal intent</w:t>
            </w:r>
          </w:p>
          <w:p w14:paraId="5374EBE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Dosage: </w:t>
            </w:r>
            <w:r w:rsidRPr="0091560A">
              <w:rPr>
                <w:rFonts w:eastAsia="Times New Roman" w:cs="Times New Roman"/>
                <w:color w:val="000000" w:themeColor="text1"/>
                <w:sz w:val="16"/>
                <w:szCs w:val="16"/>
                <w:lang w:eastAsia="en-AU"/>
              </w:rPr>
              <w:t>49.5% &gt;30g paracetamol, 38.6% 15-30g paracetamol, 8% 10-15g paracetamol, 3.1% 6-10g paracetamol, 0.4% 4-6g paracetamol</w:t>
            </w:r>
          </w:p>
          <w:p w14:paraId="478B5BFB" w14:textId="77777777" w:rsidR="00574EB4" w:rsidRPr="0091560A" w:rsidRDefault="00574EB4">
            <w:pPr>
              <w:spacing w:after="0" w:line="240" w:lineRule="auto"/>
              <w:rPr>
                <w:rFonts w:eastAsia="Times New Roman" w:cs="Times New Roman"/>
                <w:color w:val="000000"/>
                <w:sz w:val="16"/>
                <w:szCs w:val="16"/>
                <w:lang w:eastAsia="en-AU"/>
              </w:rPr>
            </w:pPr>
          </w:p>
        </w:tc>
      </w:tr>
      <w:tr w:rsidR="00574EB4" w:rsidRPr="0091560A" w14:paraId="0D558709" w14:textId="77777777" w:rsidTr="0035719A">
        <w:trPr>
          <w:trHeight w:val="688"/>
        </w:trPr>
        <w:tc>
          <w:tcPr>
            <w:tcW w:w="1456" w:type="dxa"/>
            <w:shd w:val="clear" w:color="auto" w:fill="auto"/>
            <w:noWrap/>
          </w:tcPr>
          <w:p w14:paraId="6C2DD6CA" w14:textId="7C9EA9FF" w:rsidR="00574EB4" w:rsidRPr="0091560A" w:rsidRDefault="00574EB4">
            <w:pPr>
              <w:spacing w:after="0" w:line="240" w:lineRule="auto"/>
              <w:textAlignment w:val="baseline"/>
              <w:rPr>
                <w:rFonts w:eastAsia="Times New Roman" w:cs="Times New Roman"/>
                <w:b/>
                <w:sz w:val="16"/>
                <w:szCs w:val="16"/>
                <w:lang w:eastAsia="en-AU"/>
              </w:rPr>
            </w:pPr>
            <w:r w:rsidRPr="0091560A">
              <w:rPr>
                <w:rFonts w:eastAsia="Times New Roman" w:cs="Times New Roman"/>
                <w:b/>
                <w:sz w:val="15"/>
                <w:szCs w:val="15"/>
                <w:lang w:eastAsia="en-AU"/>
              </w:rPr>
              <w:t>Manthripragada</w:t>
            </w:r>
            <w:r w:rsidRPr="0091560A">
              <w:rPr>
                <w:rFonts w:eastAsia="Times New Roman" w:cs="Times New Roman"/>
                <w:b/>
                <w:sz w:val="16"/>
                <w:szCs w:val="16"/>
                <w:lang w:eastAsia="en-AU"/>
              </w:rPr>
              <w:t xml:space="preserve"> (2011) </w:t>
            </w:r>
            <w:r w:rsidRPr="0076490A">
              <w:rPr>
                <w:rFonts w:eastAsia="Times New Roman" w:cs="Times New Roman"/>
                <w:bCs/>
                <w:sz w:val="16"/>
                <w:szCs w:val="16"/>
                <w:lang w:eastAsia="en-AU"/>
              </w:rPr>
              <w:fldChar w:fldCharType="begin"/>
            </w:r>
            <w:r w:rsidR="006E5557" w:rsidRPr="0076490A">
              <w:rPr>
                <w:rFonts w:eastAsia="Times New Roman" w:cs="Times New Roman"/>
                <w:bCs/>
                <w:sz w:val="16"/>
                <w:szCs w:val="16"/>
                <w:lang w:eastAsia="en-AU"/>
              </w:rPr>
              <w:instrText xml:space="preserve"> ADDIN EN.CITE &lt;EndNote&gt;&lt;Cite&gt;&lt;Author&gt;Manthripragada&lt;/Author&gt;&lt;Year&gt;2011&lt;/Year&gt;&lt;RecNum&gt;932&lt;/RecNum&gt;&lt;DisplayText&gt;(Manthripragada, 2011)&lt;/DisplayText&gt;&lt;record&gt;&lt;rec-number&gt;932&lt;/rec-number&gt;&lt;foreign-keys&gt;&lt;key app="EN" db-id="90p22wx96ddedpe0r9pxtt9gzz05dd5ev299" timestamp="1658378614"&gt;932&lt;/key&gt;&lt;/foreign-keys&gt;&lt;ref-type name="Journal Article"&gt;17&lt;/ref-type&gt;&lt;contributors&gt;&lt;authors&gt;&lt;author&gt;Manthripragada, A. D.; Zhou, E. H., Budnitz, D. S., Lovegrove, M. C., Willy, M. E.&lt;/author&gt;&lt;/authors&gt;&lt;/contributors&gt;&lt;titles&gt;&lt;title&gt;Characterization of acetaminophen overdose-related emergency department visits and hospitalizations in the United States&lt;/title&gt;&lt;secondary-title&gt;Pharmacoepidemiology and Drug Safety&lt;/secondary-title&gt;&lt;/titles&gt;&lt;periodical&gt;&lt;full-title&gt;Pharmacoepidemiology and Drug Safety&lt;/full-title&gt;&lt;/periodical&gt;&lt;pages&gt;819-826&lt;/pages&gt;&lt;volume&gt;20&lt;/volume&gt;&lt;dates&gt;&lt;year&gt;2011&lt;/year&gt;&lt;/dates&gt;&lt;urls&gt;&lt;/urls&gt;&lt;/record&gt;&lt;/Cite&gt;&lt;/EndNote&gt;</w:instrText>
            </w:r>
            <w:r w:rsidRPr="0076490A">
              <w:rPr>
                <w:rFonts w:eastAsia="Times New Roman" w:cs="Times New Roman"/>
                <w:bCs/>
                <w:sz w:val="16"/>
                <w:szCs w:val="16"/>
                <w:lang w:eastAsia="en-AU"/>
              </w:rPr>
              <w:fldChar w:fldCharType="separate"/>
            </w:r>
            <w:r w:rsidRPr="0076490A">
              <w:rPr>
                <w:rFonts w:eastAsia="Times New Roman" w:cs="Times New Roman"/>
                <w:bCs/>
                <w:noProof/>
                <w:sz w:val="16"/>
                <w:szCs w:val="16"/>
                <w:lang w:eastAsia="en-AU"/>
              </w:rPr>
              <w:t>(Manthripragada, 2011)</w:t>
            </w:r>
            <w:r w:rsidRPr="0076490A">
              <w:rPr>
                <w:rFonts w:eastAsia="Times New Roman" w:cs="Times New Roman"/>
                <w:bCs/>
                <w:sz w:val="16"/>
                <w:szCs w:val="16"/>
                <w:lang w:eastAsia="en-AU"/>
              </w:rPr>
              <w:fldChar w:fldCharType="end"/>
            </w:r>
          </w:p>
          <w:p w14:paraId="359605E9" w14:textId="77777777" w:rsidR="00574EB4" w:rsidRPr="0091560A" w:rsidRDefault="00574EB4">
            <w:pPr>
              <w:spacing w:after="0" w:line="240" w:lineRule="auto"/>
              <w:textAlignment w:val="baseline"/>
              <w:rPr>
                <w:rFonts w:eastAsia="Times New Roman" w:cs="Times New Roman"/>
                <w:sz w:val="16"/>
                <w:szCs w:val="16"/>
                <w:lang w:eastAsia="en-AU"/>
              </w:rPr>
            </w:pPr>
          </w:p>
          <w:p w14:paraId="576D7F4E" w14:textId="1E45B21E" w:rsidR="00574EB4" w:rsidRPr="0091560A" w:rsidRDefault="00574EB4">
            <w:pPr>
              <w:spacing w:after="0" w:line="240" w:lineRule="auto"/>
              <w:rPr>
                <w:rFonts w:eastAsia="Times New Roman" w:cs="Times New Roman"/>
                <w:b/>
                <w:color w:val="000000"/>
                <w:sz w:val="16"/>
                <w:szCs w:val="16"/>
                <w:highlight w:val="yellow"/>
                <w:lang w:eastAsia="en-AU"/>
              </w:rPr>
            </w:pPr>
            <w:r w:rsidRPr="0091560A">
              <w:rPr>
                <w:rFonts w:eastAsia="Times New Roman" w:cs="Times New Roman"/>
                <w:sz w:val="16"/>
                <w:szCs w:val="16"/>
                <w:lang w:eastAsia="en-AU"/>
              </w:rPr>
              <w:t>US</w:t>
            </w:r>
            <w:r w:rsidR="00AB0A86">
              <w:rPr>
                <w:rFonts w:eastAsia="Times New Roman" w:cs="Times New Roman"/>
                <w:sz w:val="16"/>
                <w:szCs w:val="16"/>
                <w:lang w:eastAsia="en-AU"/>
              </w:rPr>
              <w:t>A</w:t>
            </w:r>
          </w:p>
        </w:tc>
        <w:tc>
          <w:tcPr>
            <w:tcW w:w="1232" w:type="dxa"/>
          </w:tcPr>
          <w:p w14:paraId="1EB9AE0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5455079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D114B0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Paracetamol overdose-related ED visits at approximately 500 hospitals participating in the National Hospital Discharge Survey</w:t>
            </w:r>
          </w:p>
        </w:tc>
        <w:tc>
          <w:tcPr>
            <w:tcW w:w="1279" w:type="dxa"/>
            <w:shd w:val="clear" w:color="auto" w:fill="auto"/>
            <w:noWrap/>
          </w:tcPr>
          <w:p w14:paraId="7B7737B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Average of 33,520 hospitalisations annually (2,228 cases)</w:t>
            </w:r>
          </w:p>
        </w:tc>
        <w:tc>
          <w:tcPr>
            <w:tcW w:w="1452" w:type="dxa"/>
            <w:shd w:val="clear" w:color="auto" w:fill="auto"/>
            <w:noWrap/>
          </w:tcPr>
          <w:p w14:paraId="27A10C7F" w14:textId="77777777" w:rsidR="00574EB4" w:rsidRPr="0091560A" w:rsidDel="336FEC84"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M = 29.6 years, SE = 0.6 for all hospitalisations</w:t>
            </w:r>
          </w:p>
        </w:tc>
        <w:tc>
          <w:tcPr>
            <w:tcW w:w="1417" w:type="dxa"/>
            <w:shd w:val="clear" w:color="auto" w:fill="auto"/>
            <w:noWrap/>
          </w:tcPr>
          <w:p w14:paraId="686933C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74.2%</w:t>
            </w:r>
          </w:p>
        </w:tc>
        <w:tc>
          <w:tcPr>
            <w:tcW w:w="4630" w:type="dxa"/>
            <w:shd w:val="clear" w:color="auto" w:fill="auto"/>
          </w:tcPr>
          <w:p w14:paraId="26F48315"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More females (70.8%) than males were hospitalised for intentional self-poisoning, however little variation by gender was observed for unintentional overdoses</w:t>
            </w:r>
          </w:p>
        </w:tc>
      </w:tr>
      <w:tr w:rsidR="00574EB4" w:rsidRPr="0091560A" w14:paraId="544974EB" w14:textId="77777777" w:rsidTr="0035719A">
        <w:trPr>
          <w:trHeight w:val="688"/>
        </w:trPr>
        <w:tc>
          <w:tcPr>
            <w:tcW w:w="1456" w:type="dxa"/>
            <w:shd w:val="clear" w:color="auto" w:fill="auto"/>
            <w:noWrap/>
          </w:tcPr>
          <w:p w14:paraId="252A25E9" w14:textId="3DCEF6CF" w:rsidR="00574EB4" w:rsidRPr="0091560A" w:rsidRDefault="00574EB4">
            <w:pPr>
              <w:spacing w:after="0" w:line="240" w:lineRule="auto"/>
              <w:textAlignment w:val="baseline"/>
              <w:rPr>
                <w:rFonts w:eastAsia="Times New Roman" w:cs="Times New Roman"/>
                <w:b/>
                <w:sz w:val="16"/>
                <w:szCs w:val="16"/>
                <w:lang w:eastAsia="en-AU"/>
              </w:rPr>
            </w:pPr>
            <w:r w:rsidRPr="0091560A">
              <w:rPr>
                <w:rFonts w:eastAsia="Times New Roman" w:cs="Times New Roman"/>
                <w:b/>
                <w:sz w:val="16"/>
                <w:szCs w:val="16"/>
                <w:lang w:eastAsia="en-AU"/>
              </w:rPr>
              <w:t xml:space="preserve">Martin (2012) </w:t>
            </w:r>
            <w:r w:rsidRPr="0091560A">
              <w:rPr>
                <w:rFonts w:eastAsia="Times New Roman" w:cs="Times New Roman"/>
                <w:bCs/>
                <w:sz w:val="16"/>
                <w:szCs w:val="16"/>
                <w:lang w:eastAsia="en-AU"/>
              </w:rPr>
              <w:fldChar w:fldCharType="begin"/>
            </w:r>
            <w:r w:rsidR="00D709C3" w:rsidRPr="0091560A">
              <w:rPr>
                <w:rFonts w:eastAsia="Times New Roman" w:cs="Times New Roman"/>
                <w:bCs/>
                <w:sz w:val="16"/>
                <w:szCs w:val="16"/>
                <w:lang w:eastAsia="en-AU"/>
              </w:rPr>
              <w:instrText xml:space="preserve"> ADDIN EN.CITE &lt;EndNote&gt;&lt;Cite&gt;&lt;Author&gt;Martin&lt;/Author&gt;&lt;Year&gt;2012&lt;/Year&gt;&lt;RecNum&gt;896&lt;/RecNum&gt;&lt;DisplayText&gt;(Martin et al., 2012)&lt;/DisplayText&gt;&lt;record&gt;&lt;rec-number&gt;896&lt;/rec-number&gt;&lt;foreign-keys&gt;&lt;key app="EN" db-id="90p22wx96ddedpe0r9pxtt9gzz05dd5ev299" timestamp="1657000537"&gt;896&lt;/key&gt;&lt;/foreign-keys&gt;&lt;ref-type name="Journal Article"&gt;17&lt;/ref-type&gt;&lt;contributors&gt;&lt;authors&gt;&lt;author&gt;Martin, Catherine A.&lt;/author&gt;&lt;author&gt;Chapman, Rose&lt;/author&gt;&lt;author&gt;Rahman, Asheq&lt;/author&gt;&lt;author&gt;Graudins, Andis&lt;/author&gt;&lt;/authors&gt;&lt;/contributors&gt;&lt;titles&gt;&lt;title&gt;A retrospective descriptive study of the characteristics of deliberate self-poisoning patients with single or repeat presentations to an Australian emergency medicine network in a one year period&lt;/title&gt;&lt;secondary-title&gt;BMC Emergency Medicine&lt;/secondary-title&gt;&lt;/titles&gt;&lt;pages&gt;21-21&lt;/pages&gt;&lt;volume&gt;12&lt;/volume&gt;&lt;number&gt;1&lt;/number&gt;&lt;dates&gt;&lt;year&gt;2012&lt;/year&gt;&lt;/dates&gt;&lt;accession-num&gt;109679391. Language: English. Entry Date: 20141010. Revision Date: 20211030. Publication Type: journal article. Journal Subset: Biomedical&lt;/accession-num&gt;&lt;urls&gt;&lt;related-urls&gt;&lt;url&gt;https://search.ebscohost.com/login.aspx?direct=true&amp;amp;db=cin20&amp;amp;AN=109679391&amp;amp;site=ehost-live&lt;/url&gt;&lt;/related-urls&gt;&lt;/urls&gt;&lt;electronic-resource-num&gt;10.1186/1471-227X-14-21&lt;/electronic-resource-num&gt;&lt;/record&gt;&lt;/Cite&gt;&lt;/EndNote&gt;</w:instrText>
            </w:r>
            <w:r w:rsidRPr="0091560A">
              <w:rPr>
                <w:rFonts w:eastAsia="Times New Roman" w:cs="Times New Roman"/>
                <w:bCs/>
                <w:sz w:val="16"/>
                <w:szCs w:val="16"/>
                <w:lang w:eastAsia="en-AU"/>
              </w:rPr>
              <w:fldChar w:fldCharType="separate"/>
            </w:r>
            <w:r w:rsidRPr="0091560A">
              <w:rPr>
                <w:rFonts w:eastAsia="Times New Roman" w:cs="Times New Roman"/>
                <w:bCs/>
                <w:noProof/>
                <w:sz w:val="16"/>
                <w:szCs w:val="16"/>
                <w:lang w:eastAsia="en-AU"/>
              </w:rPr>
              <w:t>(Martin et al., 2012)</w:t>
            </w:r>
            <w:r w:rsidRPr="0091560A">
              <w:rPr>
                <w:rFonts w:eastAsia="Times New Roman" w:cs="Times New Roman"/>
                <w:bCs/>
                <w:sz w:val="16"/>
                <w:szCs w:val="16"/>
                <w:lang w:eastAsia="en-AU"/>
              </w:rPr>
              <w:fldChar w:fldCharType="end"/>
            </w:r>
          </w:p>
          <w:p w14:paraId="5CFD139D" w14:textId="77777777" w:rsidR="00574EB4" w:rsidRPr="0091560A" w:rsidRDefault="00574EB4">
            <w:pPr>
              <w:spacing w:after="0" w:line="240" w:lineRule="auto"/>
              <w:textAlignment w:val="baseline"/>
              <w:rPr>
                <w:rFonts w:eastAsia="Times New Roman" w:cs="Times New Roman"/>
                <w:b/>
                <w:sz w:val="16"/>
                <w:szCs w:val="16"/>
                <w:lang w:eastAsia="en-AU"/>
              </w:rPr>
            </w:pPr>
          </w:p>
          <w:p w14:paraId="73E6622C" w14:textId="77777777" w:rsidR="00574EB4" w:rsidRPr="0091560A" w:rsidRDefault="00574EB4">
            <w:pPr>
              <w:spacing w:after="0" w:line="240" w:lineRule="auto"/>
              <w:textAlignment w:val="baseline"/>
              <w:rPr>
                <w:rFonts w:eastAsia="Times New Roman" w:cs="Times New Roman"/>
                <w:color w:val="000000" w:themeColor="text1"/>
                <w:sz w:val="16"/>
                <w:szCs w:val="16"/>
                <w:lang w:eastAsia="en-AU"/>
              </w:rPr>
            </w:pPr>
            <w:r w:rsidRPr="0091560A">
              <w:rPr>
                <w:rFonts w:eastAsia="Times New Roman" w:cs="Times New Roman"/>
                <w:sz w:val="16"/>
                <w:szCs w:val="16"/>
                <w:lang w:eastAsia="en-AU"/>
              </w:rPr>
              <w:t>Australia</w:t>
            </w:r>
          </w:p>
        </w:tc>
        <w:tc>
          <w:tcPr>
            <w:tcW w:w="1232" w:type="dxa"/>
          </w:tcPr>
          <w:p w14:paraId="685120A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0B5E8B7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tc>
        <w:tc>
          <w:tcPr>
            <w:tcW w:w="2409" w:type="dxa"/>
            <w:shd w:val="clear" w:color="auto" w:fill="auto"/>
            <w:noWrap/>
          </w:tcPr>
          <w:p w14:paraId="45187A04" w14:textId="5F31B22E"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Retrospective chart review of deliberate self-poisoning presentations to Monash Health’s three E</w:t>
            </w:r>
            <w:r w:rsidR="00787E88" w:rsidRPr="0091560A">
              <w:rPr>
                <w:rFonts w:eastAsia="Times New Roman" w:cs="Times New Roman"/>
                <w:sz w:val="16"/>
                <w:szCs w:val="16"/>
              </w:rPr>
              <w:t>d</w:t>
            </w:r>
            <w:r w:rsidRPr="0091560A">
              <w:rPr>
                <w:rFonts w:eastAsia="Times New Roman" w:cs="Times New Roman"/>
                <w:sz w:val="16"/>
                <w:szCs w:val="16"/>
              </w:rPr>
              <w:t xml:space="preserve">s during 2011 </w:t>
            </w:r>
          </w:p>
        </w:tc>
        <w:tc>
          <w:tcPr>
            <w:tcW w:w="1279" w:type="dxa"/>
            <w:shd w:val="clear" w:color="auto" w:fill="auto"/>
            <w:noWrap/>
          </w:tcPr>
          <w:p w14:paraId="570DD0FB"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1,076 presentations (755 single patient presentations, 93 repeat patient presentations)</w:t>
            </w:r>
          </w:p>
        </w:tc>
        <w:tc>
          <w:tcPr>
            <w:tcW w:w="1452" w:type="dxa"/>
            <w:shd w:val="clear" w:color="auto" w:fill="auto"/>
            <w:noWrap/>
          </w:tcPr>
          <w:p w14:paraId="48170BBE" w14:textId="77777777" w:rsidR="00574EB4" w:rsidRPr="0091560A" w:rsidRDefault="00574EB4">
            <w:pPr>
              <w:spacing w:line="240" w:lineRule="auto"/>
              <w:rPr>
                <w:rFonts w:eastAsia="Times New Roman" w:cs="Times New Roman"/>
                <w:sz w:val="16"/>
                <w:szCs w:val="16"/>
              </w:rPr>
            </w:pPr>
            <w:r w:rsidRPr="0091560A">
              <w:rPr>
                <w:rFonts w:eastAsia="Times New Roman" w:cs="Times New Roman"/>
                <w:color w:val="000000" w:themeColor="text1"/>
                <w:sz w:val="16"/>
                <w:szCs w:val="16"/>
                <w:lang w:eastAsia="en-AU"/>
              </w:rPr>
              <w:t xml:space="preserve">Single poisoning presentation: Median = 35; IQR = </w:t>
            </w:r>
            <w:r w:rsidRPr="0091560A">
              <w:rPr>
                <w:rFonts w:eastAsia="Times New Roman" w:cs="Times New Roman"/>
                <w:sz w:val="16"/>
                <w:szCs w:val="16"/>
              </w:rPr>
              <w:t>23.7-45.0 Repeat poisoning presentation: Median = 37; IQR = 26.1-43.6</w:t>
            </w:r>
          </w:p>
        </w:tc>
        <w:tc>
          <w:tcPr>
            <w:tcW w:w="1417" w:type="dxa"/>
            <w:shd w:val="clear" w:color="auto" w:fill="auto"/>
            <w:noWrap/>
          </w:tcPr>
          <w:p w14:paraId="372A5AB4"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6EE68DB2" w14:textId="77777777" w:rsidR="00574EB4" w:rsidRPr="0091560A" w:rsidRDefault="00574EB4">
            <w:pPr>
              <w:spacing w:after="0" w:line="240" w:lineRule="auto"/>
              <w:contextualSpacing/>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Self-harm history: </w:t>
            </w:r>
            <w:r w:rsidRPr="0091560A">
              <w:rPr>
                <w:rFonts w:eastAsia="Times New Roman" w:cs="Times New Roman"/>
                <w:color w:val="000000" w:themeColor="text1"/>
                <w:sz w:val="16"/>
                <w:szCs w:val="16"/>
                <w:lang w:eastAsia="en-AU"/>
              </w:rPr>
              <w:t xml:space="preserve">Repeat poisoning presentation patients were more likely to ingest paracetamol than single poisoning presentation patients </w:t>
            </w:r>
          </w:p>
          <w:p w14:paraId="1DD6CB7E" w14:textId="77777777" w:rsidR="00574EB4" w:rsidRPr="0091560A" w:rsidRDefault="00574EB4">
            <w:pPr>
              <w:spacing w:after="0" w:line="240" w:lineRule="auto"/>
              <w:contextualSpacing/>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Dosage</w:t>
            </w:r>
            <w:r w:rsidRPr="0091560A">
              <w:rPr>
                <w:rFonts w:eastAsia="Times New Roman" w:cs="Times New Roman"/>
                <w:b/>
                <w:color w:val="000000" w:themeColor="text1"/>
                <w:sz w:val="16"/>
                <w:szCs w:val="16"/>
                <w:lang w:eastAsia="en-AU"/>
              </w:rPr>
              <w:t>:</w:t>
            </w:r>
            <w:r w:rsidRPr="0091560A">
              <w:rPr>
                <w:rFonts w:eastAsia="Times New Roman" w:cs="Times New Roman"/>
                <w:color w:val="000000" w:themeColor="text1"/>
                <w:sz w:val="16"/>
                <w:szCs w:val="16"/>
                <w:lang w:eastAsia="en-AU"/>
              </w:rPr>
              <w:t xml:space="preserve"> Median dosage of paracetamol ingested did not significantly differ for single poisoning presentations (2.2DDD, IQR = 1.3-4.4) compared to all repeat poisoning presentations (3.3DDD, IQR = 1.7-5.0).  However, median dosage of paracetamol for single poisoning presentations was significantly lower than for people with 5 or more presentations (3.8DDD, IQR = 2.6-6.0) </w:t>
            </w:r>
          </w:p>
        </w:tc>
      </w:tr>
      <w:tr w:rsidR="00574EB4" w:rsidRPr="0091560A" w14:paraId="68536A7B" w14:textId="77777777" w:rsidTr="0035719A">
        <w:trPr>
          <w:trHeight w:val="688"/>
        </w:trPr>
        <w:tc>
          <w:tcPr>
            <w:tcW w:w="1456" w:type="dxa"/>
            <w:shd w:val="clear" w:color="auto" w:fill="auto"/>
            <w:noWrap/>
          </w:tcPr>
          <w:p w14:paraId="2117348A" w14:textId="14C8C730"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 xml:space="preserve">Myers, Li, &amp; Shaheen (2007) </w:t>
            </w:r>
            <w:r w:rsidRPr="0091560A">
              <w:rPr>
                <w:rFonts w:eastAsia="Times New Roman" w:cs="Times New Roman"/>
                <w:bCs/>
                <w:color w:val="000000" w:themeColor="text1"/>
                <w:sz w:val="16"/>
                <w:szCs w:val="16"/>
                <w:lang w:eastAsia="en-AU"/>
              </w:rPr>
              <w:fldChar w:fldCharType="begin"/>
            </w:r>
            <w:r w:rsidR="00D709C3" w:rsidRPr="0091560A">
              <w:rPr>
                <w:rFonts w:eastAsia="Times New Roman" w:cs="Times New Roman"/>
                <w:bCs/>
                <w:color w:val="000000" w:themeColor="text1"/>
                <w:sz w:val="16"/>
                <w:szCs w:val="16"/>
                <w:lang w:eastAsia="en-AU"/>
              </w:rPr>
              <w:instrText xml:space="preserve"> ADDIN EN.CITE &lt;EndNote&gt;&lt;Cite&gt;&lt;Author&gt;Myers&lt;/Author&gt;&lt;Year&gt;2007&lt;/Year&gt;&lt;RecNum&gt;902&lt;/RecNum&gt;&lt;DisplayText&gt;(Myers, Li, &amp;amp; Shaheen, 2007)&lt;/DisplayText&gt;&lt;record&gt;&lt;rec-number&gt;902&lt;/rec-number&gt;&lt;foreign-keys&gt;&lt;key app="EN" db-id="90p22wx96ddedpe0r9pxtt9gzz05dd5ev299" timestamp="1657000537"&gt;902&lt;/key&gt;&lt;/foreign-keys&gt;&lt;ref-type name="Journal Article"&gt;17&lt;/ref-type&gt;&lt;contributors&gt;&lt;authors&gt;&lt;author&gt;Myers, R. P.&lt;/author&gt;&lt;author&gt;Li, B.&lt;/author&gt;&lt;author&gt;Shaheen, A. A. M.&lt;/author&gt;&lt;/authors&gt;&lt;/contributors&gt;&lt;titles&gt;&lt;title&gt;Emergency department visits for acetaminophen overdose: A Canadian population-based epidemiology study (1997-2002)&lt;/title&gt;&lt;secondary-title&gt;Canadian Journal of Emergency Medicine&lt;/secondary-title&gt;&lt;/titles&gt;&lt;pages&gt;267-274&lt;/pages&gt;&lt;volume&gt;9&lt;/volume&gt;&lt;number&gt;4&lt;/number&gt;&lt;dates&gt;&lt;year&gt;2007&lt;/year&gt;&lt;/dates&gt;&lt;urls&gt;&lt;related-urls&gt;&lt;url&gt;http://caep.ca/CMS/get_file.asp?id=3AB253360F624E1BB2305ABFEEE22EF4&amp;amp;ext=.pdf&amp;amp;name=pg267.pdfhttp://ovidsp.ovid.com/ovidweb.cgi?T=JS&amp;amp;PAGE=reference&amp;amp;D=emed10&amp;amp;NEWS=N&amp;amp;AN=47232892&lt;/url&gt;&lt;/related-urls&gt;&lt;/urls&gt;&lt;electronic-resource-num&gt;http://dx.doi.org/10.1017/s1481803500015153&lt;/electronic-resource-num&gt;&lt;/record&gt;&lt;/Cite&gt;&lt;/EndNote&gt;</w:instrText>
            </w:r>
            <w:r w:rsidRPr="0091560A">
              <w:rPr>
                <w:rFonts w:eastAsia="Times New Roman" w:cs="Times New Roman"/>
                <w:bCs/>
                <w:color w:val="000000" w:themeColor="text1"/>
                <w:sz w:val="16"/>
                <w:szCs w:val="16"/>
                <w:lang w:eastAsia="en-AU"/>
              </w:rPr>
              <w:fldChar w:fldCharType="separate"/>
            </w:r>
            <w:r w:rsidRPr="0091560A">
              <w:rPr>
                <w:rFonts w:eastAsia="Times New Roman" w:cs="Times New Roman"/>
                <w:bCs/>
                <w:noProof/>
                <w:color w:val="000000" w:themeColor="text1"/>
                <w:sz w:val="16"/>
                <w:szCs w:val="16"/>
                <w:lang w:eastAsia="en-AU"/>
              </w:rPr>
              <w:t>(Myers, Li, &amp; Shaheen, 2007)</w:t>
            </w:r>
            <w:r w:rsidRPr="0091560A">
              <w:rPr>
                <w:rFonts w:eastAsia="Times New Roman" w:cs="Times New Roman"/>
                <w:bCs/>
                <w:color w:val="000000" w:themeColor="text1"/>
                <w:sz w:val="16"/>
                <w:szCs w:val="16"/>
                <w:lang w:eastAsia="en-AU"/>
              </w:rPr>
              <w:fldChar w:fldCharType="end"/>
            </w:r>
          </w:p>
          <w:p w14:paraId="12474B75" w14:textId="77777777" w:rsidR="00574EB4" w:rsidRPr="0091560A" w:rsidRDefault="00574EB4">
            <w:pPr>
              <w:spacing w:after="0" w:line="240" w:lineRule="auto"/>
              <w:rPr>
                <w:rFonts w:eastAsia="Times New Roman" w:cs="Times New Roman"/>
                <w:color w:val="000000"/>
                <w:sz w:val="16"/>
                <w:szCs w:val="16"/>
                <w:lang w:eastAsia="en-AU"/>
              </w:rPr>
            </w:pPr>
          </w:p>
          <w:p w14:paraId="5426794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Canada</w:t>
            </w:r>
          </w:p>
        </w:tc>
        <w:tc>
          <w:tcPr>
            <w:tcW w:w="1232" w:type="dxa"/>
          </w:tcPr>
          <w:p w14:paraId="6306A3D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0C7E77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600785D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Calgary Health Region residents visiting an ED for paracetamol overdose</w:t>
            </w:r>
            <w:r w:rsidRPr="0091560A" w:rsidDel="008841C5">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from April 1, 1997</w:t>
            </w:r>
            <w:r w:rsidRPr="0091560A" w:rsidDel="008841C5">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 xml:space="preserve"> and March 31, 2002</w:t>
            </w:r>
          </w:p>
        </w:tc>
        <w:tc>
          <w:tcPr>
            <w:tcW w:w="1279" w:type="dxa"/>
            <w:shd w:val="clear" w:color="auto" w:fill="auto"/>
            <w:noWrap/>
          </w:tcPr>
          <w:p w14:paraId="1BA6592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2,699</w:t>
            </w:r>
          </w:p>
        </w:tc>
        <w:tc>
          <w:tcPr>
            <w:tcW w:w="1452" w:type="dxa"/>
            <w:shd w:val="clear" w:color="auto" w:fill="auto"/>
            <w:noWrap/>
          </w:tcPr>
          <w:p w14:paraId="57B6208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Median = 22; range = 0-96</w:t>
            </w:r>
          </w:p>
        </w:tc>
        <w:tc>
          <w:tcPr>
            <w:tcW w:w="1417" w:type="dxa"/>
            <w:shd w:val="clear" w:color="auto" w:fill="auto"/>
            <w:noWrap/>
          </w:tcPr>
          <w:p w14:paraId="010AB73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69%</w:t>
            </w:r>
          </w:p>
        </w:tc>
        <w:tc>
          <w:tcPr>
            <w:tcW w:w="4630" w:type="dxa"/>
            <w:shd w:val="clear" w:color="auto" w:fill="auto"/>
          </w:tcPr>
          <w:p w14:paraId="13232FC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More intentional self-poisoning cases in females</w:t>
            </w:r>
          </w:p>
          <w:p w14:paraId="47EC3EE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Age:</w:t>
            </w:r>
            <w:r w:rsidRPr="0091560A">
              <w:rPr>
                <w:rFonts w:eastAsia="Times New Roman" w:cs="Times New Roman"/>
                <w:color w:val="000000"/>
                <w:sz w:val="16"/>
                <w:szCs w:val="16"/>
                <w:lang w:eastAsia="en-AU"/>
              </w:rPr>
              <w:t xml:space="preserve"> Highest rates in those aged 10-19 and 20-29 years</w:t>
            </w:r>
          </w:p>
          <w:p w14:paraId="4D3715C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Ethnicity:</w:t>
            </w:r>
            <w:r w:rsidRPr="0091560A">
              <w:rPr>
                <w:rFonts w:eastAsia="Times New Roman" w:cs="Times New Roman"/>
                <w:color w:val="000000" w:themeColor="text1"/>
                <w:sz w:val="16"/>
                <w:szCs w:val="16"/>
                <w:lang w:eastAsia="en-AU"/>
              </w:rPr>
              <w:t xml:space="preserve"> Intentional cases more common among non-Aboriginal participants </w:t>
            </w:r>
          </w:p>
          <w:p w14:paraId="554C39D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Substance abuse:</w:t>
            </w:r>
            <w:r w:rsidRPr="0091560A">
              <w:rPr>
                <w:rFonts w:eastAsia="Times New Roman" w:cs="Times New Roman"/>
                <w:color w:val="000000" w:themeColor="text1"/>
                <w:sz w:val="16"/>
                <w:szCs w:val="16"/>
                <w:lang w:eastAsia="en-AU"/>
              </w:rPr>
              <w:t xml:space="preserve"> Alcohol-related diagnoses more common among intentional cases compared to unintentional cases</w:t>
            </w:r>
          </w:p>
        </w:tc>
      </w:tr>
      <w:tr w:rsidR="00574EB4" w:rsidRPr="0091560A" w14:paraId="55049084" w14:textId="77777777" w:rsidTr="0035719A">
        <w:trPr>
          <w:trHeight w:val="955"/>
        </w:trPr>
        <w:tc>
          <w:tcPr>
            <w:tcW w:w="1456" w:type="dxa"/>
            <w:shd w:val="clear" w:color="auto" w:fill="auto"/>
            <w:noWrap/>
          </w:tcPr>
          <w:p w14:paraId="6328E32C" w14:textId="7EF06B28" w:rsidR="00574EB4" w:rsidRPr="0091560A" w:rsidDel="008841C5"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Myers, Li, Fong, et al. (2007)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&lt;EndNote&gt;&lt;Cite&gt;&lt;Author&gt;Myers&lt;/Author&gt;&lt;Year&gt;2007&lt;/Year&gt;&lt;RecNum&gt;901&lt;/RecNum&gt;&lt;DisplayText&gt;(Myers, Li, Fong, et al., 2007)&lt;/DisplayText&gt;&lt;record&gt;&lt;rec-number&gt;901&lt;/rec-number&gt;&lt;foreign-keys&gt;&lt;key app="EN" db-id="90p22wx96ddedpe0r9pxtt9gzz05dd5ev299" timestamp="1657000537"&gt;901&lt;/key&gt;&lt;/foreign-keys&gt;&lt;ref-type name="Journal Article"&gt;17&lt;/ref-type&gt;&lt;contributors&gt;&lt;authors&gt;&lt;author&gt;Myers, R. P.&lt;/author&gt;&lt;author&gt;Li, B.&lt;/author&gt;&lt;author&gt;Fong, A.&lt;/author&gt;&lt;author&gt;Shaheen, A. A. M.&lt;/author&gt;&lt;author&gt;Quan, H.&lt;/author&gt;&lt;/authors&gt;&lt;/contributors&gt;&lt;titles&gt;&lt;title&gt;Hospitalizations for acetaminophen overdose: A Canadian population-based study from 1995 to 2004&lt;/title&gt;&lt;secondary-title&gt;BMC Public Health&lt;/secondary-title&gt;&lt;/titles&gt;&lt;pages&gt;143&lt;/pages&gt;&lt;volume&gt;7&lt;/volume&gt;&lt;dates&gt;&lt;year&gt;2007&lt;/year&gt;&lt;/dates&gt;&lt;urls&gt;&lt;related-urls&gt;&lt;url&gt;http://ovidsp.ovid.com/ovidweb.cgi?T=JS&amp;amp;PAGE=reference&amp;amp;D=emed10&amp;amp;NEWS=N&amp;amp;AN=47104966&lt;/url&gt;&lt;/related-urls&gt;&lt;/urls&gt;&lt;electronic-resource-num&gt;http://dx.doi.org/10.1186/1471-2458-7-143&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(Myers, Li, Fong, et al., 2007)</w:t>
            </w:r>
            <w:r w:rsidRPr="0091560A">
              <w:rPr>
                <w:rFonts w:eastAsia="Times New Roman" w:cs="Times New Roman"/>
                <w:color w:val="000000" w:themeColor="text1"/>
                <w:sz w:val="16"/>
                <w:szCs w:val="16"/>
                <w:lang w:eastAsia="en-AU"/>
              </w:rPr>
              <w:fldChar w:fldCharType="end"/>
            </w:r>
          </w:p>
          <w:p w14:paraId="329FFDCE"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Canada</w:t>
            </w:r>
          </w:p>
        </w:tc>
        <w:tc>
          <w:tcPr>
            <w:tcW w:w="1232" w:type="dxa"/>
          </w:tcPr>
          <w:p w14:paraId="3ED8941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15B6F2E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tc>
        <w:tc>
          <w:tcPr>
            <w:tcW w:w="2409" w:type="dxa"/>
            <w:shd w:val="clear" w:color="auto" w:fill="auto"/>
            <w:noWrap/>
          </w:tcPr>
          <w:p w14:paraId="2692587F" w14:textId="77777777" w:rsidR="00574EB4" w:rsidRPr="0091560A" w:rsidRDefault="00574EB4">
            <w:pPr>
              <w:spacing w:line="240" w:lineRule="auto"/>
              <w:rPr>
                <w:rFonts w:eastAsia="Times New Roman" w:cs="Times New Roman"/>
                <w:sz w:val="16"/>
                <w:szCs w:val="16"/>
                <w:lang w:eastAsia="en-AU"/>
              </w:rPr>
            </w:pPr>
            <w:r w:rsidRPr="0091560A">
              <w:rPr>
                <w:rFonts w:eastAsia="Times New Roman" w:cs="Times New Roman"/>
                <w:color w:val="000000" w:themeColor="text1"/>
                <w:sz w:val="16"/>
                <w:szCs w:val="16"/>
                <w:lang w:eastAsia="en-AU"/>
              </w:rPr>
              <w:t xml:space="preserve">Calgary Health Region residents hospitalised for paracetamol overdose </w:t>
            </w:r>
            <w:r w:rsidRPr="0091560A">
              <w:rPr>
                <w:rFonts w:eastAsia="Times New Roman" w:cs="Times New Roman"/>
                <w:sz w:val="16"/>
                <w:szCs w:val="16"/>
              </w:rPr>
              <w:t>from 1994-95 to 2003-04</w:t>
            </w:r>
          </w:p>
        </w:tc>
        <w:tc>
          <w:tcPr>
            <w:tcW w:w="1279" w:type="dxa"/>
            <w:shd w:val="clear" w:color="auto" w:fill="auto"/>
            <w:noWrap/>
          </w:tcPr>
          <w:p w14:paraId="5759D747"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1,543 people (1,680 hospitalisations)</w:t>
            </w:r>
          </w:p>
        </w:tc>
        <w:tc>
          <w:tcPr>
            <w:tcW w:w="1452" w:type="dxa"/>
            <w:shd w:val="clear" w:color="auto" w:fill="auto"/>
            <w:noWrap/>
          </w:tcPr>
          <w:p w14:paraId="2CA4A226"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Median = 26, IQR = 2-85</w:t>
            </w:r>
          </w:p>
        </w:tc>
        <w:tc>
          <w:tcPr>
            <w:tcW w:w="1417" w:type="dxa"/>
            <w:shd w:val="clear" w:color="auto" w:fill="auto"/>
            <w:noWrap/>
          </w:tcPr>
          <w:p w14:paraId="42ED601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85%</w:t>
            </w:r>
          </w:p>
        </w:tc>
        <w:tc>
          <w:tcPr>
            <w:tcW w:w="4630" w:type="dxa"/>
            <w:shd w:val="clear" w:color="auto" w:fill="auto"/>
          </w:tcPr>
          <w:p w14:paraId="278C862F" w14:textId="77777777" w:rsidR="00574EB4" w:rsidRPr="0091560A" w:rsidRDefault="00574EB4">
            <w:pPr>
              <w:spacing w:after="0" w:line="240" w:lineRule="auto"/>
              <w:rPr>
                <w:rFonts w:eastAsia="Times New Roman" w:cs="Times New Roman"/>
                <w:sz w:val="16"/>
                <w:szCs w:val="16"/>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The proportion with intentional self-poisoning cases decreased with age (45% in senior patients 65+ years vs. 86% in younger patients; a</w:t>
            </w:r>
            <w:r w:rsidRPr="0091560A">
              <w:rPr>
                <w:rFonts w:eastAsia="Times New Roman" w:cs="Times New Roman"/>
                <w:sz w:val="16"/>
                <w:szCs w:val="16"/>
              </w:rPr>
              <w:t>ll overdoses in patients under 10 years were accidental)</w:t>
            </w:r>
          </w:p>
        </w:tc>
      </w:tr>
      <w:tr w:rsidR="00574EB4" w:rsidRPr="0091560A" w14:paraId="1DDEA305" w14:textId="77777777" w:rsidTr="0035719A">
        <w:trPr>
          <w:trHeight w:val="688"/>
        </w:trPr>
        <w:tc>
          <w:tcPr>
            <w:tcW w:w="1456" w:type="dxa"/>
            <w:shd w:val="clear" w:color="auto" w:fill="auto"/>
            <w:noWrap/>
          </w:tcPr>
          <w:p w14:paraId="2B28F0D2" w14:textId="1EA889C5"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Neilson (2012)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&lt;EndNote&gt;&lt;Cite&gt;&lt;Author&gt;Neilson&lt;/Author&gt;&lt;Year&gt;2012&lt;/Year&gt;&lt;RecNum&gt;931&lt;/RecNum&gt;&lt;DisplayText&gt;(Neilson &amp;amp; Morrison, 2012)&lt;/DisplayText&gt;&lt;record&gt;&lt;rec-number&gt;931&lt;/rec-number&gt;&lt;foreign-keys&gt;&lt;key app="EN" db-id="90p22wx96ddedpe0r9pxtt9gzz05dd5ev299" timestamp="1657083172"&gt;931&lt;/key&gt;&lt;/foreign-keys&gt;&lt;ref-type name="Journal Article"&gt;17&lt;/ref-type&gt;&lt;contributors&gt;&lt;authors&gt;&lt;author&gt;Neilson, Z. E.&lt;/author&gt;&lt;author&gt;Morrison, W.&lt;/author&gt;&lt;/authors&gt;&lt;/contributors&gt;&lt;titles&gt;&lt;title&gt;Childhood self-poisoning: a one-year review&lt;/title&gt;&lt;secondary-title&gt;Scottish medical journal&lt;/secondary-title&gt;&lt;/titles&gt;&lt;pages&gt;196-199&lt;/pages&gt;&lt;volume&gt;57&lt;/volume&gt;&lt;number&gt;4&lt;/number&gt;&lt;keywords&gt;&lt;keyword&gt;Acetaminophen - poisoning&lt;/keyword&gt;&lt;keyword&gt;Adolescent&lt;/keyword&gt;&lt;keyword&gt;Age Factors&lt;/keyword&gt;&lt;keyword&gt;Alcohol-Related Disorders - epidemiology&lt;/keyword&gt;&lt;keyword&gt;Chi-Square Distribution&lt;/keyword&gt;&lt;keyword&gt;Child&lt;/keyword&gt;&lt;keyword&gt;Child, Preschool&lt;/keyword&gt;&lt;keyword&gt;Drug Overdose - epidemiology&lt;/keyword&gt;&lt;keyword&gt;Emergency Service, Hospital - statistics &amp;amp; numerical data&lt;/keyword&gt;&lt;keyword&gt;Ethanol - poisoning&lt;/keyword&gt;&lt;keyword&gt;Female&lt;/keyword&gt;&lt;keyword&gt;Household Products - poisoning&lt;/keyword&gt;&lt;keyword&gt;Humans&lt;/keyword&gt;&lt;keyword&gt;Infant&lt;/keyword&gt;&lt;keyword&gt;Intention&lt;/keyword&gt;&lt;keyword&gt;Male&lt;/keyword&gt;&lt;keyword&gt;Prevalence&lt;/keyword&gt;&lt;keyword&gt;Scotland - epidemiology&lt;/keyword&gt;&lt;keyword&gt;Sex Factors&lt;/keyword&gt;&lt;/keywords&gt;&lt;dates&gt;&lt;year&gt;2012&lt;/year&gt;&lt;/dates&gt;&lt;pub-location&gt;London, England&lt;/pub-location&gt;&lt;publisher&gt;SAGE Publications&lt;/publisher&gt;&lt;isbn&gt;0036-9330&lt;/isbn&gt;&lt;urls&gt;&lt;related-urls&gt;&lt;url&gt;https://go.exlibris.link/08l62XZ3&lt;/url&gt;&lt;/related-urls&gt;&lt;/urls&gt;&lt;electronic-resource-num&gt;10.1258/smj.2012.012116&lt;/electronic-resource-num&gt;&lt;language&gt;English&lt;/languag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(Neilson &amp; Morrison, 2012)</w:t>
            </w:r>
            <w:r w:rsidRPr="0091560A">
              <w:rPr>
                <w:rFonts w:eastAsia="Times New Roman" w:cs="Times New Roman"/>
                <w:color w:val="000000" w:themeColor="text1"/>
                <w:sz w:val="16"/>
                <w:szCs w:val="16"/>
                <w:lang w:eastAsia="en-AU"/>
              </w:rPr>
              <w:fldChar w:fldCharType="end"/>
            </w:r>
          </w:p>
          <w:p w14:paraId="5CAB6C1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Scotland, UK</w:t>
            </w:r>
          </w:p>
        </w:tc>
        <w:tc>
          <w:tcPr>
            <w:tcW w:w="1232" w:type="dxa"/>
          </w:tcPr>
          <w:p w14:paraId="375EE3A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4E5179E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p w14:paraId="26BF72A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(other self-poisoning drugs)</w:t>
            </w:r>
          </w:p>
        </w:tc>
        <w:tc>
          <w:tcPr>
            <w:tcW w:w="2409" w:type="dxa"/>
            <w:shd w:val="clear" w:color="auto" w:fill="auto"/>
            <w:noWrap/>
          </w:tcPr>
          <w:p w14:paraId="199D7C28"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Patients under 17 years presenting to Ninewells Hospital’s ED with self-poisoning from</w:t>
            </w:r>
            <w:r w:rsidRPr="0091560A" w:rsidDel="008841C5">
              <w:rPr>
                <w:rFonts w:eastAsia="Times New Roman" w:cs="Times New Roman"/>
                <w:sz w:val="16"/>
                <w:szCs w:val="16"/>
              </w:rPr>
              <w:t xml:space="preserve"> </w:t>
            </w:r>
            <w:r w:rsidRPr="0091560A">
              <w:rPr>
                <w:rFonts w:eastAsia="Times New Roman" w:cs="Times New Roman"/>
                <w:sz w:val="16"/>
                <w:szCs w:val="16"/>
              </w:rPr>
              <w:t>December 1, 2008, to November 30, 2009</w:t>
            </w:r>
          </w:p>
        </w:tc>
        <w:tc>
          <w:tcPr>
            <w:tcW w:w="1279" w:type="dxa"/>
            <w:shd w:val="clear" w:color="auto" w:fill="auto"/>
            <w:noWrap/>
          </w:tcPr>
          <w:p w14:paraId="49B0D310"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206</w:t>
            </w:r>
          </w:p>
        </w:tc>
        <w:tc>
          <w:tcPr>
            <w:tcW w:w="1452" w:type="dxa"/>
            <w:shd w:val="clear" w:color="auto" w:fill="auto"/>
            <w:noWrap/>
          </w:tcPr>
          <w:p w14:paraId="1F9DE00F"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0-11 = 41%</w:t>
            </w:r>
            <w:r w:rsidRPr="0091560A">
              <w:rPr>
                <w:rFonts w:eastAsia="Times New Roman" w:cs="Times New Roman"/>
                <w:color w:val="000000" w:themeColor="text1"/>
                <w:sz w:val="16"/>
                <w:szCs w:val="16"/>
                <w:lang w:eastAsia="en-AU"/>
              </w:rPr>
              <w:br/>
              <w:t>12-16 = 59%</w:t>
            </w:r>
          </w:p>
        </w:tc>
        <w:tc>
          <w:tcPr>
            <w:tcW w:w="1417" w:type="dxa"/>
            <w:shd w:val="clear" w:color="auto" w:fill="auto"/>
            <w:noWrap/>
          </w:tcPr>
          <w:p w14:paraId="06A971B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Not reported</w:t>
            </w:r>
          </w:p>
        </w:tc>
        <w:tc>
          <w:tcPr>
            <w:tcW w:w="4630" w:type="dxa"/>
            <w:shd w:val="clear" w:color="auto" w:fill="auto"/>
          </w:tcPr>
          <w:p w14:paraId="2D7C8A9E" w14:textId="77777777" w:rsidR="00574EB4" w:rsidRPr="0091560A" w:rsidRDefault="00574EB4">
            <w:pPr>
              <w:rPr>
                <w:rFonts w:eastAsia="Times New Roman" w:cs="Times New Roman"/>
                <w:sz w:val="16"/>
                <w:szCs w:val="16"/>
                <w:lang w:eastAsia="en-AU"/>
              </w:rPr>
            </w:pPr>
            <w:r w:rsidRPr="0091560A">
              <w:rPr>
                <w:rFonts w:eastAsia="Times New Roman" w:cs="Times New Roman"/>
                <w:b/>
                <w:bCs/>
                <w:color w:val="000000" w:themeColor="text1"/>
                <w:sz w:val="16"/>
                <w:szCs w:val="16"/>
                <w:lang w:eastAsia="en-AU"/>
              </w:rPr>
              <w:t xml:space="preserve">Age: </w:t>
            </w:r>
            <w:r w:rsidRPr="0091560A">
              <w:rPr>
                <w:rFonts w:eastAsia="Times New Roman" w:cs="Times New Roman"/>
                <w:sz w:val="16"/>
                <w:szCs w:val="16"/>
              </w:rPr>
              <w:t>95.2% of paracetamol self-poisoning cases in the older age group (12 to &lt;17 years) were classified as intentional vs. none of the paracetamol cases in the younger age group (0-11 years)</w:t>
            </w:r>
          </w:p>
        </w:tc>
      </w:tr>
      <w:tr w:rsidR="00574EB4" w:rsidRPr="0091560A" w14:paraId="6FE847BE" w14:textId="77777777" w:rsidTr="0035719A">
        <w:trPr>
          <w:trHeight w:val="688"/>
        </w:trPr>
        <w:tc>
          <w:tcPr>
            <w:tcW w:w="1456" w:type="dxa"/>
            <w:shd w:val="clear" w:color="auto" w:fill="auto"/>
            <w:noWrap/>
          </w:tcPr>
          <w:p w14:paraId="0120C592" w14:textId="411B3246"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 xml:space="preserve">Nourjah (2006) </w:t>
            </w:r>
            <w:r w:rsidRPr="0091560A">
              <w:rPr>
                <w:rFonts w:eastAsia="Times New Roman" w:cs="Times New Roman"/>
                <w:color w:val="000000" w:themeColor="text1"/>
                <w:sz w:val="16"/>
                <w:szCs w:val="16"/>
                <w:lang w:eastAsia="en-AU"/>
              </w:rPr>
              <w:fldChar w:fldCharType="begin"/>
            </w:r>
            <w:r w:rsidR="006E5557">
              <w:rPr>
                <w:rFonts w:eastAsia="Times New Roman" w:cs="Times New Roman"/>
                <w:color w:val="000000" w:themeColor="text1"/>
                <w:sz w:val="16"/>
                <w:szCs w:val="16"/>
                <w:lang w:eastAsia="en-AU"/>
              </w:rPr>
              <w:instrText xml:space="preserve"> ADDIN EN.CITE &lt;EndNote&gt;&lt;Cite&gt;&lt;Author&gt;Nourjah&lt;/Author&gt;&lt;Year&gt;2006&lt;/Year&gt;&lt;RecNum&gt;903&lt;/RecNum&gt;&lt;DisplayText&gt;(Nourjah et al., 2006)&lt;/DisplayText&gt;&lt;record&gt;&lt;rec-number&gt;903&lt;/rec-number&gt;&lt;foreign-keys&gt;&lt;key app="EN" db-id="90p22wx96ddedpe0r9pxtt9gzz05dd5ev299" timestamp="1657000537"&gt;903&lt;/key&gt;&lt;/foreign-keys&gt;&lt;ref-type name="Journal Article"&gt;17&lt;/ref-type&gt;&lt;contributors&gt;&lt;authors&gt;&lt;author&gt;Nourjah, P.&lt;/author&gt;&lt;author&gt;Ahmad, S. R.&lt;/author&gt;&lt;author&gt;Karwoski, C.&lt;/author&gt;&lt;author&gt;Willy, M.&lt;/author&gt;&lt;/authors&gt;&lt;/contributors&gt;&lt;titles&gt;&lt;title&gt;Estimates of acetaminophen (paracetamol)-associated overdoses in the United States&lt;/title&gt;&lt;secondary-title&gt;Pharmacoepidemiology and Drug Safety&lt;/secondary-title&gt;&lt;/titles&gt;&lt;periodical&gt;&lt;full-title&gt;Pharmacoepidemiology and Drug Safety&lt;/full-title&gt;&lt;/periodical&gt;&lt;pages&gt;398-405&lt;/pages&gt;&lt;volume&gt;15&lt;/volume&gt;&lt;number&gt;6&lt;/number&gt;&lt;dates&gt;&lt;year&gt;2006&lt;/year&gt;&lt;/dates&gt;&lt;urls&gt;&lt;related-urls&gt;&lt;url&gt;http://ovidsp.ovid.com/ovidweb.cgi?T=JS&amp;amp;PAGE=reference&amp;amp;D=emed9&amp;amp;NEWS=N&amp;amp;AN=44018697&lt;/url&gt;&lt;/related-urls&gt;&lt;/urls&gt;&lt;electronic-resource-num&gt;http://dx.doi.org/10.1002/pds.1191&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(Nourjah et al., 2006)</w:t>
            </w:r>
            <w:r w:rsidRPr="0091560A">
              <w:rPr>
                <w:rFonts w:eastAsia="Times New Roman" w:cs="Times New Roman"/>
                <w:color w:val="000000" w:themeColor="text1"/>
                <w:sz w:val="16"/>
                <w:szCs w:val="16"/>
                <w:lang w:eastAsia="en-AU"/>
              </w:rPr>
              <w:fldChar w:fldCharType="end"/>
            </w:r>
          </w:p>
          <w:p w14:paraId="614821D7" w14:textId="77777777" w:rsidR="00574EB4" w:rsidRPr="0091560A" w:rsidRDefault="00574EB4">
            <w:pPr>
              <w:spacing w:after="0" w:line="240" w:lineRule="auto"/>
              <w:rPr>
                <w:rFonts w:eastAsia="Times New Roman" w:cs="Times New Roman"/>
                <w:color w:val="000000"/>
                <w:sz w:val="16"/>
                <w:szCs w:val="16"/>
                <w:lang w:eastAsia="en-AU"/>
              </w:rPr>
            </w:pPr>
          </w:p>
          <w:p w14:paraId="274730F7" w14:textId="72CEDA46"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712E3C5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5CD897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091F1BA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Patients experiencing a paracetamol-associated overdose, identified from the National Multiple Cause of Death File (1996-1998) or the Food and Drug Administration Adverse Event Reporting System (AERS; 1998-2001) </w:t>
            </w:r>
          </w:p>
        </w:tc>
        <w:tc>
          <w:tcPr>
            <w:tcW w:w="1279" w:type="dxa"/>
            <w:shd w:val="clear" w:color="auto" w:fill="auto"/>
            <w:noWrap/>
          </w:tcPr>
          <w:p w14:paraId="0974C0D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1,375 deaths. 458 annually (National Multiple Cause of Death File); 478 cases (AERS) </w:t>
            </w:r>
            <w:r w:rsidRPr="0091560A">
              <w:rPr>
                <w:rFonts w:cs="Times New Roman"/>
              </w:rPr>
              <w:br/>
            </w:r>
          </w:p>
        </w:tc>
        <w:tc>
          <w:tcPr>
            <w:tcW w:w="1452" w:type="dxa"/>
            <w:shd w:val="clear" w:color="auto" w:fill="auto"/>
            <w:noWrap/>
          </w:tcPr>
          <w:p w14:paraId="5F15E20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Not reported</w:t>
            </w:r>
          </w:p>
        </w:tc>
        <w:tc>
          <w:tcPr>
            <w:tcW w:w="1417" w:type="dxa"/>
            <w:shd w:val="clear" w:color="auto" w:fill="auto"/>
            <w:noWrap/>
          </w:tcPr>
          <w:p w14:paraId="658CE0A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National Multiple Cause of Death File: 74%</w:t>
            </w:r>
          </w:p>
          <w:p w14:paraId="689497F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FDA AERS: 41.8%</w:t>
            </w:r>
            <w:r w:rsidRPr="0091560A">
              <w:rPr>
                <w:rFonts w:cs="Times New Roman"/>
              </w:rPr>
              <w:br/>
            </w:r>
          </w:p>
        </w:tc>
        <w:tc>
          <w:tcPr>
            <w:tcW w:w="4630" w:type="dxa"/>
            <w:shd w:val="clear" w:color="auto" w:fill="auto"/>
          </w:tcPr>
          <w:p w14:paraId="27973C1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Intentional self-poisonings more common in females (based on National Multiple Cause of Death File data + FDA AERS data)</w:t>
            </w:r>
          </w:p>
        </w:tc>
      </w:tr>
      <w:tr w:rsidR="00574EB4" w:rsidRPr="0091560A" w14:paraId="42F51FCB" w14:textId="77777777" w:rsidTr="0035719A">
        <w:trPr>
          <w:trHeight w:val="688"/>
        </w:trPr>
        <w:tc>
          <w:tcPr>
            <w:tcW w:w="1456" w:type="dxa"/>
            <w:shd w:val="clear" w:color="auto" w:fill="auto"/>
            <w:noWrap/>
          </w:tcPr>
          <w:p w14:paraId="3D152F9F" w14:textId="6A7A6FE6"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Payne (2009)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&lt;EndNote&gt;&lt;Cite&gt;&lt;Author&gt;Payne&lt;/Author&gt;&lt;Year&gt;2009&lt;/Year&gt;&lt;RecNum&gt;905&lt;/RecNum&gt;&lt;DisplayText&gt;(Payne et al., 2009)&lt;/DisplayText&gt;&lt;record&gt;&lt;rec-number&gt;905&lt;/rec-number&gt;&lt;foreign-keys&gt;&lt;key app="EN" db-id="90p22wx96ddedpe0r9pxtt9gzz05dd5ev299" timestamp="1657000537"&gt;905&lt;/key&gt;&lt;/foreign-keys&gt;&lt;ref-type name="Journal Article"&gt;17&lt;/ref-type&gt;&lt;contributors&gt;&lt;authors&gt;&lt;author&gt;Payne, R. A.&lt;/author&gt;&lt;author&gt;Oliver, J. J.&lt;/author&gt;&lt;author&gt;Bain, M.&lt;/author&gt;&lt;author&gt;Elders, A.&lt;/author&gt;&lt;author&gt;Bateman, D. N.&lt;/author&gt;&lt;/authors&gt;&lt;/contributors&gt;&lt;titles&gt;&lt;title&gt;Patterns and predictors of re-admission to hospital with self-poisoning in Scotland&lt;/title&gt;&lt;secondary-title&gt;Public Health&lt;/secondary-title&gt;&lt;/titles&gt;&lt;pages&gt;134-137&lt;/pages&gt;&lt;volume&gt;123&lt;/volume&gt;&lt;number&gt;2&lt;/number&gt;&lt;dates&gt;&lt;year&gt;2009&lt;/year&gt;&lt;/dates&gt;&lt;urls&gt;&lt;related-urls&gt;&lt;url&gt;http://ovidsp.ovid.com/ovidweb.cgi?T=JS&amp;amp;PAGE=reference&amp;amp;D=emed11&amp;amp;NEWS=N&amp;amp;AN=50407846&lt;/url&gt;&lt;/related-urls&gt;&lt;/urls&gt;&lt;electronic-resource-num&gt;http://dx.doi.org/10.1016/j.puhe.2008.12.002&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(Payne et al., 2009)</w:t>
            </w:r>
            <w:r w:rsidRPr="0091560A">
              <w:rPr>
                <w:rFonts w:eastAsia="Times New Roman" w:cs="Times New Roman"/>
                <w:color w:val="000000"/>
                <w:sz w:val="16"/>
                <w:szCs w:val="16"/>
                <w:lang w:eastAsia="en-AU"/>
              </w:rPr>
              <w:fldChar w:fldCharType="end"/>
            </w:r>
          </w:p>
          <w:p w14:paraId="70D0BA4E" w14:textId="77777777" w:rsidR="00574EB4" w:rsidRPr="0091560A" w:rsidRDefault="00574EB4">
            <w:pPr>
              <w:spacing w:after="0" w:line="240" w:lineRule="auto"/>
              <w:rPr>
                <w:rFonts w:eastAsia="Times New Roman" w:cs="Times New Roman"/>
                <w:color w:val="000000"/>
                <w:sz w:val="16"/>
                <w:szCs w:val="16"/>
                <w:lang w:eastAsia="en-AU"/>
              </w:rPr>
            </w:pPr>
          </w:p>
          <w:p w14:paraId="128830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Scotland, UK</w:t>
            </w:r>
          </w:p>
        </w:tc>
        <w:tc>
          <w:tcPr>
            <w:tcW w:w="1232" w:type="dxa"/>
          </w:tcPr>
          <w:p w14:paraId="0DB8B92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Observational or cohort</w:t>
            </w:r>
          </w:p>
        </w:tc>
        <w:tc>
          <w:tcPr>
            <w:tcW w:w="1429" w:type="dxa"/>
            <w:shd w:val="clear" w:color="auto" w:fill="auto"/>
            <w:noWrap/>
          </w:tcPr>
          <w:p w14:paraId="02A2BD52" w14:textId="77777777" w:rsidR="00574EB4" w:rsidRPr="0091560A" w:rsidRDefault="00574EB4">
            <w:pPr>
              <w:rPr>
                <w:rFonts w:eastAsia="Times New Roman" w:cs="Times New Roman"/>
                <w:sz w:val="16"/>
                <w:szCs w:val="16"/>
              </w:rPr>
            </w:pPr>
            <w:r w:rsidRPr="0091560A">
              <w:rPr>
                <w:rFonts w:eastAsia="Times New Roman" w:cs="Times New Roman"/>
                <w:sz w:val="16"/>
                <w:szCs w:val="16"/>
              </w:rPr>
              <w:t>Paracetamol (other self-poisoning drugs)</w:t>
            </w:r>
          </w:p>
        </w:tc>
        <w:tc>
          <w:tcPr>
            <w:tcW w:w="2409" w:type="dxa"/>
            <w:shd w:val="clear" w:color="auto" w:fill="auto"/>
            <w:noWrap/>
          </w:tcPr>
          <w:p w14:paraId="3845AB36" w14:textId="685225FD"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People admitted to a hospital in Scotland with diagnosis of poisoning in addition to diagnosis of intentional self-harm from 1996 to 2002, using data from the Information Services Division of the NHS National Services Scotland. Patients with a </w:t>
            </w:r>
            <w:r w:rsidR="00787E88">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true</w:t>
            </w:r>
            <w:r w:rsidR="00787E88">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 xml:space="preserve"> index admission were included (no previous episodes of self-poisoning)</w:t>
            </w:r>
          </w:p>
        </w:tc>
        <w:tc>
          <w:tcPr>
            <w:tcW w:w="1279" w:type="dxa"/>
            <w:shd w:val="clear" w:color="auto" w:fill="auto"/>
            <w:noWrap/>
          </w:tcPr>
          <w:p w14:paraId="63C607D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50,891 (all self-poisonings with any drug) </w:t>
            </w:r>
          </w:p>
        </w:tc>
        <w:tc>
          <w:tcPr>
            <w:tcW w:w="1452" w:type="dxa"/>
            <w:shd w:val="clear" w:color="auto" w:fill="auto"/>
            <w:noWrap/>
          </w:tcPr>
          <w:p w14:paraId="3F27B00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15-24 = 35%</w:t>
            </w:r>
          </w:p>
          <w:p w14:paraId="7099C09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25-34 =</w:t>
            </w:r>
            <w:r w:rsidRPr="0091560A" w:rsidDel="00C97772">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26%</w:t>
            </w:r>
          </w:p>
          <w:p w14:paraId="557EEB00"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35-44 = 21%</w:t>
            </w:r>
          </w:p>
          <w:p w14:paraId="010A400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45-64 = 15%</w:t>
            </w:r>
          </w:p>
          <w:p w14:paraId="0147555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&gt;65 = 3% </w:t>
            </w:r>
          </w:p>
        </w:tc>
        <w:tc>
          <w:tcPr>
            <w:tcW w:w="1417" w:type="dxa"/>
            <w:shd w:val="clear" w:color="auto" w:fill="auto"/>
            <w:noWrap/>
          </w:tcPr>
          <w:p w14:paraId="28A29E3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100% </w:t>
            </w:r>
          </w:p>
        </w:tc>
        <w:tc>
          <w:tcPr>
            <w:tcW w:w="4630" w:type="dxa"/>
            <w:shd w:val="clear" w:color="auto" w:fill="auto"/>
          </w:tcPr>
          <w:p w14:paraId="019B6EC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Readmission for self-harm:</w:t>
            </w:r>
            <w:r w:rsidRPr="0091560A">
              <w:rPr>
                <w:rFonts w:eastAsia="Times New Roman" w:cs="Times New Roman"/>
                <w:color w:val="000000" w:themeColor="text1"/>
                <w:sz w:val="16"/>
                <w:szCs w:val="16"/>
                <w:lang w:eastAsia="en-AU"/>
              </w:rPr>
              <w:t xml:space="preserve"> Paracetamol was the most common drug taken at index admission (31%), and 28% of readmissions involved paracetamol. Compared to anticonvulsants, antidepressants, antidiabetic drugs, benzodiazepines, and opiates, paracetamol was associated with a decreased risk of re-admission for self-poisoning, but risk of readmission did not differ between paracetamol and other drug categories. Paracetamol had particularly high proportion of repeated use at 49%</w:t>
            </w:r>
          </w:p>
        </w:tc>
      </w:tr>
      <w:tr w:rsidR="00574EB4" w:rsidRPr="0091560A" w14:paraId="5FF1482B" w14:textId="77777777" w:rsidTr="0035719A">
        <w:trPr>
          <w:trHeight w:val="688"/>
        </w:trPr>
        <w:tc>
          <w:tcPr>
            <w:tcW w:w="1456" w:type="dxa"/>
            <w:shd w:val="clear" w:color="auto" w:fill="auto"/>
            <w:noWrap/>
          </w:tcPr>
          <w:p w14:paraId="50D194FC" w14:textId="2E2E1E95"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Pezzia (2017)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&lt;EndNote&gt;&lt;Cite&gt;&lt;Author&gt;Pezzia&lt;/Author&gt;&lt;Year&gt;2017&lt;/Year&gt;&lt;RecNum&gt;906&lt;/RecNum&gt;&lt;DisplayText&gt;(Pezzia et al., 2017)&lt;/DisplayText&gt;&lt;record&gt;&lt;rec-number&gt;906&lt;/rec-number&gt;&lt;foreign-keys&gt;&lt;key app="EN" db-id="90p22wx96ddedpe0r9pxtt9gzz05dd5ev299" timestamp="1657000537"&gt;906&lt;/key&gt;&lt;/foreign-keys&gt;&lt;ref-type name="Journal Article"&gt;17&lt;/ref-type&gt;&lt;contributors&gt;&lt;authors&gt;&lt;author&gt;Pezzia, C.&lt;/author&gt;&lt;author&gt;Sanders, C.&lt;/author&gt;&lt;author&gt;Welch, S.&lt;/author&gt;&lt;author&gt;Bowling, A.&lt;/author&gt;&lt;author&gt;Lee, W. M.&lt;/author&gt;&lt;/authors&gt;&lt;/contributors&gt;&lt;titles&gt;&lt;title&gt;Psychosocial and behavioral factors in acetaminophen-related acute liver failure and liver injury&lt;/title&gt;&lt;secondary-title&gt;Journal of Psychosomatic Research&lt;/secondary-title&gt;&lt;/titles&gt;&lt;pages&gt;51-57&lt;/pages&gt;&lt;volume&gt;101&lt;/volume&gt;&lt;dates&gt;&lt;year&gt;2017&lt;/year&gt;&lt;/dates&gt;&lt;urls&gt;&lt;related-urls&gt;&lt;url&gt;http://www.elsevier.com/locate/jpsychoreshttp://ovidsp.ovid.com/ovidweb.cgi?T=JS&amp;amp;PAGE=reference&amp;amp;D=emed18&amp;amp;NEWS=N&amp;amp;AN=617691979&lt;/url&gt;&lt;/related-urls&gt;&lt;/urls&gt;&lt;electronic-resource-num&gt;http://dx.doi.org/10.1016/j.jpsychores.2017.08.006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(Pezzia et al., 2017)</w:t>
            </w:r>
            <w:r w:rsidRPr="0091560A">
              <w:rPr>
                <w:rFonts w:eastAsia="Times New Roman" w:cs="Times New Roman"/>
                <w:color w:val="000000"/>
                <w:sz w:val="16"/>
                <w:szCs w:val="16"/>
                <w:lang w:eastAsia="en-AU"/>
              </w:rPr>
              <w:fldChar w:fldCharType="end"/>
            </w:r>
          </w:p>
          <w:p w14:paraId="134D7A44" w14:textId="77777777" w:rsidR="00574EB4" w:rsidRPr="0091560A" w:rsidRDefault="00574EB4">
            <w:pPr>
              <w:spacing w:after="0" w:line="240" w:lineRule="auto"/>
              <w:rPr>
                <w:rFonts w:eastAsia="Times New Roman" w:cs="Times New Roman"/>
                <w:color w:val="000000"/>
                <w:sz w:val="16"/>
                <w:szCs w:val="16"/>
                <w:lang w:eastAsia="en-AU"/>
              </w:rPr>
            </w:pPr>
          </w:p>
          <w:p w14:paraId="1E5839B4" w14:textId="0498A42C"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39AA6E4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Cross-sectional survey</w:t>
            </w:r>
          </w:p>
        </w:tc>
        <w:tc>
          <w:tcPr>
            <w:tcW w:w="1429" w:type="dxa"/>
            <w:shd w:val="clear" w:color="auto" w:fill="auto"/>
            <w:noWrap/>
          </w:tcPr>
          <w:p w14:paraId="5A567DD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4326F40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hospitalised for paracetamol-related acute liver failure or injury, enrolled at one of eight different study sites from February 2007to June 2013 who consented to participate in a questionnaire</w:t>
            </w:r>
          </w:p>
        </w:tc>
        <w:tc>
          <w:tcPr>
            <w:tcW w:w="1279" w:type="dxa"/>
            <w:shd w:val="clear" w:color="auto" w:fill="auto"/>
            <w:noWrap/>
          </w:tcPr>
          <w:p w14:paraId="486C969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95 (44 intentional, 51 unintentional)</w:t>
            </w:r>
          </w:p>
        </w:tc>
        <w:tc>
          <w:tcPr>
            <w:tcW w:w="1452" w:type="dxa"/>
            <w:shd w:val="clear" w:color="auto" w:fill="auto"/>
            <w:noWrap/>
          </w:tcPr>
          <w:p w14:paraId="08DA2E3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Total: Median = 35; IQR = 28-46</w:t>
            </w:r>
          </w:p>
          <w:p w14:paraId="352AFA00"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Median = 35; IQR = 27-46</w:t>
            </w:r>
          </w:p>
          <w:p w14:paraId="4CC5909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Unintentional: Median = 34; IQR = 28-46</w:t>
            </w:r>
          </w:p>
        </w:tc>
        <w:tc>
          <w:tcPr>
            <w:tcW w:w="1417" w:type="dxa"/>
            <w:shd w:val="clear" w:color="auto" w:fill="auto"/>
            <w:noWrap/>
          </w:tcPr>
          <w:p w14:paraId="5247D7D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46.3% </w:t>
            </w:r>
          </w:p>
        </w:tc>
        <w:tc>
          <w:tcPr>
            <w:tcW w:w="4630" w:type="dxa"/>
            <w:shd w:val="clear" w:color="auto" w:fill="auto"/>
          </w:tcPr>
          <w:p w14:paraId="2930A3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72.7% of intentional cases were female</w:t>
            </w:r>
            <w:r w:rsidRPr="0091560A">
              <w:rPr>
                <w:rFonts w:eastAsia="Times New Roman" w:cs="Times New Roman"/>
                <w:b/>
                <w:bCs/>
                <w:color w:val="000000" w:themeColor="text1"/>
                <w:sz w:val="16"/>
                <w:szCs w:val="16"/>
                <w:lang w:eastAsia="en-AU"/>
              </w:rPr>
              <w:t xml:space="preserve"> </w:t>
            </w:r>
            <w:r w:rsidRPr="0091560A">
              <w:rPr>
                <w:rFonts w:cs="Times New Roman"/>
              </w:rPr>
              <w:br/>
            </w:r>
            <w:r w:rsidRPr="0091560A">
              <w:rPr>
                <w:rFonts w:eastAsia="Times New Roman" w:cs="Times New Roman"/>
                <w:b/>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100% of intentional cases were classified as having suicidal intent </w:t>
            </w:r>
          </w:p>
          <w:p w14:paraId="49FC84F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median = 20,000mg (IQR = 7,625-42,500)</w:t>
            </w:r>
          </w:p>
          <w:p w14:paraId="7786DFE8"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Ethnicity:</w:t>
            </w:r>
            <w:r w:rsidRPr="0091560A">
              <w:rPr>
                <w:rFonts w:eastAsia="Times New Roman" w:cs="Times New Roman"/>
                <w:color w:val="000000" w:themeColor="text1"/>
                <w:sz w:val="16"/>
                <w:szCs w:val="16"/>
                <w:lang w:eastAsia="en-AU"/>
              </w:rPr>
              <w:t xml:space="preserve"> 86.4% Caucasian, 9.1% Hispanic/Latino</w:t>
            </w:r>
            <w:r w:rsidRPr="0091560A">
              <w:rPr>
                <w:rFonts w:cs="Times New Roman"/>
              </w:rPr>
              <w:br/>
            </w:r>
            <w:r w:rsidRPr="0091560A">
              <w:rPr>
                <w:rFonts w:eastAsia="Times New Roman" w:cs="Times New Roman"/>
                <w:b/>
                <w:color w:val="000000" w:themeColor="text1"/>
                <w:sz w:val="16"/>
                <w:szCs w:val="16"/>
                <w:lang w:eastAsia="en-AU"/>
              </w:rPr>
              <w:t>Marital status:</w:t>
            </w:r>
            <w:r w:rsidRPr="0091560A">
              <w:rPr>
                <w:rFonts w:eastAsia="Times New Roman" w:cs="Times New Roman"/>
                <w:color w:val="000000" w:themeColor="text1"/>
                <w:sz w:val="16"/>
                <w:szCs w:val="16"/>
                <w:lang w:eastAsia="en-AU"/>
              </w:rPr>
              <w:t xml:space="preserve"> 48.3% never married, 27.6% married, 24.1% divorced/separated, 3.4% in a relationship/not married</w:t>
            </w:r>
          </w:p>
          <w:p w14:paraId="0C48CD1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Previous psychiatric history:</w:t>
            </w:r>
            <w:r w:rsidRPr="0091560A">
              <w:rPr>
                <w:rFonts w:eastAsia="Times New Roman" w:cs="Times New Roman"/>
                <w:color w:val="000000" w:themeColor="text1"/>
                <w:sz w:val="16"/>
                <w:szCs w:val="16"/>
                <w:lang w:eastAsia="en-AU"/>
              </w:rPr>
              <w:t xml:space="preserve"> 77.3% had a history of psychiatric disease (9.1% anxiety, 47.7% depression, 25% bipolar, 2.3% schizophrenia, 15.9% other). 41% and 55.6% had a current and past major depressive episode, respectively. 10.5% had a chronic pain disorder; 46.3% had the perception of problematic chronic pain</w:t>
            </w:r>
            <w:r w:rsidRPr="0091560A">
              <w:rPr>
                <w:rFonts w:cs="Times New Roman"/>
              </w:rPr>
              <w:br/>
            </w:r>
            <w:r w:rsidRPr="0091560A">
              <w:rPr>
                <w:rFonts w:eastAsia="Times New Roman" w:cs="Times New Roman"/>
                <w:b/>
                <w:color w:val="000000" w:themeColor="text1"/>
                <w:sz w:val="16"/>
                <w:szCs w:val="16"/>
                <w:lang w:eastAsia="en-AU"/>
              </w:rPr>
              <w:t>Psychiatric medication:</w:t>
            </w:r>
            <w:r w:rsidRPr="0091560A">
              <w:rPr>
                <w:rFonts w:eastAsia="Times New Roman" w:cs="Times New Roman"/>
                <w:color w:val="000000" w:themeColor="text1"/>
                <w:sz w:val="16"/>
                <w:szCs w:val="16"/>
                <w:lang w:eastAsia="en-AU"/>
              </w:rPr>
              <w:t xml:space="preserve"> 36.4% using SSRI; 50% using psychiatric medication; 45.5% using opioids; 20.5% using benzodiazepine</w:t>
            </w:r>
            <w:r w:rsidRPr="0091560A">
              <w:rPr>
                <w:rFonts w:cs="Times New Roman"/>
              </w:rPr>
              <w:br/>
            </w:r>
            <w:r w:rsidRPr="0091560A">
              <w:rPr>
                <w:rFonts w:eastAsia="Times New Roman" w:cs="Times New Roman"/>
                <w:b/>
                <w:color w:val="000000" w:themeColor="text1"/>
                <w:sz w:val="16"/>
                <w:szCs w:val="16"/>
                <w:lang w:eastAsia="en-AU"/>
              </w:rPr>
              <w:t>Alcohol and illicit drug use:</w:t>
            </w:r>
            <w:r w:rsidRPr="0091560A">
              <w:rPr>
                <w:rFonts w:eastAsia="Times New Roman" w:cs="Times New Roman"/>
                <w:color w:val="000000" w:themeColor="text1"/>
                <w:sz w:val="16"/>
                <w:szCs w:val="16"/>
                <w:lang w:eastAsia="en-AU"/>
              </w:rPr>
              <w:t xml:space="preserve"> 47.5% drank alcohol within 48h of overdose; 25% reported illicit drug use (4.5% amphetamines, 4.5% narcotics, 4.5% cocaine, 4.5% other); Intentional self-poisoning patients report more problems with alcohol and other substance use disorders compared to unintentional poisoning patients</w:t>
            </w:r>
          </w:p>
        </w:tc>
      </w:tr>
      <w:tr w:rsidR="00574EB4" w:rsidRPr="0091560A" w14:paraId="6D0AB768" w14:textId="77777777" w:rsidTr="0035719A">
        <w:trPr>
          <w:trHeight w:val="688"/>
        </w:trPr>
        <w:tc>
          <w:tcPr>
            <w:tcW w:w="1456" w:type="dxa"/>
            <w:shd w:val="clear" w:color="auto" w:fill="auto"/>
            <w:noWrap/>
          </w:tcPr>
          <w:p w14:paraId="466A7EC6" w14:textId="68A340AF"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Piotrowska (2019)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&lt;EndNote&gt;&lt;Cite&gt;&lt;Author&gt;Piotrowska&lt;/Author&gt;&lt;Year&gt;2019&lt;/Year&gt;&lt;RecNum&gt;907&lt;/RecNum&gt;&lt;DisplayText&gt;(Piotrowska et al., 2019)&lt;/DisplayText&gt;&lt;record&gt;&lt;rec-number&gt;907&lt;/rec-number&gt;&lt;foreign-keys&gt;&lt;key app="EN" db-id="90p22wx96ddedpe0r9pxtt9gzz05dd5ev299" timestamp="1657000537"&gt;907&lt;/key&gt;&lt;/foreign-keys&gt;&lt;ref-type name="Journal Article"&gt;17&lt;/ref-type&gt;&lt;contributors&gt;&lt;authors&gt;&lt;author&gt;Piotrowska, N.&lt;/author&gt;&lt;author&gt;Klukowska-Rotzler, J.&lt;/author&gt;&lt;author&gt;Lehmann, B.&lt;/author&gt;&lt;author&gt;Krummrey, G.&lt;/author&gt;&lt;author&gt;Haschke, M.&lt;/author&gt;&lt;author&gt;Exadaktylos, A. K.&lt;/author&gt;&lt;author&gt;Liakoni, E.&lt;/author&gt;&lt;/authors&gt;&lt;/contributors&gt;&lt;titles&gt;&lt;title&gt;Presentations Related to Acute Paracetamol Intoxication in an Urban Emergency Department in Switzerland&lt;/title&gt;&lt;secondary-title&gt;Emergency Medicine International&lt;/secondary-title&gt;&lt;/titles&gt;&lt;pages&gt;3130843&lt;/pages&gt;&lt;volume&gt;2019&lt;/volume&gt;&lt;dates&gt;&lt;year&gt;2019&lt;/year&gt;&lt;/dates&gt;&lt;urls&gt;&lt;related-urls&gt;&lt;url&gt;http://www.hindawi.com/journals/emi/http://ovidsp.ovid.com/ovidweb.cgi?T=JS&amp;amp;PAGE=reference&amp;amp;D=emed20&amp;amp;NEWS=N&amp;amp;AN=2004392883&lt;/url&gt;&lt;/related-urls&gt;&lt;/urls&gt;&lt;electronic-resource-num&gt;http://dx.doi.org/10.1155/2019/3130843&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(Piotrowska et al., 2019)</w:t>
            </w:r>
            <w:r w:rsidRPr="0091560A">
              <w:rPr>
                <w:rFonts w:eastAsia="Times New Roman" w:cs="Times New Roman"/>
                <w:color w:val="000000"/>
                <w:sz w:val="16"/>
                <w:szCs w:val="16"/>
                <w:lang w:eastAsia="en-AU"/>
              </w:rPr>
              <w:fldChar w:fldCharType="end"/>
            </w:r>
          </w:p>
          <w:p w14:paraId="7E8E5402" w14:textId="77777777" w:rsidR="00574EB4" w:rsidRPr="0091560A" w:rsidRDefault="00574EB4">
            <w:pPr>
              <w:spacing w:after="0" w:line="240" w:lineRule="auto"/>
              <w:rPr>
                <w:rFonts w:eastAsia="Times New Roman" w:cs="Times New Roman"/>
                <w:color w:val="000000"/>
                <w:sz w:val="16"/>
                <w:szCs w:val="16"/>
                <w:lang w:eastAsia="en-AU"/>
              </w:rPr>
            </w:pPr>
          </w:p>
          <w:p w14:paraId="3539C80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Switzerland</w:t>
            </w:r>
          </w:p>
        </w:tc>
        <w:tc>
          <w:tcPr>
            <w:tcW w:w="1232" w:type="dxa"/>
          </w:tcPr>
          <w:p w14:paraId="04BAFB8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45014C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F38F81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patients 16 years of age or older presenting to University Hospital Bern ED from May 1, 2012</w:t>
            </w:r>
            <w:r w:rsidRPr="0091560A" w:rsidDel="008841C5">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 xml:space="preserve"> to October 31, 2018</w:t>
            </w:r>
            <w:r w:rsidRPr="0091560A" w:rsidDel="008841C5">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 xml:space="preserve"> due to paracetamol overdose</w:t>
            </w:r>
          </w:p>
        </w:tc>
        <w:tc>
          <w:tcPr>
            <w:tcW w:w="1279" w:type="dxa"/>
            <w:shd w:val="clear" w:color="auto" w:fill="auto"/>
            <w:noWrap/>
          </w:tcPr>
          <w:p w14:paraId="2793861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181 </w:t>
            </w:r>
          </w:p>
        </w:tc>
        <w:tc>
          <w:tcPr>
            <w:tcW w:w="1452" w:type="dxa"/>
            <w:shd w:val="clear" w:color="auto" w:fill="auto"/>
            <w:noWrap/>
          </w:tcPr>
          <w:p w14:paraId="618C0F7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Total: M = 25; range = 16-85</w:t>
            </w:r>
          </w:p>
          <w:p w14:paraId="553A7D1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Intentional cases: M = 23; range = 16-85</w:t>
            </w:r>
          </w:p>
        </w:tc>
        <w:tc>
          <w:tcPr>
            <w:tcW w:w="1417" w:type="dxa"/>
            <w:shd w:val="clear" w:color="auto" w:fill="auto"/>
            <w:noWrap/>
          </w:tcPr>
          <w:p w14:paraId="3FDE611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79% </w:t>
            </w:r>
          </w:p>
        </w:tc>
        <w:tc>
          <w:tcPr>
            <w:tcW w:w="4630" w:type="dxa"/>
            <w:shd w:val="clear" w:color="auto" w:fill="auto"/>
          </w:tcPr>
          <w:p w14:paraId="513F282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85% of intentional cases were female</w:t>
            </w:r>
          </w:p>
          <w:p w14:paraId="7EF49C4F"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Nationality: </w:t>
            </w:r>
            <w:r w:rsidRPr="0091560A">
              <w:rPr>
                <w:rFonts w:eastAsia="Times New Roman" w:cs="Times New Roman"/>
                <w:color w:val="000000" w:themeColor="text1"/>
                <w:sz w:val="16"/>
                <w:szCs w:val="16"/>
                <w:lang w:eastAsia="en-AU"/>
              </w:rPr>
              <w:t>83% of intentional cases were Swiss citizens</w:t>
            </w:r>
          </w:p>
          <w:p w14:paraId="091D86B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94% of cases were classified as having suicidal intent, remaining 6% reported no strict suicidal intention but intention to harm themselves </w:t>
            </w:r>
            <w:r w:rsidRPr="0091560A">
              <w:rPr>
                <w:rFonts w:cs="Times New Roman"/>
              </w:rPr>
              <w:br/>
            </w:r>
            <w:r w:rsidRPr="0091560A">
              <w:rPr>
                <w:rFonts w:eastAsia="Times New Roman" w:cs="Times New Roman"/>
                <w:b/>
                <w:bCs/>
                <w:color w:val="000000" w:themeColor="text1"/>
                <w:sz w:val="16"/>
                <w:szCs w:val="16"/>
                <w:lang w:eastAsia="en-AU"/>
              </w:rPr>
              <w:t>Dose:</w:t>
            </w:r>
            <w:r w:rsidRPr="0091560A">
              <w:rPr>
                <w:rFonts w:eastAsia="Times New Roman" w:cs="Times New Roman"/>
                <w:color w:val="000000" w:themeColor="text1"/>
                <w:sz w:val="16"/>
                <w:szCs w:val="16"/>
                <w:lang w:eastAsia="en-AU"/>
              </w:rPr>
              <w:t xml:space="preserve"> Median daily dose = 12.9g (max = 90g). 80% of cases were ingestion via a single dose, 13% had staggered intake, while 6% intake unknown</w:t>
            </w:r>
            <w:r w:rsidRPr="0091560A">
              <w:rPr>
                <w:rFonts w:cs="Times New Roman"/>
              </w:rPr>
              <w:br/>
            </w:r>
            <w:r w:rsidRPr="0091560A">
              <w:rPr>
                <w:rFonts w:eastAsia="Times New Roman" w:cs="Times New Roman"/>
                <w:b/>
                <w:bCs/>
                <w:color w:val="000000" w:themeColor="text1"/>
                <w:sz w:val="16"/>
                <w:szCs w:val="16"/>
                <w:lang w:eastAsia="en-AU"/>
              </w:rPr>
              <w:t>Co-ingested substances:</w:t>
            </w:r>
            <w:r w:rsidRPr="0091560A">
              <w:rPr>
                <w:rFonts w:eastAsia="Times New Roman" w:cs="Times New Roman"/>
                <w:color w:val="000000" w:themeColor="text1"/>
                <w:sz w:val="16"/>
                <w:szCs w:val="16"/>
                <w:lang w:eastAsia="en-AU"/>
              </w:rPr>
              <w:t xml:space="preserve"> 50% of intentional cases co-ingested other substances including psychotropic drugs (48.6%) or other analgesics (44.4%)</w:t>
            </w:r>
          </w:p>
          <w:p w14:paraId="4CC6432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13.3% of intentional cases co-ingested alcohol</w:t>
            </w:r>
            <w:r w:rsidRPr="0091560A">
              <w:rPr>
                <w:rFonts w:cs="Times New Roman"/>
              </w:rPr>
              <w:br/>
            </w:r>
            <w:r w:rsidRPr="0091560A">
              <w:rPr>
                <w:rFonts w:eastAsia="Times New Roman" w:cs="Times New Roman"/>
                <w:b/>
                <w:bCs/>
                <w:color w:val="000000" w:themeColor="text1"/>
                <w:sz w:val="16"/>
                <w:szCs w:val="16"/>
                <w:lang w:eastAsia="en-AU"/>
              </w:rPr>
              <w:t>Previous psychiatric history:</w:t>
            </w:r>
            <w:r w:rsidRPr="0091560A">
              <w:rPr>
                <w:rFonts w:eastAsia="Times New Roman" w:cs="Times New Roman"/>
                <w:color w:val="000000" w:themeColor="text1"/>
                <w:sz w:val="16"/>
                <w:szCs w:val="16"/>
                <w:lang w:eastAsia="en-AU"/>
              </w:rPr>
              <w:t xml:space="preserve"> 95% of intentional cases had a psychiatric history, which included 49% with borderline personality disorder, 33% depressive disorder, 11% acute psychological crisis/depressive adjustment disorder, 4% schizophrenia, 2% addiction disease, and single cases of patients with eating disorder and dementia</w:t>
            </w:r>
          </w:p>
        </w:tc>
      </w:tr>
      <w:tr w:rsidR="00574EB4" w:rsidRPr="0091560A" w14:paraId="41BA504A" w14:textId="77777777" w:rsidTr="0035719A">
        <w:trPr>
          <w:trHeight w:val="688"/>
        </w:trPr>
        <w:tc>
          <w:tcPr>
            <w:tcW w:w="1456" w:type="dxa"/>
            <w:shd w:val="clear" w:color="auto" w:fill="auto"/>
            <w:noWrap/>
          </w:tcPr>
          <w:p w14:paraId="4F2B103C" w14:textId="2857914A"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 xml:space="preserve">Rhodes, Bethell, Jaakkimainen et al. (2008)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&lt;EndNote&gt;&lt;Cite&gt;&lt;Author&gt;Rhodes&lt;/Author&gt;&lt;Year&gt;2008&lt;/Year&gt;&lt;RecNum&gt;908&lt;/RecNum&gt;&lt;DisplayText&gt;(A. Rhodes et al., 2008)&lt;/DisplayText&gt;&lt;record&gt;&lt;rec-number&gt;908&lt;/rec-number&gt;&lt;foreign-keys&gt;&lt;key app="EN" db-id="90p22wx96ddedpe0r9pxtt9gzz05dd5ev299" timestamp="1657000537"&gt;908&lt;/key&gt;&lt;/foreign-keys&gt;&lt;ref-type name="Journal Article"&gt;17&lt;/ref-type&gt;&lt;contributors&gt;&lt;authors&gt;&lt;author&gt;Rhodes, Anne&lt;/author&gt;&lt;author&gt;Bethell, Jennifer&lt;/author&gt;&lt;author&gt;Jaakkimainen, R. Liisa&lt;/author&gt;&lt;author&gt;Thurlow, Julie&lt;/author&gt;&lt;author&gt;Spence, Julie&lt;/author&gt;&lt;author&gt;Links, Paul S.&lt;/author&gt;&lt;author&gt;Streiner, David L.&lt;/author&gt;&lt;/authors&gt;&lt;/contributors&gt;&lt;titles&gt;&lt;title&gt;The impact of rural residence on medically serious medicinal self-poisonings&lt;/title&gt;&lt;secondary-title&gt;General hospital psychiatry&lt;/secondary-title&gt;&lt;/titles&gt;&lt;pages&gt;552-60&lt;/pages&gt;&lt;volume&gt;30&lt;/volume&gt;&lt;number&gt;6&lt;/number&gt;&lt;dates&gt;&lt;year&gt;2008&lt;/year&gt;&lt;/dates&gt;&lt;urls&gt;&lt;related-urls&gt;&lt;url&gt;http://ovidsp.ovid.com/ovidweb.cgi?T=JS&amp;amp;PAGE=reference&amp;amp;D=med7&amp;amp;NEWS=N&amp;amp;AN=19061682&lt;/url&gt;&lt;/related-urls&gt;&lt;/urls&gt;&lt;electronic-resource-num&gt;https://dx.doi.org/10.1016/j.genhosppsych.2008.06.012&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(A. Rhodes et al., 2008)</w:t>
            </w:r>
            <w:r w:rsidRPr="0091560A">
              <w:rPr>
                <w:rFonts w:eastAsia="Times New Roman" w:cs="Times New Roman"/>
                <w:color w:val="000000" w:themeColor="text1"/>
                <w:sz w:val="16"/>
                <w:szCs w:val="16"/>
                <w:lang w:eastAsia="en-AU"/>
              </w:rPr>
              <w:fldChar w:fldCharType="end"/>
            </w:r>
          </w:p>
          <w:p w14:paraId="421AA696" w14:textId="77777777" w:rsidR="00574EB4" w:rsidRPr="0091560A" w:rsidRDefault="00574EB4">
            <w:pPr>
              <w:spacing w:after="0" w:line="240" w:lineRule="auto"/>
              <w:rPr>
                <w:rFonts w:eastAsia="Times New Roman" w:cs="Times New Roman"/>
                <w:color w:val="000000"/>
                <w:sz w:val="16"/>
                <w:szCs w:val="16"/>
                <w:lang w:eastAsia="en-AU"/>
              </w:rPr>
            </w:pPr>
          </w:p>
          <w:p w14:paraId="1375ABB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Ontario, Canada</w:t>
            </w:r>
          </w:p>
        </w:tc>
        <w:tc>
          <w:tcPr>
            <w:tcW w:w="1232" w:type="dxa"/>
          </w:tcPr>
          <w:p w14:paraId="2448B86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14D676F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029DF89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Data from the National Ambulatory Care Reporting System were used to identify ED presentations to hospitals in Ontario by Ontario residents from April 1, 2001, to March 31, 2002, for medicinal self-poisoning</w:t>
            </w:r>
          </w:p>
        </w:tc>
        <w:tc>
          <w:tcPr>
            <w:tcW w:w="1279" w:type="dxa"/>
            <w:shd w:val="clear" w:color="auto" w:fill="auto"/>
            <w:noWrap/>
          </w:tcPr>
          <w:p w14:paraId="0157323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16,294</w:t>
            </w:r>
          </w:p>
        </w:tc>
        <w:tc>
          <w:tcPr>
            <w:tcW w:w="1452" w:type="dxa"/>
            <w:shd w:val="clear" w:color="auto" w:fill="auto"/>
            <w:noWrap/>
          </w:tcPr>
          <w:p w14:paraId="092E550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Range = 12-64 </w:t>
            </w:r>
          </w:p>
        </w:tc>
        <w:tc>
          <w:tcPr>
            <w:tcW w:w="1417" w:type="dxa"/>
            <w:shd w:val="clear" w:color="auto" w:fill="auto"/>
            <w:noWrap/>
          </w:tcPr>
          <w:p w14:paraId="517FDCD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Not reported</w:t>
            </w:r>
          </w:p>
        </w:tc>
        <w:tc>
          <w:tcPr>
            <w:tcW w:w="4630" w:type="dxa"/>
            <w:shd w:val="clear" w:color="auto" w:fill="auto"/>
          </w:tcPr>
          <w:p w14:paraId="3148679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Rurality:</w:t>
            </w:r>
            <w:r w:rsidRPr="0091560A">
              <w:rPr>
                <w:rFonts w:eastAsia="Times New Roman" w:cs="Times New Roman"/>
                <w:color w:val="000000"/>
                <w:sz w:val="16"/>
                <w:szCs w:val="16"/>
                <w:lang w:eastAsia="en-AU"/>
              </w:rPr>
              <w:t xml:space="preserve"> Deliberate self-poisonings in rural areas equally as likely as non-rural areas to involve paracetamol  </w:t>
            </w:r>
          </w:p>
        </w:tc>
      </w:tr>
      <w:tr w:rsidR="00574EB4" w:rsidRPr="0091560A" w14:paraId="040B8AFB" w14:textId="77777777" w:rsidTr="0035719A">
        <w:trPr>
          <w:trHeight w:val="688"/>
        </w:trPr>
        <w:tc>
          <w:tcPr>
            <w:tcW w:w="1456" w:type="dxa"/>
            <w:shd w:val="clear" w:color="auto" w:fill="auto"/>
            <w:noWrap/>
          </w:tcPr>
          <w:p w14:paraId="23A6F137" w14:textId="0934BC0F"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Schiodt (1997)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&lt;EndNote&gt;&lt;Cite&gt;&lt;Author&gt;Schiodt&lt;/Author&gt;&lt;Year&gt;1997&lt;/Year&gt;&lt;RecNum&gt;911&lt;/RecNum&gt;&lt;DisplayText&gt;(Schiodt et al., 1997)&lt;/DisplayText&gt;&lt;record&gt;&lt;rec-number&gt;911&lt;/rec-number&gt;&lt;foreign-keys&gt;&lt;key app="EN" db-id="90p22wx96ddedpe0r9pxtt9gzz05dd5ev299" timestamp="1657000537"&gt;911&lt;/key&gt;&lt;/foreign-keys&gt;&lt;ref-type name="Journal Article"&gt;17&lt;/ref-type&gt;&lt;contributors&gt;&lt;authors&gt;&lt;author&gt;Schiodt, F. V.&lt;/author&gt;&lt;author&gt;Rochling, F. A.&lt;/author&gt;&lt;author&gt;Casey, D. L.&lt;/author&gt;&lt;author&gt;Lee, W. M.&lt;/author&gt;&lt;/authors&gt;&lt;/contributors&gt;&lt;titles&gt;&lt;title&gt;Acetaminophen toxicity in an urban county hospital&lt;/title&gt;&lt;secondary-title&gt;New England Journal of Medicine&lt;/secondary-title&gt;&lt;/titles&gt;&lt;pages&gt;1112-1117&lt;/pages&gt;&lt;volume&gt;337&lt;/volume&gt;&lt;number&gt;16&lt;/number&gt;&lt;dates&gt;&lt;year&gt;1997&lt;/year&gt;&lt;/dates&gt;&lt;urls&gt;&lt;related-urls&gt;&lt;url&gt;http://ovidsp.ovid.com/ovidweb.cgi?T=JS&amp;amp;PAGE=reference&amp;amp;D=emed6&amp;amp;NEWS=N&amp;amp;AN=27444101&lt;/url&gt;&lt;/related-urls&gt;&lt;/urls&gt;&lt;electronic-resource-num&gt;http://dx.doi.org/10.1056/NEJM199710163371602&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(Schiodt et al., 1997)</w:t>
            </w:r>
            <w:r w:rsidRPr="0091560A">
              <w:rPr>
                <w:rFonts w:eastAsia="Times New Roman" w:cs="Times New Roman"/>
                <w:color w:val="000000"/>
                <w:sz w:val="16"/>
                <w:szCs w:val="16"/>
                <w:lang w:eastAsia="en-AU"/>
              </w:rPr>
              <w:fldChar w:fldCharType="end"/>
            </w:r>
          </w:p>
          <w:p w14:paraId="568085A6" w14:textId="77777777" w:rsidR="00574EB4" w:rsidRPr="0091560A" w:rsidRDefault="00574EB4">
            <w:pPr>
              <w:spacing w:after="0" w:line="240" w:lineRule="auto"/>
              <w:rPr>
                <w:rFonts w:eastAsia="Times New Roman" w:cs="Times New Roman"/>
                <w:color w:val="000000"/>
                <w:sz w:val="16"/>
                <w:szCs w:val="16"/>
                <w:lang w:eastAsia="en-AU"/>
              </w:rPr>
            </w:pPr>
          </w:p>
          <w:p w14:paraId="1B9413C3" w14:textId="6EDEDF75"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1AC6ED3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5C882F5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6F8D62A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All patients admitted to Parkland Memorial Hospital, Dallas County, Texas, for potential or actual paracetamol hepatotoxicity from January 1, 1992, to April 30, 1995 </w:t>
            </w:r>
          </w:p>
        </w:tc>
        <w:tc>
          <w:tcPr>
            <w:tcW w:w="1279" w:type="dxa"/>
            <w:shd w:val="clear" w:color="auto" w:fill="auto"/>
            <w:noWrap/>
          </w:tcPr>
          <w:p w14:paraId="1E0E0A5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71</w:t>
            </w:r>
          </w:p>
        </w:tc>
        <w:tc>
          <w:tcPr>
            <w:tcW w:w="1452" w:type="dxa"/>
            <w:shd w:val="clear" w:color="auto" w:fill="auto"/>
            <w:noWrap/>
          </w:tcPr>
          <w:p w14:paraId="1BAF80A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M = 29; SD = 13; range = 14-83</w:t>
            </w:r>
          </w:p>
          <w:p w14:paraId="36E7405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Accidental: M = 34; SD = 10; range = 16-54</w:t>
            </w:r>
          </w:p>
        </w:tc>
        <w:tc>
          <w:tcPr>
            <w:tcW w:w="1417" w:type="dxa"/>
            <w:shd w:val="clear" w:color="auto" w:fill="auto"/>
            <w:noWrap/>
          </w:tcPr>
          <w:p w14:paraId="609D046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70%</w:t>
            </w:r>
          </w:p>
        </w:tc>
        <w:tc>
          <w:tcPr>
            <w:tcW w:w="4630" w:type="dxa"/>
            <w:shd w:val="clear" w:color="auto" w:fill="auto"/>
          </w:tcPr>
          <w:p w14:paraId="02BDD9D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74% of intentional cases were female, and gender ratio did not differ for accidental overdoses</w:t>
            </w:r>
          </w:p>
          <w:p w14:paraId="485B472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Suicidal intent:</w:t>
            </w:r>
            <w:r w:rsidRPr="0091560A">
              <w:rPr>
                <w:rFonts w:eastAsia="Times New Roman" w:cs="Times New Roman"/>
                <w:color w:val="000000"/>
                <w:sz w:val="16"/>
                <w:szCs w:val="16"/>
                <w:lang w:eastAsia="en-AU"/>
              </w:rPr>
              <w:t xml:space="preserve"> 86% of intentional cases were classified as having suicidal intent, 10% angry gesture, 4% denied suicidal ideation</w:t>
            </w:r>
          </w:p>
          <w:p w14:paraId="70C57D8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Mean for intentional cases = 24g (Median 20g, range = 3-125g), and was higher compared to people with an accidental overdose </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Alcohol use:</w:t>
            </w:r>
            <w:r w:rsidRPr="0091560A">
              <w:rPr>
                <w:rFonts w:eastAsia="Times New Roman" w:cs="Times New Roman"/>
                <w:color w:val="000000"/>
                <w:sz w:val="16"/>
                <w:szCs w:val="16"/>
                <w:lang w:eastAsia="en-AU"/>
              </w:rPr>
              <w:t xml:space="preserve"> 39% also consumed alcohol, and proportion did not differ for accidental overdoses</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Alcohol abuse:</w:t>
            </w:r>
            <w:r w:rsidRPr="0091560A">
              <w:rPr>
                <w:rFonts w:eastAsia="Times New Roman" w:cs="Times New Roman"/>
                <w:color w:val="000000"/>
                <w:sz w:val="16"/>
                <w:szCs w:val="16"/>
                <w:lang w:eastAsia="en-AU"/>
              </w:rPr>
              <w:t xml:space="preserve"> 25% chronic alcohol consumption, and proportion was lower than for accidental overdoses</w:t>
            </w:r>
          </w:p>
          <w:p w14:paraId="636DBD7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Co-ingested substances</w:t>
            </w:r>
            <w:r w:rsidRPr="0091560A">
              <w:rPr>
                <w:rFonts w:eastAsia="Times New Roman" w:cs="Times New Roman"/>
                <w:color w:val="000000" w:themeColor="text1"/>
                <w:sz w:val="16"/>
                <w:szCs w:val="16"/>
                <w:lang w:eastAsia="en-AU"/>
              </w:rPr>
              <w:t>: 34% also consumed other drugs, and proportion did not differ for accidental overdoses</w:t>
            </w:r>
            <w:r w:rsidRPr="0091560A">
              <w:rPr>
                <w:rFonts w:cs="Times New Roman"/>
              </w:rPr>
              <w:br/>
            </w:r>
            <w:r w:rsidRPr="0091560A">
              <w:rPr>
                <w:rFonts w:eastAsia="Times New Roman" w:cs="Times New Roman"/>
                <w:b/>
                <w:color w:val="000000" w:themeColor="text1"/>
                <w:sz w:val="16"/>
                <w:szCs w:val="16"/>
                <w:lang w:eastAsia="en-AU"/>
              </w:rPr>
              <w:t>Illicit drug use:</w:t>
            </w:r>
            <w:r w:rsidRPr="0091560A">
              <w:rPr>
                <w:rFonts w:eastAsia="Times New Roman" w:cs="Times New Roman"/>
                <w:color w:val="000000" w:themeColor="text1"/>
                <w:sz w:val="16"/>
                <w:szCs w:val="16"/>
                <w:lang w:eastAsia="en-AU"/>
              </w:rPr>
              <w:t xml:space="preserve"> 26% intravenous drug abuse, and proportion did not differ for accidental overdoses</w:t>
            </w:r>
            <w:r w:rsidRPr="0091560A">
              <w:rPr>
                <w:rFonts w:cs="Times New Roman"/>
              </w:rPr>
              <w:br/>
            </w:r>
            <w:r w:rsidRPr="0091560A">
              <w:rPr>
                <w:rFonts w:eastAsia="Times New Roman" w:cs="Times New Roman"/>
                <w:b/>
                <w:color w:val="000000" w:themeColor="text1"/>
                <w:sz w:val="16"/>
                <w:szCs w:val="16"/>
                <w:lang w:eastAsia="en-AU"/>
              </w:rPr>
              <w:t>Ethnicity:</w:t>
            </w:r>
            <w:r w:rsidRPr="0091560A">
              <w:rPr>
                <w:rFonts w:eastAsia="Times New Roman" w:cs="Times New Roman"/>
                <w:color w:val="000000" w:themeColor="text1"/>
                <w:sz w:val="16"/>
                <w:szCs w:val="16"/>
                <w:lang w:eastAsia="en-AU"/>
              </w:rPr>
              <w:t xml:space="preserve"> Intentional cases were more likely to be white (vs. another race)  </w:t>
            </w:r>
          </w:p>
        </w:tc>
      </w:tr>
      <w:tr w:rsidR="00574EB4" w:rsidRPr="0091560A" w14:paraId="50498132" w14:textId="77777777" w:rsidTr="0035719A">
        <w:trPr>
          <w:trHeight w:val="688"/>
        </w:trPr>
        <w:tc>
          <w:tcPr>
            <w:tcW w:w="1456" w:type="dxa"/>
            <w:shd w:val="clear" w:color="auto" w:fill="auto"/>
            <w:noWrap/>
          </w:tcPr>
          <w:p w14:paraId="49DF6A7E" w14:textId="68790474"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Schmidt (2001</w:t>
            </w:r>
            <w:r w:rsidRPr="0091560A">
              <w:rPr>
                <w:rFonts w:eastAsia="Times New Roman" w:cs="Times New Roman"/>
                <w:color w:val="000000"/>
                <w:sz w:val="16"/>
                <w:szCs w:val="16"/>
                <w:lang w:eastAsia="en-AU"/>
              </w:rPr>
              <w:t xml:space="preserve">)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&lt;EndNote&gt;&lt;Cite&gt;&lt;Author&gt;Schmidt&lt;/Author&gt;&lt;Year&gt;2001&lt;/Year&gt;&lt;RecNum&gt;912&lt;/RecNum&gt;&lt;DisplayText&gt;(Schmidt, 2001)&lt;/DisplayText&gt;&lt;record&gt;&lt;rec-number&gt;912&lt;/rec-number&gt;&lt;foreign-keys&gt;&lt;key app="EN" db-id="90p22wx96ddedpe0r9pxtt9gzz05dd5ev299" timestamp="1657000537"&gt;912&lt;/key&gt;&lt;/foreign-keys&gt;&lt;ref-type name="Journal Article"&gt;17&lt;/ref-type&gt;&lt;contributors&gt;&lt;authors&gt;&lt;author&gt;Schmidt, L. E.&lt;/author&gt;&lt;/authors&gt;&lt;/contributors&gt;&lt;titles&gt;&lt;title&gt;Paracetamol self-poisoning among adolescents in a department of hepatology&lt;/title&gt;&lt;secondary-title&gt;International Journal of Adolescent Medicine and Health&lt;/secondary-title&gt;&lt;/titles&gt;&lt;pages&gt;327-334&lt;/pages&gt;&lt;volume&gt;13&lt;/volume&gt;&lt;number&gt;4&lt;/number&gt;&lt;dates&gt;&lt;year&gt;2001&lt;/year&gt;&lt;/dates&gt;&lt;urls&gt;&lt;related-urls&gt;&lt;url&gt;http://ovidsp.ovid.com/ovidweb.cgi?T=JS&amp;amp;PAGE=reference&amp;amp;D=emed7&amp;amp;NEWS=N&amp;amp;AN=33133949&lt;/url&gt;&lt;/related-urls&gt;&lt;/urls&gt;&lt;electronic-resource-num&gt;http://dx.doi.org/10.1515/IJAMH.2001.13.4.327&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(Schmidt, 2001)</w:t>
            </w:r>
            <w:r w:rsidRPr="0091560A">
              <w:rPr>
                <w:rFonts w:eastAsia="Times New Roman" w:cs="Times New Roman"/>
                <w:color w:val="000000"/>
                <w:sz w:val="16"/>
                <w:szCs w:val="16"/>
                <w:lang w:eastAsia="en-AU"/>
              </w:rPr>
              <w:fldChar w:fldCharType="end"/>
            </w:r>
          </w:p>
          <w:p w14:paraId="1B053D2A" w14:textId="77777777" w:rsidR="00574EB4" w:rsidRPr="0091560A" w:rsidRDefault="00574EB4">
            <w:pPr>
              <w:spacing w:after="0" w:line="240" w:lineRule="auto"/>
              <w:rPr>
                <w:rFonts w:eastAsia="Times New Roman" w:cs="Times New Roman"/>
                <w:color w:val="000000"/>
                <w:sz w:val="16"/>
                <w:szCs w:val="16"/>
                <w:lang w:eastAsia="en-AU"/>
              </w:rPr>
            </w:pPr>
          </w:p>
          <w:p w14:paraId="3308427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Denmark</w:t>
            </w:r>
          </w:p>
        </w:tc>
        <w:tc>
          <w:tcPr>
            <w:tcW w:w="1232" w:type="dxa"/>
          </w:tcPr>
          <w:p w14:paraId="5EEB5AC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0607367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DC0BAA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The charts of all patients with paracetamol poisoning admitted to Copenhagen University Hospital, Denmark, from 1994 to 2000, were reviewed</w:t>
            </w:r>
          </w:p>
        </w:tc>
        <w:tc>
          <w:tcPr>
            <w:tcW w:w="1279" w:type="dxa"/>
            <w:shd w:val="clear" w:color="auto" w:fill="auto"/>
            <w:noWrap/>
          </w:tcPr>
          <w:p w14:paraId="45C5B9E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110</w:t>
            </w:r>
          </w:p>
        </w:tc>
        <w:tc>
          <w:tcPr>
            <w:tcW w:w="1452" w:type="dxa"/>
            <w:shd w:val="clear" w:color="auto" w:fill="auto"/>
            <w:noWrap/>
          </w:tcPr>
          <w:p w14:paraId="4D7A1BA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Range = 12-19</w:t>
            </w:r>
          </w:p>
        </w:tc>
        <w:tc>
          <w:tcPr>
            <w:tcW w:w="1417" w:type="dxa"/>
            <w:shd w:val="clear" w:color="auto" w:fill="auto"/>
            <w:noWrap/>
          </w:tcPr>
          <w:p w14:paraId="6083A0B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91%</w:t>
            </w:r>
          </w:p>
        </w:tc>
        <w:tc>
          <w:tcPr>
            <w:tcW w:w="4630" w:type="dxa"/>
            <w:shd w:val="clear" w:color="auto" w:fill="auto"/>
          </w:tcPr>
          <w:p w14:paraId="34BA996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themeColor="text1"/>
                <w:sz w:val="16"/>
                <w:szCs w:val="16"/>
                <w:lang w:eastAsia="en-AU"/>
              </w:rPr>
              <w:t>Suicidal intent:</w:t>
            </w:r>
            <w:r w:rsidRPr="0091560A">
              <w:rPr>
                <w:rFonts w:eastAsia="Times New Roman" w:cs="Times New Roman"/>
                <w:color w:val="000000" w:themeColor="text1"/>
                <w:sz w:val="16"/>
                <w:szCs w:val="16"/>
                <w:lang w:eastAsia="en-AU"/>
              </w:rPr>
              <w:t xml:space="preserve"> 49% of intentional self-poisoning cases were classified as having suicidal intent</w:t>
            </w:r>
          </w:p>
          <w:p w14:paraId="759AD77B" w14:textId="77777777" w:rsidR="00574EB4" w:rsidRPr="0091560A" w:rsidRDefault="00574EB4">
            <w:pPr>
              <w:spacing w:after="0" w:line="240" w:lineRule="auto"/>
              <w:rPr>
                <w:rFonts w:eastAsia="Times New Roman" w:cs="Times New Roman"/>
                <w:color w:val="000000"/>
                <w:sz w:val="16"/>
                <w:szCs w:val="16"/>
                <w:lang w:eastAsia="en-AU"/>
              </w:rPr>
            </w:pPr>
          </w:p>
        </w:tc>
      </w:tr>
      <w:tr w:rsidR="00574EB4" w:rsidRPr="0091560A" w14:paraId="0E5A8FC0" w14:textId="77777777" w:rsidTr="0035719A">
        <w:trPr>
          <w:trHeight w:val="688"/>
        </w:trPr>
        <w:tc>
          <w:tcPr>
            <w:tcW w:w="1456" w:type="dxa"/>
            <w:shd w:val="clear" w:color="auto" w:fill="auto"/>
            <w:noWrap/>
          </w:tcPr>
          <w:p w14:paraId="2EEE2A37" w14:textId="393438FB"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 xml:space="preserve">Shah (2002)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&lt;EndNote&gt;&lt;Cite&gt;&lt;Author&gt;Shah&lt;/Author&gt;&lt;Year&gt;2002&lt;/Year&gt;&lt;RecNum&gt;913&lt;/RecNum&gt;&lt;DisplayText&gt;(Shah et al., 2002)&lt;/DisplayText&gt;&lt;record&gt;&lt;rec-number&gt;913&lt;/rec-number&gt;&lt;foreign-keys&gt;&lt;key app="EN" db-id="90p22wx96ddedpe0r9pxtt9gzz05dd5ev299" timestamp="1657000537"&gt;913&lt;/key&gt;&lt;/foreign-keys&gt;&lt;ref-type name="Journal Article"&gt;17&lt;/ref-type&gt;&lt;contributors&gt;&lt;authors&gt;&lt;author&gt;Shah, Rajen&lt;/author&gt;&lt;author&gt;Uren, Zoë&lt;/author&gt;&lt;author&gt;Baker, Allan&lt;/author&gt;&lt;author&gt;Majeed, Azeem&lt;/author&gt;&lt;/authors&gt;&lt;/contributors&gt;&lt;titles&gt;&lt;title&gt;Trends in suicide from drug overdose in the elderly in England and Wales, 1993-1999&lt;/title&gt;&lt;secondary-title&gt;International Journal of Geriatric Psychiatry&lt;/secondary-title&gt;&lt;/titles&gt;&lt;pages&gt;416-421&lt;/pages&gt;&lt;volume&gt;17&lt;/volume&gt;&lt;number&gt;5&lt;/number&gt;&lt;dates&gt;&lt;year&gt;2002&lt;/year&gt;&lt;/dates&gt;&lt;accession-num&gt;104728146. Language: English. Entry Date: 20110610. Revision Date: 20150711. Publication Type: Journal Article. Journal Subset: Biomedical&lt;/accession-num&gt;&lt;urls&gt;&lt;related-urls&gt;&lt;url&gt;https://search.ebscohost.com/login.aspx?direct=true&amp;amp;db=cin20&amp;amp;AN=104728146&amp;amp;site=ehost-live&lt;/url&gt;&lt;/related-urls&gt;&lt;/urls&gt;&lt;electronic-resource-num&gt;10.1002/gps.625&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(Shah et al., 2002)</w:t>
            </w:r>
            <w:r w:rsidRPr="0091560A">
              <w:rPr>
                <w:rFonts w:eastAsia="Times New Roman" w:cs="Times New Roman"/>
                <w:color w:val="000000"/>
                <w:sz w:val="16"/>
                <w:szCs w:val="16"/>
                <w:lang w:eastAsia="en-AU"/>
              </w:rPr>
              <w:fldChar w:fldCharType="end"/>
            </w:r>
          </w:p>
          <w:p w14:paraId="01D64BAA" w14:textId="77777777" w:rsidR="00574EB4" w:rsidRPr="0091560A" w:rsidRDefault="00574EB4">
            <w:pPr>
              <w:spacing w:after="0" w:line="240" w:lineRule="auto"/>
              <w:rPr>
                <w:rFonts w:eastAsia="Times New Roman" w:cs="Times New Roman"/>
                <w:color w:val="000000"/>
                <w:sz w:val="16"/>
                <w:szCs w:val="16"/>
                <w:lang w:eastAsia="en-AU"/>
              </w:rPr>
            </w:pPr>
          </w:p>
          <w:p w14:paraId="1521576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UK</w:t>
            </w:r>
          </w:p>
        </w:tc>
        <w:tc>
          <w:tcPr>
            <w:tcW w:w="1232" w:type="dxa"/>
          </w:tcPr>
          <w:p w14:paraId="3B22EF6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4647ED6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p w14:paraId="506A98B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(other self-poisoning drugs) </w:t>
            </w:r>
          </w:p>
        </w:tc>
        <w:tc>
          <w:tcPr>
            <w:tcW w:w="2409" w:type="dxa"/>
            <w:shd w:val="clear" w:color="auto" w:fill="auto"/>
            <w:noWrap/>
          </w:tcPr>
          <w:p w14:paraId="2470EB8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Suicide and undetermined deaths from drug overdose from 1993 to1999 in people over </w:t>
            </w:r>
            <w:r w:rsidRPr="0091560A" w:rsidDel="0074434E">
              <w:rPr>
                <w:rFonts w:eastAsia="Times New Roman" w:cs="Times New Roman"/>
                <w:color w:val="000000" w:themeColor="text1"/>
                <w:sz w:val="16"/>
                <w:szCs w:val="16"/>
                <w:lang w:eastAsia="en-AU"/>
              </w:rPr>
              <w:t>65</w:t>
            </w:r>
            <w:r w:rsidRPr="0091560A">
              <w:rPr>
                <w:rFonts w:eastAsia="Times New Roman" w:cs="Times New Roman"/>
                <w:color w:val="000000" w:themeColor="text1"/>
                <w:sz w:val="16"/>
                <w:szCs w:val="16"/>
                <w:lang w:eastAsia="en-AU"/>
              </w:rPr>
              <w:t xml:space="preserve"> identified from the Office for National Statistics database of deaths from overdose and poisoning</w:t>
            </w:r>
          </w:p>
        </w:tc>
        <w:tc>
          <w:tcPr>
            <w:tcW w:w="1279" w:type="dxa"/>
            <w:shd w:val="clear" w:color="auto" w:fill="auto"/>
            <w:noWrap/>
          </w:tcPr>
          <w:p w14:paraId="1B08BED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1,864</w:t>
            </w:r>
          </w:p>
        </w:tc>
        <w:tc>
          <w:tcPr>
            <w:tcW w:w="1452" w:type="dxa"/>
            <w:shd w:val="clear" w:color="auto" w:fill="auto"/>
            <w:noWrap/>
          </w:tcPr>
          <w:p w14:paraId="398CF57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Range = 65+ </w:t>
            </w:r>
          </w:p>
        </w:tc>
        <w:tc>
          <w:tcPr>
            <w:tcW w:w="1417" w:type="dxa"/>
            <w:shd w:val="clear" w:color="auto" w:fill="auto"/>
            <w:noWrap/>
          </w:tcPr>
          <w:p w14:paraId="6FB105F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753F59C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Sex:</w:t>
            </w:r>
            <w:r w:rsidRPr="0091560A">
              <w:rPr>
                <w:rFonts w:eastAsia="Times New Roman" w:cs="Times New Roman"/>
                <w:color w:val="000000" w:themeColor="text1"/>
                <w:sz w:val="16"/>
                <w:szCs w:val="16"/>
                <w:lang w:eastAsia="en-AU"/>
              </w:rPr>
              <w:t xml:space="preserve"> 63% paracetamol deaths in females </w:t>
            </w:r>
          </w:p>
          <w:p w14:paraId="1A64213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Suicide rates from paracetamol higher in 75+ years age group compared to 65-74 age group </w:t>
            </w:r>
          </w:p>
        </w:tc>
      </w:tr>
      <w:tr w:rsidR="00574EB4" w:rsidRPr="0091560A" w14:paraId="010C8A76" w14:textId="77777777" w:rsidTr="0035719A">
        <w:trPr>
          <w:trHeight w:val="688"/>
        </w:trPr>
        <w:tc>
          <w:tcPr>
            <w:tcW w:w="1456" w:type="dxa"/>
            <w:shd w:val="clear" w:color="auto" w:fill="auto"/>
            <w:noWrap/>
          </w:tcPr>
          <w:p w14:paraId="434973A5" w14:textId="77A758A3"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Shekunov (2021) </w:t>
            </w:r>
            <w:r w:rsidRPr="0091560A">
              <w:rPr>
                <w:rFonts w:eastAsia="Times New Roman" w:cs="Times New Roman"/>
                <w:color w:val="000000"/>
                <w:sz w:val="16"/>
                <w:szCs w:val="16"/>
                <w:lang w:eastAsia="en-AU"/>
              </w:rPr>
              <w:fldChar w:fldCharType="begin"/>
            </w:r>
            <w:r w:rsidR="006E08D8">
              <w:rPr>
                <w:rFonts w:eastAsia="Times New Roman" w:cs="Times New Roman"/>
                <w:color w:val="000000"/>
                <w:sz w:val="16"/>
                <w:szCs w:val="16"/>
                <w:lang w:eastAsia="en-AU"/>
              </w:rPr>
              <w:instrText xml:space="preserve"> ADDIN EN.CITE &lt;EndNote&gt;&lt;Cite&gt;&lt;Author&gt;Shekunov&lt;/Author&gt;&lt;Year&gt;2021&lt;/Year&gt;&lt;RecNum&gt;914&lt;/RecNum&gt;&lt;DisplayText&gt;(Shekunov et al., 2021)&lt;/DisplayText&gt;&lt;record&gt;&lt;rec-number&gt;914&lt;/rec-number&gt;&lt;foreign-keys&gt;&lt;key app="EN" db-id="90p22wx96ddedpe0r9pxtt9gzz05dd5ev299" timestamp="1657000537"&gt;914&lt;/key&gt;&lt;/foreign-keys&gt;&lt;ref-type name="Journal Article"&gt;17&lt;/ref-type&gt;&lt;contributors&gt;&lt;authors&gt;&lt;author&gt;Shekunov, J.&lt;/author&gt;&lt;author&gt;Lewis, C. P.&lt;/author&gt;&lt;author&gt;Vande Voort, J. L.&lt;/author&gt;&lt;author&gt;Bostwick, J. M.&lt;/author&gt;&lt;author&gt;Romanowicz, M.&lt;/author&gt;&lt;/authors&gt;&lt;/contributors&gt;&lt;titles&gt;&lt;title&gt;Clinical Characteristics, Outcomes, Disposition, and Acute Care of Children and Adolescents Treated for Acetaminophen Toxicity&lt;/title&gt;&lt;secondary-title&gt;Psychiatric services (Washington, D.C.)&lt;/secondary-title&gt;&lt;/titles&gt;&lt;pages&gt;758-765&lt;/pages&gt;&lt;volume&gt;72&lt;/volume&gt;&lt;number&gt;7&lt;/number&gt;&lt;dates&gt;&lt;year&gt;2021&lt;/year&gt;&lt;/dates&gt;&lt;urls&gt;&lt;related-urls&gt;&lt;url&gt;http://ovidsp.ovid.com/ovidweb.cgi?T=JS&amp;amp;PAGE=reference&amp;amp;D=emexa&amp;amp;NEWS=N&amp;amp;AN=634871191&lt;/url&gt;&lt;/related-urls&gt;&lt;/urls&gt;&lt;electronic-resource-num&gt;http://dx.doi.org/10.1176/appi.ps.202000081&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(Shekunov et al., 2021)</w:t>
            </w:r>
            <w:r w:rsidRPr="0091560A">
              <w:rPr>
                <w:rFonts w:eastAsia="Times New Roman" w:cs="Times New Roman"/>
                <w:color w:val="000000"/>
                <w:sz w:val="16"/>
                <w:szCs w:val="16"/>
                <w:lang w:eastAsia="en-AU"/>
              </w:rPr>
              <w:fldChar w:fldCharType="end"/>
            </w:r>
          </w:p>
          <w:p w14:paraId="73E651F0" w14:textId="77777777" w:rsidR="00574EB4" w:rsidRPr="0091560A" w:rsidRDefault="00574EB4">
            <w:pPr>
              <w:spacing w:after="0" w:line="240" w:lineRule="auto"/>
              <w:rPr>
                <w:rFonts w:eastAsia="Times New Roman" w:cs="Times New Roman"/>
                <w:color w:val="000000"/>
                <w:sz w:val="16"/>
                <w:szCs w:val="16"/>
                <w:lang w:eastAsia="en-AU"/>
              </w:rPr>
            </w:pPr>
          </w:p>
          <w:p w14:paraId="65E24B96" w14:textId="772F8389"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357AACC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3E44499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5CC79E7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Data collected using the Rochester Epidemiology Project (REP), an ongoing collaboration of medical facilities in Olmsted County, Minnesota, that collects data from community members. All patients in the REP database aged 0-18 who were evaluated for excessive paracetamol exposure between January 1, 2004</w:t>
            </w:r>
            <w:r w:rsidRPr="0091560A" w:rsidDel="0074434E">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 xml:space="preserve"> and December 31, 2010, were included</w:t>
            </w:r>
          </w:p>
        </w:tc>
        <w:tc>
          <w:tcPr>
            <w:tcW w:w="1279" w:type="dxa"/>
            <w:shd w:val="clear" w:color="auto" w:fill="auto"/>
            <w:noWrap/>
          </w:tcPr>
          <w:p w14:paraId="71160933"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110</w:t>
            </w:r>
          </w:p>
        </w:tc>
        <w:tc>
          <w:tcPr>
            <w:tcW w:w="1452" w:type="dxa"/>
            <w:shd w:val="clear" w:color="auto" w:fill="auto"/>
            <w:noWrap/>
          </w:tcPr>
          <w:p w14:paraId="756BD38C"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Total: M = 14.65; SD = 4.02</w:t>
            </w:r>
          </w:p>
          <w:p w14:paraId="449FA2F6"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Intentional cases: M = 15.58; SD = 2.14 </w:t>
            </w:r>
          </w:p>
          <w:p w14:paraId="3B3B900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Unintentional cases: M = 7.77; SD = 7.22</w:t>
            </w:r>
          </w:p>
        </w:tc>
        <w:tc>
          <w:tcPr>
            <w:tcW w:w="1417" w:type="dxa"/>
            <w:shd w:val="clear" w:color="auto" w:fill="auto"/>
            <w:noWrap/>
          </w:tcPr>
          <w:p w14:paraId="771071F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88%</w:t>
            </w:r>
          </w:p>
        </w:tc>
        <w:tc>
          <w:tcPr>
            <w:tcW w:w="4630" w:type="dxa"/>
            <w:shd w:val="clear" w:color="auto" w:fill="auto"/>
          </w:tcPr>
          <w:p w14:paraId="4CF2123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82%</w:t>
            </w:r>
            <w:r w:rsidRPr="0091560A">
              <w:rPr>
                <w:rFonts w:cs="Times New Roman"/>
              </w:rPr>
              <w:t xml:space="preserve"> </w:t>
            </w:r>
            <w:r w:rsidRPr="0091560A">
              <w:rPr>
                <w:rFonts w:eastAsia="Times New Roman" w:cs="Times New Roman"/>
                <w:color w:val="000000"/>
                <w:sz w:val="16"/>
                <w:szCs w:val="16"/>
                <w:lang w:eastAsia="en-AU"/>
              </w:rPr>
              <w:t>intentional cases were female</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Dosage:</w:t>
            </w:r>
            <w:r w:rsidRPr="0091560A">
              <w:rPr>
                <w:rFonts w:eastAsia="Times New Roman" w:cs="Times New Roman"/>
                <w:color w:val="000000"/>
                <w:sz w:val="16"/>
                <w:szCs w:val="16"/>
                <w:lang w:eastAsia="en-AU"/>
              </w:rPr>
              <w:t xml:space="preserve"> Mean number of tablets ingested = 40.72, SD = 64.65.</w:t>
            </w:r>
          </w:p>
          <w:p w14:paraId="7DB27676"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Co-ingestion substances:</w:t>
            </w:r>
            <w:r w:rsidRPr="0091560A">
              <w:rPr>
                <w:rFonts w:eastAsia="Times New Roman" w:cs="Times New Roman"/>
                <w:color w:val="000000"/>
                <w:sz w:val="16"/>
                <w:szCs w:val="16"/>
                <w:lang w:eastAsia="en-AU"/>
              </w:rPr>
              <w:t xml:space="preserve">  Mean number medications ingested = 1.51, SD = 1.54</w:t>
            </w:r>
          </w:p>
          <w:p w14:paraId="427797EF"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23% prior suicide attempt (Mean prior attempts = 1.09, SD = 2.25)</w:t>
            </w:r>
            <w:r w:rsidRPr="0091560A">
              <w:rPr>
                <w:rFonts w:cs="Times New Roman"/>
              </w:rPr>
              <w:br/>
            </w:r>
            <w:r w:rsidRPr="0091560A">
              <w:rPr>
                <w:rFonts w:eastAsia="Times New Roman" w:cs="Times New Roman"/>
                <w:b/>
                <w:bCs/>
                <w:color w:val="000000" w:themeColor="text1"/>
                <w:sz w:val="16"/>
                <w:szCs w:val="16"/>
                <w:lang w:eastAsia="en-AU"/>
              </w:rPr>
              <w:t>Psychiatric history</w:t>
            </w:r>
            <w:r w:rsidRPr="0091560A">
              <w:rPr>
                <w:rFonts w:eastAsia="Times New Roman" w:cs="Times New Roman"/>
                <w:color w:val="000000" w:themeColor="text1"/>
                <w:sz w:val="16"/>
                <w:szCs w:val="16"/>
                <w:lang w:eastAsia="en-AU"/>
              </w:rPr>
              <w:t>: 6% no psychiatric/alcohol-related diagnoses, 49% one diagnosis, 44% multiple diagnoses, 24% dual diagnosis (psychiatric and substance-related). 62% major depressive disorder, 12% anxiety, 27% adjustment disorder, 18% cannabis abuse, 17% alcohol abuse, 14% alcohol dependence, 11% other substance dependent, 8% borderline personality disorder, 10% relational problem, 4% stimulant abuse, 4% opioid analgesic use, 3% dysthymic disorder, 2% bipolar disorder, 1% pain disorder, 1% eating disorder, 1% benzodiazepine abuse</w:t>
            </w:r>
          </w:p>
        </w:tc>
      </w:tr>
      <w:tr w:rsidR="00574EB4" w:rsidRPr="0091560A" w14:paraId="37A9D9C3" w14:textId="77777777" w:rsidTr="0035719A">
        <w:trPr>
          <w:trHeight w:val="688"/>
        </w:trPr>
        <w:tc>
          <w:tcPr>
            <w:tcW w:w="1456" w:type="dxa"/>
            <w:shd w:val="clear" w:color="auto" w:fill="auto"/>
            <w:noWrap/>
          </w:tcPr>
          <w:p w14:paraId="59289427" w14:textId="39874FBF"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Simkin (2012)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(Simkin et al., 2012)</w:t>
            </w:r>
            <w:r w:rsidRPr="0091560A">
              <w:rPr>
                <w:rFonts w:eastAsia="Times New Roman" w:cs="Times New Roman"/>
                <w:color w:val="000000"/>
                <w:sz w:val="16"/>
                <w:szCs w:val="16"/>
                <w:lang w:eastAsia="en-AU"/>
              </w:rPr>
              <w:fldChar w:fldCharType="end"/>
            </w:r>
          </w:p>
          <w:p w14:paraId="04C87A5C" w14:textId="77777777" w:rsidR="00574EB4" w:rsidRPr="0091560A" w:rsidRDefault="00574EB4">
            <w:pPr>
              <w:spacing w:after="0" w:line="240" w:lineRule="auto"/>
              <w:rPr>
                <w:rFonts w:eastAsia="Times New Roman" w:cs="Times New Roman"/>
                <w:color w:val="000000"/>
                <w:sz w:val="16"/>
                <w:szCs w:val="16"/>
                <w:lang w:eastAsia="en-AU"/>
              </w:rPr>
            </w:pPr>
          </w:p>
          <w:p w14:paraId="1A0AC05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England, UK</w:t>
            </w:r>
          </w:p>
        </w:tc>
        <w:tc>
          <w:tcPr>
            <w:tcW w:w="1232" w:type="dxa"/>
          </w:tcPr>
          <w:p w14:paraId="2982785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Qualitative </w:t>
            </w:r>
          </w:p>
        </w:tc>
        <w:tc>
          <w:tcPr>
            <w:tcW w:w="1429" w:type="dxa"/>
            <w:shd w:val="clear" w:color="auto" w:fill="auto"/>
            <w:noWrap/>
          </w:tcPr>
          <w:p w14:paraId="0D4E8EA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19C42EC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General hospital patients at John Radcliffe Hospital, Oxford that had taken an overdose of more than 16 pure paracetamol tablets, were aged at least 16 years and had received a psychosocial assessment by a member of the clinical self-harm team in the Department of Psychological Medicine at the hospital</w:t>
            </w:r>
          </w:p>
        </w:tc>
        <w:tc>
          <w:tcPr>
            <w:tcW w:w="1279" w:type="dxa"/>
            <w:shd w:val="clear" w:color="auto" w:fill="auto"/>
            <w:noWrap/>
          </w:tcPr>
          <w:p w14:paraId="16428CE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60</w:t>
            </w:r>
          </w:p>
        </w:tc>
        <w:tc>
          <w:tcPr>
            <w:tcW w:w="1452" w:type="dxa"/>
            <w:shd w:val="clear" w:color="auto" w:fill="auto"/>
            <w:noWrap/>
          </w:tcPr>
          <w:p w14:paraId="1223B417"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Females: M = 29.9; SD = 13.2; range = 16-65</w:t>
            </w:r>
          </w:p>
          <w:p w14:paraId="7EC07EB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Males: M = 33.3; SD = 14.9; range = 19-65 </w:t>
            </w:r>
          </w:p>
        </w:tc>
        <w:tc>
          <w:tcPr>
            <w:tcW w:w="1417" w:type="dxa"/>
            <w:shd w:val="clear" w:color="auto" w:fill="auto"/>
            <w:noWrap/>
          </w:tcPr>
          <w:p w14:paraId="39CB153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3EF8CE7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Self-harm history:</w:t>
            </w:r>
            <w:r w:rsidRPr="0091560A">
              <w:rPr>
                <w:rFonts w:eastAsia="Times New Roman" w:cs="Times New Roman"/>
                <w:color w:val="000000"/>
                <w:sz w:val="16"/>
                <w:szCs w:val="16"/>
                <w:lang w:eastAsia="en-AU"/>
              </w:rPr>
              <w:t xml:space="preserve"> 40% first overdose. 53.3% previously self-poisoned with paracetamol</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Suicidal intent:</w:t>
            </w:r>
            <w:r w:rsidRPr="0091560A">
              <w:rPr>
                <w:rFonts w:eastAsia="Times New Roman" w:cs="Times New Roman"/>
                <w:color w:val="000000"/>
                <w:sz w:val="16"/>
                <w:szCs w:val="16"/>
                <w:lang w:eastAsia="en-AU"/>
              </w:rPr>
              <w:t xml:space="preserve"> 56% score high or very high on the SIS</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Psychiatric history:</w:t>
            </w:r>
            <w:r w:rsidRPr="0091560A">
              <w:rPr>
                <w:rFonts w:eastAsia="Times New Roman" w:cs="Times New Roman"/>
                <w:color w:val="000000"/>
                <w:sz w:val="16"/>
                <w:szCs w:val="16"/>
                <w:lang w:eastAsia="en-AU"/>
              </w:rPr>
              <w:t xml:space="preserve"> 72.9% reached case status for anxiety and 62.7% for depression</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Alcohol use:</w:t>
            </w:r>
            <w:r w:rsidRPr="0091560A">
              <w:rPr>
                <w:rFonts w:eastAsia="Times New Roman" w:cs="Times New Roman"/>
                <w:color w:val="000000"/>
                <w:sz w:val="16"/>
                <w:szCs w:val="16"/>
                <w:lang w:eastAsia="en-AU"/>
              </w:rPr>
              <w:t xml:space="preserve"> 38.3% consumed alcohol at the time of the self-poisoning episode</w:t>
            </w:r>
          </w:p>
          <w:p w14:paraId="6A14B67D"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 xml:space="preserve">Co-ingestion substances: </w:t>
            </w:r>
            <w:r w:rsidRPr="0091560A">
              <w:rPr>
                <w:rFonts w:eastAsia="Times New Roman" w:cs="Times New Roman"/>
                <w:color w:val="000000" w:themeColor="text1"/>
                <w:sz w:val="16"/>
                <w:szCs w:val="16"/>
                <w:lang w:eastAsia="en-AU"/>
              </w:rPr>
              <w:t xml:space="preserve">28.3% took one or more other drugs in their </w:t>
            </w:r>
            <w:r w:rsidRPr="0091560A">
              <w:rPr>
                <w:rFonts w:eastAsia="Times New Roman" w:cs="Times New Roman"/>
                <w:color w:val="000000"/>
                <w:sz w:val="16"/>
                <w:szCs w:val="16"/>
                <w:lang w:eastAsia="en-AU"/>
              </w:rPr>
              <w:t>self-poisoning episode</w:t>
            </w:r>
            <w:r w:rsidRPr="0091560A">
              <w:rPr>
                <w:rFonts w:cs="Times New Roman"/>
              </w:rPr>
              <w:br/>
            </w:r>
            <w:r w:rsidRPr="0091560A">
              <w:rPr>
                <w:rFonts w:eastAsia="Times New Roman" w:cs="Times New Roman"/>
                <w:b/>
                <w:color w:val="000000" w:themeColor="text1"/>
                <w:sz w:val="16"/>
                <w:szCs w:val="16"/>
                <w:lang w:eastAsia="en-AU"/>
              </w:rPr>
              <w:t>Dosage:</w:t>
            </w:r>
            <w:r w:rsidRPr="0091560A">
              <w:rPr>
                <w:rFonts w:eastAsia="Times New Roman" w:cs="Times New Roman"/>
                <w:color w:val="000000" w:themeColor="text1"/>
                <w:sz w:val="16"/>
                <w:szCs w:val="16"/>
                <w:lang w:eastAsia="en-AU"/>
              </w:rPr>
              <w:t xml:space="preserve"> 45% took up to 32 tablets (&gt;1-2 packs), 33.3% 33-48 tablets (&gt;2-3 packs), 21.7% over 48 tablets (&gt;3 packs); range = 18-224. 58.3% took all tablets that were available</w:t>
            </w:r>
          </w:p>
        </w:tc>
      </w:tr>
      <w:tr w:rsidR="00574EB4" w:rsidRPr="0091560A" w14:paraId="521951D6" w14:textId="77777777" w:rsidTr="0035719A">
        <w:trPr>
          <w:trHeight w:val="688"/>
        </w:trPr>
        <w:tc>
          <w:tcPr>
            <w:tcW w:w="1456" w:type="dxa"/>
            <w:shd w:val="clear" w:color="auto" w:fill="auto"/>
            <w:noWrap/>
          </w:tcPr>
          <w:p w14:paraId="0A13ED74" w14:textId="10545F60"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Smith (1995) </w:t>
            </w:r>
            <w:r w:rsidRPr="0091560A">
              <w:rPr>
                <w:rFonts w:eastAsia="Times New Roman" w:cs="Times New Roman"/>
                <w:color w:val="000000" w:themeColor="text1"/>
                <w:sz w:val="16"/>
                <w:szCs w:val="16"/>
                <w:lang w:eastAsia="en-AU"/>
              </w:rPr>
              <w:fldChar w:fldCharType="begin"/>
            </w:r>
            <w:r w:rsidR="006E5557">
              <w:rPr>
                <w:rFonts w:eastAsia="Times New Roman" w:cs="Times New Roman"/>
                <w:color w:val="000000" w:themeColor="text1"/>
                <w:sz w:val="16"/>
                <w:szCs w:val="16"/>
                <w:lang w:eastAsia="en-AU"/>
              </w:rPr>
              <w:instrText xml:space="preserve"> ADDIN EN.CITE &lt;EndNote&gt;&lt;Cite&gt;&lt;Author&gt;Smith&lt;/Author&gt;&lt;Year&gt;1995&lt;/Year&gt;&lt;RecNum&gt;926&lt;/RecNum&gt;&lt;DisplayText&gt;(Smith, 1995)&lt;/DisplayText&gt;&lt;record&gt;&lt;rec-number&gt;926&lt;/rec-number&gt;&lt;foreign-keys&gt;&lt;key app="EN" db-id="90p22wx96ddedpe0r9pxtt9gzz05dd5ev299" timestamp="1657082822"&gt;926&lt;/key&gt;&lt;/foreign-keys&gt;&lt;ref-type name="Journal Article"&gt;17&lt;/ref-type&gt;&lt;contributors&gt;&lt;authors&gt;&lt;author&gt;Smith, T.&lt;/author&gt;&lt;/authors&gt;&lt;/contributors&gt;&lt;titles&gt;&lt;title&gt;Differences between general practices in hospital admission rates for self-inflicted injury and self-poisoning: influence of socioeconomic factors&lt;/title&gt;&lt;secondary-title&gt;British journal of general practice&lt;/secondary-title&gt;&lt;/titles&gt;&lt;periodical&gt;&lt;full-title&gt;British Journal of General Practice&lt;/full-title&gt;&lt;/periodical&gt;&lt;pages&gt;458-462&lt;/pages&gt;&lt;volume&gt;45&lt;/volume&gt;&lt;number&gt;398&lt;/number&gt;&lt;keywords&gt;&lt;keyword&gt;Adolescent&lt;/keyword&gt;&lt;keyword&gt;Adult&lt;/keyword&gt;&lt;keyword&gt;Age Factors&lt;/keyword&gt;&lt;keyword&gt;Aged&lt;/keyword&gt;&lt;keyword&gt;Child&lt;/keyword&gt;&lt;keyword&gt;Child, Preschool&lt;/keyword&gt;&lt;keyword&gt;Family Practice - statistics &amp;amp; numerical data&lt;/keyword&gt;&lt;keyword&gt;Female&lt;/keyword&gt;&lt;keyword&gt;Hospitalization - statistics &amp;amp; numerical data&lt;/keyword&gt;&lt;keyword&gt;Humans&lt;/keyword&gt;&lt;keyword&gt;Male&lt;/keyword&gt;&lt;keyword&gt;Middle Aged&lt;/keyword&gt;&lt;keyword&gt;Poisoning - therapy&lt;/keyword&gt;&lt;keyword&gt;Practice Patterns, Physicians&amp;apos; - statistics &amp;amp; numerical data&lt;/keyword&gt;&lt;keyword&gt;Referral and Consultation&lt;/keyword&gt;&lt;keyword&gt;Scotland&lt;/keyword&gt;&lt;keyword&gt;Self Mutilation - therapy&lt;/keyword&gt;&lt;keyword&gt;Sex Factors&lt;/keyword&gt;&lt;keyword&gt;Socioeconomic Factors&lt;/keyword&gt;&lt;/keywords&gt;&lt;dates&gt;&lt;year&gt;1995&lt;/year&gt;&lt;/dates&gt;&lt;pub-location&gt;England&lt;/pub-location&gt;&lt;isbn&gt;0960-1643&lt;/isbn&gt;&lt;urls&gt;&lt;related-urls&gt;&lt;url&gt;https://go.exlibris.link/Nd72G0GN&lt;/url&gt;&lt;/related-urls&gt;&lt;/urls&gt;&lt;language&gt;English&lt;/languag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(Smith, 1995)</w:t>
            </w:r>
            <w:r w:rsidRPr="0091560A">
              <w:rPr>
                <w:rFonts w:eastAsia="Times New Roman" w:cs="Times New Roman"/>
                <w:color w:val="000000" w:themeColor="text1"/>
                <w:sz w:val="16"/>
                <w:szCs w:val="16"/>
                <w:lang w:eastAsia="en-AU"/>
              </w:rPr>
              <w:fldChar w:fldCharType="end"/>
            </w:r>
          </w:p>
          <w:p w14:paraId="398925E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Scotland, UK</w:t>
            </w:r>
          </w:p>
        </w:tc>
        <w:tc>
          <w:tcPr>
            <w:tcW w:w="1232" w:type="dxa"/>
          </w:tcPr>
          <w:p w14:paraId="5D80C41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p w14:paraId="2FEED19D"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1429" w:type="dxa"/>
            <w:shd w:val="clear" w:color="auto" w:fill="auto"/>
            <w:noWrap/>
          </w:tcPr>
          <w:p w14:paraId="77EC3D2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 (other self-poisoning drugs)</w:t>
            </w:r>
          </w:p>
        </w:tc>
        <w:tc>
          <w:tcPr>
            <w:tcW w:w="2409" w:type="dxa"/>
            <w:shd w:val="clear" w:color="auto" w:fill="auto"/>
            <w:noWrap/>
          </w:tcPr>
          <w:p w14:paraId="3CF358E3"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 xml:space="preserve">Patients admitted to Tayside hospitals for self-inflicted injury or poisoning, from 1991 to 1993 </w:t>
            </w:r>
          </w:p>
        </w:tc>
        <w:tc>
          <w:tcPr>
            <w:tcW w:w="1279" w:type="dxa"/>
            <w:shd w:val="clear" w:color="auto" w:fill="auto"/>
            <w:noWrap/>
          </w:tcPr>
          <w:p w14:paraId="5EA5D434"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3,264 </w:t>
            </w:r>
          </w:p>
        </w:tc>
        <w:tc>
          <w:tcPr>
            <w:tcW w:w="1452" w:type="dxa"/>
            <w:shd w:val="clear" w:color="auto" w:fill="auto"/>
            <w:noWrap/>
          </w:tcPr>
          <w:p w14:paraId="1ACAC3A2"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All ages</w:t>
            </w:r>
          </w:p>
        </w:tc>
        <w:tc>
          <w:tcPr>
            <w:tcW w:w="1417" w:type="dxa"/>
            <w:shd w:val="clear" w:color="auto" w:fill="auto"/>
            <w:noWrap/>
          </w:tcPr>
          <w:p w14:paraId="6FBFD12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2CC8957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Age: </w:t>
            </w:r>
            <w:r w:rsidRPr="0091560A">
              <w:rPr>
                <w:rFonts w:eastAsia="Times New Roman" w:cs="Times New Roman"/>
                <w:color w:val="000000" w:themeColor="text1"/>
                <w:sz w:val="16"/>
                <w:szCs w:val="16"/>
                <w:lang w:eastAsia="en-AU"/>
              </w:rPr>
              <w:t xml:space="preserve">Self-poisoning with paracetamol became less common with age (a third of admissions in patients under 30 years vs. 16% in patients aged 45 years+ </w:t>
            </w:r>
          </w:p>
          <w:p w14:paraId="261A180C" w14:textId="77777777" w:rsidR="00574EB4" w:rsidRPr="0091560A" w:rsidRDefault="00574EB4">
            <w:pPr>
              <w:spacing w:line="240" w:lineRule="auto"/>
              <w:rPr>
                <w:rFonts w:eastAsia="Times New Roman" w:cs="Times New Roman"/>
                <w:b/>
                <w:bCs/>
                <w:color w:val="000000" w:themeColor="text1"/>
                <w:sz w:val="16"/>
                <w:szCs w:val="16"/>
                <w:lang w:eastAsia="en-AU"/>
              </w:rPr>
            </w:pPr>
          </w:p>
        </w:tc>
      </w:tr>
      <w:tr w:rsidR="00574EB4" w:rsidRPr="0091560A" w14:paraId="1FE76060" w14:textId="77777777" w:rsidTr="0035719A">
        <w:trPr>
          <w:trHeight w:val="688"/>
        </w:trPr>
        <w:tc>
          <w:tcPr>
            <w:tcW w:w="1456" w:type="dxa"/>
            <w:shd w:val="clear" w:color="auto" w:fill="auto"/>
            <w:noWrap/>
          </w:tcPr>
          <w:p w14:paraId="3065518A" w14:textId="6AD3DDA3"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Taylor (1998)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&lt;EndNote&gt;&lt;Cite&gt;&lt;Author&gt;Taylor&lt;/Author&gt;&lt;Year&gt;1998&lt;/Year&gt;&lt;RecNum&gt;927&lt;/RecNum&gt;&lt;DisplayText&gt;(D. M. Taylor et al., 1998)&lt;/DisplayText&gt;&lt;record&gt;&lt;rec-number&gt;927&lt;/rec-number&gt;&lt;foreign-keys&gt;&lt;key app="EN" db-id="90p22wx96ddedpe0r9pxtt9gzz05dd5ev299" timestamp="1657082872"&gt;927&lt;/key&gt;&lt;/foreign-keys&gt;&lt;ref-type name="Journal Article"&gt;17&lt;/ref-type&gt;&lt;contributors&gt;&lt;authors&gt;&lt;author&gt;Taylor, D. M.&lt;/author&gt;&lt;author&gt;Cameron, P. A.&lt;/author&gt;&lt;author&gt;Eddey, D.&lt;/author&gt;&lt;/authors&gt;&lt;/contributors&gt;&lt;titles&gt;&lt;title&gt;Recurrent overdose: patient characteristics, habits, and outcomes&lt;/title&gt;&lt;secondary-title&gt;Emergency medicine journal : EMJ&lt;/secondary-title&gt;&lt;/titles&gt;&lt;pages&gt;257-261&lt;/pages&gt;&lt;volume&gt;15&lt;/volume&gt;&lt;number&gt;4&lt;/number&gt;&lt;keywords&gt;&lt;keyword&gt;Adolescent&lt;/keyword&gt;&lt;keyword&gt;Adult&lt;/keyword&gt;&lt;keyword&gt;Aged&lt;/keyword&gt;&lt;keyword&gt;Australia - epidemiology&lt;/keyword&gt;&lt;keyword&gt;Confidence Intervals&lt;/keyword&gt;&lt;keyword&gt;Drug Overdose - epidemiology&lt;/keyword&gt;&lt;keyword&gt;Emergency Service, Hospital&lt;/keyword&gt;&lt;keyword&gt;Female&lt;/keyword&gt;&lt;keyword&gt;Hospitals, Community&lt;/keyword&gt;&lt;keyword&gt;Hospitals, Teaching&lt;/keyword&gt;&lt;keyword&gt;Humans&lt;/keyword&gt;&lt;keyword&gt;Male&lt;/keyword&gt;&lt;keyword&gt;Middle Aged&lt;/keyword&gt;&lt;keyword&gt;Odds Ratio&lt;/keyword&gt;&lt;keyword&gt;Patient Admission - statistics &amp;amp; numerical data&lt;/keyword&gt;&lt;keyword&gt;Recurrence&lt;/keyword&gt;&lt;keyword&gt;Suicide, Attempted - statistics &amp;amp; numerical data&lt;/keyword&gt;&lt;/keywords&gt;&lt;dates&gt;&lt;year&gt;1998&lt;/year&gt;&lt;/dates&gt;&lt;pub-location&gt;England&lt;/pub-location&gt;&lt;publisher&gt;BMJ Publishing Group Ltd and the British Association for Accident &amp;amp; Emergency Medicine&lt;/publisher&gt;&lt;isbn&gt;1351-0622;1472-0205;&lt;/isbn&gt;&lt;urls&gt;&lt;related-urls&gt;&lt;url&gt;https://go.exlibris.link/nsB6NlMZ&lt;/url&gt;&lt;/related-urls&gt;&lt;/urls&gt;&lt;electronic-resource-num&gt;10.1136/emj.15.4.257&lt;/electronic-resource-num&gt;&lt;language&gt;English&lt;/languag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(D. M. Taylor et al., 1998)</w:t>
            </w:r>
            <w:r w:rsidRPr="0091560A">
              <w:rPr>
                <w:rFonts w:eastAsia="Times New Roman" w:cs="Times New Roman"/>
                <w:color w:val="000000" w:themeColor="text1"/>
                <w:sz w:val="16"/>
                <w:szCs w:val="16"/>
                <w:lang w:eastAsia="en-AU"/>
              </w:rPr>
              <w:fldChar w:fldCharType="end"/>
            </w:r>
          </w:p>
          <w:p w14:paraId="39F5E9F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Australia</w:t>
            </w:r>
          </w:p>
        </w:tc>
        <w:tc>
          <w:tcPr>
            <w:tcW w:w="1232" w:type="dxa"/>
          </w:tcPr>
          <w:p w14:paraId="2A1D3924"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tc>
        <w:tc>
          <w:tcPr>
            <w:tcW w:w="1429" w:type="dxa"/>
            <w:shd w:val="clear" w:color="auto" w:fill="auto"/>
            <w:noWrap/>
          </w:tcPr>
          <w:p w14:paraId="3E25EB7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 (other self-poisoning drugs &amp; other self-inflicted injury)</w:t>
            </w:r>
          </w:p>
        </w:tc>
        <w:tc>
          <w:tcPr>
            <w:tcW w:w="2409" w:type="dxa"/>
            <w:shd w:val="clear" w:color="auto" w:fill="auto"/>
            <w:noWrap/>
          </w:tcPr>
          <w:p w14:paraId="4FC67EA8"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Patients presenting to Geelong Hospital ED from January 1, 1993, to December 31, 1994, where the attending doctor diagnosed overdose or other self-inflicted injury</w:t>
            </w:r>
          </w:p>
        </w:tc>
        <w:tc>
          <w:tcPr>
            <w:tcW w:w="1279" w:type="dxa"/>
            <w:shd w:val="clear" w:color="auto" w:fill="auto"/>
            <w:noWrap/>
          </w:tcPr>
          <w:p w14:paraId="0CF5D1BE"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441 patient presentations (335 single presenters, 46 repeaters)</w:t>
            </w:r>
          </w:p>
        </w:tc>
        <w:tc>
          <w:tcPr>
            <w:tcW w:w="1452" w:type="dxa"/>
            <w:shd w:val="clear" w:color="auto" w:fill="auto"/>
            <w:noWrap/>
          </w:tcPr>
          <w:p w14:paraId="4D7C3047"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All ages</w:t>
            </w:r>
          </w:p>
        </w:tc>
        <w:tc>
          <w:tcPr>
            <w:tcW w:w="1417" w:type="dxa"/>
            <w:shd w:val="clear" w:color="auto" w:fill="auto"/>
            <w:noWrap/>
          </w:tcPr>
          <w:p w14:paraId="3054EDD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4535D12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Repeaters had a greater proportion of paracetamol self-poisonings and self-poisonings where paracetamol was the sole drug</w:t>
            </w:r>
          </w:p>
          <w:p w14:paraId="3CA4F8BE" w14:textId="77777777" w:rsidR="00574EB4" w:rsidRPr="0091560A" w:rsidRDefault="00574EB4">
            <w:pPr>
              <w:spacing w:line="240" w:lineRule="auto"/>
              <w:rPr>
                <w:rFonts w:eastAsia="Times New Roman" w:cs="Times New Roman"/>
                <w:b/>
                <w:bCs/>
                <w:color w:val="000000" w:themeColor="text1"/>
                <w:sz w:val="16"/>
                <w:szCs w:val="16"/>
                <w:lang w:eastAsia="en-AU"/>
              </w:rPr>
            </w:pPr>
          </w:p>
        </w:tc>
      </w:tr>
      <w:tr w:rsidR="00574EB4" w:rsidRPr="0091560A" w14:paraId="3D21FB45" w14:textId="77777777" w:rsidTr="0035719A">
        <w:trPr>
          <w:trHeight w:val="688"/>
        </w:trPr>
        <w:tc>
          <w:tcPr>
            <w:tcW w:w="1456" w:type="dxa"/>
            <w:shd w:val="clear" w:color="auto" w:fill="auto"/>
            <w:noWrap/>
          </w:tcPr>
          <w:p w14:paraId="0A690411" w14:textId="75261CE6"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Taylor (2012) </w:t>
            </w:r>
            <w:r w:rsidRPr="0091560A">
              <w:rPr>
                <w:rFonts w:eastAsia="Times New Roman" w:cs="Times New Roman"/>
                <w:color w:val="000000"/>
                <w:sz w:val="16"/>
                <w:szCs w:val="16"/>
                <w:lang w:eastAsia="en-AU"/>
              </w:rPr>
              <w:fldChar w:fldCharType="begin"/>
            </w:r>
            <w:r w:rsidR="006E5557">
              <w:rPr>
                <w:rFonts w:eastAsia="Times New Roman" w:cs="Times New Roman"/>
                <w:color w:val="000000"/>
                <w:sz w:val="16"/>
                <w:szCs w:val="16"/>
                <w:lang w:eastAsia="en-AU"/>
              </w:rPr>
              <w:instrText xml:space="preserve"> ADDIN EN.CITE &lt;EndNote&gt;&lt;Cite&gt;&lt;Author&gt;Taylor&lt;/Author&gt;&lt;Year&gt;2012&lt;/Year&gt;&lt;RecNum&gt;917&lt;/RecNum&gt;&lt;DisplayText&gt;(L. G. Taylor et al., 2012)&lt;/DisplayText&gt;&lt;record&gt;&lt;rec-number&gt;917&lt;/rec-number&gt;&lt;foreign-keys&gt;&lt;key app="EN" db-id="90p22wx96ddedpe0r9pxtt9gzz05dd5ev299" timestamp="1657000537"&gt;917&lt;/key&gt;&lt;/foreign-keys&gt;&lt;ref-type name="Journal Article"&gt;17&lt;/ref-type&gt;&lt;contributors&gt;&lt;authors&gt;&lt;author&gt;Taylor, L. G.&lt;/author&gt;&lt;author&gt;Xie, S.&lt;/author&gt;&lt;author&gt;Meyer, T. E.&lt;/author&gt;&lt;author&gt;Coster, T. S.&lt;/author&gt;&lt;/authors&gt;&lt;/contributors&gt;&lt;titles&gt;&lt;title&gt;Acetaminophen overdose in the Military Health System&lt;/title&gt;&lt;secondary-title&gt;Pharmacoepidemiology and Drug Safety&lt;/secondary-title&gt;&lt;/titles&gt;&lt;periodical&gt;&lt;full-title&gt;Pharmacoepidemiology and Drug Safety&lt;/full-title&gt;&lt;/periodical&gt;&lt;pages&gt;375-383&lt;/pages&gt;&lt;volume&gt;21&lt;/volume&gt;&lt;number&gt;4&lt;/number&gt;&lt;dates&gt;&lt;year&gt;2012&lt;/year&gt;&lt;/dates&gt;&lt;urls&gt;&lt;related-urls&gt;&lt;url&gt;http://onlinelibrary.wiley.com/journal/10.1002/(ISSN)1099-1557http://ovidsp.ovid.com/ovidweb.cgi?T=JS&amp;amp;PAGE=reference&amp;amp;D=emed13&amp;amp;NEWS=N&amp;amp;AN=51884461&lt;/url&gt;&lt;/related-urls&gt;&lt;/urls&gt;&lt;electronic-resource-num&gt;http://dx.doi.org/10.1002/pds.3206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(L. G. Taylor et al., 2012)</w:t>
            </w:r>
            <w:r w:rsidRPr="0091560A">
              <w:rPr>
                <w:rFonts w:eastAsia="Times New Roman" w:cs="Times New Roman"/>
                <w:color w:val="000000"/>
                <w:sz w:val="16"/>
                <w:szCs w:val="16"/>
                <w:lang w:eastAsia="en-AU"/>
              </w:rPr>
              <w:fldChar w:fldCharType="end"/>
            </w:r>
          </w:p>
          <w:p w14:paraId="79CDB4B3" w14:textId="77777777" w:rsidR="00574EB4" w:rsidRPr="0091560A" w:rsidRDefault="00574EB4">
            <w:pPr>
              <w:spacing w:after="0" w:line="240" w:lineRule="auto"/>
              <w:rPr>
                <w:rFonts w:eastAsia="Times New Roman" w:cs="Times New Roman"/>
                <w:color w:val="000000"/>
                <w:sz w:val="16"/>
                <w:szCs w:val="16"/>
                <w:lang w:eastAsia="en-AU"/>
              </w:rPr>
            </w:pPr>
          </w:p>
          <w:p w14:paraId="639A1D87" w14:textId="74D61EAB"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2A6BB07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005D98B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Paracetamol</w:t>
            </w:r>
          </w:p>
        </w:tc>
        <w:tc>
          <w:tcPr>
            <w:tcW w:w="2409" w:type="dxa"/>
            <w:shd w:val="clear" w:color="auto" w:fill="auto"/>
            <w:noWrap/>
          </w:tcPr>
          <w:p w14:paraId="21B7F235"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Cases of paracetamol overdoses identified from the Military Health System Database from</w:t>
            </w:r>
            <w:r w:rsidRPr="0091560A" w:rsidDel="0074434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October 1, 2003,</w:t>
            </w:r>
            <w:r w:rsidRPr="0091560A" w:rsidDel="0074434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September 30, 2008</w:t>
            </w:r>
          </w:p>
        </w:tc>
        <w:tc>
          <w:tcPr>
            <w:tcW w:w="1279" w:type="dxa"/>
            <w:shd w:val="clear" w:color="auto" w:fill="auto"/>
            <w:noWrap/>
          </w:tcPr>
          <w:p w14:paraId="28D3934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1,239</w:t>
            </w:r>
          </w:p>
        </w:tc>
        <w:tc>
          <w:tcPr>
            <w:tcW w:w="1452" w:type="dxa"/>
            <w:shd w:val="clear" w:color="auto" w:fill="auto"/>
            <w:noWrap/>
          </w:tcPr>
          <w:p w14:paraId="57C6D41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ages</w:t>
            </w:r>
          </w:p>
        </w:tc>
        <w:tc>
          <w:tcPr>
            <w:tcW w:w="1417" w:type="dxa"/>
            <w:shd w:val="clear" w:color="auto" w:fill="auto"/>
            <w:noWrap/>
          </w:tcPr>
          <w:p w14:paraId="01C3CF3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64.9%</w:t>
            </w:r>
          </w:p>
        </w:tc>
        <w:tc>
          <w:tcPr>
            <w:tcW w:w="4630" w:type="dxa"/>
            <w:shd w:val="clear" w:color="auto" w:fill="auto"/>
          </w:tcPr>
          <w:p w14:paraId="4FF0A4A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Sex:</w:t>
            </w:r>
            <w:r w:rsidRPr="0091560A">
              <w:rPr>
                <w:rFonts w:eastAsia="Times New Roman" w:cs="Times New Roman"/>
                <w:color w:val="000000"/>
                <w:sz w:val="16"/>
                <w:szCs w:val="16"/>
                <w:lang w:eastAsia="en-AU"/>
              </w:rPr>
              <w:t xml:space="preserve"> Intentional self-poisoning was more common in females </w:t>
            </w:r>
          </w:p>
          <w:p w14:paraId="5DE88AC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More common in individuals in the 15-17, 19-24 and 25-44 age groups</w:t>
            </w:r>
          </w:p>
        </w:tc>
      </w:tr>
      <w:tr w:rsidR="00574EB4" w:rsidRPr="0091560A" w14:paraId="7D407ACA" w14:textId="77777777" w:rsidTr="0035719A">
        <w:trPr>
          <w:trHeight w:val="688"/>
        </w:trPr>
        <w:tc>
          <w:tcPr>
            <w:tcW w:w="1456" w:type="dxa"/>
            <w:shd w:val="clear" w:color="auto" w:fill="auto"/>
            <w:noWrap/>
          </w:tcPr>
          <w:p w14:paraId="5BB15843" w14:textId="6ACECFEA"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Ticehurst (2002)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&lt;EndNote&gt;&lt;Cite&gt;&lt;Author&gt;Ticehurst&lt;/Author&gt;&lt;Year&gt;2002&lt;/Year&gt;&lt;RecNum&gt;918&lt;/RecNum&gt;&lt;DisplayText&gt;(Ticehurst et al., 2002)&lt;/DisplayText&gt;&lt;record&gt;&lt;rec-number&gt;918&lt;/rec-number&gt;&lt;foreign-keys&gt;&lt;key app="EN" db-id="90p22wx96ddedpe0r9pxtt9gzz05dd5ev299" timestamp="1657000537"&gt;918&lt;/key&gt;&lt;/foreign-keys&gt;&lt;ref-type name="Journal Article"&gt;17&lt;/ref-type&gt;&lt;contributors&gt;&lt;authors&gt;&lt;author&gt;Ticehurst, S.&lt;/author&gt;&lt;author&gt;Carter, G. L.&lt;/author&gt;&lt;author&gt;Clover, K. A.&lt;/author&gt;&lt;author&gt;Whyte, I. M.&lt;/author&gt;&lt;author&gt;Raymond, J.&lt;/author&gt;&lt;author&gt;Fryer, J.&lt;/author&gt;&lt;/authors&gt;&lt;/contributors&gt;&lt;titles&gt;&lt;title&gt;Elderly patients with deliberate self-poisoning treated in an Australian General Hospital&lt;/title&gt;&lt;secondary-title&gt;International Psychogeriatrics&lt;/secondary-title&gt;&lt;/titles&gt;&lt;pages&gt;97-105&lt;/pages&gt;&lt;volume&gt;14&lt;/volume&gt;&lt;number&gt;1&lt;/number&gt;&lt;dates&gt;&lt;year&gt;2002&lt;/year&gt;&lt;/dates&gt;&lt;urls&gt;&lt;related-urls&gt;&lt;url&gt;http://ovidsp.ovid.com/ovidweb.cgi?T=JS&amp;amp;PAGE=reference&amp;amp;D=emed7&amp;amp;NEWS=N&amp;amp;AN=34625567&lt;/url&gt;&lt;/related-urls&gt;&lt;/urls&gt;&lt;electronic-resource-num&gt;http://dx.doi.org/10.1017/S1041610202008311&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(Ticehurst et al., 2002)</w:t>
            </w:r>
            <w:r w:rsidRPr="0091560A">
              <w:rPr>
                <w:rFonts w:eastAsia="Times New Roman" w:cs="Times New Roman"/>
                <w:color w:val="000000" w:themeColor="text1"/>
                <w:sz w:val="16"/>
                <w:szCs w:val="16"/>
                <w:lang w:eastAsia="en-AU"/>
              </w:rPr>
              <w:fldChar w:fldCharType="end"/>
            </w:r>
          </w:p>
          <w:p w14:paraId="3D93E625" w14:textId="77777777" w:rsidR="00574EB4" w:rsidRPr="0091560A" w:rsidRDefault="00574EB4">
            <w:pPr>
              <w:spacing w:after="0" w:line="240" w:lineRule="auto"/>
              <w:rPr>
                <w:rFonts w:eastAsia="Times New Roman" w:cs="Times New Roman"/>
                <w:b/>
                <w:bCs/>
                <w:color w:val="000000" w:themeColor="text1"/>
                <w:sz w:val="16"/>
                <w:szCs w:val="16"/>
                <w:lang w:eastAsia="en-AU"/>
              </w:rPr>
            </w:pPr>
          </w:p>
          <w:p w14:paraId="6DF0F12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Australia</w:t>
            </w:r>
          </w:p>
        </w:tc>
        <w:tc>
          <w:tcPr>
            <w:tcW w:w="1232" w:type="dxa"/>
          </w:tcPr>
          <w:p w14:paraId="4F616673"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p w14:paraId="66A4239D"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1429" w:type="dxa"/>
            <w:shd w:val="clear" w:color="auto" w:fill="auto"/>
            <w:noWrap/>
          </w:tcPr>
          <w:p w14:paraId="41F7361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p w14:paraId="43E229EE"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2409" w:type="dxa"/>
            <w:shd w:val="clear" w:color="auto" w:fill="auto"/>
            <w:noWrap/>
          </w:tcPr>
          <w:p w14:paraId="566F5DAF" w14:textId="77777777" w:rsidR="00574EB4" w:rsidRPr="0091560A" w:rsidRDefault="00574EB4">
            <w:pPr>
              <w:spacing w:line="240" w:lineRule="auto"/>
              <w:rPr>
                <w:rFonts w:eastAsia="Times New Roman" w:cs="Times New Roman"/>
                <w:sz w:val="16"/>
                <w:szCs w:val="16"/>
              </w:rPr>
            </w:pPr>
            <w:r w:rsidRPr="0091560A">
              <w:rPr>
                <w:rFonts w:eastAsia="Times New Roman" w:cs="Times New Roman"/>
                <w:sz w:val="16"/>
                <w:szCs w:val="16"/>
              </w:rPr>
              <w:t>All deliberate self-poisoning cases with an index admission to the Newcastle Mater Hospital from January 1991 to June 1998</w:t>
            </w:r>
          </w:p>
        </w:tc>
        <w:tc>
          <w:tcPr>
            <w:tcW w:w="1279" w:type="dxa"/>
            <w:shd w:val="clear" w:color="auto" w:fill="auto"/>
            <w:noWrap/>
          </w:tcPr>
          <w:p w14:paraId="0969F4B2"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2,667</w:t>
            </w:r>
          </w:p>
        </w:tc>
        <w:tc>
          <w:tcPr>
            <w:tcW w:w="1452" w:type="dxa"/>
            <w:shd w:val="clear" w:color="auto" w:fill="auto"/>
            <w:noWrap/>
          </w:tcPr>
          <w:p w14:paraId="40DCF647"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Not reported </w:t>
            </w:r>
          </w:p>
        </w:tc>
        <w:tc>
          <w:tcPr>
            <w:tcW w:w="1417" w:type="dxa"/>
            <w:shd w:val="clear" w:color="auto" w:fill="auto"/>
            <w:noWrap/>
          </w:tcPr>
          <w:p w14:paraId="77E0E2A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0964DB5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Ingestion of paracetamol was less common in those aged 65+ years compared to those &lt;65 years</w:t>
            </w:r>
          </w:p>
        </w:tc>
      </w:tr>
      <w:tr w:rsidR="00574EB4" w:rsidRPr="0091560A" w14:paraId="02780978" w14:textId="77777777" w:rsidTr="0035719A">
        <w:trPr>
          <w:trHeight w:val="688"/>
        </w:trPr>
        <w:tc>
          <w:tcPr>
            <w:tcW w:w="1456" w:type="dxa"/>
            <w:shd w:val="clear" w:color="auto" w:fill="auto"/>
            <w:noWrap/>
          </w:tcPr>
          <w:p w14:paraId="2DB388D3" w14:textId="30AA0929"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Townsend (2001)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&lt;EndNote&gt;&lt;Cite&gt;&lt;Author&gt;Townsend&lt;/Author&gt;&lt;Year&gt;2001&lt;/Year&gt;&lt;RecNum&gt;919&lt;/RecNum&gt;&lt;DisplayText&gt;(Townsend et al., 2001)&lt;/DisplayText&gt;&lt;record&gt;&lt;rec-number&gt;919&lt;/rec-number&gt;&lt;foreign-keys&gt;&lt;key app="EN" db-id="90p22wx96ddedpe0r9pxtt9gzz05dd5ev299" timestamp="1657000537"&gt;919&lt;/key&gt;&lt;/foreign-keys&gt;&lt;ref-type name="Journal Article"&gt;17&lt;/ref-type&gt;&lt;contributors&gt;&lt;authors&gt;&lt;author&gt;Townsend, E.&lt;/author&gt;&lt;author&gt;Hawton, K.&lt;/author&gt;&lt;author&gt;Harriss, L.&lt;/author&gt;&lt;author&gt;Bale, E.&lt;/author&gt;&lt;author&gt;Bond, A.&lt;/author&gt;&lt;/authors&gt;&lt;/contributors&gt;&lt;titles&gt;&lt;title&gt;Substances used in deliberate self-poisoning 1985-1997: Trends and associations with age, gender, repetition and suicide intent&lt;/title&gt;&lt;secondary-title&gt;Social Psychiatry and Psychiatric Epidemiology&lt;/secondary-title&gt;&lt;/titles&gt;&lt;pages&gt;228-234&lt;/pages&gt;&lt;volume&gt;36&lt;/volume&gt;&lt;number&gt;5&lt;/number&gt;&lt;dates&gt;&lt;year&gt;2001&lt;/year&gt;&lt;/dates&gt;&lt;urls&gt;&lt;related-urls&gt;&lt;url&gt;http://ovidsp.ovid.com/ovidweb.cgi?T=JS&amp;amp;PAGE=reference&amp;amp;D=emed7&amp;amp;NEWS=N&amp;amp;AN=32694467&lt;/url&gt;&lt;/related-urls&gt;&lt;/urls&gt;&lt;electronic-resource-num&gt;http://dx.doi.org/10.1007/s001270170053&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(Townsend et al., 2001)</w:t>
            </w:r>
            <w:r w:rsidRPr="0091560A">
              <w:rPr>
                <w:rFonts w:eastAsia="Times New Roman" w:cs="Times New Roman"/>
                <w:color w:val="000000"/>
                <w:sz w:val="16"/>
                <w:szCs w:val="16"/>
                <w:lang w:eastAsia="en-AU"/>
              </w:rPr>
              <w:fldChar w:fldCharType="end"/>
            </w:r>
          </w:p>
          <w:p w14:paraId="5B94E0CA" w14:textId="77777777" w:rsidR="00574EB4" w:rsidRPr="0091560A" w:rsidRDefault="00574EB4">
            <w:pPr>
              <w:spacing w:after="0" w:line="240" w:lineRule="auto"/>
              <w:rPr>
                <w:rFonts w:eastAsia="Times New Roman" w:cs="Times New Roman"/>
                <w:color w:val="000000"/>
                <w:sz w:val="16"/>
                <w:szCs w:val="16"/>
                <w:lang w:eastAsia="en-AU"/>
              </w:rPr>
            </w:pPr>
          </w:p>
          <w:p w14:paraId="798092E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UK</w:t>
            </w:r>
          </w:p>
        </w:tc>
        <w:tc>
          <w:tcPr>
            <w:tcW w:w="1232" w:type="dxa"/>
          </w:tcPr>
          <w:p w14:paraId="54917D5E"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C834EF2"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Paracetamol </w:t>
            </w:r>
          </w:p>
          <w:p w14:paraId="047884EA"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 xml:space="preserve">(other self-poisoning drugs) </w:t>
            </w:r>
          </w:p>
        </w:tc>
        <w:tc>
          <w:tcPr>
            <w:tcW w:w="2409" w:type="dxa"/>
            <w:shd w:val="clear" w:color="auto" w:fill="auto"/>
            <w:noWrap/>
          </w:tcPr>
          <w:p w14:paraId="1E8FC72C"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People presenting to the general hospital in Oxford following self-poisoning from 1985</w:t>
            </w:r>
            <w:r w:rsidRPr="0091560A" w:rsidDel="0074434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1997</w:t>
            </w:r>
          </w:p>
        </w:tc>
        <w:tc>
          <w:tcPr>
            <w:tcW w:w="1279" w:type="dxa"/>
            <w:shd w:val="clear" w:color="auto" w:fill="auto"/>
            <w:noWrap/>
          </w:tcPr>
          <w:p w14:paraId="0CD8A560"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11,830 episodes </w:t>
            </w:r>
          </w:p>
        </w:tc>
        <w:tc>
          <w:tcPr>
            <w:tcW w:w="1452" w:type="dxa"/>
            <w:shd w:val="clear" w:color="auto" w:fill="auto"/>
            <w:noWrap/>
          </w:tcPr>
          <w:p w14:paraId="6E4D04CD"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Range = 15+</w:t>
            </w:r>
          </w:p>
        </w:tc>
        <w:tc>
          <w:tcPr>
            <w:tcW w:w="1417" w:type="dxa"/>
            <w:shd w:val="clear" w:color="auto" w:fill="auto"/>
            <w:noWrap/>
          </w:tcPr>
          <w:p w14:paraId="1BBE1DC4"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6788B441"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No significant gender differences in the use of paracetamol to self-poison</w:t>
            </w:r>
            <w:r w:rsidRPr="0091560A">
              <w:rPr>
                <w:rFonts w:cs="Times New Roman"/>
              </w:rPr>
              <w:br/>
            </w: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Paracetamol was significantly more common in episodes by younger self-poisoners than in older self-poisoners</w:t>
            </w:r>
            <w:r w:rsidRPr="0091560A">
              <w:rPr>
                <w:rFonts w:cs="Times New Roman"/>
              </w:rPr>
              <w:br/>
            </w:r>
            <w:r w:rsidRPr="0091560A">
              <w:rPr>
                <w:rFonts w:eastAsia="Times New Roman" w:cs="Times New Roman"/>
                <w:b/>
                <w:bCs/>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First timers more often used paracetamol for self-poisoning than did repeaters</w:t>
            </w:r>
            <w:r w:rsidRPr="0091560A">
              <w:rPr>
                <w:rFonts w:cs="Times New Roman"/>
              </w:rPr>
              <w:br/>
            </w:r>
            <w:r w:rsidRPr="0091560A">
              <w:rPr>
                <w:rFonts w:eastAsia="Times New Roman" w:cs="Times New Roman"/>
                <w:b/>
                <w:bCs/>
                <w:color w:val="000000" w:themeColor="text1"/>
                <w:sz w:val="16"/>
                <w:szCs w:val="16"/>
                <w:lang w:eastAsia="en-AU"/>
              </w:rPr>
              <w:t>Suicide Intent</w:t>
            </w:r>
            <w:r w:rsidRPr="0091560A">
              <w:rPr>
                <w:rFonts w:eastAsia="Times New Roman" w:cs="Times New Roman"/>
                <w:color w:val="000000" w:themeColor="text1"/>
                <w:sz w:val="16"/>
                <w:szCs w:val="16"/>
                <w:lang w:eastAsia="en-AU"/>
              </w:rPr>
              <w:t xml:space="preserve">: Beck SIS score for paracetamol overdose: Mean = 10.1 (SD = 6.2), Median = 9 </w:t>
            </w:r>
          </w:p>
        </w:tc>
      </w:tr>
      <w:tr w:rsidR="00574EB4" w:rsidRPr="0091560A" w14:paraId="37B1FFEE" w14:textId="77777777" w:rsidTr="0035719A">
        <w:trPr>
          <w:trHeight w:val="688"/>
        </w:trPr>
        <w:tc>
          <w:tcPr>
            <w:tcW w:w="1456" w:type="dxa"/>
            <w:shd w:val="clear" w:color="auto" w:fill="auto"/>
            <w:noWrap/>
          </w:tcPr>
          <w:p w14:paraId="520FEAA1" w14:textId="252B5659"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Weir (1998) </w:t>
            </w:r>
            <w:r w:rsidRPr="0091560A">
              <w:rPr>
                <w:rFonts w:eastAsia="Times New Roman" w:cs="Times New Roman"/>
                <w:color w:val="000000" w:themeColor="text1"/>
                <w:sz w:val="16"/>
                <w:szCs w:val="16"/>
                <w:lang w:eastAsia="en-AU"/>
              </w:rPr>
              <w:fldChar w:fldCharType="begin"/>
            </w:r>
            <w:r w:rsidR="00806A01">
              <w:rPr>
                <w:rFonts w:eastAsia="Times New Roman" w:cs="Times New Roman"/>
                <w:color w:val="000000" w:themeColor="text1"/>
                <w:sz w:val="16"/>
                <w:szCs w:val="16"/>
                <w:lang w:eastAsia="en-AU"/>
              </w:rPr>
              <w:instrText xml:space="preserve"> ADDIN EN.CITE &lt;EndNote&gt;&lt;Cite&gt;&lt;Author&gt;Weir&lt;/Author&gt;&lt;Year&gt;1998&lt;/Year&gt;&lt;RecNum&gt;929&lt;/RecNum&gt;&lt;DisplayText&gt;(Weir &amp;amp; Ardagh, 1998)&lt;/DisplayText&gt;&lt;record&gt;&lt;rec-number&gt;929&lt;/rec-number&gt;&lt;foreign-keys&gt;&lt;key app="EN" db-id="90p22wx96ddedpe0r9pxtt9gzz05dd5ev299" timestamp="1657083055"&gt;929&lt;/key&gt;&lt;/foreign-keys&gt;&lt;ref-type name="Journal Article"&gt;17&lt;/ref-type&gt;&lt;contributors&gt;&lt;authors&gt;&lt;author&gt;Weir, P.&lt;/author&gt;&lt;author&gt;Ardagh, M.&lt;/author&gt;&lt;/authors&gt;&lt;/contributors&gt;&lt;auth-address&gt;Christchurch School of Medicine.&lt;/auth-address&gt;&lt;titles&gt;&lt;title&gt;The epidemiology of deliberate self poisoning presenting to Christchurch Hospital Emergency Department&lt;/title&gt;&lt;secondary-title&gt;The New Zealand medical journal&lt;/secondary-title&gt;&lt;alt-title&gt;N Z Med J&lt;/alt-title&gt;&lt;/titles&gt;&lt;alt-periodical&gt;&lt;full-title&gt;N Z Med J&lt;/full-title&gt;&lt;/alt-periodical&gt;&lt;pages&gt;127-129&lt;/pages&gt;&lt;volume&gt;111&lt;/volume&gt;&lt;number&gt;1063&lt;/number&gt;&lt;dates&gt;&lt;year&gt;1998&lt;/year&gt;&lt;pub-dates&gt;&lt;date&gt;1998/04//&lt;/date&gt;&lt;/pub-dates&gt;&lt;/dates&gt;&lt;isbn&gt;0028-8446&lt;/isbn&gt;&lt;accession-num&gt;9594971&lt;/accession-num&gt;&lt;urls&gt;&lt;related-urls&gt;&lt;url&gt;http://europepmc.org/abstract/MED/9594971&lt;/url&gt;&lt;/related-urls&gt;&lt;/urls&gt;&lt;remote-database-name&gt;PubMed&lt;/remote-database-name&gt;&lt;language&gt;eng&lt;/language&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(Weir &amp; Ardagh, 1998)</w:t>
            </w:r>
            <w:r w:rsidRPr="0091560A">
              <w:rPr>
                <w:rFonts w:eastAsia="Times New Roman" w:cs="Times New Roman"/>
                <w:color w:val="000000" w:themeColor="text1"/>
                <w:sz w:val="16"/>
                <w:szCs w:val="16"/>
                <w:lang w:eastAsia="en-AU"/>
              </w:rPr>
              <w:fldChar w:fldCharType="end"/>
            </w:r>
          </w:p>
          <w:p w14:paraId="47A8F882" w14:textId="77777777" w:rsidR="00574EB4" w:rsidRPr="0091560A" w:rsidRDefault="00574EB4">
            <w:pPr>
              <w:spacing w:line="240" w:lineRule="auto"/>
              <w:rPr>
                <w:rFonts w:eastAsia="Times New Roman" w:cs="Times New Roman"/>
                <w:b/>
                <w:bCs/>
                <w:color w:val="000000" w:themeColor="text1"/>
                <w:sz w:val="16"/>
                <w:szCs w:val="16"/>
                <w:lang w:eastAsia="en-AU"/>
              </w:rPr>
            </w:pPr>
            <w:r w:rsidRPr="0091560A">
              <w:rPr>
                <w:rFonts w:eastAsia="Times New Roman" w:cs="Times New Roman"/>
                <w:color w:val="000000" w:themeColor="text1"/>
                <w:sz w:val="16"/>
                <w:szCs w:val="16"/>
                <w:lang w:eastAsia="en-AU"/>
              </w:rPr>
              <w:t>New Zealand</w:t>
            </w:r>
          </w:p>
        </w:tc>
        <w:tc>
          <w:tcPr>
            <w:tcW w:w="1232" w:type="dxa"/>
          </w:tcPr>
          <w:p w14:paraId="385271C9"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Observational or cohort</w:t>
            </w:r>
          </w:p>
          <w:p w14:paraId="4DE40EB3" w14:textId="77777777" w:rsidR="00574EB4" w:rsidRPr="0091560A" w:rsidRDefault="00574EB4">
            <w:pPr>
              <w:spacing w:after="0" w:line="240" w:lineRule="auto"/>
              <w:rPr>
                <w:rFonts w:eastAsia="Times New Roman" w:cs="Times New Roman"/>
                <w:color w:val="000000" w:themeColor="text1"/>
                <w:sz w:val="16"/>
                <w:szCs w:val="16"/>
                <w:lang w:eastAsia="en-AU"/>
              </w:rPr>
            </w:pPr>
          </w:p>
        </w:tc>
        <w:tc>
          <w:tcPr>
            <w:tcW w:w="1429" w:type="dxa"/>
            <w:shd w:val="clear" w:color="auto" w:fill="auto"/>
            <w:noWrap/>
          </w:tcPr>
          <w:p w14:paraId="4114CB5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Paracetamol </w:t>
            </w:r>
          </w:p>
          <w:p w14:paraId="55C961B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(other self-poisoning drugs)</w:t>
            </w:r>
          </w:p>
        </w:tc>
        <w:tc>
          <w:tcPr>
            <w:tcW w:w="2409" w:type="dxa"/>
            <w:shd w:val="clear" w:color="auto" w:fill="auto"/>
            <w:noWrap/>
          </w:tcPr>
          <w:p w14:paraId="29B630D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Deliberate self-poisoning presentations to Christchurch Hospital ED from</w:t>
            </w:r>
            <w:r w:rsidRPr="0091560A" w:rsidDel="0074434E">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December 16, 1995, to December 15, 1996</w:t>
            </w:r>
          </w:p>
        </w:tc>
        <w:tc>
          <w:tcPr>
            <w:tcW w:w="1279" w:type="dxa"/>
            <w:shd w:val="clear" w:color="auto" w:fill="auto"/>
            <w:noWrap/>
          </w:tcPr>
          <w:p w14:paraId="4D7BE0D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713</w:t>
            </w:r>
          </w:p>
        </w:tc>
        <w:tc>
          <w:tcPr>
            <w:tcW w:w="1452" w:type="dxa"/>
            <w:shd w:val="clear" w:color="auto" w:fill="auto"/>
            <w:noWrap/>
          </w:tcPr>
          <w:p w14:paraId="246DC8A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Range = 10+ (70.1% &lt;35)</w:t>
            </w:r>
          </w:p>
        </w:tc>
        <w:tc>
          <w:tcPr>
            <w:tcW w:w="1417" w:type="dxa"/>
            <w:shd w:val="clear" w:color="auto" w:fill="auto"/>
            <w:noWrap/>
          </w:tcPr>
          <w:p w14:paraId="22B6ECF5"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100%</w:t>
            </w:r>
          </w:p>
        </w:tc>
        <w:tc>
          <w:tcPr>
            <w:tcW w:w="4630" w:type="dxa"/>
            <w:shd w:val="clear" w:color="auto" w:fill="auto"/>
          </w:tcPr>
          <w:p w14:paraId="5EAD4161"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Co-ingestion substances: </w:t>
            </w:r>
            <w:r w:rsidRPr="0091560A">
              <w:rPr>
                <w:rFonts w:eastAsia="Times New Roman" w:cs="Times New Roman"/>
                <w:color w:val="000000" w:themeColor="text1"/>
                <w:sz w:val="16"/>
                <w:szCs w:val="16"/>
                <w:lang w:eastAsia="en-AU"/>
              </w:rPr>
              <w:t xml:space="preserve">58% of people who self-poisoned with paracetamol also co-ingested other substances </w:t>
            </w:r>
          </w:p>
        </w:tc>
      </w:tr>
      <w:tr w:rsidR="00574EB4" w:rsidRPr="0091560A" w14:paraId="4082A9C3" w14:textId="77777777" w:rsidTr="0035719A">
        <w:trPr>
          <w:trHeight w:val="166"/>
        </w:trPr>
        <w:tc>
          <w:tcPr>
            <w:tcW w:w="7805" w:type="dxa"/>
            <w:gridSpan w:val="5"/>
            <w:shd w:val="clear" w:color="auto" w:fill="auto"/>
            <w:noWrap/>
          </w:tcPr>
          <w:p w14:paraId="11048CCC" w14:textId="4E203B78" w:rsidR="00574EB4" w:rsidRPr="0091560A" w:rsidRDefault="009267F1" w:rsidP="00D226A7">
            <w:pPr>
              <w:rPr>
                <w:rFonts w:eastAsia="Times New Roman"/>
                <w:color w:val="000000" w:themeColor="text1"/>
                <w:lang w:eastAsia="en-AU"/>
              </w:rPr>
            </w:pPr>
            <w:r w:rsidRPr="0091560A">
              <w:rPr>
                <w:rFonts w:cs="Times New Roman"/>
                <w:b/>
                <w:bCs/>
                <w:sz w:val="16"/>
                <w:szCs w:val="16"/>
              </w:rPr>
              <w:t>Studies examining</w:t>
            </w:r>
            <w:r>
              <w:rPr>
                <w:rFonts w:cs="Times New Roman"/>
                <w:b/>
                <w:bCs/>
                <w:sz w:val="16"/>
                <w:szCs w:val="16"/>
              </w:rPr>
              <w:t xml:space="preserve"> </w:t>
            </w:r>
            <w:r w:rsidRPr="009267F1">
              <w:rPr>
                <w:rFonts w:cs="Times New Roman"/>
                <w:b/>
                <w:bCs/>
                <w:sz w:val="16"/>
                <w:szCs w:val="16"/>
              </w:rPr>
              <w:t xml:space="preserve">OTC analgesics drug class (including paracetamol) </w:t>
            </w:r>
            <w:r w:rsidRPr="0091560A">
              <w:rPr>
                <w:rFonts w:cs="Times New Roman"/>
                <w:b/>
                <w:bCs/>
                <w:sz w:val="16"/>
                <w:szCs w:val="16"/>
              </w:rPr>
              <w:t xml:space="preserve"> </w:t>
            </w:r>
          </w:p>
        </w:tc>
        <w:tc>
          <w:tcPr>
            <w:tcW w:w="1452" w:type="dxa"/>
            <w:shd w:val="clear" w:color="auto" w:fill="auto"/>
            <w:noWrap/>
          </w:tcPr>
          <w:p w14:paraId="769A3B95"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1417" w:type="dxa"/>
            <w:shd w:val="clear" w:color="auto" w:fill="auto"/>
            <w:noWrap/>
          </w:tcPr>
          <w:p w14:paraId="15ECBC4A"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4630" w:type="dxa"/>
            <w:shd w:val="clear" w:color="auto" w:fill="auto"/>
          </w:tcPr>
          <w:p w14:paraId="360031C9" w14:textId="77777777" w:rsidR="00574EB4" w:rsidRPr="0091560A" w:rsidRDefault="00574EB4">
            <w:pPr>
              <w:spacing w:after="0" w:line="240" w:lineRule="auto"/>
              <w:rPr>
                <w:rFonts w:eastAsia="Times New Roman" w:cs="Times New Roman"/>
                <w:color w:val="000000" w:themeColor="text1"/>
                <w:sz w:val="16"/>
                <w:szCs w:val="16"/>
                <w:lang w:eastAsia="en-AU"/>
              </w:rPr>
            </w:pPr>
          </w:p>
        </w:tc>
      </w:tr>
      <w:tr w:rsidR="00574EB4" w:rsidRPr="0091560A" w14:paraId="063B30AE" w14:textId="77777777" w:rsidTr="0035719A">
        <w:trPr>
          <w:trHeight w:val="688"/>
        </w:trPr>
        <w:tc>
          <w:tcPr>
            <w:tcW w:w="1456" w:type="dxa"/>
            <w:shd w:val="clear" w:color="auto" w:fill="auto"/>
            <w:noWrap/>
          </w:tcPr>
          <w:p w14:paraId="6FB76B17" w14:textId="0EC861CB"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Daly (2020)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&lt;EndNote&gt;&lt;Cite&gt;&lt;Author&gt;Daly&lt;/Author&gt;&lt;Year&gt;2020&lt;/Year&gt;&lt;RecNum&gt;869&lt;/RecNum&gt;&lt;DisplayText&gt;(Daly et al., 2020)&lt;/DisplayText&gt;&lt;record&gt;&lt;rec-number&gt;869&lt;/rec-number&gt;&lt;foreign-keys&gt;&lt;key app="EN" db-id="90p22wx96ddedpe0r9pxtt9gzz05dd5ev299" timestamp="1657000537"&gt;869&lt;/key&gt;&lt;/foreign-keys&gt;&lt;ref-type name="Journal Article"&gt;17&lt;/ref-type&gt;&lt;contributors&gt;&lt;authors&gt;&lt;author&gt;Daly, C.&lt;/author&gt;&lt;author&gt;Griffin, E.&lt;/author&gt;&lt;author&gt;McMahon, E.&lt;/author&gt;&lt;author&gt;Corcoran, P.&lt;/author&gt;&lt;author&gt;Webb, R. T.&lt;/author&gt;&lt;author&gt;Witt, K.&lt;/author&gt;&lt;author&gt;Ashcroft, D. M.&lt;/author&gt;&lt;author&gt;Arensman, E.&lt;/author&gt;&lt;/authors&gt;&lt;/contributors&gt;&lt;titles&gt;&lt;title&gt;Repeat self-harm following hospital-presenting intentional drug overdose among young people-a national registry study&lt;/title&gt;&lt;secondary-title&gt;International Journal of Environmental Research and Public Health&lt;/secondary-title&gt;&lt;/titles&gt;&lt;pages&gt;1-16&lt;/pages&gt;&lt;volume&gt;17&lt;/volume&gt;&lt;number&gt;17&lt;/number&gt;&lt;dates&gt;&lt;year&gt;2020&lt;/year&gt;&lt;/dates&gt;&lt;urls&gt;&lt;related-urls&gt;&lt;url&gt;https://www.mdpi.com/1660-4601/17/17/6159/pdfhttp://ovidsp.ovid.com/ovidweb.cgi?T=JS&amp;amp;PAGE=reference&amp;amp;D=emed21&amp;amp;NEWS=N&amp;amp;AN=2004961430&lt;/url&gt;&lt;/related-urls&gt;&lt;/urls&gt;&lt;electronic-resource-num&gt;http://dx.doi.org/10.3390/ijerph17176159&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(Daly et al., 2020)</w:t>
            </w:r>
            <w:r w:rsidRPr="0091560A">
              <w:rPr>
                <w:rFonts w:eastAsia="Times New Roman" w:cs="Times New Roman"/>
                <w:color w:val="000000"/>
                <w:sz w:val="16"/>
                <w:szCs w:val="16"/>
                <w:lang w:eastAsia="en-AU"/>
              </w:rPr>
              <w:fldChar w:fldCharType="end"/>
            </w:r>
          </w:p>
          <w:p w14:paraId="6A94359B" w14:textId="77777777" w:rsidR="00574EB4" w:rsidRPr="0091560A" w:rsidRDefault="00574EB4">
            <w:pPr>
              <w:spacing w:after="0" w:line="240" w:lineRule="auto"/>
              <w:rPr>
                <w:rFonts w:eastAsia="Times New Roman" w:cs="Times New Roman"/>
                <w:color w:val="000000"/>
                <w:sz w:val="16"/>
                <w:szCs w:val="16"/>
                <w:lang w:eastAsia="en-AU"/>
              </w:rPr>
            </w:pPr>
          </w:p>
          <w:p w14:paraId="52D97D02" w14:textId="1289A7F8"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Ireland</w:t>
            </w:r>
          </w:p>
        </w:tc>
        <w:tc>
          <w:tcPr>
            <w:tcW w:w="1232" w:type="dxa"/>
          </w:tcPr>
          <w:p w14:paraId="7C9D9FA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4603838B"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Analgesics (other self-poisoning drugs)</w:t>
            </w:r>
          </w:p>
        </w:tc>
        <w:tc>
          <w:tcPr>
            <w:tcW w:w="2409" w:type="dxa"/>
            <w:shd w:val="clear" w:color="auto" w:fill="auto"/>
            <w:noWrap/>
          </w:tcPr>
          <w:p w14:paraId="0FDA414B"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Data obtained from the National Self-Harm Registry Ireland from January 1, 2007, to December 31, 2018</w:t>
            </w:r>
          </w:p>
        </w:tc>
        <w:tc>
          <w:tcPr>
            <w:tcW w:w="1279" w:type="dxa"/>
            <w:shd w:val="clear" w:color="auto" w:fill="auto"/>
            <w:noWrap/>
          </w:tcPr>
          <w:p w14:paraId="43078CE6"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16,800 index</w:t>
            </w:r>
            <w:r w:rsidRPr="0091560A" w:rsidDel="00AD1AE3">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intentional drug overdose episodes (767 with analgesics)</w:t>
            </w:r>
          </w:p>
        </w:tc>
        <w:tc>
          <w:tcPr>
            <w:tcW w:w="1452" w:type="dxa"/>
            <w:shd w:val="clear" w:color="auto" w:fill="auto"/>
            <w:noWrap/>
          </w:tcPr>
          <w:p w14:paraId="13B5254E"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Range = 10-24 </w:t>
            </w:r>
          </w:p>
        </w:tc>
        <w:tc>
          <w:tcPr>
            <w:tcW w:w="1417" w:type="dxa"/>
            <w:shd w:val="clear" w:color="auto" w:fill="auto"/>
            <w:noWrap/>
          </w:tcPr>
          <w:p w14:paraId="2764DB55"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633F15F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Repeat self-harm episode:</w:t>
            </w:r>
            <w:r w:rsidRPr="0091560A">
              <w:rPr>
                <w:rFonts w:eastAsia="Times New Roman" w:cs="Times New Roman"/>
                <w:color w:val="000000" w:themeColor="text1"/>
                <w:sz w:val="16"/>
                <w:szCs w:val="16"/>
                <w:lang w:eastAsia="en-AU"/>
              </w:rPr>
              <w:t xml:space="preserve"> 10.8% cases with an index analgesic intentional self-poisoning episode had a repeat episode. 15.4% of these switched method (e.g., self-cutting) within 12 months of their index attempt </w:t>
            </w:r>
          </w:p>
        </w:tc>
      </w:tr>
      <w:tr w:rsidR="00574EB4" w:rsidRPr="0091560A" w14:paraId="00C5499D" w14:textId="77777777" w:rsidTr="0035719A">
        <w:trPr>
          <w:trHeight w:val="688"/>
        </w:trPr>
        <w:tc>
          <w:tcPr>
            <w:tcW w:w="1456" w:type="dxa"/>
            <w:shd w:val="clear" w:color="auto" w:fill="auto"/>
            <w:noWrap/>
          </w:tcPr>
          <w:p w14:paraId="27C7254E" w14:textId="2FB962F1"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Hopkins (20</w:t>
            </w:r>
            <w:r w:rsidRPr="0091560A">
              <w:rPr>
                <w:rFonts w:eastAsia="Times New Roman" w:cs="Times New Roman"/>
                <w:b/>
                <w:bCs/>
                <w:color w:val="000000" w:themeColor="text1"/>
                <w:sz w:val="16"/>
                <w:szCs w:val="16"/>
                <w:lang w:eastAsia="en-AU"/>
              </w:rPr>
              <w:t>20</w:t>
            </w:r>
            <w:r w:rsidRPr="0091560A">
              <w:rPr>
                <w:rFonts w:eastAsia="Times New Roman" w:cs="Times New Roman"/>
                <w:b/>
                <w:color w:val="000000" w:themeColor="text1"/>
                <w:sz w:val="16"/>
                <w:szCs w:val="16"/>
                <w:lang w:eastAsia="en-AU"/>
              </w:rPr>
              <w:t xml:space="preserve">) </w:t>
            </w:r>
            <w:r w:rsidRPr="0091560A">
              <w:rPr>
                <w:rFonts w:eastAsia="Times New Roman" w:cs="Times New Roman"/>
                <w:bCs/>
                <w:color w:val="000000" w:themeColor="text1"/>
                <w:sz w:val="16"/>
                <w:szCs w:val="16"/>
                <w:lang w:eastAsia="en-AU"/>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rFonts w:eastAsia="Times New Roman" w:cs="Times New Roman"/>
                <w:bCs/>
                <w:color w:val="000000" w:themeColor="text1"/>
                <w:sz w:val="16"/>
                <w:szCs w:val="16"/>
                <w:lang w:eastAsia="en-AU"/>
              </w:rPr>
              <w:instrText xml:space="preserve"> ADDIN EN.CITE </w:instrText>
            </w:r>
            <w:r w:rsidR="005C4946">
              <w:rPr>
                <w:rFonts w:eastAsia="Times New Roman" w:cs="Times New Roman"/>
                <w:bCs/>
                <w:color w:val="000000" w:themeColor="text1"/>
                <w:sz w:val="16"/>
                <w:szCs w:val="16"/>
                <w:lang w:eastAsia="en-AU"/>
              </w:rPr>
              <w:fldChar w:fldCharType="begin">
                <w:fldData xml:space="preserve">PEVuZE5vdGU+PENpdGU+PEF1dGhvcj5Ib3BraW5zPC9BdXRob3I+PFllYXI+MjAyMDwvWWVhcj48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</w:fldData>
              </w:fldChar>
            </w:r>
            <w:r w:rsidR="005C4946">
              <w:rPr>
                <w:rFonts w:eastAsia="Times New Roman" w:cs="Times New Roman"/>
                <w:bCs/>
                <w:color w:val="000000" w:themeColor="text1"/>
                <w:sz w:val="16"/>
                <w:szCs w:val="16"/>
                <w:lang w:eastAsia="en-AU"/>
              </w:rPr>
              <w:instrText xml:space="preserve"> ADDIN EN.CITE.DATA </w:instrText>
            </w:r>
            <w:r w:rsidR="005C4946">
              <w:rPr>
                <w:rFonts w:eastAsia="Times New Roman" w:cs="Times New Roman"/>
                <w:bCs/>
                <w:color w:val="000000" w:themeColor="text1"/>
                <w:sz w:val="16"/>
                <w:szCs w:val="16"/>
                <w:lang w:eastAsia="en-AU"/>
              </w:rPr>
            </w:r>
            <w:r w:rsidR="005C4946">
              <w:rPr>
                <w:rFonts w:eastAsia="Times New Roman" w:cs="Times New Roman"/>
                <w:bCs/>
                <w:color w:val="000000" w:themeColor="text1"/>
                <w:sz w:val="16"/>
                <w:szCs w:val="16"/>
                <w:lang w:eastAsia="en-AU"/>
              </w:rPr>
              <w:fldChar w:fldCharType="end"/>
            </w:r>
            <w:r w:rsidRPr="0091560A">
              <w:rPr>
                <w:rFonts w:eastAsia="Times New Roman" w:cs="Times New Roman"/>
                <w:bCs/>
                <w:color w:val="000000" w:themeColor="text1"/>
                <w:sz w:val="16"/>
                <w:szCs w:val="16"/>
                <w:lang w:eastAsia="en-AU"/>
              </w:rPr>
            </w:r>
            <w:r w:rsidRPr="0091560A">
              <w:rPr>
                <w:rFonts w:eastAsia="Times New Roman" w:cs="Times New Roman"/>
                <w:bCs/>
                <w:color w:val="000000" w:themeColor="text1"/>
                <w:sz w:val="16"/>
                <w:szCs w:val="16"/>
                <w:lang w:eastAsia="en-AU"/>
              </w:rPr>
              <w:fldChar w:fldCharType="separate"/>
            </w:r>
            <w:r w:rsidRPr="0091560A">
              <w:rPr>
                <w:rFonts w:eastAsia="Times New Roman" w:cs="Times New Roman"/>
                <w:bCs/>
                <w:noProof/>
                <w:color w:val="000000" w:themeColor="text1"/>
                <w:sz w:val="16"/>
                <w:szCs w:val="16"/>
                <w:lang w:eastAsia="en-AU"/>
              </w:rPr>
              <w:t>(Hopkins et al., 2020)</w:t>
            </w:r>
            <w:r w:rsidRPr="0091560A">
              <w:rPr>
                <w:rFonts w:eastAsia="Times New Roman" w:cs="Times New Roman"/>
                <w:bCs/>
                <w:color w:val="000000" w:themeColor="text1"/>
                <w:sz w:val="16"/>
                <w:szCs w:val="16"/>
                <w:lang w:eastAsia="en-AU"/>
              </w:rPr>
              <w:fldChar w:fldCharType="end"/>
            </w:r>
          </w:p>
          <w:p w14:paraId="1DEEED9E" w14:textId="77777777" w:rsidR="00574EB4" w:rsidRPr="0091560A" w:rsidRDefault="00574EB4">
            <w:pPr>
              <w:spacing w:after="0" w:line="240" w:lineRule="auto"/>
              <w:rPr>
                <w:rFonts w:eastAsia="Times New Roman" w:cs="Times New Roman"/>
                <w:color w:val="000000"/>
                <w:sz w:val="16"/>
                <w:szCs w:val="16"/>
                <w:lang w:eastAsia="en-AU"/>
              </w:rPr>
            </w:pPr>
          </w:p>
          <w:p w14:paraId="721E766D" w14:textId="556388B8"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US</w:t>
            </w:r>
            <w:r w:rsidR="00AB0A86">
              <w:rPr>
                <w:rFonts w:eastAsia="Times New Roman" w:cs="Times New Roman"/>
                <w:color w:val="000000" w:themeColor="text1"/>
                <w:sz w:val="16"/>
                <w:szCs w:val="16"/>
                <w:lang w:eastAsia="en-AU"/>
              </w:rPr>
              <w:t>A</w:t>
            </w:r>
          </w:p>
        </w:tc>
        <w:tc>
          <w:tcPr>
            <w:tcW w:w="1232" w:type="dxa"/>
          </w:tcPr>
          <w:p w14:paraId="15B21E00"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D3596C7"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OTC analgesics, with 48% involving paracetamol alone</w:t>
            </w:r>
          </w:p>
        </w:tc>
        <w:tc>
          <w:tcPr>
            <w:tcW w:w="2409" w:type="dxa"/>
            <w:shd w:val="clear" w:color="auto" w:fill="auto"/>
            <w:noWrap/>
          </w:tcPr>
          <w:p w14:paraId="3BE633A6"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Single-substance and multi-substance exposures to OTC analgesics with suicidal intent among individuals 6 years of age and older from January 1, 2000,</w:t>
            </w:r>
            <w:r w:rsidRPr="0091560A" w:rsidDel="00D70FFC">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to December 31, 2018. Cases were identified from the National Poison Data System database</w:t>
            </w:r>
          </w:p>
        </w:tc>
        <w:tc>
          <w:tcPr>
            <w:tcW w:w="1279" w:type="dxa"/>
            <w:shd w:val="clear" w:color="auto" w:fill="auto"/>
            <w:noWrap/>
          </w:tcPr>
          <w:p w14:paraId="09583BC1"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549,807 calls</w:t>
            </w:r>
          </w:p>
        </w:tc>
        <w:tc>
          <w:tcPr>
            <w:tcW w:w="1452" w:type="dxa"/>
            <w:shd w:val="clear" w:color="auto" w:fill="auto"/>
            <w:noWrap/>
          </w:tcPr>
          <w:p w14:paraId="18F9036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6-19 = 49.7%</w:t>
            </w:r>
            <w:r w:rsidRPr="0091560A">
              <w:rPr>
                <w:rFonts w:eastAsia="Times New Roman" w:cs="Times New Roman"/>
                <w:color w:val="000000" w:themeColor="text1"/>
                <w:sz w:val="16"/>
                <w:szCs w:val="16"/>
                <w:lang w:eastAsia="en-AU"/>
              </w:rPr>
              <w:br/>
              <w:t>20-29 = 27.3%</w:t>
            </w:r>
            <w:r w:rsidRPr="0091560A">
              <w:rPr>
                <w:rFonts w:eastAsia="Times New Roman" w:cs="Times New Roman"/>
                <w:color w:val="000000" w:themeColor="text1"/>
                <w:sz w:val="16"/>
                <w:szCs w:val="16"/>
                <w:lang w:eastAsia="en-AU"/>
              </w:rPr>
              <w:br/>
              <w:t>30-39 = 11.1%</w:t>
            </w:r>
            <w:r w:rsidRPr="0091560A">
              <w:rPr>
                <w:rFonts w:eastAsia="Times New Roman" w:cs="Times New Roman"/>
                <w:color w:val="000000" w:themeColor="text1"/>
                <w:sz w:val="16"/>
                <w:szCs w:val="16"/>
                <w:lang w:eastAsia="en-AU"/>
              </w:rPr>
              <w:br/>
              <w:t xml:space="preserve">40 = 11.9% </w:t>
            </w:r>
          </w:p>
        </w:tc>
        <w:tc>
          <w:tcPr>
            <w:tcW w:w="1417" w:type="dxa"/>
            <w:shd w:val="clear" w:color="auto" w:fill="auto"/>
            <w:noWrap/>
          </w:tcPr>
          <w:p w14:paraId="24053BC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77D3DAB8"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Suicidal intent: </w:t>
            </w:r>
            <w:r w:rsidRPr="0091560A">
              <w:rPr>
                <w:rFonts w:eastAsia="Times New Roman" w:cs="Times New Roman"/>
                <w:color w:val="000000" w:themeColor="text1"/>
                <w:sz w:val="16"/>
                <w:szCs w:val="16"/>
                <w:lang w:eastAsia="en-AU"/>
              </w:rPr>
              <w:t>100% of cases were classified as having suicidal intent</w:t>
            </w:r>
          </w:p>
          <w:p w14:paraId="157ACE57"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color w:val="000000" w:themeColor="text1"/>
                <w:sz w:val="16"/>
                <w:szCs w:val="16"/>
                <w:lang w:eastAsia="en-AU"/>
              </w:rPr>
              <w:t>Sex:</w:t>
            </w:r>
            <w:r w:rsidRPr="0091560A">
              <w:rPr>
                <w:rFonts w:eastAsia="Times New Roman" w:cs="Times New Roman"/>
                <w:color w:val="000000" w:themeColor="text1"/>
                <w:sz w:val="16"/>
                <w:szCs w:val="16"/>
                <w:lang w:eastAsia="en-AU"/>
              </w:rPr>
              <w:t xml:space="preserve"> 72.7% of cases female. Sex difference more pronounced among younger age groups</w:t>
            </w:r>
            <w:r w:rsidRPr="0091560A">
              <w:rPr>
                <w:rFonts w:eastAsia="Times New Roman" w:cs="Times New Roman"/>
                <w:b/>
                <w:color w:val="000000" w:themeColor="text1"/>
                <w:sz w:val="16"/>
                <w:szCs w:val="16"/>
                <w:lang w:eastAsia="en-AU"/>
              </w:rPr>
              <w:t xml:space="preserve"> </w:t>
            </w:r>
          </w:p>
          <w:p w14:paraId="234A9F1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Age:</w:t>
            </w:r>
            <w:r w:rsidRPr="0091560A">
              <w:rPr>
                <w:rFonts w:eastAsia="Times New Roman" w:cs="Times New Roman"/>
                <w:color w:val="000000" w:themeColor="text1"/>
                <w:sz w:val="16"/>
                <w:szCs w:val="16"/>
                <w:lang w:eastAsia="en-AU"/>
              </w:rPr>
              <w:t xml:space="preserve"> 49.7% of cases were among individuals aged 6-19 years </w:t>
            </w:r>
            <w:r w:rsidRPr="0091560A">
              <w:rPr>
                <w:rFonts w:cs="Times New Roman"/>
              </w:rPr>
              <w:br/>
            </w:r>
            <w:r w:rsidRPr="0091560A">
              <w:rPr>
                <w:rFonts w:eastAsia="Times New Roman" w:cs="Times New Roman"/>
                <w:b/>
                <w:bCs/>
                <w:color w:val="000000"/>
                <w:sz w:val="16"/>
                <w:szCs w:val="16"/>
                <w:lang w:eastAsia="en-AU"/>
              </w:rPr>
              <w:t>Co-ingestion substances:</w:t>
            </w:r>
            <w:r w:rsidRPr="0091560A">
              <w:rPr>
                <w:rFonts w:eastAsia="Times New Roman" w:cs="Times New Roman"/>
                <w:color w:val="000000"/>
                <w:sz w:val="16"/>
                <w:szCs w:val="16"/>
                <w:lang w:eastAsia="en-AU"/>
              </w:rPr>
              <w:t xml:space="preserve"> 32.5% multi-substance </w:t>
            </w:r>
            <w:r w:rsidRPr="0091560A">
              <w:rPr>
                <w:rFonts w:eastAsia="Times New Roman" w:cs="Times New Roman"/>
                <w:color w:val="000000"/>
                <w:sz w:val="16"/>
                <w:szCs w:val="16"/>
                <w:lang w:eastAsia="en-AU"/>
              </w:rPr>
              <w:br/>
            </w:r>
            <w:r w:rsidRPr="0091560A">
              <w:rPr>
                <w:rFonts w:eastAsia="Times New Roman" w:cs="Times New Roman"/>
                <w:b/>
                <w:bCs/>
                <w:color w:val="000000"/>
                <w:sz w:val="16"/>
                <w:szCs w:val="16"/>
                <w:lang w:eastAsia="en-AU"/>
              </w:rPr>
              <w:t>Location:</w:t>
            </w:r>
            <w:r w:rsidRPr="0091560A">
              <w:rPr>
                <w:rFonts w:eastAsia="Times New Roman" w:cs="Times New Roman"/>
                <w:color w:val="000000"/>
                <w:sz w:val="16"/>
                <w:szCs w:val="16"/>
                <w:lang w:eastAsia="en-AU"/>
              </w:rPr>
              <w:t xml:space="preserve"> 96% self-poisonings occurred within the home</w:t>
            </w:r>
          </w:p>
        </w:tc>
      </w:tr>
      <w:tr w:rsidR="00574EB4" w:rsidRPr="0091560A" w14:paraId="2DF8E3FC" w14:textId="77777777" w:rsidTr="0035719A">
        <w:trPr>
          <w:trHeight w:val="688"/>
        </w:trPr>
        <w:tc>
          <w:tcPr>
            <w:tcW w:w="1456" w:type="dxa"/>
            <w:shd w:val="clear" w:color="auto" w:fill="auto"/>
            <w:noWrap/>
          </w:tcPr>
          <w:p w14:paraId="2BA5B7DF" w14:textId="6A7D6F1E"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Larson (2022)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&lt;EndNote&gt;&lt;Cite&gt;&lt;Author&gt;Larson&lt;/Author&gt;&lt;Year&gt;2022&lt;/Year&gt;&lt;RecNum&gt;893&lt;/RecNum&gt;&lt;DisplayText&gt;(Larson et al., 2022)&lt;/DisplayText&gt;&lt;record&gt;&lt;rec-number&gt;893&lt;/rec-number&gt;&lt;foreign-keys&gt;&lt;key app="EN" db-id="90p22wx96ddedpe0r9pxtt9gzz05dd5ev299" timestamp="1657000537"&gt;893&lt;/key&gt;&lt;/foreign-keys&gt;&lt;ref-type name="Journal Article"&gt;17&lt;/ref-type&gt;&lt;contributors&gt;&lt;authors&gt;&lt;author&gt;Larson, Emma K.&lt;/author&gt;&lt;author&gt;Johnson, Kyle P.&lt;/author&gt;&lt;author&gt;Sheridan, David C.&lt;/author&gt;&lt;/authors&gt;&lt;/contributors&gt;&lt;titles&gt;&lt;title&gt;Sources of Medications Used by Children and Adolescents for Intentional Ingestion: A Retrospective Chart Review&lt;/title&gt;&lt;secondary-title&gt;Pediatric emergency care&lt;/secondary-title&gt;&lt;/titles&gt;&lt;pages&gt;e1213-e1216&lt;/pages&gt;&lt;volume&gt;38&lt;/volume&gt;&lt;number&gt;4&lt;/number&gt;&lt;dates&gt;&lt;year&gt;2022&lt;/year&gt;&lt;/dates&gt;&lt;urls&gt;&lt;related-urls&gt;&lt;url&gt;http://ovidsp.ovid.com/ovidweb.cgi?T=JS&amp;amp;PAGE=reference&amp;amp;D=med20&amp;amp;NEWS=N&amp;amp;AN=34608059&lt;/url&gt;&lt;/related-urls&gt;&lt;/urls&gt;&lt;electronic-resource-num&gt;https://dx.doi.org/10.1097/PEC.0000000000002553&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(Larson et al., 2022)</w:t>
            </w:r>
            <w:r w:rsidRPr="0091560A">
              <w:rPr>
                <w:rFonts w:eastAsia="Times New Roman" w:cs="Times New Roman"/>
                <w:color w:val="000000"/>
                <w:sz w:val="16"/>
                <w:szCs w:val="16"/>
                <w:lang w:eastAsia="en-AU"/>
              </w:rPr>
              <w:fldChar w:fldCharType="end"/>
            </w:r>
          </w:p>
          <w:p w14:paraId="0F8BA375" w14:textId="77777777" w:rsidR="00574EB4" w:rsidRPr="0091560A" w:rsidRDefault="00574EB4">
            <w:pPr>
              <w:spacing w:after="0" w:line="240" w:lineRule="auto"/>
              <w:rPr>
                <w:rFonts w:eastAsia="Times New Roman" w:cs="Times New Roman"/>
                <w:color w:val="000000"/>
                <w:sz w:val="16"/>
                <w:szCs w:val="16"/>
                <w:lang w:eastAsia="en-AU"/>
              </w:rPr>
            </w:pPr>
          </w:p>
          <w:p w14:paraId="7B0A7C61" w14:textId="6680EBC2"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Oregon, US</w:t>
            </w:r>
            <w:r w:rsidR="00AB0A86">
              <w:rPr>
                <w:rFonts w:eastAsia="Times New Roman" w:cs="Times New Roman"/>
                <w:color w:val="000000" w:themeColor="text1"/>
                <w:sz w:val="16"/>
                <w:szCs w:val="16"/>
                <w:lang w:eastAsia="en-AU"/>
              </w:rPr>
              <w:t>A</w:t>
            </w:r>
          </w:p>
        </w:tc>
        <w:tc>
          <w:tcPr>
            <w:tcW w:w="1232" w:type="dxa"/>
          </w:tcPr>
          <w:p w14:paraId="5C5298A0"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7B60C4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OTC medications (other prescription medications used in self-poisonings)</w:t>
            </w:r>
          </w:p>
        </w:tc>
        <w:tc>
          <w:tcPr>
            <w:tcW w:w="2409" w:type="dxa"/>
            <w:shd w:val="clear" w:color="auto" w:fill="auto"/>
            <w:noWrap/>
          </w:tcPr>
          <w:p w14:paraId="4E0153E2"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Patients seen by the Doernbecher Child and Adolescent Psychiatry Consultation-Liaison Service for intentional ingestion from 2015 to 2017</w:t>
            </w:r>
          </w:p>
        </w:tc>
        <w:tc>
          <w:tcPr>
            <w:tcW w:w="1279" w:type="dxa"/>
            <w:shd w:val="clear" w:color="auto" w:fill="auto"/>
            <w:noWrap/>
          </w:tcPr>
          <w:p w14:paraId="23FBF45F"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434 (240 OTC drug overdoses)</w:t>
            </w:r>
          </w:p>
        </w:tc>
        <w:tc>
          <w:tcPr>
            <w:tcW w:w="1452" w:type="dxa"/>
            <w:shd w:val="clear" w:color="auto" w:fill="auto"/>
            <w:noWrap/>
          </w:tcPr>
          <w:p w14:paraId="13DAB03D"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M = 15; range = 11-17</w:t>
            </w:r>
          </w:p>
        </w:tc>
        <w:tc>
          <w:tcPr>
            <w:tcW w:w="1417" w:type="dxa"/>
            <w:shd w:val="clear" w:color="auto" w:fill="auto"/>
            <w:noWrap/>
          </w:tcPr>
          <w:p w14:paraId="47A7D1D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0C29784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 xml:space="preserve">Co-ingestion substances: </w:t>
            </w:r>
            <w:r w:rsidRPr="0091560A">
              <w:rPr>
                <w:rFonts w:eastAsia="Times New Roman" w:cs="Times New Roman"/>
                <w:color w:val="000000" w:themeColor="text1"/>
                <w:sz w:val="16"/>
                <w:szCs w:val="16"/>
                <w:lang w:eastAsia="en-AU"/>
              </w:rPr>
              <w:t>13% cases included a combination of both OTC and prescription medication</w:t>
            </w:r>
          </w:p>
        </w:tc>
      </w:tr>
      <w:tr w:rsidR="00574EB4" w:rsidRPr="0091560A" w14:paraId="0C809AC3" w14:textId="77777777" w:rsidTr="0035719A">
        <w:trPr>
          <w:trHeight w:val="688"/>
        </w:trPr>
        <w:tc>
          <w:tcPr>
            <w:tcW w:w="1456" w:type="dxa"/>
            <w:shd w:val="clear" w:color="auto" w:fill="auto"/>
            <w:noWrap/>
          </w:tcPr>
          <w:p w14:paraId="404F155C" w14:textId="6D8F55A5"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Lo (2003)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&lt;EndNote&gt;&lt;Cite&gt;&lt;Author&gt;Lo&lt;/Author&gt;&lt;Year&gt;2003&lt;/Year&gt;&lt;RecNum&gt;894&lt;/RecNum&gt;&lt;DisplayText&gt;(Lo et al., 2003)&lt;/DisplayText&gt;&lt;record&gt;&lt;rec-number&gt;894&lt;/rec-number&gt;&lt;foreign-keys&gt;&lt;key app="EN" db-id="90p22wx96ddedpe0r9pxtt9gzz05dd5ev299" timestamp="1657000537"&gt;894&lt;/key&gt;&lt;/foreign-keys&gt;&lt;ref-type name="Journal Article"&gt;17&lt;/ref-type&gt;&lt;contributors&gt;&lt;authors&gt;&lt;author&gt;Lo, A.&lt;/author&gt;&lt;author&gt;Shalansky, S.&lt;/author&gt;&lt;author&gt;Leung, M.&lt;/author&gt;&lt;author&gt;Hollander, Y.&lt;/author&gt;&lt;author&gt;Raboud, J.&lt;/author&gt;&lt;/authors&gt;&lt;/contributors&gt;&lt;titles&gt;&lt;title&gt;Patient characteristics associated with nonprescription drug use in intentional overdose&lt;/title&gt;&lt;secondary-title&gt;Canadian Journal of Psychiatry&lt;/secondary-title&gt;&lt;/titles&gt;&lt;pages&gt;232-236&lt;/pages&gt;&lt;volume&gt;48&lt;/volume&gt;&lt;number&gt;4&lt;/number&gt;&lt;dates&gt;&lt;year&gt;2003&lt;/year&gt;&lt;/dates&gt;&lt;urls&gt;&lt;related-urls&gt;&lt;url&gt;http://ovidsp.ovid.com/ovidweb.cgi?T=JS&amp;amp;PAGE=reference&amp;amp;D=emed8&amp;amp;NEWS=N&amp;amp;AN=36733829&lt;/url&gt;&lt;/related-urls&gt;&lt;/urls&gt;&lt;electronic-resource-num&gt;http://dx.doi.org/10.1177/070674370304800406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(Lo et al., 2003)</w:t>
            </w:r>
            <w:r w:rsidRPr="0091560A">
              <w:rPr>
                <w:rFonts w:eastAsia="Times New Roman" w:cs="Times New Roman"/>
                <w:color w:val="000000"/>
                <w:sz w:val="16"/>
                <w:szCs w:val="16"/>
                <w:lang w:eastAsia="en-AU"/>
              </w:rPr>
              <w:fldChar w:fldCharType="end"/>
            </w:r>
          </w:p>
          <w:p w14:paraId="34F349F5" w14:textId="77777777" w:rsidR="00574EB4" w:rsidRPr="0091560A" w:rsidRDefault="00574EB4">
            <w:pPr>
              <w:spacing w:after="0" w:line="240" w:lineRule="auto"/>
              <w:rPr>
                <w:rFonts w:eastAsia="Times New Roman" w:cs="Times New Roman"/>
                <w:color w:val="000000"/>
                <w:sz w:val="16"/>
                <w:szCs w:val="16"/>
                <w:lang w:eastAsia="en-AU"/>
              </w:rPr>
            </w:pPr>
          </w:p>
          <w:p w14:paraId="7469062E"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t>Vancouver, Canada</w:t>
            </w:r>
          </w:p>
        </w:tc>
        <w:tc>
          <w:tcPr>
            <w:tcW w:w="1232" w:type="dxa"/>
          </w:tcPr>
          <w:p w14:paraId="7C1F0C2B"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4E22B865"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 xml:space="preserve">OTC medications (other prescription medications used in self-poisonings)  </w:t>
            </w:r>
          </w:p>
        </w:tc>
        <w:tc>
          <w:tcPr>
            <w:tcW w:w="2409" w:type="dxa"/>
            <w:shd w:val="clear" w:color="auto" w:fill="auto"/>
            <w:noWrap/>
          </w:tcPr>
          <w:p w14:paraId="2508CE63" w14:textId="328839B2"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Patients who presented at St Paul</w:t>
            </w:r>
            <w:r w:rsidR="00787E88">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s Hospital from August 1, 1997, to July 31, 1998, with a discharge diagnosis of medication overdoses. Patients were excluded if they had accidental poisoning or overdose</w:t>
            </w:r>
          </w:p>
        </w:tc>
        <w:tc>
          <w:tcPr>
            <w:tcW w:w="1279" w:type="dxa"/>
            <w:shd w:val="clear" w:color="auto" w:fill="auto"/>
            <w:noWrap/>
          </w:tcPr>
          <w:p w14:paraId="5DE281AE"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95 (28 OTC drug overdoses) </w:t>
            </w:r>
          </w:p>
        </w:tc>
        <w:tc>
          <w:tcPr>
            <w:tcW w:w="1452" w:type="dxa"/>
            <w:shd w:val="clear" w:color="auto" w:fill="auto"/>
            <w:noWrap/>
          </w:tcPr>
          <w:p w14:paraId="5595E89F"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Overall: M = 43; SD = 13</w:t>
            </w:r>
            <w:r w:rsidRPr="0091560A" w:rsidDel="00FC14F1">
              <w:rPr>
                <w:rFonts w:cs="Times New Roman"/>
              </w:rPr>
              <w:br/>
            </w:r>
            <w:r w:rsidRPr="0091560A">
              <w:rPr>
                <w:rFonts w:eastAsia="Times New Roman" w:cs="Times New Roman"/>
                <w:color w:val="000000" w:themeColor="text1"/>
                <w:sz w:val="16"/>
                <w:szCs w:val="16"/>
                <w:lang w:eastAsia="en-AU"/>
              </w:rPr>
              <w:t>OTC drugs: M = 35; SD = 9</w:t>
            </w:r>
            <w:r w:rsidRPr="0091560A">
              <w:rPr>
                <w:rFonts w:cs="Times New Roman"/>
              </w:rPr>
              <w:br/>
            </w:r>
            <w:r w:rsidRPr="0091560A">
              <w:rPr>
                <w:rFonts w:eastAsia="Times New Roman" w:cs="Times New Roman"/>
                <w:color w:val="000000" w:themeColor="text1"/>
                <w:sz w:val="16"/>
                <w:szCs w:val="16"/>
                <w:lang w:eastAsia="en-AU"/>
              </w:rPr>
              <w:t>Other drugs: M = 42; SD = 14</w:t>
            </w:r>
          </w:p>
        </w:tc>
        <w:tc>
          <w:tcPr>
            <w:tcW w:w="1417" w:type="dxa"/>
            <w:shd w:val="clear" w:color="auto" w:fill="auto"/>
            <w:noWrap/>
          </w:tcPr>
          <w:p w14:paraId="7309F1A0"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5F878D7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Age:</w:t>
            </w:r>
            <w:r w:rsidRPr="0091560A">
              <w:rPr>
                <w:rFonts w:eastAsia="Times New Roman" w:cs="Times New Roman"/>
                <w:color w:val="000000" w:themeColor="text1"/>
                <w:sz w:val="16"/>
                <w:szCs w:val="16"/>
                <w:lang w:eastAsia="en-AU"/>
              </w:rPr>
              <w:t xml:space="preserve"> Younger patients more likely to use OTC medications for overdose as compared to older patients </w:t>
            </w:r>
          </w:p>
          <w:p w14:paraId="6E4B28A8"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Substance abuse:</w:t>
            </w:r>
            <w:r w:rsidRPr="0091560A">
              <w:rPr>
                <w:rFonts w:eastAsia="Times New Roman" w:cs="Times New Roman"/>
                <w:color w:val="000000" w:themeColor="text1"/>
                <w:sz w:val="16"/>
                <w:szCs w:val="16"/>
                <w:lang w:eastAsia="en-AU"/>
              </w:rPr>
              <w:t xml:space="preserve"> Those using OTC drugs in self-poisoning less likely to have a substance abuse disorder compared to those using prescription drugs in self-poisoning</w:t>
            </w:r>
          </w:p>
          <w:p w14:paraId="54639CBB" w14:textId="77777777" w:rsidR="00574EB4" w:rsidRPr="0091560A" w:rsidRDefault="00574EB4">
            <w:pPr>
              <w:spacing w:after="0" w:line="240" w:lineRule="auto"/>
              <w:rPr>
                <w:rFonts w:eastAsia="Times New Roman" w:cs="Times New Roman"/>
                <w:b/>
                <w:color w:val="000000" w:themeColor="text1"/>
                <w:sz w:val="16"/>
                <w:szCs w:val="16"/>
                <w:lang w:eastAsia="en-AU"/>
              </w:rPr>
            </w:pPr>
          </w:p>
        </w:tc>
      </w:tr>
      <w:tr w:rsidR="00574EB4" w:rsidRPr="0091560A" w14:paraId="2CB1082E" w14:textId="77777777" w:rsidTr="0035719A">
        <w:trPr>
          <w:trHeight w:val="688"/>
        </w:trPr>
        <w:tc>
          <w:tcPr>
            <w:tcW w:w="1456" w:type="dxa"/>
            <w:shd w:val="clear" w:color="auto" w:fill="auto"/>
            <w:noWrap/>
          </w:tcPr>
          <w:p w14:paraId="3CBDE2BD" w14:textId="5B274C03"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Mikhail (2019)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&lt;EndNote&gt;&lt;Cite&gt;&lt;Author&gt;Mikhail&lt;/Author&gt;&lt;Year&gt;2018&lt;/Year&gt;&lt;RecNum&gt;897&lt;/RecNum&gt;&lt;DisplayText&gt;(Mikhail et al., 2018)&lt;/DisplayText&gt;&lt;record&gt;&lt;rec-number&gt;897&lt;/rec-number&gt;&lt;foreign-keys&gt;&lt;key app="EN" db-id="90p22wx96ddedpe0r9pxtt9gzz05dd5ev299" timestamp="1657000537"&gt;897&lt;/key&gt;&lt;/foreign-keys&gt;&lt;ref-type name="Journal Article"&gt;17&lt;/ref-type&gt;&lt;contributors&gt;&lt;authors&gt;&lt;author&gt;Mikhail, Alexandre&lt;/author&gt;&lt;author&gt;Tanoli, Omaid&lt;/author&gt;&lt;author&gt;Légaré, Gilles&lt;/author&gt;&lt;author&gt;Dubé, Pierre-André&lt;/author&gt;&lt;author&gt;Habel, Youssef&lt;/author&gt;&lt;author&gt;Lesage, Alain&lt;/author&gt;&lt;author&gt;Low, Nancy C. P.&lt;/author&gt;&lt;author&gt;Lamarre, Suzanne&lt;/author&gt;&lt;author&gt;Singh, Santokh&lt;/author&gt;&lt;author&gt;Rahme, Elham&lt;/author&gt;&lt;/authors&gt;&lt;/contributors&gt;&lt;titles&gt;&lt;title&gt;Over-the-Counter Drugs and Other Substances Used in Attempted Suicide Presented to Emergency Departments in Montreal, Canada&lt;/title&gt;&lt;secondary-title&gt;Crisis: The Journal of Crisis Intervention &amp;amp; Suicide Prevention&lt;/secondary-title&gt;&lt;/titles&gt;&lt;pages&gt;1-10&lt;/pages&gt;&lt;dates&gt;&lt;year&gt;2018&lt;/year&gt;&lt;/dates&gt;&lt;accession-num&gt;131893270. Language: English. Entry Date: In Process. Revision Date: 20200111. Publication Type: journal article. Journal Subset: Biomedical&lt;/accession-num&gt;&lt;urls&gt;&lt;related-urls&gt;&lt;url&gt;https://search.ebscohost.com/login.aspx?direct=true&amp;amp;db=cin20&amp;amp;AN=131893270&amp;amp;site=ehost-live&lt;/url&gt;&lt;/related-urls&gt;&lt;/urls&gt;&lt;electronic-resource-num&gt;10.1027/0227-5910/a000545&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(Mikhail et al., 2018)</w:t>
            </w:r>
            <w:r w:rsidRPr="0091560A">
              <w:rPr>
                <w:rFonts w:eastAsia="Times New Roman" w:cs="Times New Roman"/>
                <w:color w:val="000000"/>
                <w:sz w:val="16"/>
                <w:szCs w:val="16"/>
                <w:lang w:eastAsia="en-AU"/>
              </w:rPr>
              <w:fldChar w:fldCharType="end"/>
            </w:r>
          </w:p>
          <w:p w14:paraId="5BB03377" w14:textId="77777777" w:rsidR="00574EB4" w:rsidRPr="0091560A" w:rsidRDefault="00574EB4">
            <w:pPr>
              <w:spacing w:after="0" w:line="240" w:lineRule="auto"/>
              <w:rPr>
                <w:rFonts w:eastAsia="Times New Roman" w:cs="Times New Roman"/>
                <w:color w:val="000000"/>
                <w:sz w:val="16"/>
                <w:szCs w:val="16"/>
                <w:lang w:eastAsia="en-AU"/>
              </w:rPr>
            </w:pPr>
          </w:p>
          <w:p w14:paraId="11B34F06"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t>Montreal, Canada</w:t>
            </w:r>
          </w:p>
        </w:tc>
        <w:tc>
          <w:tcPr>
            <w:tcW w:w="1232" w:type="dxa"/>
          </w:tcPr>
          <w:p w14:paraId="26EB5726"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2D7B089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 xml:space="preserve">OTC medications (other prescription medications used in self-poisoning) </w:t>
            </w:r>
          </w:p>
        </w:tc>
        <w:tc>
          <w:tcPr>
            <w:tcW w:w="2409" w:type="dxa"/>
            <w:shd w:val="clear" w:color="auto" w:fill="auto"/>
            <w:noWrap/>
          </w:tcPr>
          <w:p w14:paraId="6405AD79"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All patients who presented to the ED in two university affiliated hospitals in Montreal with a suicide attempt from January 2009 to March 2010</w:t>
            </w:r>
            <w:r w:rsidRPr="0091560A">
              <w:rPr>
                <w:rFonts w:cs="Times New Roman"/>
              </w:rPr>
              <w:br/>
            </w:r>
            <w:r w:rsidRPr="0091560A">
              <w:rPr>
                <w:rFonts w:cs="Times New Roman"/>
              </w:rPr>
              <w:br/>
            </w:r>
          </w:p>
        </w:tc>
        <w:tc>
          <w:tcPr>
            <w:tcW w:w="1279" w:type="dxa"/>
            <w:shd w:val="clear" w:color="auto" w:fill="auto"/>
            <w:noWrap/>
          </w:tcPr>
          <w:p w14:paraId="48DCD745"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181 (85 with OTC drugs, 96 with non-OTC drugs)  </w:t>
            </w:r>
            <w:r w:rsidRPr="0091560A">
              <w:rPr>
                <w:rFonts w:cs="Times New Roman"/>
              </w:rPr>
              <w:br/>
            </w:r>
            <w:r w:rsidRPr="0091560A">
              <w:rPr>
                <w:rFonts w:cs="Times New Roman"/>
              </w:rPr>
              <w:br/>
            </w:r>
          </w:p>
        </w:tc>
        <w:tc>
          <w:tcPr>
            <w:tcW w:w="1452" w:type="dxa"/>
            <w:shd w:val="clear" w:color="auto" w:fill="auto"/>
            <w:noWrap/>
          </w:tcPr>
          <w:p w14:paraId="5B3B4383"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OTC drugs: M = 33.9; SD = 14.9</w:t>
            </w:r>
          </w:p>
          <w:p w14:paraId="0B99E371"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Non-OTC drugs: M = 42.0; SD = 16.8</w:t>
            </w:r>
          </w:p>
        </w:tc>
        <w:tc>
          <w:tcPr>
            <w:tcW w:w="1417" w:type="dxa"/>
            <w:shd w:val="clear" w:color="auto" w:fill="auto"/>
            <w:noWrap/>
          </w:tcPr>
          <w:p w14:paraId="29B71A47"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7077E06B"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Suicidal intent:</w:t>
            </w:r>
            <w:r w:rsidRPr="0091560A">
              <w:rPr>
                <w:rFonts w:eastAsia="Times New Roman" w:cs="Times New Roman"/>
                <w:color w:val="000000"/>
                <w:sz w:val="16"/>
                <w:szCs w:val="16"/>
                <w:lang w:eastAsia="en-AU"/>
              </w:rPr>
              <w:t xml:space="preserve"> 100% of cases were classified as having suicidal intent</w:t>
            </w:r>
          </w:p>
          <w:p w14:paraId="41E965C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color w:val="000000" w:themeColor="text1"/>
                <w:sz w:val="16"/>
                <w:szCs w:val="16"/>
                <w:lang w:eastAsia="en-AU"/>
              </w:rPr>
              <w:t>Ethnicity:</w:t>
            </w:r>
            <w:r w:rsidRPr="0091560A">
              <w:rPr>
                <w:rFonts w:eastAsia="Times New Roman" w:cs="Times New Roman"/>
                <w:color w:val="000000" w:themeColor="text1"/>
                <w:sz w:val="16"/>
                <w:szCs w:val="16"/>
                <w:lang w:eastAsia="en-AU"/>
              </w:rPr>
              <w:t xml:space="preserve"> OTC drug overdose associated with non-Caucasian ethnicity </w:t>
            </w:r>
          </w:p>
          <w:p w14:paraId="31F25557"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Family:</w:t>
            </w:r>
            <w:r w:rsidRPr="0091560A">
              <w:rPr>
                <w:rFonts w:eastAsia="Times New Roman" w:cs="Times New Roman"/>
                <w:color w:val="000000"/>
                <w:sz w:val="16"/>
                <w:szCs w:val="16"/>
                <w:lang w:eastAsia="en-AU"/>
              </w:rPr>
              <w:t xml:space="preserve"> OTC drug overdose associated with having no children</w:t>
            </w:r>
          </w:p>
          <w:p w14:paraId="38C0C079" w14:textId="77777777" w:rsidR="00574EB4" w:rsidRPr="0091560A" w:rsidRDefault="00574EB4">
            <w:pPr>
              <w:spacing w:after="0" w:line="240" w:lineRule="auto"/>
              <w:rPr>
                <w:rFonts w:eastAsia="Times New Roman" w:cs="Times New Roman"/>
                <w:color w:val="000000"/>
                <w:sz w:val="16"/>
                <w:szCs w:val="16"/>
                <w:lang w:eastAsia="en-AU"/>
              </w:rPr>
            </w:pPr>
            <w:r w:rsidRPr="0091560A">
              <w:rPr>
                <w:rFonts w:eastAsia="Times New Roman" w:cs="Times New Roman"/>
                <w:b/>
                <w:bCs/>
                <w:color w:val="000000"/>
                <w:sz w:val="16"/>
                <w:szCs w:val="16"/>
                <w:lang w:eastAsia="en-AU"/>
              </w:rPr>
              <w:t>Substance abuse:</w:t>
            </w:r>
            <w:r w:rsidRPr="0091560A">
              <w:rPr>
                <w:rFonts w:eastAsia="Times New Roman" w:cs="Times New Roman"/>
                <w:color w:val="000000"/>
                <w:sz w:val="16"/>
                <w:szCs w:val="16"/>
                <w:lang w:eastAsia="en-AU"/>
              </w:rPr>
              <w:t xml:space="preserve"> OTC self-poisoning associated with no diagnosis of substance abuse</w:t>
            </w:r>
          </w:p>
          <w:p w14:paraId="55A4C1F0" w14:textId="77777777" w:rsidR="00574EB4" w:rsidRPr="0091560A" w:rsidRDefault="00574EB4">
            <w:pPr>
              <w:spacing w:after="0" w:line="240" w:lineRule="auto"/>
              <w:rPr>
                <w:rFonts w:eastAsia="Times New Roman" w:cs="Times New Roman"/>
                <w:b/>
                <w:color w:val="000000" w:themeColor="text1"/>
                <w:sz w:val="16"/>
                <w:szCs w:val="16"/>
                <w:lang w:eastAsia="en-AU"/>
              </w:rPr>
            </w:pPr>
            <w:r w:rsidRPr="0091560A">
              <w:rPr>
                <w:rFonts w:eastAsia="Times New Roman" w:cs="Times New Roman"/>
                <w:b/>
                <w:bCs/>
                <w:color w:val="000000"/>
                <w:sz w:val="16"/>
                <w:szCs w:val="16"/>
                <w:lang w:eastAsia="en-AU"/>
              </w:rPr>
              <w:t>Physical health:</w:t>
            </w:r>
            <w:r w:rsidRPr="0091560A">
              <w:rPr>
                <w:rFonts w:eastAsia="Times New Roman" w:cs="Times New Roman"/>
                <w:color w:val="000000"/>
                <w:sz w:val="16"/>
                <w:szCs w:val="16"/>
                <w:lang w:eastAsia="en-AU"/>
              </w:rPr>
              <w:t xml:space="preserve"> OTC self-poisoning associated with no medical comorbidities</w:t>
            </w:r>
          </w:p>
        </w:tc>
      </w:tr>
      <w:tr w:rsidR="00574EB4" w:rsidRPr="0091560A" w14:paraId="7A0619D3" w14:textId="77777777" w:rsidTr="0035719A">
        <w:trPr>
          <w:trHeight w:val="1566"/>
        </w:trPr>
        <w:tc>
          <w:tcPr>
            <w:tcW w:w="1456" w:type="dxa"/>
            <w:shd w:val="clear" w:color="auto" w:fill="auto"/>
            <w:noWrap/>
          </w:tcPr>
          <w:p w14:paraId="1E938715" w14:textId="71EDAD9F"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Rhodes, Bethell, Spence et al. (2008)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&lt;EndNote&gt;&lt;Cite&gt;&lt;Author&gt;Rhodes&lt;/Author&gt;&lt;Year&gt;2008&lt;/Year&gt;&lt;RecNum&gt;909&lt;/RecNum&gt;&lt;DisplayText&gt;(A. E. Rhodes et al., 2008)&lt;/DisplayText&gt;&lt;record&gt;&lt;rec-number&gt;909&lt;/rec-number&gt;&lt;foreign-keys&gt;&lt;key app="EN" db-id="90p22wx96ddedpe0r9pxtt9gzz05dd5ev299" timestamp="1657000537"&gt;909&lt;/key&gt;&lt;/foreign-keys&gt;&lt;ref-type name="Journal Article"&gt;17&lt;/ref-type&gt;&lt;contributors&gt;&lt;authors&gt;&lt;author&gt;Rhodes, Anne E.&lt;/author&gt;&lt;author&gt;Bethell, Jennifer&lt;/author&gt;&lt;author&gt;Spence, Julie&lt;/author&gt;&lt;author&gt;Links, Paul S.&lt;/author&gt;&lt;author&gt;Streiner, David L.&lt;/author&gt;&lt;author&gt;Jaakkimainen, R. Liisa&lt;/author&gt;&lt;/authors&gt;&lt;/contributors&gt;&lt;titles&gt;&lt;title&gt;Age-sex differences in medicinal self-poisonings: A population-based study of deliberate intent and medical severity&lt;/title&gt;&lt;secondary-title&gt;Social Psychiatry and Psychiatric Epidemiology: The International Journal for Research in Social and Genetic Epidemiology and Mental Health Services&lt;/secondary-title&gt;&lt;/titles&gt;&lt;pages&gt;642-652&lt;/pages&gt;&lt;volume&gt;43&lt;/volume&gt;&lt;number&gt;8&lt;/number&gt;&lt;dates&gt;&lt;year&gt;2008&lt;/year&gt;&lt;/dates&gt;&lt;urls&gt;&lt;related-urls&gt;&lt;url&gt;http://ovidsp.ovid.com/ovidweb.cgi?T=JS&amp;amp;PAGE=reference&amp;amp;D=psyc6&amp;amp;NEWS=N&amp;amp;AN=2008-10708-008&lt;/url&gt;&lt;/related-urls&gt;&lt;/urls&gt;&lt;electronic-resource-num&gt;https://dx.doi.org/10.1007/s00127-008-0349-6&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(A. E. Rhodes et al., 2008)</w:t>
            </w:r>
            <w:r w:rsidRPr="0091560A">
              <w:rPr>
                <w:rFonts w:eastAsia="Times New Roman" w:cs="Times New Roman"/>
                <w:color w:val="000000"/>
                <w:sz w:val="16"/>
                <w:szCs w:val="16"/>
                <w:lang w:eastAsia="en-AU"/>
              </w:rPr>
              <w:fldChar w:fldCharType="end"/>
            </w:r>
          </w:p>
          <w:p w14:paraId="1CB1F737" w14:textId="77777777" w:rsidR="00574EB4" w:rsidRPr="0091560A" w:rsidRDefault="00574EB4">
            <w:pPr>
              <w:spacing w:after="0" w:line="240" w:lineRule="auto"/>
              <w:rPr>
                <w:rFonts w:eastAsia="Times New Roman" w:cs="Times New Roman"/>
                <w:color w:val="000000"/>
                <w:sz w:val="16"/>
                <w:szCs w:val="16"/>
                <w:lang w:eastAsia="en-AU"/>
              </w:rPr>
            </w:pPr>
          </w:p>
          <w:p w14:paraId="7265B08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t>Canada</w:t>
            </w:r>
          </w:p>
        </w:tc>
        <w:tc>
          <w:tcPr>
            <w:tcW w:w="1232" w:type="dxa"/>
          </w:tcPr>
          <w:p w14:paraId="42310F31"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F20ABD5"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Aromatic analgesics including paracetamol (other self-poisoning drugs)</w:t>
            </w:r>
            <w:r w:rsidRPr="0091560A">
              <w:rPr>
                <w:rFonts w:cs="Times New Roman"/>
              </w:rPr>
              <w:br/>
            </w:r>
          </w:p>
        </w:tc>
        <w:tc>
          <w:tcPr>
            <w:tcW w:w="2409" w:type="dxa"/>
            <w:shd w:val="clear" w:color="auto" w:fill="auto"/>
            <w:noWrap/>
          </w:tcPr>
          <w:p w14:paraId="536CECD5"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Data from the National Ambulatory Care Reporting   System were used to identify </w:t>
            </w:r>
            <w:r w:rsidRPr="0091560A" w:rsidDel="00D70FFC">
              <w:rPr>
                <w:rFonts w:eastAsia="Times New Roman" w:cs="Times New Roman"/>
                <w:color w:val="000000" w:themeColor="text1"/>
                <w:sz w:val="16"/>
                <w:szCs w:val="16"/>
                <w:lang w:eastAsia="en-AU"/>
              </w:rPr>
              <w:t xml:space="preserve">ED </w:t>
            </w:r>
            <w:r w:rsidRPr="0091560A">
              <w:rPr>
                <w:rFonts w:eastAsia="Times New Roman" w:cs="Times New Roman"/>
                <w:color w:val="000000" w:themeColor="text1"/>
                <w:sz w:val="16"/>
                <w:szCs w:val="16"/>
                <w:lang w:eastAsia="en-AU"/>
              </w:rPr>
              <w:t>presentations to hospitals in Ontario, Canada from</w:t>
            </w:r>
            <w:r w:rsidRPr="0091560A" w:rsidDel="00D70FFC">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April 1, 2001to March 31, 2002, for self-poisoning by Ontario residents aged 12 years and older</w:t>
            </w:r>
          </w:p>
        </w:tc>
        <w:tc>
          <w:tcPr>
            <w:tcW w:w="1279" w:type="dxa"/>
            <w:shd w:val="clear" w:color="auto" w:fill="auto"/>
            <w:noWrap/>
          </w:tcPr>
          <w:p w14:paraId="14C69B4C"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18,383</w:t>
            </w:r>
          </w:p>
        </w:tc>
        <w:tc>
          <w:tcPr>
            <w:tcW w:w="1452" w:type="dxa"/>
            <w:shd w:val="clear" w:color="auto" w:fill="auto"/>
            <w:noWrap/>
          </w:tcPr>
          <w:p w14:paraId="22406603"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Range =12+ </w:t>
            </w:r>
          </w:p>
        </w:tc>
        <w:tc>
          <w:tcPr>
            <w:tcW w:w="1417" w:type="dxa"/>
            <w:shd w:val="clear" w:color="auto" w:fill="auto"/>
            <w:noWrap/>
          </w:tcPr>
          <w:p w14:paraId="1B964BCC"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50%</w:t>
            </w:r>
          </w:p>
        </w:tc>
        <w:tc>
          <w:tcPr>
            <w:tcW w:w="4630" w:type="dxa"/>
            <w:shd w:val="clear" w:color="auto" w:fill="auto"/>
          </w:tcPr>
          <w:p w14:paraId="6FE6884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Among those aged 12-64 who self-poisoned with aromatic analgesics, males and females were equally likely to be identified deliberate</w:t>
            </w:r>
          </w:p>
        </w:tc>
      </w:tr>
      <w:tr w:rsidR="00574EB4" w:rsidRPr="0091560A" w14:paraId="14E793CC" w14:textId="77777777" w:rsidTr="0035719A">
        <w:trPr>
          <w:trHeight w:val="688"/>
        </w:trPr>
        <w:tc>
          <w:tcPr>
            <w:tcW w:w="1456" w:type="dxa"/>
            <w:shd w:val="clear" w:color="auto" w:fill="auto"/>
            <w:noWrap/>
          </w:tcPr>
          <w:p w14:paraId="5719A95D" w14:textId="1FC76082"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Vancayseele (2019)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&lt;EndNote&gt;&lt;Cite&gt;&lt;Author&gt;Vancayseele&lt;/Author&gt;&lt;Year&gt;2019&lt;/Year&gt;&lt;RecNum&gt;921&lt;/RecNum&gt;&lt;DisplayText&gt;(Vancayseele et al., 2019)&lt;/DisplayText&gt;&lt;record&gt;&lt;rec-number&gt;921&lt;/rec-number&gt;&lt;foreign-keys&gt;&lt;key app="EN" db-id="90p22wx96ddedpe0r9pxtt9gzz05dd5ev299" timestamp="1657000537"&gt;921&lt;/key&gt;&lt;/foreign-keys&gt;&lt;ref-type name="Journal Article"&gt;17&lt;/ref-type&gt;&lt;contributors&gt;&lt;authors&gt;&lt;author&gt;Vancayseele, N.&lt;/author&gt;&lt;author&gt;Rotsaert, I.&lt;/author&gt;&lt;author&gt;Portzky, G.&lt;/author&gt;&lt;author&gt;Van Heeringen, K.&lt;/author&gt;&lt;/authors&gt;&lt;/contributors&gt;&lt;titles&gt;&lt;title&gt;Medication used in intentional drug overdose in Flanders 2008-2013&lt;/title&gt;&lt;secondary-title&gt;PLoS ONE&lt;/secondary-title&gt;&lt;/titles&gt;&lt;periodical&gt;&lt;full-title&gt;PLoS One&lt;/full-title&gt;&lt;/periodical&gt;&lt;pages&gt;e0216317&lt;/pages&gt;&lt;volume&gt;14&lt;/volume&gt;&lt;number&gt;5&lt;/number&gt;&lt;dates&gt;&lt;year&gt;2019&lt;/year&gt;&lt;/dates&gt;&lt;urls&gt;&lt;related-urls&gt;&lt;url&gt;https://journals.plos.org/plosone/article/file?id=10.1371/journal.pone.0216317&amp;amp;type=printablehttp://ovidsp.ovid.com/ovidweb.cgi?T=JS&amp;amp;PAGE=reference&amp;amp;D=emed20&amp;amp;NEWS=N&amp;amp;AN=2001958215&lt;/url&gt;&lt;/related-urls&gt;&lt;/urls&gt;&lt;electronic-resource-num&gt;http://dx.doi.org/10.1371/journal.pone.0216317&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(Vancayseele et al., 2019)</w:t>
            </w:r>
            <w:r w:rsidRPr="0091560A">
              <w:rPr>
                <w:rFonts w:eastAsia="Times New Roman" w:cs="Times New Roman"/>
                <w:color w:val="000000"/>
                <w:sz w:val="16"/>
                <w:szCs w:val="16"/>
                <w:lang w:eastAsia="en-AU"/>
              </w:rPr>
              <w:fldChar w:fldCharType="end"/>
            </w:r>
          </w:p>
          <w:p w14:paraId="0E833C6A" w14:textId="77777777" w:rsidR="00574EB4" w:rsidRPr="0091560A" w:rsidRDefault="00574EB4">
            <w:pPr>
              <w:spacing w:after="0" w:line="240" w:lineRule="auto"/>
              <w:rPr>
                <w:rFonts w:eastAsia="Times New Roman" w:cs="Times New Roman"/>
                <w:color w:val="000000"/>
                <w:sz w:val="16"/>
                <w:szCs w:val="16"/>
                <w:lang w:eastAsia="en-AU"/>
              </w:rPr>
            </w:pPr>
          </w:p>
          <w:p w14:paraId="5BB16A00" w14:textId="77777777"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color w:val="000000"/>
                <w:sz w:val="16"/>
                <w:szCs w:val="16"/>
                <w:lang w:eastAsia="en-AU"/>
              </w:rPr>
              <w:t>Belgium</w:t>
            </w:r>
          </w:p>
        </w:tc>
        <w:tc>
          <w:tcPr>
            <w:tcW w:w="1232" w:type="dxa"/>
          </w:tcPr>
          <w:p w14:paraId="403C6462"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Observational or cohort</w:t>
            </w:r>
          </w:p>
        </w:tc>
        <w:tc>
          <w:tcPr>
            <w:tcW w:w="1429" w:type="dxa"/>
            <w:shd w:val="clear" w:color="auto" w:fill="auto"/>
            <w:noWrap/>
          </w:tcPr>
          <w:p w14:paraId="67E3CA08"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sz w:val="16"/>
                <w:szCs w:val="16"/>
                <w:lang w:eastAsia="en-AU"/>
              </w:rPr>
              <w:t>Analgesics and antipyretics (other self-poisoning methods)</w:t>
            </w:r>
          </w:p>
        </w:tc>
        <w:tc>
          <w:tcPr>
            <w:tcW w:w="2409" w:type="dxa"/>
            <w:shd w:val="clear" w:color="auto" w:fill="auto"/>
            <w:noWrap/>
          </w:tcPr>
          <w:p w14:paraId="28CA8B38" w14:textId="48B64B5D"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Individuals who presented with intentional self-harm to the E</w:t>
            </w:r>
            <w:r w:rsidR="00787E88" w:rsidRPr="0091560A">
              <w:rPr>
                <w:rFonts w:eastAsia="Times New Roman" w:cs="Times New Roman"/>
                <w:color w:val="000000" w:themeColor="text1"/>
                <w:sz w:val="16"/>
                <w:szCs w:val="16"/>
                <w:lang w:eastAsia="en-AU"/>
              </w:rPr>
              <w:t>d</w:t>
            </w:r>
            <w:r w:rsidRPr="0091560A">
              <w:rPr>
                <w:rFonts w:eastAsia="Times New Roman" w:cs="Times New Roman"/>
                <w:color w:val="000000" w:themeColor="text1"/>
                <w:sz w:val="16"/>
                <w:szCs w:val="16"/>
                <w:lang w:eastAsia="en-AU"/>
              </w:rPr>
              <w:t>s of 31 general hospitals and two university hospitals in Flanders from 2008 to 2013</w:t>
            </w:r>
          </w:p>
        </w:tc>
        <w:tc>
          <w:tcPr>
            <w:tcW w:w="1279" w:type="dxa"/>
            <w:shd w:val="clear" w:color="auto" w:fill="auto"/>
            <w:noWrap/>
          </w:tcPr>
          <w:p w14:paraId="7D4BB5E9"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9,478</w:t>
            </w:r>
          </w:p>
        </w:tc>
        <w:tc>
          <w:tcPr>
            <w:tcW w:w="1452" w:type="dxa"/>
            <w:shd w:val="clear" w:color="auto" w:fill="auto"/>
            <w:noWrap/>
          </w:tcPr>
          <w:p w14:paraId="5C8EB24A"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themeColor="text1"/>
                <w:sz w:val="16"/>
                <w:szCs w:val="16"/>
                <w:lang w:eastAsia="en-AU"/>
              </w:rPr>
              <w:t xml:space="preserve">M = 39; SD = 15.5 </w:t>
            </w:r>
          </w:p>
        </w:tc>
        <w:tc>
          <w:tcPr>
            <w:tcW w:w="1417" w:type="dxa"/>
            <w:shd w:val="clear" w:color="auto" w:fill="auto"/>
            <w:noWrap/>
          </w:tcPr>
          <w:p w14:paraId="695AAA74" w14:textId="77777777" w:rsidR="00574EB4" w:rsidRPr="0091560A" w:rsidRDefault="00574EB4">
            <w:pPr>
              <w:spacing w:line="240" w:lineRule="auto"/>
              <w:rPr>
                <w:rFonts w:eastAsia="Times New Roman" w:cs="Times New Roman"/>
                <w:color w:val="000000"/>
                <w:sz w:val="16"/>
                <w:szCs w:val="16"/>
                <w:lang w:eastAsia="en-AU"/>
              </w:rPr>
            </w:pPr>
            <w:r w:rsidRPr="0091560A">
              <w:rPr>
                <w:rFonts w:eastAsia="Times New Roman" w:cs="Times New Roman"/>
                <w:color w:val="000000"/>
                <w:sz w:val="16"/>
                <w:szCs w:val="16"/>
                <w:lang w:eastAsia="en-AU"/>
              </w:rPr>
              <w:t>100%</w:t>
            </w:r>
          </w:p>
        </w:tc>
        <w:tc>
          <w:tcPr>
            <w:tcW w:w="4630" w:type="dxa"/>
            <w:shd w:val="clear" w:color="auto" w:fill="auto"/>
          </w:tcPr>
          <w:p w14:paraId="564A21B8" w14:textId="77777777" w:rsidR="00574EB4" w:rsidRPr="0091560A" w:rsidRDefault="00574EB4">
            <w:pPr>
              <w:spacing w:after="0" w:line="240" w:lineRule="auto"/>
              <w:rPr>
                <w:rFonts w:cs="Times New Roman"/>
                <w:b/>
                <w:bCs/>
                <w:sz w:val="16"/>
                <w:szCs w:val="16"/>
              </w:rPr>
            </w:pPr>
            <w:r w:rsidRPr="0091560A">
              <w:rPr>
                <w:rFonts w:eastAsia="Times New Roman" w:cs="Times New Roman"/>
                <w:b/>
                <w:bCs/>
                <w:color w:val="000000" w:themeColor="text1"/>
                <w:sz w:val="16"/>
                <w:szCs w:val="16"/>
                <w:lang w:eastAsia="en-AU"/>
              </w:rPr>
              <w:t>Sex:</w:t>
            </w:r>
            <w:r w:rsidRPr="0091560A">
              <w:rPr>
                <w:rFonts w:eastAsia="Times New Roman" w:cs="Times New Roman"/>
                <w:color w:val="000000" w:themeColor="text1"/>
                <w:sz w:val="16"/>
                <w:szCs w:val="16"/>
                <w:lang w:eastAsia="en-AU"/>
              </w:rPr>
              <w:t xml:space="preserve"> The consumption of analgesics and antipyretics during self-harm was similar across males (16%) and females (17%)</w:t>
            </w:r>
            <w:r w:rsidRPr="0091560A">
              <w:rPr>
                <w:rFonts w:cs="Times New Roman"/>
              </w:rPr>
              <w:br/>
            </w:r>
            <w:r w:rsidRPr="0091560A">
              <w:rPr>
                <w:rFonts w:eastAsia="Times New Roman" w:cs="Times New Roman"/>
                <w:b/>
                <w:bCs/>
                <w:sz w:val="16"/>
                <w:szCs w:val="16"/>
              </w:rPr>
              <w:t xml:space="preserve">Prescription: </w:t>
            </w:r>
            <w:r w:rsidRPr="0091560A">
              <w:rPr>
                <w:rFonts w:eastAsia="Times New Roman" w:cs="Times New Roman"/>
                <w:sz w:val="16"/>
                <w:szCs w:val="16"/>
              </w:rPr>
              <w:t>No relationship between odds of using analgesics and antipyretics during a self-harm act and prescription rates of these drugs</w:t>
            </w:r>
            <w:r w:rsidRPr="0091560A">
              <w:rPr>
                <w:rFonts w:eastAsia="Times New Roman" w:cs="Times New Roman"/>
                <w:b/>
                <w:bCs/>
                <w:sz w:val="16"/>
                <w:szCs w:val="16"/>
              </w:rPr>
              <w:t xml:space="preserve"> </w:t>
            </w:r>
          </w:p>
          <w:p w14:paraId="74FC7A2A" w14:textId="77777777" w:rsidR="00574EB4" w:rsidRPr="0091560A" w:rsidRDefault="00574EB4">
            <w:pPr>
              <w:spacing w:after="0" w:line="240" w:lineRule="auto"/>
              <w:rPr>
                <w:rFonts w:eastAsia="Times New Roman" w:cs="Times New Roman"/>
                <w:b/>
                <w:color w:val="000000" w:themeColor="text1"/>
                <w:sz w:val="16"/>
                <w:szCs w:val="16"/>
                <w:lang w:eastAsia="en-AU"/>
              </w:rPr>
            </w:pPr>
            <w:r w:rsidRPr="0091560A">
              <w:rPr>
                <w:rFonts w:eastAsia="Times New Roman" w:cs="Times New Roman"/>
                <w:b/>
                <w:bCs/>
                <w:color w:val="000000" w:themeColor="text1"/>
                <w:sz w:val="16"/>
                <w:szCs w:val="16"/>
                <w:lang w:eastAsia="en-AU"/>
              </w:rPr>
              <w:t>Self-harm history:</w:t>
            </w:r>
            <w:r w:rsidRPr="0091560A">
              <w:rPr>
                <w:rFonts w:eastAsia="Times New Roman" w:cs="Times New Roman"/>
                <w:color w:val="000000" w:themeColor="text1"/>
                <w:sz w:val="16"/>
                <w:szCs w:val="16"/>
                <w:lang w:eastAsia="en-AU"/>
              </w:rPr>
              <w:t xml:space="preserve"> The odds of using analgesics and antipyretics during a self-harm act increased significantly when there was no history of self-harm episodes</w:t>
            </w:r>
            <w:r w:rsidRPr="0091560A">
              <w:rPr>
                <w:rFonts w:cs="Times New Roman"/>
              </w:rPr>
              <w:br/>
            </w:r>
            <w:r w:rsidRPr="0091560A">
              <w:rPr>
                <w:rFonts w:eastAsia="Times New Roman" w:cs="Times New Roman"/>
                <w:b/>
                <w:bCs/>
                <w:color w:val="000000" w:themeColor="text1"/>
                <w:sz w:val="16"/>
                <w:szCs w:val="16"/>
                <w:lang w:eastAsia="en-AU"/>
              </w:rPr>
              <w:t>Alcohol use:</w:t>
            </w:r>
            <w:r w:rsidRPr="0091560A">
              <w:rPr>
                <w:rFonts w:eastAsia="Times New Roman" w:cs="Times New Roman"/>
                <w:color w:val="000000" w:themeColor="text1"/>
                <w:sz w:val="16"/>
                <w:szCs w:val="16"/>
                <w:lang w:eastAsia="en-AU"/>
              </w:rPr>
              <w:t xml:space="preserve"> When males used alcohol during the self-harm act, the odds of using analgesics and antipyretics during the self-harm act increased significantly</w:t>
            </w:r>
          </w:p>
        </w:tc>
      </w:tr>
    </w:tbl>
    <w:p w14:paraId="131DBA60" w14:textId="77777777" w:rsidR="00574EB4" w:rsidRPr="0091560A" w:rsidRDefault="00574EB4" w:rsidP="00574EB4">
      <w:pPr>
        <w:spacing w:after="0" w:line="240" w:lineRule="auto"/>
        <w:rPr>
          <w:rFonts w:eastAsia="Times New Roman" w:cs="Times New Roman"/>
          <w:color w:val="000000" w:themeColor="text1"/>
          <w:sz w:val="16"/>
          <w:szCs w:val="16"/>
          <w:lang w:eastAsia="en-AU"/>
        </w:rPr>
      </w:pPr>
      <w:bookmarkStart w:id="159" w:name="_Hlk109333912"/>
      <w:r w:rsidRPr="0091560A">
        <w:rPr>
          <w:rFonts w:eastAsia="Times New Roman" w:cs="Times New Roman"/>
          <w:b/>
          <w:bCs/>
          <w:color w:val="000000" w:themeColor="text1"/>
          <w:sz w:val="16"/>
          <w:szCs w:val="16"/>
          <w:lang w:eastAsia="en-AU"/>
        </w:rPr>
        <w:t xml:space="preserve">Notes. </w:t>
      </w:r>
      <w:r w:rsidRPr="0091560A">
        <w:rPr>
          <w:rFonts w:eastAsia="Times New Roman" w:cs="Times New Roman"/>
          <w:color w:val="000000" w:themeColor="text1"/>
          <w:sz w:val="16"/>
          <w:szCs w:val="16"/>
          <w:lang w:eastAsia="en-AU"/>
        </w:rPr>
        <w:t>DDD = defined daily dose</w:t>
      </w:r>
      <w:r w:rsidRPr="0091560A">
        <w:rPr>
          <w:rFonts w:eastAsia="Times New Roman" w:cs="Times New Roman"/>
          <w:b/>
          <w:bCs/>
          <w:color w:val="000000" w:themeColor="text1"/>
          <w:sz w:val="16"/>
          <w:szCs w:val="16"/>
          <w:lang w:eastAsia="en-AU"/>
        </w:rPr>
        <w:t xml:space="preserve">, </w:t>
      </w:r>
      <w:r w:rsidRPr="0091560A">
        <w:rPr>
          <w:rFonts w:eastAsia="Times New Roman" w:cs="Times New Roman"/>
          <w:color w:val="000000" w:themeColor="text1"/>
          <w:sz w:val="16"/>
          <w:szCs w:val="16"/>
          <w:lang w:eastAsia="en-AU"/>
        </w:rPr>
        <w:t>ED = emergency department; ICD = International Classification of Diseases</w:t>
      </w:r>
      <w:bookmarkStart w:id="160" w:name="_Hlk109333997"/>
      <w:r w:rsidRPr="0091560A">
        <w:rPr>
          <w:rFonts w:eastAsia="Times New Roman" w:cs="Times New Roman"/>
          <w:color w:val="000000" w:themeColor="text1"/>
          <w:sz w:val="16"/>
          <w:szCs w:val="16"/>
          <w:lang w:eastAsia="en-AU"/>
        </w:rPr>
        <w:t xml:space="preserve">, IQR = Inter-quartile range, </w:t>
      </w:r>
      <w:bookmarkEnd w:id="160"/>
      <w:r w:rsidRPr="0091560A">
        <w:rPr>
          <w:rFonts w:eastAsia="Times New Roman" w:cs="Times New Roman"/>
          <w:color w:val="000000" w:themeColor="text1"/>
          <w:sz w:val="16"/>
          <w:szCs w:val="16"/>
          <w:lang w:eastAsia="en-AU"/>
        </w:rPr>
        <w:t>M = Mean, OTC = over-the-counter, SD = Standard deviation, DSP = deliberate self-poisoning, SE = standard error, SIS = Suicidal Intent Scale, SSRI = selective serotonin reuptake inhibitor</w:t>
      </w:r>
    </w:p>
    <w:p w14:paraId="7683B05D" w14:textId="77777777" w:rsidR="00574EB4" w:rsidRPr="0091560A" w:rsidRDefault="00574EB4" w:rsidP="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*There is overlap between the dataset used by this study and the study by Daly et al. (2021).</w:t>
      </w:r>
    </w:p>
    <w:bookmarkEnd w:id="159"/>
    <w:p w14:paraId="3511E888" w14:textId="77777777" w:rsidR="00574EB4" w:rsidRPr="0091560A" w:rsidRDefault="00574EB4" w:rsidP="00574EB4">
      <w:pPr>
        <w:rPr>
          <w:rFonts w:cs="Times New Roman"/>
          <w:szCs w:val="24"/>
        </w:rPr>
      </w:pPr>
      <w:r w:rsidRPr="0091560A">
        <w:rPr>
          <w:rFonts w:cs="Times New Roman"/>
          <w:szCs w:val="24"/>
        </w:rPr>
        <w:br w:type="page"/>
      </w:r>
    </w:p>
    <w:p w14:paraId="0B126FEB" w14:textId="2C9D22AA" w:rsidR="00574EB4" w:rsidRPr="0091560A" w:rsidRDefault="0001651C" w:rsidP="0001651C">
      <w:pPr>
        <w:pStyle w:val="Caption"/>
      </w:pPr>
      <w:bookmarkStart w:id="161" w:name="_Ref110167872"/>
      <w:bookmarkStart w:id="162" w:name="_Toc114560147"/>
      <w:r>
        <w:t xml:space="preserve">Table </w:t>
      </w:r>
      <w:r>
        <w:fldChar w:fldCharType="begin"/>
      </w:r>
      <w:r>
        <w:instrText>SEQ Table \* ARABIC</w:instrText>
      </w:r>
      <w:r>
        <w:fldChar w:fldCharType="separate"/>
      </w:r>
      <w:r w:rsidR="0091734E">
        <w:rPr>
          <w:noProof/>
        </w:rPr>
        <w:t>32</w:t>
      </w:r>
      <w:r>
        <w:fldChar w:fldCharType="end"/>
      </w:r>
      <w:bookmarkEnd w:id="161"/>
      <w:r w:rsidRPr="0091560A">
        <w:t xml:space="preserve">. </w:t>
      </w:r>
      <w:r w:rsidR="00574EB4" w:rsidRPr="0091560A">
        <w:t>Studies examining motivations, planning, and knowledge of harm associated with intentional self-poisoning with paracetamol or other non-opioid analgesics</w:t>
      </w:r>
      <w:bookmarkEnd w:id="162"/>
    </w:p>
    <w:tbl>
      <w:tblPr>
        <w:tblW w:w="15163" w:type="dxa"/>
        <w:tblBorders>
          <w:top w:val="single" w:sz="4" w:space="0" w:color="auto"/>
          <w:bottom w:val="single" w:sz="4" w:space="0" w:color="auto"/>
          <w:insideH w:val="single" w:sz="4" w:space="0" w:color="auto"/>
        </w:tblBorders>
        <w:tblLook w:val="04A0" w:firstRow="1" w:lastRow="0" w:firstColumn="1" w:lastColumn="0" w:noHBand="0" w:noVBand="1"/>
      </w:tblPr>
      <w:tblGrid>
        <w:gridCol w:w="1354"/>
        <w:gridCol w:w="1114"/>
        <w:gridCol w:w="1159"/>
        <w:gridCol w:w="2322"/>
        <w:gridCol w:w="1114"/>
        <w:gridCol w:w="1275"/>
        <w:gridCol w:w="1438"/>
        <w:gridCol w:w="5387"/>
      </w:tblGrid>
      <w:tr w:rsidR="00574EB4" w:rsidRPr="0091560A" w14:paraId="71C4894B" w14:textId="77777777" w:rsidTr="00264C31">
        <w:trPr>
          <w:trHeight w:val="273"/>
          <w:tblHeader/>
        </w:trPr>
        <w:tc>
          <w:tcPr>
            <w:tcW w:w="1354" w:type="dxa"/>
            <w:shd w:val="clear" w:color="auto" w:fill="595959" w:themeFill="text1" w:themeFillTint="A6"/>
            <w:noWrap/>
          </w:tcPr>
          <w:p w14:paraId="5D5C3AEC" w14:textId="77777777" w:rsidR="00574EB4" w:rsidRPr="008D46C0" w:rsidRDefault="00574EB4">
            <w:pPr>
              <w:spacing w:after="0" w:line="240" w:lineRule="auto"/>
              <w:rPr>
                <w:rFonts w:cs="Times New Roman"/>
                <w:b/>
                <w:color w:val="FFFFFF" w:themeColor="background1"/>
                <w:sz w:val="16"/>
                <w:szCs w:val="16"/>
              </w:rPr>
            </w:pPr>
            <w:r w:rsidRPr="008D46C0">
              <w:rPr>
                <w:rFonts w:cs="Times New Roman"/>
                <w:b/>
                <w:color w:val="FFFFFF" w:themeColor="background1"/>
                <w:sz w:val="16"/>
                <w:szCs w:val="16"/>
              </w:rPr>
              <w:t>First author (Year) Region,</w:t>
            </w:r>
          </w:p>
          <w:p w14:paraId="364D648C"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Country</w:t>
            </w:r>
          </w:p>
        </w:tc>
        <w:tc>
          <w:tcPr>
            <w:tcW w:w="1114" w:type="dxa"/>
            <w:shd w:val="clear" w:color="auto" w:fill="595959" w:themeFill="text1" w:themeFillTint="A6"/>
          </w:tcPr>
          <w:p w14:paraId="52172F84" w14:textId="77777777" w:rsidR="00574EB4" w:rsidRPr="008D46C0" w:rsidRDefault="00574EB4">
            <w:pPr>
              <w:spacing w:after="0" w:line="240" w:lineRule="auto"/>
              <w:rPr>
                <w:rFonts w:cs="Times New Roman"/>
                <w:b/>
                <w:color w:val="FFFFFF" w:themeColor="background1"/>
                <w:sz w:val="16"/>
                <w:szCs w:val="16"/>
              </w:rPr>
            </w:pPr>
            <w:r w:rsidRPr="008D46C0">
              <w:rPr>
                <w:rFonts w:cs="Times New Roman"/>
                <w:b/>
                <w:color w:val="FFFFFF" w:themeColor="background1"/>
                <w:sz w:val="16"/>
                <w:szCs w:val="16"/>
              </w:rPr>
              <w:t>Study type</w:t>
            </w:r>
          </w:p>
        </w:tc>
        <w:tc>
          <w:tcPr>
            <w:tcW w:w="1159" w:type="dxa"/>
            <w:shd w:val="clear" w:color="auto" w:fill="595959" w:themeFill="text1" w:themeFillTint="A6"/>
            <w:noWrap/>
          </w:tcPr>
          <w:p w14:paraId="5E86C0EE"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Medication(s) examined (comparison medications)</w:t>
            </w:r>
          </w:p>
        </w:tc>
        <w:tc>
          <w:tcPr>
            <w:tcW w:w="2322" w:type="dxa"/>
            <w:shd w:val="clear" w:color="auto" w:fill="595959" w:themeFill="text1" w:themeFillTint="A6"/>
            <w:noWrap/>
          </w:tcPr>
          <w:p w14:paraId="72A44C77"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cs="Times New Roman"/>
                <w:b/>
                <w:color w:val="FFFFFF" w:themeColor="background1"/>
                <w:sz w:val="16"/>
                <w:szCs w:val="16"/>
              </w:rPr>
              <w:t>Population description</w:t>
            </w:r>
          </w:p>
        </w:tc>
        <w:tc>
          <w:tcPr>
            <w:tcW w:w="1114" w:type="dxa"/>
            <w:shd w:val="clear" w:color="auto" w:fill="595959" w:themeFill="text1" w:themeFillTint="A6"/>
            <w:noWrap/>
          </w:tcPr>
          <w:p w14:paraId="2416618D"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Sample Size</w:t>
            </w:r>
          </w:p>
        </w:tc>
        <w:tc>
          <w:tcPr>
            <w:tcW w:w="1275" w:type="dxa"/>
            <w:shd w:val="clear" w:color="auto" w:fill="595959" w:themeFill="text1" w:themeFillTint="A6"/>
            <w:noWrap/>
          </w:tcPr>
          <w:p w14:paraId="09A91C7E"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Age (years)</w:t>
            </w:r>
          </w:p>
        </w:tc>
        <w:tc>
          <w:tcPr>
            <w:tcW w:w="1438" w:type="dxa"/>
            <w:shd w:val="clear" w:color="auto" w:fill="595959" w:themeFill="text1" w:themeFillTint="A6"/>
            <w:noWrap/>
          </w:tcPr>
          <w:p w14:paraId="37B6BF14"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Proportion Intentional</w:t>
            </w:r>
          </w:p>
        </w:tc>
        <w:tc>
          <w:tcPr>
            <w:tcW w:w="5387" w:type="dxa"/>
            <w:shd w:val="clear" w:color="auto" w:fill="595959" w:themeFill="text1" w:themeFillTint="A6"/>
          </w:tcPr>
          <w:p w14:paraId="78CD29AB" w14:textId="77777777" w:rsidR="00574EB4" w:rsidRPr="008D46C0" w:rsidRDefault="00574EB4">
            <w:pPr>
              <w:spacing w:after="0" w:line="240" w:lineRule="auto"/>
              <w:rPr>
                <w:rFonts w:eastAsia="Times New Roman" w:cs="Times New Roman"/>
                <w:b/>
                <w:color w:val="FFFFFF" w:themeColor="background1"/>
                <w:sz w:val="16"/>
                <w:szCs w:val="16"/>
                <w:lang w:eastAsia="en-AU"/>
              </w:rPr>
            </w:pPr>
            <w:r w:rsidRPr="008D46C0">
              <w:rPr>
                <w:rFonts w:eastAsia="Times New Roman" w:cs="Times New Roman"/>
                <w:b/>
                <w:color w:val="FFFFFF" w:themeColor="background1"/>
                <w:sz w:val="16"/>
                <w:szCs w:val="16"/>
                <w:lang w:eastAsia="en-AU"/>
              </w:rPr>
              <w:t xml:space="preserve">Key Findings </w:t>
            </w:r>
          </w:p>
        </w:tc>
      </w:tr>
      <w:tr w:rsidR="00574EB4" w:rsidRPr="0091560A" w14:paraId="5AA994CC" w14:textId="77777777">
        <w:trPr>
          <w:trHeight w:val="1536"/>
        </w:trPr>
        <w:tc>
          <w:tcPr>
            <w:tcW w:w="1354" w:type="dxa"/>
            <w:shd w:val="clear" w:color="auto" w:fill="auto"/>
            <w:noWrap/>
          </w:tcPr>
          <w:p w14:paraId="1BD3EBF9" w14:textId="4AC95F29"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Alsen (1994)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&lt;EndNote&gt;&lt;Cite&gt;&lt;Author&gt;Alsen&lt;/Author&gt;&lt;Year&gt;1994&lt;/Year&gt;&lt;RecNum&gt;850&lt;/RecNum&gt;&lt;DisplayText&gt;(Alsen et al., 1994)&lt;/DisplayText&gt;&lt;record&gt;&lt;rec-number&gt;850&lt;/rec-number&gt;&lt;foreign-keys&gt;&lt;key app="EN" db-id="90p22wx96ddedpe0r9pxtt9gzz05dd5ev299" timestamp="1657000537"&gt;850&lt;/key&gt;&lt;/foreign-keys&gt;&lt;ref-type name="Journal Article"&gt;17&lt;/ref-type&gt;&lt;contributors&gt;&lt;authors&gt;&lt;author&gt;Alsen, M.&lt;/author&gt;&lt;author&gt;Ekedahl, A.&lt;/author&gt;&lt;author&gt;Lowenhielm, P.&lt;/author&gt;&lt;author&gt;Nimeus, A.&lt;/author&gt;&lt;author&gt;Regnell, G.&lt;/author&gt;&lt;author&gt;Traskman-Bendz, L.&lt;/author&gt;&lt;/authors&gt;&lt;/contributors&gt;&lt;titles&gt;&lt;title&gt;Medicine self-poisoning and the sources of the drugs in Lund, Sweden&lt;/title&gt;&lt;secondary-title&gt;Acta Psychiatrica Scandinavica&lt;/secondary-title&gt;&lt;/titles&gt;&lt;pages&gt;255-261&lt;/pages&gt;&lt;volume&gt;89&lt;/volume&gt;&lt;number&gt;4&lt;/number&gt;&lt;dates&gt;&lt;year&gt;1994&lt;/year&gt;&lt;/dates&gt;&lt;urls&gt;&lt;related-urls&gt;&lt;url&gt;http://ovidsp.ovid.com/ovidweb.cgi?T=JS&amp;amp;PAGE=reference&amp;amp;D=emed5&amp;amp;NEWS=N&amp;amp;AN=24134686&lt;/url&gt;&lt;/related-urls&gt;&lt;/urls&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(Alsen et al., 1994)</w:t>
            </w:r>
            <w:r w:rsidRPr="0091560A">
              <w:rPr>
                <w:rFonts w:eastAsia="Times New Roman" w:cs="Times New Roman"/>
                <w:sz w:val="16"/>
                <w:szCs w:val="16"/>
                <w:lang w:eastAsia="en-AU"/>
              </w:rPr>
              <w:fldChar w:fldCharType="end"/>
            </w:r>
          </w:p>
          <w:p w14:paraId="2C106E53" w14:textId="77777777" w:rsidR="00574EB4" w:rsidRPr="0091560A" w:rsidRDefault="00574EB4">
            <w:pPr>
              <w:spacing w:after="0" w:line="240" w:lineRule="auto"/>
              <w:rPr>
                <w:rFonts w:eastAsia="Times New Roman" w:cs="Times New Roman"/>
                <w:sz w:val="16"/>
                <w:szCs w:val="16"/>
                <w:lang w:eastAsia="en-AU"/>
              </w:rPr>
            </w:pPr>
          </w:p>
          <w:p w14:paraId="0D6528D8"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Lund, Sweden</w:t>
            </w:r>
          </w:p>
        </w:tc>
        <w:tc>
          <w:tcPr>
            <w:tcW w:w="1114" w:type="dxa"/>
          </w:tcPr>
          <w:p w14:paraId="7CDC8CE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Qualitative </w:t>
            </w:r>
          </w:p>
        </w:tc>
        <w:tc>
          <w:tcPr>
            <w:tcW w:w="1159" w:type="dxa"/>
            <w:shd w:val="clear" w:color="auto" w:fill="auto"/>
            <w:noWrap/>
          </w:tcPr>
          <w:p w14:paraId="3416811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 Paracetamol</w:t>
            </w:r>
            <w:r w:rsidRPr="0091560A" w:rsidDel="00FC14F1">
              <w:rPr>
                <w:rFonts w:eastAsia="Times New Roman" w:cs="Times New Roman"/>
                <w:sz w:val="16"/>
                <w:szCs w:val="16"/>
                <w:lang w:eastAsia="en-AU"/>
              </w:rPr>
              <w:t xml:space="preserve"> </w:t>
            </w:r>
            <w:r w:rsidRPr="0091560A">
              <w:rPr>
                <w:rFonts w:eastAsia="Times New Roman" w:cs="Times New Roman"/>
                <w:sz w:val="16"/>
                <w:szCs w:val="16"/>
                <w:lang w:eastAsia="en-AU"/>
              </w:rPr>
              <w:t>(other self-poisoning drugs)</w:t>
            </w:r>
          </w:p>
        </w:tc>
        <w:tc>
          <w:tcPr>
            <w:tcW w:w="2322" w:type="dxa"/>
            <w:shd w:val="clear" w:color="auto" w:fill="auto"/>
            <w:noWrap/>
          </w:tcPr>
          <w:p w14:paraId="5E631CE8"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Subsample of patients over 18 years old admitted to the ICU of Lund University Hospital after deliberate self-poisoning suicide attempt between 1987 and 1990  </w:t>
            </w:r>
          </w:p>
        </w:tc>
        <w:tc>
          <w:tcPr>
            <w:tcW w:w="1114" w:type="dxa"/>
            <w:shd w:val="clear" w:color="auto" w:fill="auto"/>
            <w:noWrap/>
          </w:tcPr>
          <w:p w14:paraId="1B58CA0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280 </w:t>
            </w:r>
          </w:p>
        </w:tc>
        <w:tc>
          <w:tcPr>
            <w:tcW w:w="1275" w:type="dxa"/>
            <w:shd w:val="clear" w:color="auto" w:fill="auto"/>
            <w:noWrap/>
          </w:tcPr>
          <w:p w14:paraId="384BF91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Males: M = 38; range = 18-92 </w:t>
            </w:r>
          </w:p>
          <w:p w14:paraId="559EB85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Females: M = 39; range 19-87 </w:t>
            </w:r>
          </w:p>
        </w:tc>
        <w:tc>
          <w:tcPr>
            <w:tcW w:w="1438" w:type="dxa"/>
            <w:shd w:val="clear" w:color="auto" w:fill="auto"/>
            <w:noWrap/>
          </w:tcPr>
          <w:p w14:paraId="45121601"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100% </w:t>
            </w:r>
          </w:p>
        </w:tc>
        <w:tc>
          <w:tcPr>
            <w:tcW w:w="5387" w:type="dxa"/>
            <w:shd w:val="clear" w:color="auto" w:fill="auto"/>
          </w:tcPr>
          <w:p w14:paraId="61E2F3A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Cases accessed analgesics via prescription (32%), OTC (39%), family and friends (27%) or other (2%)</w:t>
            </w:r>
            <w:r w:rsidRPr="0091560A">
              <w:rPr>
                <w:rFonts w:cs="Times New Roman"/>
              </w:rPr>
              <w:br/>
            </w:r>
            <w:r w:rsidRPr="0091560A">
              <w:rPr>
                <w:rFonts w:cs="Times New Roman"/>
              </w:rPr>
              <w:br/>
            </w:r>
          </w:p>
        </w:tc>
      </w:tr>
      <w:tr w:rsidR="00574EB4" w:rsidRPr="0091560A" w14:paraId="463E407F" w14:textId="77777777">
        <w:trPr>
          <w:trHeight w:val="1536"/>
        </w:trPr>
        <w:tc>
          <w:tcPr>
            <w:tcW w:w="1354" w:type="dxa"/>
            <w:shd w:val="clear" w:color="auto" w:fill="auto"/>
            <w:noWrap/>
          </w:tcPr>
          <w:p w14:paraId="36BE351F" w14:textId="17BD4810"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Bolger (2004)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&lt;EndNote&gt;&lt;Cite&gt;&lt;Author&gt;Bolger&lt;/Author&gt;&lt;Year&gt;2004&lt;/Year&gt;&lt;RecNum&gt;857&lt;/RecNum&gt;&lt;DisplayText&gt;(Bolger et al., 2004)&lt;/DisplayText&gt;&lt;record&gt;&lt;rec-number&gt;857&lt;/rec-number&gt;&lt;foreign-keys&gt;&lt;key app="EN" db-id="90p22wx96ddedpe0r9pxtt9gzz05dd5ev299" timestamp="1657000537"&gt;857&lt;/key&gt;&lt;/foreign-keys&gt;&lt;ref-type name="Journal Article"&gt;17&lt;/ref-type&gt;&lt;contributors&gt;&lt;authors&gt;&lt;author&gt;Bolger, S.&lt;/author&gt;&lt;author&gt;O&amp;apos;Connor, P.&lt;/author&gt;&lt;author&gt;Malone, K.&lt;/author&gt;&lt;author&gt;Fitzpatrick, C.&lt;/author&gt;&lt;/authors&gt;&lt;/contributors&gt;&lt;titles&gt;&lt;title&gt;Adolescents with suicidal behaviour: Attendance at A&amp;amp;E and six month follow-up&lt;/title&gt;&lt;secondary-title&gt;Irish Journal of Psychological Medicine&lt;/secondary-title&gt;&lt;/titles&gt;&lt;pages&gt;78-84&lt;/pages&gt;&lt;volume&gt;21&lt;/volume&gt;&lt;number&gt;3&lt;/number&gt;&lt;dates&gt;&lt;year&gt;2004&lt;/year&gt;&lt;/dates&gt;&lt;urls&gt;&lt;related-urls&gt;&lt;url&gt;(http://journals.cambridge.org/action/displayBackIssues?jid=IPM) Content List URLhttp://ovidsp.ovid.com/ovidweb.cgi?T=JS&amp;amp;PAGE=reference&amp;amp;D=emed8&amp;amp;NEWS=N&amp;amp;AN=40090464&lt;/url&gt;&lt;/related-urls&gt;&lt;/urls&gt;&lt;electronic-resource-num&gt;http://dx.doi.org/10.1017/s0790966700008405&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(Bolger et al., 2004)</w:t>
            </w:r>
            <w:r w:rsidRPr="0091560A">
              <w:rPr>
                <w:rFonts w:eastAsia="Times New Roman" w:cs="Times New Roman"/>
                <w:sz w:val="16"/>
                <w:szCs w:val="16"/>
                <w:lang w:eastAsia="en-AU"/>
              </w:rPr>
              <w:fldChar w:fldCharType="end"/>
            </w:r>
          </w:p>
          <w:p w14:paraId="3A08A607" w14:textId="77777777" w:rsidR="00574EB4" w:rsidRPr="0091560A" w:rsidRDefault="00574EB4">
            <w:pPr>
              <w:spacing w:after="0" w:line="240" w:lineRule="auto"/>
              <w:rPr>
                <w:rFonts w:eastAsia="Times New Roman" w:cs="Times New Roman"/>
                <w:sz w:val="16"/>
                <w:szCs w:val="16"/>
                <w:lang w:eastAsia="en-AU"/>
              </w:rPr>
            </w:pPr>
          </w:p>
          <w:p w14:paraId="78D6241F" w14:textId="5C6ED6F2"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Ireland</w:t>
            </w:r>
          </w:p>
        </w:tc>
        <w:tc>
          <w:tcPr>
            <w:tcW w:w="1114" w:type="dxa"/>
          </w:tcPr>
          <w:p w14:paraId="4A34A15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Qualitative </w:t>
            </w:r>
          </w:p>
        </w:tc>
        <w:tc>
          <w:tcPr>
            <w:tcW w:w="1159" w:type="dxa"/>
            <w:shd w:val="clear" w:color="auto" w:fill="auto"/>
            <w:noWrap/>
          </w:tcPr>
          <w:p w14:paraId="601E459E"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 (other self-poisoning drugs)</w:t>
            </w:r>
          </w:p>
        </w:tc>
        <w:tc>
          <w:tcPr>
            <w:tcW w:w="2322" w:type="dxa"/>
            <w:shd w:val="clear" w:color="auto" w:fill="auto"/>
            <w:noWrap/>
          </w:tcPr>
          <w:p w14:paraId="0461B56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Young people aged 14-20 who attended the Mater Hospital A&amp;E Department with suicidal ideas or self-harming or self-poisoning behaviour between June 2001 and May 2002 </w:t>
            </w:r>
          </w:p>
        </w:tc>
        <w:tc>
          <w:tcPr>
            <w:tcW w:w="1114" w:type="dxa"/>
            <w:shd w:val="clear" w:color="auto" w:fill="auto"/>
            <w:noWrap/>
          </w:tcPr>
          <w:p w14:paraId="33785B8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89 young people attended the A&amp;E, 31 agreed to an interview</w:t>
            </w:r>
          </w:p>
        </w:tc>
        <w:tc>
          <w:tcPr>
            <w:tcW w:w="1275" w:type="dxa"/>
            <w:shd w:val="clear" w:color="auto" w:fill="auto"/>
            <w:noWrap/>
          </w:tcPr>
          <w:p w14:paraId="2B5C053D"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A&amp;E group: </w:t>
            </w:r>
          </w:p>
          <w:p w14:paraId="0441BBA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14-16 = 28%; 17-20 = 72% </w:t>
            </w:r>
          </w:p>
          <w:p w14:paraId="68C96609"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Interview group: 14-16 = 32%; 17-20 = 68% </w:t>
            </w:r>
          </w:p>
        </w:tc>
        <w:tc>
          <w:tcPr>
            <w:tcW w:w="1438" w:type="dxa"/>
            <w:shd w:val="clear" w:color="auto" w:fill="auto"/>
            <w:noWrap/>
          </w:tcPr>
          <w:p w14:paraId="115C5C1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61% of A&amp;E group had used deliberate self-poisoning (but study included other methods, and suicidal ideation without self-harm) </w:t>
            </w:r>
          </w:p>
        </w:tc>
        <w:tc>
          <w:tcPr>
            <w:tcW w:w="5387" w:type="dxa"/>
            <w:shd w:val="clear" w:color="auto" w:fill="auto"/>
          </w:tcPr>
          <w:p w14:paraId="1F45724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Knowledge:</w:t>
            </w:r>
            <w:r w:rsidRPr="0091560A">
              <w:rPr>
                <w:rFonts w:eastAsia="Times New Roman" w:cs="Times New Roman"/>
                <w:sz w:val="16"/>
                <w:szCs w:val="16"/>
                <w:lang w:eastAsia="en-AU"/>
              </w:rPr>
              <w:t xml:space="preserve"> Most interviewees (55%) thought paracetamol was not a dangerous drug. 52% estimated that 30 or more paracetamol tablets would need to be taken before any adverse effects would be experienced</w:t>
            </w:r>
          </w:p>
        </w:tc>
      </w:tr>
      <w:tr w:rsidR="00574EB4" w:rsidRPr="0091560A" w14:paraId="042338CF" w14:textId="77777777">
        <w:trPr>
          <w:trHeight w:val="1536"/>
        </w:trPr>
        <w:tc>
          <w:tcPr>
            <w:tcW w:w="1354" w:type="dxa"/>
            <w:shd w:val="clear" w:color="auto" w:fill="auto"/>
            <w:noWrap/>
          </w:tcPr>
          <w:p w14:paraId="5D3D2A24" w14:textId="6805C9F0"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Corcoran (2013)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&lt;EndNote&gt;&lt;Cite&gt;&lt;Author&gt;Corcoran&lt;/Author&gt;&lt;Year&gt;2013&lt;/Year&gt;&lt;RecNum&gt;863&lt;/RecNum&gt;&lt;DisplayText&gt;(Corcoran et al., 2013)&lt;/DisplayText&gt;&lt;record&gt;&lt;rec-number&gt;863&lt;/rec-number&gt;&lt;foreign-keys&gt;&lt;key app="EN" db-id="90p22wx96ddedpe0r9pxtt9gzz05dd5ev299" timestamp="1657000537"&gt;863&lt;/key&gt;&lt;/foreign-keys&gt;&lt;ref-type name="Journal Article"&gt;17&lt;/ref-type&gt;&lt;contributors&gt;&lt;authors&gt;&lt;author&gt;Corcoran, P.&lt;/author&gt;&lt;author&gt;Heavey, B.&lt;/author&gt;&lt;author&gt;Griffin, E.&lt;/author&gt;&lt;author&gt;Perry, I. J.&lt;/author&gt;&lt;author&gt;Arensman, E.&lt;/author&gt;&lt;/authors&gt;&lt;/contributors&gt;&lt;titles&gt;&lt;title&gt;Psychotropic medication involved in intentional drug overdose: Implications for treatment&lt;/title&gt;&lt;secondary-title&gt;Neuropsychiatry&lt;/secondary-title&gt;&lt;/titles&gt;&lt;pages&gt;285-293&lt;/pages&gt;&lt;volume&gt;3&lt;/volume&gt;&lt;number&gt;3&lt;/number&gt;&lt;dates&gt;&lt;year&gt;2013&lt;/year&gt;&lt;/dates&gt;&lt;urls&gt;&lt;related-urls&gt;&lt;url&gt;http://ovidsp.ovid.com/ovidweb.cgi?T=JS&amp;amp;PAGE=reference&amp;amp;D=emed14&amp;amp;NEWS=N&amp;amp;AN=369178350&lt;/url&gt;&lt;/related-urls&gt;&lt;/urls&gt;&lt;electronic-resource-num&gt;http://dx.doi.org/10.2217/npy.13.23&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(Corcoran et al., 2013)</w:t>
            </w:r>
            <w:r w:rsidRPr="0091560A">
              <w:rPr>
                <w:rFonts w:eastAsia="Times New Roman" w:cs="Times New Roman"/>
                <w:sz w:val="16"/>
                <w:szCs w:val="16"/>
                <w:lang w:eastAsia="en-AU"/>
              </w:rPr>
              <w:fldChar w:fldCharType="end"/>
            </w:r>
          </w:p>
          <w:p w14:paraId="0E869766" w14:textId="77777777" w:rsidR="00574EB4" w:rsidRPr="0091560A" w:rsidRDefault="00574EB4">
            <w:pPr>
              <w:spacing w:after="0" w:line="240" w:lineRule="auto"/>
              <w:rPr>
                <w:rFonts w:eastAsia="Times New Roman" w:cs="Times New Roman"/>
                <w:sz w:val="16"/>
                <w:szCs w:val="16"/>
                <w:lang w:eastAsia="en-AU"/>
              </w:rPr>
            </w:pPr>
          </w:p>
          <w:p w14:paraId="5C6AE23E" w14:textId="4B4107F9"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Ireland</w:t>
            </w:r>
          </w:p>
        </w:tc>
        <w:tc>
          <w:tcPr>
            <w:tcW w:w="1114" w:type="dxa"/>
          </w:tcPr>
          <w:p w14:paraId="0B765B9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Observational or cohort</w:t>
            </w:r>
          </w:p>
        </w:tc>
        <w:tc>
          <w:tcPr>
            <w:tcW w:w="1159" w:type="dxa"/>
            <w:shd w:val="clear" w:color="auto" w:fill="auto"/>
            <w:noWrap/>
          </w:tcPr>
          <w:p w14:paraId="56A45505"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OTC analgesics (other self-poisoning drugs) </w:t>
            </w:r>
          </w:p>
        </w:tc>
        <w:tc>
          <w:tcPr>
            <w:tcW w:w="2322" w:type="dxa"/>
            <w:shd w:val="clear" w:color="auto" w:fill="auto"/>
            <w:noWrap/>
          </w:tcPr>
          <w:p w14:paraId="795E7E40" w14:textId="102728F0"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Presentations to three hospital E</w:t>
            </w:r>
            <w:r w:rsidR="00787E88" w:rsidRPr="0091560A">
              <w:rPr>
                <w:rFonts w:eastAsia="Times New Roman" w:cs="Times New Roman"/>
                <w:sz w:val="16"/>
                <w:szCs w:val="16"/>
                <w:lang w:eastAsia="en-AU"/>
              </w:rPr>
              <w:t>d</w:t>
            </w:r>
            <w:r w:rsidRPr="0091560A">
              <w:rPr>
                <w:rFonts w:eastAsia="Times New Roman" w:cs="Times New Roman"/>
                <w:sz w:val="16"/>
                <w:szCs w:val="16"/>
                <w:lang w:eastAsia="en-AU"/>
              </w:rPr>
              <w:t>s that were identified as meeting the definition of deliberate self-harm used by the National Registry of Deliberate Self Harm over a continuous 6-month period (dates unspecified). Included self-harm presentations where there was information about whether the patient had a prescription for a psychotropic medication</w:t>
            </w:r>
          </w:p>
        </w:tc>
        <w:tc>
          <w:tcPr>
            <w:tcW w:w="1114" w:type="dxa"/>
            <w:shd w:val="clear" w:color="auto" w:fill="auto"/>
            <w:noWrap/>
          </w:tcPr>
          <w:p w14:paraId="391E4A7F"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288</w:t>
            </w:r>
          </w:p>
        </w:tc>
        <w:tc>
          <w:tcPr>
            <w:tcW w:w="1275" w:type="dxa"/>
            <w:shd w:val="clear" w:color="auto" w:fill="auto"/>
            <w:noWrap/>
          </w:tcPr>
          <w:p w14:paraId="5A1CBDAE"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&lt;30 = 38.5% 30-44 = 38.2% </w:t>
            </w:r>
          </w:p>
          <w:p w14:paraId="1BA5AA5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45+ = 23.3%</w:t>
            </w:r>
          </w:p>
        </w:tc>
        <w:tc>
          <w:tcPr>
            <w:tcW w:w="1438" w:type="dxa"/>
            <w:shd w:val="clear" w:color="auto" w:fill="auto"/>
            <w:noWrap/>
          </w:tcPr>
          <w:p w14:paraId="3D853F59"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100%</w:t>
            </w:r>
          </w:p>
        </w:tc>
        <w:tc>
          <w:tcPr>
            <w:tcW w:w="5387" w:type="dxa"/>
            <w:shd w:val="clear" w:color="auto" w:fill="auto"/>
          </w:tcPr>
          <w:p w14:paraId="3BDC0E7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Psychotropic medications were more likely to be involved in intentional self-poisoning</w:t>
            </w:r>
            <w:r w:rsidRPr="0091560A" w:rsidDel="00721EC3">
              <w:rPr>
                <w:rFonts w:eastAsia="Times New Roman" w:cs="Times New Roman"/>
                <w:sz w:val="16"/>
                <w:szCs w:val="16"/>
                <w:lang w:eastAsia="en-AU"/>
              </w:rPr>
              <w:t xml:space="preserve"> </w:t>
            </w:r>
            <w:r w:rsidRPr="0091560A">
              <w:rPr>
                <w:rFonts w:eastAsia="Times New Roman" w:cs="Times New Roman"/>
                <w:sz w:val="16"/>
                <w:szCs w:val="16"/>
                <w:lang w:eastAsia="en-AU"/>
              </w:rPr>
              <w:t>cases with prescriptions for these drugs, whereas analgesics were more common in cases without a prescription for psychotropic medication (significant for paracetamol, paracetamol, salicylate and NSAIDs/other analgesics, but not salicylate compounds)</w:t>
            </w:r>
          </w:p>
        </w:tc>
      </w:tr>
      <w:tr w:rsidR="00574EB4" w:rsidRPr="0091560A" w14:paraId="23EBAFD6" w14:textId="77777777">
        <w:trPr>
          <w:trHeight w:val="706"/>
        </w:trPr>
        <w:tc>
          <w:tcPr>
            <w:tcW w:w="1354" w:type="dxa"/>
            <w:shd w:val="clear" w:color="auto" w:fill="auto"/>
            <w:noWrap/>
          </w:tcPr>
          <w:p w14:paraId="5647074F" w14:textId="73B21463"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Gilbertson (1996) </w:t>
            </w:r>
            <w:r w:rsidRPr="0076490A">
              <w:rPr>
                <w:rFonts w:eastAsia="Times New Roman" w:cs="Times New Roman"/>
                <w:sz w:val="16"/>
                <w:szCs w:val="16"/>
                <w:lang w:eastAsia="en-AU"/>
              </w:rPr>
              <w:fldChar w:fldCharType="begin"/>
            </w:r>
            <w:r w:rsidR="006E5557" w:rsidRPr="0076490A">
              <w:rPr>
                <w:rFonts w:eastAsia="Times New Roman" w:cs="Times New Roman"/>
                <w:sz w:val="16"/>
                <w:szCs w:val="16"/>
                <w:lang w:eastAsia="en-AU"/>
              </w:rPr>
              <w:instrText xml:space="preserve"> ADDIN EN.CITE &lt;EndNote&gt;&lt;Cite&gt;&lt;Author&gt;Gilbertson&lt;/Author&gt;&lt;Year&gt;1996&lt;/Year&gt;&lt;RecNum&gt;872&lt;/RecNum&gt;&lt;DisplayText&gt;(Gilbertson et al., 1996)&lt;/DisplayText&gt;&lt;record&gt;&lt;rec-number&gt;872&lt;/rec-number&gt;&lt;foreign-keys&gt;&lt;key app="EN" db-id="90p22wx96ddedpe0r9pxtt9gzz05dd5ev299" timestamp="1657000537"&gt;872&lt;/key&gt;&lt;/foreign-keys&gt;&lt;ref-type name="Journal Article"&gt;17&lt;/ref-type&gt;&lt;contributors&gt;&lt;authors&gt;&lt;author&gt;Gilbertson, R. J.&lt;/author&gt;&lt;author&gt;Harris, E.&lt;/author&gt;&lt;author&gt;Pandey, S. K.&lt;/author&gt;&lt;author&gt;Kelly, P.&lt;/author&gt;&lt;author&gt;Myers, W.&lt;/author&gt;&lt;/authors&gt;&lt;/contributors&gt;&lt;titles&gt;&lt;title&gt;Paracetamol use, availability, and knowledge of toxicity among British and American adolescents&lt;/title&gt;&lt;secondary-title&gt;Archives of Disease in Childhood&lt;/secondary-title&gt;&lt;/titles&gt;&lt;periodical&gt;&lt;full-title&gt;Archives of Disease in Childhood&lt;/full-title&gt;&lt;/periodical&gt;&lt;pages&gt;194-198&lt;/pages&gt;&lt;volume&gt;75&lt;/volume&gt;&lt;number&gt;3&lt;/number&gt;&lt;dates&gt;&lt;year&gt;1996&lt;/year&gt;&lt;/dates&gt;&lt;urls&gt;&lt;related-urls&gt;&lt;url&gt;http://ovidsp.ovid.com/ovidweb.cgi?T=JS&amp;amp;PAGE=reference&amp;amp;D=emed6&amp;amp;NEWS=N&amp;amp;AN=26313262&lt;/url&gt;&lt;/related-urls&gt;&lt;/urls&gt;&lt;electronic-resource-num&gt;http://dx.doi.org/10.1136/adc.75.3.194&lt;/electronic-resource-num&gt;&lt;/record&gt;&lt;/Cite&gt;&lt;/EndNote&gt;</w:instrText>
            </w:r>
            <w:r w:rsidRPr="0076490A">
              <w:rPr>
                <w:rFonts w:eastAsia="Times New Roman" w:cs="Times New Roman"/>
                <w:sz w:val="16"/>
                <w:szCs w:val="16"/>
                <w:lang w:eastAsia="en-AU"/>
              </w:rPr>
              <w:fldChar w:fldCharType="separate"/>
            </w:r>
            <w:r w:rsidRPr="0076490A">
              <w:rPr>
                <w:rFonts w:eastAsia="Times New Roman" w:cs="Times New Roman"/>
                <w:noProof/>
                <w:sz w:val="16"/>
                <w:szCs w:val="16"/>
                <w:lang w:eastAsia="en-AU"/>
              </w:rPr>
              <w:t>(Gilbertson et al., 1996)</w:t>
            </w:r>
            <w:r w:rsidRPr="0076490A">
              <w:rPr>
                <w:rFonts w:eastAsia="Times New Roman" w:cs="Times New Roman"/>
                <w:sz w:val="16"/>
                <w:szCs w:val="16"/>
                <w:lang w:eastAsia="en-AU"/>
              </w:rPr>
              <w:fldChar w:fldCharType="end"/>
            </w:r>
          </w:p>
          <w:p w14:paraId="7DF03EAF" w14:textId="77777777" w:rsidR="00574EB4" w:rsidRPr="0091560A" w:rsidRDefault="00574EB4">
            <w:pPr>
              <w:spacing w:after="0" w:line="240" w:lineRule="auto"/>
              <w:rPr>
                <w:rFonts w:eastAsia="Times New Roman" w:cs="Times New Roman"/>
                <w:sz w:val="16"/>
                <w:szCs w:val="16"/>
                <w:lang w:eastAsia="en-AU"/>
              </w:rPr>
            </w:pPr>
          </w:p>
          <w:p w14:paraId="04A1A960" w14:textId="1C0A5FD5"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UK &amp; US</w:t>
            </w:r>
            <w:r w:rsidR="000D44EE">
              <w:rPr>
                <w:rFonts w:eastAsia="Times New Roman" w:cs="Times New Roman"/>
                <w:sz w:val="16"/>
                <w:szCs w:val="16"/>
                <w:lang w:eastAsia="en-AU"/>
              </w:rPr>
              <w:t>A</w:t>
            </w:r>
          </w:p>
        </w:tc>
        <w:tc>
          <w:tcPr>
            <w:tcW w:w="1114" w:type="dxa"/>
          </w:tcPr>
          <w:p w14:paraId="48EB8DA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Cross-sectional</w:t>
            </w:r>
          </w:p>
        </w:tc>
        <w:tc>
          <w:tcPr>
            <w:tcW w:w="1159" w:type="dxa"/>
            <w:shd w:val="clear" w:color="auto" w:fill="auto"/>
            <w:noWrap/>
          </w:tcPr>
          <w:p w14:paraId="0FA55DD1"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560CC5D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School students aged 13-16 years in UK and 12-19 years in US</w:t>
            </w:r>
          </w:p>
        </w:tc>
        <w:tc>
          <w:tcPr>
            <w:tcW w:w="1114" w:type="dxa"/>
            <w:shd w:val="clear" w:color="auto" w:fill="auto"/>
            <w:noWrap/>
          </w:tcPr>
          <w:p w14:paraId="430F65D5"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582 UK students; 565 US students</w:t>
            </w:r>
          </w:p>
        </w:tc>
        <w:tc>
          <w:tcPr>
            <w:tcW w:w="1275" w:type="dxa"/>
            <w:shd w:val="clear" w:color="auto" w:fill="auto"/>
            <w:noWrap/>
          </w:tcPr>
          <w:p w14:paraId="40C27F3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UK: M = 14.8, range = 13-16</w:t>
            </w:r>
          </w:p>
          <w:p w14:paraId="00970480" w14:textId="77777777" w:rsidR="00574EB4" w:rsidRPr="0091560A" w:rsidRDefault="00574EB4">
            <w:pPr>
              <w:spacing w:after="0" w:line="240" w:lineRule="auto"/>
              <w:rPr>
                <w:rFonts w:eastAsia="Times New Roman" w:cs="Times New Roman"/>
                <w:sz w:val="16"/>
                <w:szCs w:val="16"/>
                <w:lang w:eastAsia="en-AU"/>
              </w:rPr>
            </w:pPr>
          </w:p>
          <w:p w14:paraId="3C9459B9"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US: M = 14.3, range = 12-19</w:t>
            </w:r>
          </w:p>
        </w:tc>
        <w:tc>
          <w:tcPr>
            <w:tcW w:w="1438" w:type="dxa"/>
            <w:shd w:val="clear" w:color="auto" w:fill="auto"/>
            <w:noWrap/>
          </w:tcPr>
          <w:p w14:paraId="2242E30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N/A (General population sample)</w:t>
            </w:r>
          </w:p>
        </w:tc>
        <w:tc>
          <w:tcPr>
            <w:tcW w:w="5387" w:type="dxa"/>
            <w:shd w:val="clear" w:color="auto" w:fill="auto"/>
          </w:tcPr>
          <w:p w14:paraId="7B0C5A28" w14:textId="016E5629"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94% of students from the UK and 86% from the US reported having paracetamol at home with no sex or age differences</w:t>
            </w:r>
            <w:r w:rsidRPr="0091560A">
              <w:rPr>
                <w:rFonts w:cs="Times New Roman"/>
              </w:rPr>
              <w:br/>
            </w:r>
            <w:r w:rsidRPr="0091560A">
              <w:rPr>
                <w:rFonts w:eastAsia="Times New Roman" w:cs="Times New Roman"/>
                <w:b/>
                <w:bCs/>
                <w:sz w:val="16"/>
                <w:szCs w:val="16"/>
                <w:lang w:eastAsia="en-AU"/>
              </w:rPr>
              <w:t>Knowledge:</w:t>
            </w:r>
            <w:r w:rsidRPr="0091560A">
              <w:rPr>
                <w:rFonts w:eastAsia="Times New Roman" w:cs="Times New Roman"/>
                <w:sz w:val="16"/>
                <w:szCs w:val="16"/>
                <w:lang w:eastAsia="en-AU"/>
              </w:rPr>
              <w:t xml:space="preserve"> UK students demonstrated increasing knowledge of side effects and toxicity with age, with 6% of 13-year-olds and 22% of 16-year-olds correctly identifying </w:t>
            </w:r>
            <w:r w:rsidR="00787E88">
              <w:rPr>
                <w:rFonts w:eastAsia="Times New Roman" w:cs="Times New Roman"/>
                <w:sz w:val="16"/>
                <w:szCs w:val="16"/>
                <w:lang w:eastAsia="en-AU"/>
              </w:rPr>
              <w:t>‘</w:t>
            </w:r>
            <w:r w:rsidRPr="0091560A">
              <w:rPr>
                <w:rFonts w:eastAsia="Times New Roman" w:cs="Times New Roman"/>
                <w:sz w:val="16"/>
                <w:szCs w:val="16"/>
                <w:lang w:eastAsia="en-AU"/>
              </w:rPr>
              <w:t>sickness and vomiting</w:t>
            </w:r>
            <w:r w:rsidR="00787E88">
              <w:rPr>
                <w:rFonts w:eastAsia="Times New Roman" w:cs="Times New Roman"/>
                <w:sz w:val="16"/>
                <w:szCs w:val="16"/>
                <w:lang w:eastAsia="en-AU"/>
              </w:rPr>
              <w:t>’</w:t>
            </w:r>
            <w:r w:rsidRPr="0091560A">
              <w:rPr>
                <w:rFonts w:eastAsia="Times New Roman" w:cs="Times New Roman"/>
                <w:sz w:val="16"/>
                <w:szCs w:val="16"/>
                <w:lang w:eastAsia="en-AU"/>
              </w:rPr>
              <w:t xml:space="preserve"> and ‘organ damage</w:t>
            </w:r>
            <w:r w:rsidR="00787E88">
              <w:rPr>
                <w:rFonts w:eastAsia="Times New Roman" w:cs="Times New Roman"/>
                <w:sz w:val="16"/>
                <w:szCs w:val="16"/>
                <w:lang w:eastAsia="en-AU"/>
              </w:rPr>
              <w:t>’</w:t>
            </w:r>
            <w:r w:rsidRPr="0091560A">
              <w:rPr>
                <w:rFonts w:eastAsia="Times New Roman" w:cs="Times New Roman"/>
                <w:sz w:val="16"/>
                <w:szCs w:val="16"/>
                <w:lang w:eastAsia="en-AU"/>
              </w:rPr>
              <w:t xml:space="preserve"> as adverse effects. US students demonstrated decreasing knowledge with age, with 18% of 12-year-olds correctly identifying ‘sickness and vomiting’ and ‘organ damage’ compared to only 2% of 17-year-olds. A similar pattern was seen for ‘damage to body parts/ organs. Erroneous belief that paracetamol could cause ‘sleepiness and sedation’ was common among students, and more common among UK than US students. In UK students, this belief increased with age, from 24% at 12 years to 46% at 16 years, but no age trend was identified for US students.  99% of students from the UK and 94% from the US answered that paracetamol in sufficient quantities can </w:t>
            </w:r>
            <w:r w:rsidR="00787E88">
              <w:rPr>
                <w:rFonts w:eastAsia="Times New Roman" w:cs="Times New Roman"/>
                <w:sz w:val="16"/>
                <w:szCs w:val="16"/>
                <w:lang w:eastAsia="en-AU"/>
              </w:rPr>
              <w:t>‘</w:t>
            </w:r>
            <w:r w:rsidRPr="0091560A">
              <w:rPr>
                <w:rFonts w:eastAsia="Times New Roman" w:cs="Times New Roman"/>
                <w:sz w:val="16"/>
                <w:szCs w:val="16"/>
                <w:lang w:eastAsia="en-AU"/>
              </w:rPr>
              <w:t>harm</w:t>
            </w:r>
            <w:r w:rsidR="00787E88">
              <w:rPr>
                <w:rFonts w:eastAsia="Times New Roman" w:cs="Times New Roman"/>
                <w:sz w:val="16"/>
                <w:szCs w:val="16"/>
                <w:lang w:eastAsia="en-AU"/>
              </w:rPr>
              <w:t>’</w:t>
            </w:r>
            <w:r w:rsidRPr="0091560A">
              <w:rPr>
                <w:rFonts w:eastAsia="Times New Roman" w:cs="Times New Roman"/>
                <w:sz w:val="16"/>
                <w:szCs w:val="16"/>
                <w:lang w:eastAsia="en-AU"/>
              </w:rPr>
              <w:t xml:space="preserve"> you. 58% of UK students and 41% of US students overestimated the </w:t>
            </w:r>
            <w:r w:rsidR="00787E88">
              <w:rPr>
                <w:rFonts w:eastAsia="Times New Roman" w:cs="Times New Roman"/>
                <w:sz w:val="16"/>
                <w:szCs w:val="16"/>
                <w:lang w:eastAsia="en-AU"/>
              </w:rPr>
              <w:t>‘</w:t>
            </w:r>
            <w:r w:rsidRPr="0091560A">
              <w:rPr>
                <w:rFonts w:eastAsia="Times New Roman" w:cs="Times New Roman"/>
                <w:sz w:val="16"/>
                <w:szCs w:val="16"/>
                <w:lang w:eastAsia="en-AU"/>
              </w:rPr>
              <w:t>harmful</w:t>
            </w:r>
            <w:r w:rsidR="00787E88">
              <w:rPr>
                <w:rFonts w:eastAsia="Times New Roman" w:cs="Times New Roman"/>
                <w:sz w:val="16"/>
                <w:szCs w:val="16"/>
                <w:lang w:eastAsia="en-AU"/>
              </w:rPr>
              <w:t>’</w:t>
            </w:r>
            <w:r w:rsidRPr="0091560A">
              <w:rPr>
                <w:rFonts w:eastAsia="Times New Roman" w:cs="Times New Roman"/>
                <w:sz w:val="16"/>
                <w:szCs w:val="16"/>
                <w:lang w:eastAsia="en-AU"/>
              </w:rPr>
              <w:t xml:space="preserve"> dose at 20 or more 500 mg tablets, and approximately half of these students vastly overestimated the harmful dose, at 50 tablets or more tablets. 97% of UK students and 89% of US students recognised that a paracetamol overdose could kill. 75% of UK students and 62% from US overestimated the lethal dose at 50 or more tablets, while 45% of UK and 41% of US students vastly overestimated the dose of paracetamol required to kill at 100 or more tablets </w:t>
            </w:r>
          </w:p>
        </w:tc>
      </w:tr>
      <w:tr w:rsidR="00574EB4" w:rsidRPr="0091560A" w14:paraId="0B261BBA" w14:textId="77777777">
        <w:trPr>
          <w:trHeight w:val="1250"/>
        </w:trPr>
        <w:tc>
          <w:tcPr>
            <w:tcW w:w="1354" w:type="dxa"/>
            <w:shd w:val="clear" w:color="auto" w:fill="auto"/>
            <w:noWrap/>
            <w:hideMark/>
          </w:tcPr>
          <w:p w14:paraId="23C56F99" w14:textId="502AD668"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Hawton (1995)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&lt;EndNote&gt;&lt;Cite&gt;&lt;Author&gt;Hawton&lt;/Author&gt;&lt;Year&gt;1995&lt;/Year&gt;&lt;RecNum&gt;922&lt;/RecNum&gt;&lt;DisplayText&gt;(K. Hawton et al., 1995)&lt;/DisplayText&gt;&lt;record&gt;&lt;rec-number&gt;922&lt;/rec-number&gt;&lt;foreign-keys&gt;&lt;key app="EN" db-id="90p22wx96ddedpe0r9pxtt9gzz05dd5ev299" timestamp="1657000537"&gt;922&lt;/key&gt;&lt;/foreign-keys&gt;&lt;ref-type name="Journal Article"&gt;17&lt;/ref-type&gt;&lt;contributors&gt;&lt;authors&gt;&lt;author&gt;Hawton, Keith&lt;/author&gt;&lt;author&gt;Ware, Christopher&lt;/author&gt;&lt;author&gt;Mistry, Hamant&lt;/author&gt;&lt;author&gt;Hewitt, Jonathan&lt;/author&gt;&lt;author&gt;Kingsbury, Stephen&lt;/author&gt;&lt;author&gt;Roberts, Dave&lt;/author&gt;&lt;author&gt;Weitzel, Heather&lt;/author&gt;&lt;/authors&gt;&lt;/contributors&gt;&lt;titles&gt;&lt;title&gt;Why patients choose paracetamol for self poisoning and their knowledge of its dangers&lt;/title&gt;&lt;secondary-title&gt;BMJ&lt;/secondary-title&gt;&lt;/titles&gt;&lt;pages&gt;164&lt;/pages&gt;&lt;volume&gt;310&lt;/volume&gt;&lt;number&gt;6973&lt;/number&gt;&lt;dates&gt;&lt;year&gt;1995&lt;/year&gt;&lt;/dates&gt;&lt;urls&gt;&lt;related-urls&gt;&lt;url&gt;http://www.bmj.com/content/310/6973/164.1.abstract&lt;/url&gt;&lt;/related-urls&gt;&lt;/urls&gt;&lt;electronic-resource-num&gt;10.1136/bmj.310.6973.164&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(K. Hawton et al., 1995)</w:t>
            </w:r>
            <w:r w:rsidRPr="0091560A">
              <w:rPr>
                <w:rFonts w:eastAsia="Times New Roman" w:cs="Times New Roman"/>
                <w:sz w:val="16"/>
                <w:szCs w:val="16"/>
                <w:lang w:eastAsia="en-AU"/>
              </w:rPr>
              <w:fldChar w:fldCharType="end"/>
            </w:r>
          </w:p>
          <w:p w14:paraId="685705AA" w14:textId="77777777" w:rsidR="00574EB4" w:rsidRPr="0091560A" w:rsidRDefault="00574EB4">
            <w:pPr>
              <w:spacing w:after="0" w:line="240" w:lineRule="auto"/>
              <w:rPr>
                <w:rFonts w:eastAsia="Times New Roman" w:cs="Times New Roman"/>
                <w:sz w:val="16"/>
                <w:szCs w:val="16"/>
                <w:lang w:eastAsia="en-AU"/>
              </w:rPr>
            </w:pPr>
          </w:p>
          <w:p w14:paraId="6D8136B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England, UK</w:t>
            </w:r>
          </w:p>
        </w:tc>
        <w:tc>
          <w:tcPr>
            <w:tcW w:w="1114" w:type="dxa"/>
          </w:tcPr>
          <w:p w14:paraId="111D73F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Qualitative </w:t>
            </w:r>
          </w:p>
        </w:tc>
        <w:tc>
          <w:tcPr>
            <w:tcW w:w="1159" w:type="dxa"/>
            <w:shd w:val="clear" w:color="auto" w:fill="auto"/>
            <w:noWrap/>
            <w:hideMark/>
          </w:tcPr>
          <w:p w14:paraId="31F6578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hideMark/>
          </w:tcPr>
          <w:p w14:paraId="52894BA8"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Consecutive patients with self-poisoning who were admitted to the John Radcliffe Hospital, Oxford, from September 1992 to March 1993 </w:t>
            </w:r>
          </w:p>
        </w:tc>
        <w:tc>
          <w:tcPr>
            <w:tcW w:w="1114" w:type="dxa"/>
            <w:shd w:val="clear" w:color="auto" w:fill="auto"/>
            <w:noWrap/>
            <w:hideMark/>
          </w:tcPr>
          <w:p w14:paraId="782855E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80</w:t>
            </w:r>
          </w:p>
        </w:tc>
        <w:tc>
          <w:tcPr>
            <w:tcW w:w="1275" w:type="dxa"/>
            <w:shd w:val="clear" w:color="auto" w:fill="auto"/>
            <w:noWrap/>
            <w:hideMark/>
          </w:tcPr>
          <w:p w14:paraId="3E74720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13+</w:t>
            </w:r>
          </w:p>
        </w:tc>
        <w:tc>
          <w:tcPr>
            <w:tcW w:w="1438" w:type="dxa"/>
            <w:shd w:val="clear" w:color="auto" w:fill="auto"/>
            <w:noWrap/>
            <w:hideMark/>
          </w:tcPr>
          <w:p w14:paraId="1446909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Not reported</w:t>
            </w:r>
          </w:p>
        </w:tc>
        <w:tc>
          <w:tcPr>
            <w:tcW w:w="5387" w:type="dxa"/>
            <w:shd w:val="clear" w:color="auto" w:fill="auto"/>
            <w:hideMark/>
          </w:tcPr>
          <w:p w14:paraId="7224DC58" w14:textId="77777777" w:rsidR="00574EB4" w:rsidRPr="0091560A" w:rsidRDefault="00574EB4" w:rsidP="0076490A">
            <w:pPr>
              <w:widowControl w:val="0"/>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Method choice:</w:t>
            </w:r>
            <w:r w:rsidRPr="0091560A">
              <w:rPr>
                <w:rFonts w:eastAsia="Times New Roman" w:cs="Times New Roman"/>
                <w:sz w:val="16"/>
                <w:szCs w:val="16"/>
                <w:lang w:eastAsia="en-AU"/>
              </w:rPr>
              <w:t xml:space="preserve"> Availability was the most common reason for choosing paracetamol (63%), although 36% chose it because they knew it was dangerous. 5% chose it because it was cheap.</w:t>
            </w:r>
            <w:r w:rsidRPr="0091560A">
              <w:rPr>
                <w:rFonts w:cs="Times New Roman"/>
              </w:rPr>
              <w:br/>
            </w: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48% obtained the paracetamol for medical purposes, while 52% obtained it specifically for intentional self-harm</w:t>
            </w:r>
            <w:r w:rsidRPr="0091560A">
              <w:rPr>
                <w:rFonts w:cs="Times New Roman"/>
              </w:rPr>
              <w:br/>
            </w:r>
            <w:r w:rsidRPr="0091560A">
              <w:rPr>
                <w:rFonts w:eastAsia="Times New Roman" w:cs="Times New Roman"/>
                <w:b/>
                <w:bCs/>
                <w:sz w:val="16"/>
                <w:szCs w:val="16"/>
                <w:lang w:eastAsia="en-AU"/>
              </w:rPr>
              <w:t>Knowledge:</w:t>
            </w:r>
            <w:r w:rsidRPr="0091560A">
              <w:rPr>
                <w:rFonts w:eastAsia="Times New Roman" w:cs="Times New Roman"/>
                <w:sz w:val="16"/>
                <w:szCs w:val="16"/>
                <w:lang w:eastAsia="en-AU"/>
              </w:rPr>
              <w:t xml:space="preserve"> 78% thought a paracetamol overdose could cause death, 20% thought it could cause permanent damage or harm, 10% thought it could have harmful but short-lasting effects and 2.5% thought it could have mild, short-lived effects. 43% knew that paracetamol could cause damage or failure of the liver. Most participants thought any harmful effects would show fairly quickly; only 23% realised the effects would take &gt; 24 hours to appear. 52% participants had expected paracetamol to cause unconsciousness</w:t>
            </w:r>
          </w:p>
        </w:tc>
      </w:tr>
      <w:tr w:rsidR="0069672C" w:rsidRPr="0091560A" w14:paraId="6F075CF0" w14:textId="77777777">
        <w:trPr>
          <w:trHeight w:val="1250"/>
        </w:trPr>
        <w:tc>
          <w:tcPr>
            <w:tcW w:w="1354" w:type="dxa"/>
            <w:shd w:val="clear" w:color="auto" w:fill="auto"/>
            <w:noWrap/>
          </w:tcPr>
          <w:p w14:paraId="26AD4B74" w14:textId="77777777" w:rsidR="0069672C" w:rsidRPr="0091560A" w:rsidRDefault="0069672C" w:rsidP="0069672C">
            <w:pPr>
              <w:widowControl w:val="0"/>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Hawton (1996) </w:t>
            </w:r>
            <w:r w:rsidRPr="0091560A">
              <w:rPr>
                <w:rFonts w:eastAsia="Times New Roman" w:cs="Times New Roman"/>
                <w:sz w:val="16"/>
                <w:szCs w:val="16"/>
                <w:lang w:eastAsia="en-AU"/>
              </w:rPr>
              <w:fldChar w:fldCharType="begin"/>
            </w:r>
            <w:r w:rsidRPr="0091560A">
              <w:rPr>
                <w:rFonts w:eastAsia="Times New Roman" w:cs="Times New Roman"/>
                <w:sz w:val="16"/>
                <w:szCs w:val="16"/>
                <w:lang w:eastAsia="en-AU"/>
              </w:rPr>
              <w:instrText xml:space="preserve"> ADDIN EN.CITE &lt;EndNote&gt;&lt;Cite&gt;&lt;Author&gt;Hawton&lt;/Author&gt;&lt;Year&gt;1996&lt;/Year&gt;&lt;RecNum&gt;883&lt;/RecNum&gt;&lt;DisplayText&gt;(K. Hawton et al., 1996)&lt;/DisplayText&gt;&lt;record&gt;&lt;rec-number&gt;883&lt;/rec-number&gt;&lt;foreign-keys&gt;&lt;key app="EN" db-id="90p22wx96ddedpe0r9pxtt9gzz05dd5ev299" timestamp="1657000537"&gt;883&lt;/key&gt;&lt;/foreign-keys&gt;&lt;ref-type name="Journal Article"&gt;17&lt;/ref-type&gt;&lt;contributors&gt;&lt;authors&gt;&lt;author&gt;Hawton, K.&lt;/author&gt;&lt;author&gt;Ware, C.&lt;/author&gt;&lt;author&gt;Mistry, H.&lt;/author&gt;&lt;author&gt;Hewitt, J.&lt;/author&gt;&lt;author&gt;Kingsbury, S.&lt;/author&gt;&lt;author&gt;Roberts, D.&lt;/author&gt;&lt;author&gt;Weitzel, H.&lt;/author&gt;&lt;/authors&gt;&lt;/contributors&gt;&lt;titles&gt;&lt;title&gt;Paracetamol self-poisoning: Characteristics, prevention and harm reduction&lt;/title&gt;&lt;secondary-title&gt;British Journal of Psychiatry&lt;/secondary-title&gt;&lt;/titles&gt;&lt;pages&gt;43-48&lt;/pages&gt;&lt;volume&gt;168&lt;/volume&gt;&lt;number&gt;JAN.&lt;/number&gt;&lt;dates&gt;&lt;year&gt;1996&lt;/year&gt;&lt;/dates&gt;&lt;urls&gt;&lt;related-urls&gt;&lt;url&gt;https://www.cambridge.org/core/journals/the-british-journal-of-psychiatry/all-issueshttp://ovidsp.ovid.com/ovidweb.cgi?T=JS&amp;amp;PAGE=reference&amp;amp;D=emed22&amp;amp;NEWS=N&amp;amp;AN=26171813&lt;/url&gt;&lt;/related-urls&gt;&lt;/urls&gt;&lt;electronic-resource-num&gt;http://dx.doi.org/10.1192/bjp.168.1.43&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(K. Hawton et al., 1996)</w:t>
            </w:r>
            <w:r w:rsidRPr="0091560A">
              <w:rPr>
                <w:rFonts w:eastAsia="Times New Roman" w:cs="Times New Roman"/>
                <w:sz w:val="16"/>
                <w:szCs w:val="16"/>
                <w:lang w:eastAsia="en-AU"/>
              </w:rPr>
              <w:fldChar w:fldCharType="end"/>
            </w:r>
          </w:p>
          <w:p w14:paraId="61345B35" w14:textId="77777777" w:rsidR="0069672C" w:rsidRPr="0091560A" w:rsidRDefault="0069672C" w:rsidP="0069672C">
            <w:pPr>
              <w:widowControl w:val="0"/>
              <w:spacing w:after="0" w:line="240" w:lineRule="auto"/>
              <w:rPr>
                <w:rFonts w:eastAsia="Times New Roman" w:cs="Times New Roman"/>
                <w:sz w:val="16"/>
                <w:szCs w:val="16"/>
                <w:lang w:eastAsia="en-AU"/>
              </w:rPr>
            </w:pPr>
          </w:p>
          <w:p w14:paraId="00933F96" w14:textId="309BF7B1" w:rsidR="0069672C" w:rsidRPr="0091560A" w:rsidRDefault="0069672C" w:rsidP="0069672C">
            <w:pPr>
              <w:spacing w:after="0" w:line="240" w:lineRule="auto"/>
              <w:rPr>
                <w:rFonts w:eastAsia="Times New Roman" w:cs="Times New Roman"/>
                <w:b/>
                <w:bCs/>
                <w:sz w:val="16"/>
                <w:szCs w:val="16"/>
                <w:lang w:eastAsia="en-AU"/>
              </w:rPr>
            </w:pPr>
            <w:r w:rsidRPr="0091560A">
              <w:rPr>
                <w:rFonts w:eastAsia="Times New Roman" w:cs="Times New Roman"/>
                <w:sz w:val="16"/>
                <w:szCs w:val="16"/>
                <w:lang w:eastAsia="en-AU"/>
              </w:rPr>
              <w:t>England, UK</w:t>
            </w:r>
          </w:p>
        </w:tc>
        <w:tc>
          <w:tcPr>
            <w:tcW w:w="1114" w:type="dxa"/>
          </w:tcPr>
          <w:p w14:paraId="2BFB020F" w14:textId="6A7A094E"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Qualitative </w:t>
            </w:r>
          </w:p>
        </w:tc>
        <w:tc>
          <w:tcPr>
            <w:tcW w:w="1159" w:type="dxa"/>
            <w:shd w:val="clear" w:color="auto" w:fill="auto"/>
            <w:noWrap/>
          </w:tcPr>
          <w:p w14:paraId="578AC580" w14:textId="66C3E487"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01C7B2DB" w14:textId="0422FE2A"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Consecutive self-poisoning patients who were admitted to the John Radcliffe Hospital in Oxford between September 1992 and March 1993, having taken overdoses of paracetamol or paracetamol-containing compounds, or both</w:t>
            </w:r>
          </w:p>
        </w:tc>
        <w:tc>
          <w:tcPr>
            <w:tcW w:w="1114" w:type="dxa"/>
            <w:shd w:val="clear" w:color="auto" w:fill="auto"/>
            <w:noWrap/>
          </w:tcPr>
          <w:p w14:paraId="65253434" w14:textId="4D7D530B"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80</w:t>
            </w:r>
          </w:p>
        </w:tc>
        <w:tc>
          <w:tcPr>
            <w:tcW w:w="1275" w:type="dxa"/>
            <w:shd w:val="clear" w:color="auto" w:fill="auto"/>
            <w:noWrap/>
          </w:tcPr>
          <w:p w14:paraId="5BE7B944" w14:textId="77777777" w:rsidR="0069672C" w:rsidRPr="0091560A" w:rsidRDefault="0069672C" w:rsidP="0069672C">
            <w:pPr>
              <w:widowControl w:val="0"/>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13-20 = 40%</w:t>
            </w:r>
          </w:p>
          <w:p w14:paraId="63BB5199" w14:textId="77777777" w:rsidR="0069672C" w:rsidRPr="0091560A" w:rsidRDefault="0069672C" w:rsidP="0069672C">
            <w:pPr>
              <w:widowControl w:val="0"/>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21-35 = 40%</w:t>
            </w:r>
          </w:p>
          <w:p w14:paraId="5F509505" w14:textId="24364A01"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36+ = 20%</w:t>
            </w:r>
          </w:p>
        </w:tc>
        <w:tc>
          <w:tcPr>
            <w:tcW w:w="1438" w:type="dxa"/>
            <w:shd w:val="clear" w:color="auto" w:fill="auto"/>
            <w:noWrap/>
          </w:tcPr>
          <w:p w14:paraId="3171C166" w14:textId="51C1BFA9" w:rsidR="0069672C" w:rsidRPr="0091560A" w:rsidRDefault="0069672C" w:rsidP="0069672C">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 Not reported </w:t>
            </w:r>
          </w:p>
        </w:tc>
        <w:tc>
          <w:tcPr>
            <w:tcW w:w="5387" w:type="dxa"/>
            <w:shd w:val="clear" w:color="auto" w:fill="auto"/>
          </w:tcPr>
          <w:p w14:paraId="10E2922F" w14:textId="77777777" w:rsidR="0069672C" w:rsidRPr="0091560A" w:rsidRDefault="0069672C" w:rsidP="0069672C">
            <w:pPr>
              <w:widowControl w:val="0"/>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Planning:</w:t>
            </w:r>
            <w:r w:rsidRPr="0091560A">
              <w:rPr>
                <w:rFonts w:eastAsia="Times New Roman" w:cs="Times New Roman"/>
                <w:color w:val="000000" w:themeColor="text1"/>
                <w:sz w:val="16"/>
                <w:szCs w:val="16"/>
                <w:lang w:eastAsia="en-AU"/>
              </w:rPr>
              <w:t xml:space="preserve"> 41% of participants reported obtaining the tablets less than an hour before ingestion, 14% between 1 and 24 hours beforehand, 9% 1-7 days beforehand, and 31% more than a week beforehand </w:t>
            </w:r>
          </w:p>
          <w:p w14:paraId="5F0EDC1B" w14:textId="77777777" w:rsidR="0069672C" w:rsidRPr="0091560A" w:rsidRDefault="0069672C" w:rsidP="0069672C">
            <w:pPr>
              <w:widowControl w:val="0"/>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 xml:space="preserve">Access: </w:t>
            </w:r>
            <w:r w:rsidRPr="0091560A">
              <w:rPr>
                <w:rFonts w:eastAsia="Times New Roman" w:cs="Times New Roman"/>
                <w:color w:val="000000" w:themeColor="text1"/>
                <w:sz w:val="16"/>
                <w:szCs w:val="16"/>
                <w:lang w:eastAsia="en-AU"/>
              </w:rPr>
              <w:t>53% participants obtained the tablets specifically for taking an overdose, while the remaining participants obtained them for another reason, such as pain relief</w:t>
            </w:r>
            <w:r w:rsidRPr="0091560A">
              <w:rPr>
                <w:rFonts w:cs="Times New Roman"/>
              </w:rPr>
              <w:br/>
            </w:r>
            <w:r w:rsidRPr="0091560A">
              <w:rPr>
                <w:rFonts w:eastAsia="Times New Roman" w:cs="Times New Roman"/>
                <w:b/>
                <w:bCs/>
                <w:color w:val="000000" w:themeColor="text1"/>
                <w:sz w:val="16"/>
                <w:szCs w:val="16"/>
                <w:lang w:eastAsia="en-AU"/>
              </w:rPr>
              <w:t>Impulsivity:</w:t>
            </w:r>
            <w:r w:rsidRPr="0091560A">
              <w:rPr>
                <w:rFonts w:eastAsia="Times New Roman" w:cs="Times New Roman"/>
                <w:color w:val="000000" w:themeColor="text1"/>
                <w:sz w:val="16"/>
                <w:szCs w:val="16"/>
                <w:lang w:eastAsia="en-AU"/>
              </w:rPr>
              <w:t xml:space="preserve"> 41% seriously contemplated intentional self-poisoning for less than one hour beforehand, 33% for 1-3 hours, 6% for 3-24 hours and 20% for more than one day </w:t>
            </w:r>
          </w:p>
          <w:p w14:paraId="581ED924" w14:textId="77777777" w:rsidR="0069672C" w:rsidRPr="0091560A" w:rsidRDefault="0069672C" w:rsidP="0069672C">
            <w:pPr>
              <w:widowControl w:val="0"/>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Packaging:</w:t>
            </w:r>
            <w:r w:rsidRPr="0091560A">
              <w:rPr>
                <w:rFonts w:eastAsia="Times New Roman" w:cs="Times New Roman"/>
                <w:color w:val="000000" w:themeColor="text1"/>
                <w:sz w:val="16"/>
                <w:szCs w:val="16"/>
                <w:lang w:eastAsia="en-AU"/>
              </w:rPr>
              <w:t xml:space="preserve"> In 60% cases tablets had been in a blister pack. More of those who took tablets from a loose preparation consumed 25 or more tablets (69%) than those who used a blister-pack preparation (40%)</w:t>
            </w:r>
            <w:r w:rsidRPr="0091560A">
              <w:rPr>
                <w:rFonts w:cs="Times New Roman"/>
              </w:rPr>
              <w:br/>
            </w:r>
            <w:r w:rsidRPr="0091560A">
              <w:rPr>
                <w:rFonts w:eastAsia="Times New Roman" w:cs="Times New Roman"/>
                <w:b/>
                <w:bCs/>
                <w:color w:val="000000" w:themeColor="text1"/>
                <w:sz w:val="16"/>
                <w:szCs w:val="16"/>
                <w:lang w:eastAsia="en-AU"/>
              </w:rPr>
              <w:t>Rapid consumption of tablets:</w:t>
            </w:r>
            <w:r w:rsidRPr="0091560A">
              <w:rPr>
                <w:rFonts w:eastAsia="Times New Roman" w:cs="Times New Roman"/>
                <w:color w:val="000000" w:themeColor="text1"/>
                <w:sz w:val="16"/>
                <w:szCs w:val="16"/>
                <w:lang w:eastAsia="en-AU"/>
              </w:rPr>
              <w:t xml:space="preserve"> 45% ingested tablets in less than 5 minutes, 34% 5-60 minutes, 21% &gt;60 minutes </w:t>
            </w:r>
            <w:r w:rsidRPr="0091560A">
              <w:rPr>
                <w:rFonts w:cs="Times New Roman"/>
              </w:rPr>
              <w:br/>
            </w:r>
            <w:r w:rsidRPr="0091560A">
              <w:rPr>
                <w:rFonts w:eastAsia="Times New Roman" w:cs="Times New Roman"/>
                <w:b/>
                <w:bCs/>
                <w:color w:val="000000" w:themeColor="text1"/>
                <w:sz w:val="16"/>
                <w:szCs w:val="16"/>
                <w:lang w:eastAsia="en-AU"/>
              </w:rPr>
              <w:t>Access:</w:t>
            </w:r>
            <w:r w:rsidRPr="0091560A">
              <w:rPr>
                <w:rFonts w:eastAsia="Times New Roman" w:cs="Times New Roman"/>
                <w:color w:val="000000" w:themeColor="text1"/>
                <w:sz w:val="16"/>
                <w:szCs w:val="16"/>
                <w:lang w:eastAsia="en-AU"/>
              </w:rPr>
              <w:t xml:space="preserve"> 40% of tablets were from a chemist, 24% other type of shop, 13% family member, and 11% GP</w:t>
            </w:r>
          </w:p>
          <w:p w14:paraId="74154510" w14:textId="327D120C" w:rsidR="0069672C" w:rsidRPr="0091560A" w:rsidRDefault="0069672C" w:rsidP="0069672C">
            <w:pPr>
              <w:widowControl w:val="0"/>
              <w:spacing w:after="0" w:line="240" w:lineRule="auto"/>
              <w:rPr>
                <w:rFonts w:eastAsia="Times New Roman" w:cs="Times New Roman"/>
                <w:b/>
                <w:bCs/>
                <w:sz w:val="16"/>
                <w:szCs w:val="16"/>
                <w:lang w:eastAsia="en-AU"/>
              </w:rPr>
            </w:pPr>
            <w:r w:rsidRPr="0091560A">
              <w:rPr>
                <w:rFonts w:eastAsia="Times New Roman" w:cs="Times New Roman"/>
                <w:b/>
                <w:bCs/>
                <w:color w:val="000000" w:themeColor="text1"/>
                <w:sz w:val="16"/>
                <w:szCs w:val="16"/>
                <w:lang w:eastAsia="en-AU"/>
              </w:rPr>
              <w:t>Motives:</w:t>
            </w:r>
            <w:r w:rsidRPr="0091560A">
              <w:rPr>
                <w:rFonts w:eastAsia="Times New Roman" w:cs="Times New Roman"/>
                <w:color w:val="000000" w:themeColor="text1"/>
                <w:sz w:val="16"/>
                <w:szCs w:val="16"/>
                <w:lang w:eastAsia="en-AU"/>
              </w:rPr>
              <w:t xml:space="preserve"> 75% escape intolerable situation, 66% gain relief from an unbearable state of mind, 66% to make other people understand how desperate they felt, 36% to seek help, 31% to influence other people, 26% to make other people sorry, 16% to find if someone cared for them, 11% to show how much they loved someone </w:t>
            </w:r>
            <w:r w:rsidRPr="0091560A">
              <w:rPr>
                <w:rFonts w:cs="Times New Roman"/>
              </w:rPr>
              <w:br/>
            </w:r>
            <w:r w:rsidRPr="0091560A">
              <w:rPr>
                <w:rFonts w:eastAsia="Times New Roman" w:cs="Times New Roman"/>
                <w:b/>
                <w:bCs/>
                <w:color w:val="000000" w:themeColor="text1"/>
                <w:sz w:val="16"/>
                <w:szCs w:val="16"/>
                <w:lang w:eastAsia="en-AU"/>
              </w:rPr>
              <w:t>Factors that might deter overdoses:</w:t>
            </w:r>
            <w:r w:rsidRPr="0091560A">
              <w:rPr>
                <w:rFonts w:eastAsia="Times New Roman" w:cs="Times New Roman"/>
                <w:color w:val="000000" w:themeColor="text1"/>
                <w:sz w:val="16"/>
                <w:szCs w:val="16"/>
                <w:lang w:eastAsia="en-AU"/>
              </w:rPr>
              <w:t xml:space="preserve"> 66% participants said they would still have taken paracetamol in spite of knowing that it can cause death; 35% would still take it knowing that there is a delay in effects and likely to remain conscious; only 25% of participants thought a warning label would have stopped them from self-poisoning; of the participants who had taken &gt;12 tablets, 37% said that they would either have taken a smaller overdose or no overdose at all if paracetamol had only been available in small packets of 12 tablets. 7% said they would have taken some other substance; If paracetamol was just available on prescription from a GP 20% would still have self-poisoned, 34% would take a different substance, 6% would use another method of self-harm, 35% would not have</w:t>
            </w:r>
            <w:r w:rsidRPr="0091560A" w:rsidDel="005757B6">
              <w:rPr>
                <w:rFonts w:eastAsia="Times New Roman" w:cs="Times New Roman"/>
                <w:color w:val="000000" w:themeColor="text1"/>
                <w:sz w:val="16"/>
                <w:szCs w:val="16"/>
                <w:lang w:eastAsia="en-AU"/>
              </w:rPr>
              <w:t xml:space="preserve"> </w:t>
            </w:r>
            <w:r w:rsidRPr="0091560A">
              <w:rPr>
                <w:rFonts w:eastAsia="Times New Roman" w:cs="Times New Roman"/>
                <w:color w:val="000000" w:themeColor="text1"/>
                <w:sz w:val="16"/>
                <w:szCs w:val="16"/>
                <w:lang w:eastAsia="en-AU"/>
              </w:rPr>
              <w:t>self-poisoned; 64% would not have self-poisoned with paracetamol if paracetamol contained an antidote to stop the harms of an overdose</w:t>
            </w:r>
            <w:r>
              <w:rPr>
                <w:rFonts w:eastAsia="Times New Roman" w:cs="Times New Roman"/>
                <w:color w:val="000000" w:themeColor="text1"/>
                <w:sz w:val="16"/>
                <w:szCs w:val="16"/>
                <w:lang w:eastAsia="en-AU"/>
              </w:rPr>
              <w:t>.</w:t>
            </w:r>
          </w:p>
        </w:tc>
      </w:tr>
      <w:tr w:rsidR="00574EB4" w:rsidRPr="0091560A" w14:paraId="7B7443AB" w14:textId="77777777">
        <w:trPr>
          <w:trHeight w:val="988"/>
        </w:trPr>
        <w:tc>
          <w:tcPr>
            <w:tcW w:w="1354" w:type="dxa"/>
            <w:shd w:val="clear" w:color="auto" w:fill="auto"/>
            <w:noWrap/>
          </w:tcPr>
          <w:p w14:paraId="2E4616A4" w14:textId="712EB37E"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Hedeland (2013)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&lt;EndNote&gt;&lt;Cite&gt;&lt;Author&gt;Hedeland&lt;/Author&gt;&lt;Year&gt;2013&lt;/Year&gt;&lt;RecNum&gt;884&lt;/RecNum&gt;&lt;DisplayText&gt;(Hedeland et al., 2013)&lt;/DisplayText&gt;&lt;record&gt;&lt;rec-number&gt;884&lt;/rec-number&gt;&lt;foreign-keys&gt;&lt;key app="EN" db-id="90p22wx96ddedpe0r9pxtt9gzz05dd5ev299" timestamp="1657000537"&gt;884&lt;/key&gt;&lt;/foreign-keys&gt;&lt;ref-type name="Journal Article"&gt;17&lt;/ref-type&gt;&lt;contributors&gt;&lt;authors&gt;&lt;author&gt;Hedeland, R. L.&lt;/author&gt;&lt;author&gt;Jorgensen, M. H.&lt;/author&gt;&lt;author&gt;Teilmann, G.&lt;/author&gt;&lt;author&gt;Thiesen, L. R.&lt;/author&gt;&lt;author&gt;Valentiner, M.&lt;/author&gt;&lt;author&gt;Iskandar, A.&lt;/author&gt;&lt;author&gt;Morthorst, B.&lt;/author&gt;&lt;author&gt;Andersen, J.&lt;/author&gt;&lt;/authors&gt;&lt;/contributors&gt;&lt;titles&gt;&lt;title&gt;Childhood suicide attempts with acetaminophen in Denmark: characteristics, social behaviour, trends and risk factors&lt;/title&gt;&lt;secondary-title&gt;Scandinavian journal of public health&lt;/secondary-title&gt;&lt;/titles&gt;&lt;pages&gt;240-246&lt;/pages&gt;&lt;volume&gt;41&lt;/volume&gt;&lt;number&gt;3&lt;/number&gt;&lt;dates&gt;&lt;year&gt;2013&lt;/year&gt;&lt;/dates&gt;&lt;urls&gt;&lt;related-urls&gt;&lt;url&gt;http://ovidsp.ovid.com/ovidweb.cgi?T=JS&amp;amp;PAGE=reference&amp;amp;D=emed14&amp;amp;NEWS=N&amp;amp;AN=369160785&lt;/url&gt;&lt;/related-urls&gt;&lt;/urls&gt;&lt;electronic-resource-num&gt;http://dx.doi.org/10.1177/1403494812474122&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(Hedeland et al., 2013)</w:t>
            </w:r>
            <w:r w:rsidRPr="0091560A">
              <w:rPr>
                <w:rFonts w:eastAsia="Times New Roman" w:cs="Times New Roman"/>
                <w:sz w:val="16"/>
                <w:szCs w:val="16"/>
                <w:lang w:eastAsia="en-AU"/>
              </w:rPr>
              <w:fldChar w:fldCharType="end"/>
            </w:r>
          </w:p>
          <w:p w14:paraId="51DF5ED4" w14:textId="77777777" w:rsidR="00574EB4" w:rsidRPr="0091560A" w:rsidRDefault="00574EB4">
            <w:pPr>
              <w:spacing w:after="0" w:line="240" w:lineRule="auto"/>
              <w:rPr>
                <w:rFonts w:eastAsia="Times New Roman" w:cs="Times New Roman"/>
                <w:sz w:val="16"/>
                <w:szCs w:val="16"/>
                <w:lang w:eastAsia="en-AU"/>
              </w:rPr>
            </w:pPr>
          </w:p>
          <w:p w14:paraId="0145CF46" w14:textId="77777777"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sz w:val="16"/>
                <w:szCs w:val="16"/>
                <w:lang w:eastAsia="en-AU"/>
              </w:rPr>
              <w:t>Denmark</w:t>
            </w:r>
          </w:p>
        </w:tc>
        <w:tc>
          <w:tcPr>
            <w:tcW w:w="1114" w:type="dxa"/>
          </w:tcPr>
          <w:p w14:paraId="6E2D654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Case-control</w:t>
            </w:r>
          </w:p>
        </w:tc>
        <w:tc>
          <w:tcPr>
            <w:tcW w:w="1159" w:type="dxa"/>
            <w:shd w:val="clear" w:color="auto" w:fill="auto"/>
            <w:noWrap/>
          </w:tcPr>
          <w:p w14:paraId="5E924AA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2D45C39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Admissions to the Paediatric Department of Hillerød Hospital because of suicide attempts with paracetamol between January 2006 and July 2011 (identified through ICD10 diagnoses DT39, DT390, DT398 &amp; DT398A)</w:t>
            </w:r>
          </w:p>
        </w:tc>
        <w:tc>
          <w:tcPr>
            <w:tcW w:w="1114" w:type="dxa"/>
            <w:shd w:val="clear" w:color="auto" w:fill="auto"/>
            <w:noWrap/>
          </w:tcPr>
          <w:p w14:paraId="686DBEDD"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107 cases (+ 59 aged- and gender- matched healthy controls)</w:t>
            </w:r>
          </w:p>
        </w:tc>
        <w:tc>
          <w:tcPr>
            <w:tcW w:w="1275" w:type="dxa"/>
            <w:shd w:val="clear" w:color="auto" w:fill="auto"/>
            <w:noWrap/>
          </w:tcPr>
          <w:p w14:paraId="55400EE8"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Cases: M = 13.5, range = 11-15</w:t>
            </w:r>
            <w:r w:rsidRPr="0091560A">
              <w:rPr>
                <w:rFonts w:cs="Times New Roman"/>
              </w:rPr>
              <w:br/>
            </w:r>
            <w:r w:rsidRPr="0091560A">
              <w:rPr>
                <w:rFonts w:eastAsia="Times New Roman" w:cs="Times New Roman"/>
                <w:sz w:val="16"/>
                <w:szCs w:val="16"/>
                <w:lang w:eastAsia="en-AU"/>
              </w:rPr>
              <w:t>Controls: M = 13.4, range = 11-15</w:t>
            </w:r>
          </w:p>
        </w:tc>
        <w:tc>
          <w:tcPr>
            <w:tcW w:w="1438" w:type="dxa"/>
            <w:shd w:val="clear" w:color="auto" w:fill="auto"/>
            <w:noWrap/>
          </w:tcPr>
          <w:p w14:paraId="1588C655"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100%</w:t>
            </w:r>
          </w:p>
        </w:tc>
        <w:tc>
          <w:tcPr>
            <w:tcW w:w="5387" w:type="dxa"/>
            <w:shd w:val="clear" w:color="auto" w:fill="auto"/>
          </w:tcPr>
          <w:p w14:paraId="3B2D5B8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Planning:</w:t>
            </w:r>
            <w:r w:rsidRPr="0091560A">
              <w:rPr>
                <w:rFonts w:eastAsia="Times New Roman" w:cs="Times New Roman"/>
                <w:color w:val="000000" w:themeColor="text1"/>
                <w:sz w:val="16"/>
                <w:szCs w:val="16"/>
                <w:lang w:eastAsia="en-AU"/>
              </w:rPr>
              <w:t xml:space="preserve"> 12.5% of attempts were planned. Those who planned their attempt did not consume more paracetamol than those with an unplanned attempt</w:t>
            </w:r>
            <w:r w:rsidRPr="0091560A">
              <w:rPr>
                <w:rFonts w:cs="Times New Roman"/>
              </w:rPr>
              <w:br/>
            </w:r>
            <w:r w:rsidRPr="0091560A">
              <w:rPr>
                <w:rFonts w:eastAsia="Times New Roman" w:cs="Times New Roman"/>
                <w:b/>
                <w:bCs/>
                <w:color w:val="000000" w:themeColor="text1"/>
                <w:sz w:val="16"/>
                <w:szCs w:val="16"/>
                <w:lang w:eastAsia="en-AU"/>
              </w:rPr>
              <w:t>Motive:</w:t>
            </w:r>
            <w:r w:rsidRPr="0091560A">
              <w:rPr>
                <w:rFonts w:eastAsia="Times New Roman" w:cs="Times New Roman"/>
                <w:color w:val="000000" w:themeColor="text1"/>
                <w:sz w:val="16"/>
                <w:szCs w:val="16"/>
                <w:lang w:eastAsia="en-AU"/>
              </w:rPr>
              <w:t xml:space="preserve"> 32.5% wanted to die; 31% wanted relief from thoughts; 20.5% wanted to show how badly they felt; 16% had other reasons (e.g., punish others, get attention, etc). The main reason for the attempt for those with a dissociated relationship with their parent was to die. Most common reasons were problems with parents (19.5%), problems with boyfriends/girlfriends (14%), and problems with friends (13.5%)</w:t>
            </w:r>
          </w:p>
          <w:p w14:paraId="561C5FA5"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Perceived support:</w:t>
            </w:r>
            <w:r w:rsidRPr="0091560A">
              <w:rPr>
                <w:rFonts w:eastAsia="Times New Roman" w:cs="Times New Roman"/>
                <w:color w:val="000000" w:themeColor="text1"/>
                <w:sz w:val="16"/>
                <w:szCs w:val="16"/>
                <w:lang w:eastAsia="en-AU"/>
              </w:rPr>
              <w:t xml:space="preserve"> 40% of children had attempted to speak with their parents/other adults about their problems prior to their attempt but felt that they were not heard/understood, and that they did not receive necessary help/support to cope with problems</w:t>
            </w:r>
          </w:p>
          <w:p w14:paraId="198E197B" w14:textId="77777777"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Relationship with parents:</w:t>
            </w:r>
            <w:r w:rsidRPr="0091560A">
              <w:rPr>
                <w:rFonts w:eastAsia="Times New Roman" w:cs="Times New Roman"/>
                <w:color w:val="000000" w:themeColor="text1"/>
                <w:sz w:val="16"/>
                <w:szCs w:val="16"/>
                <w:lang w:eastAsia="en-AU"/>
              </w:rPr>
              <w:t xml:space="preserve"> 28.25% of cases vs. 73% of controls described a close relationship with parents; 30.25% of cases vs. 25% of controls described an intermediate relationship with parents; 41.5% of cases vs. 2% of controls described a dissociated relationship with parents</w:t>
            </w:r>
            <w:r w:rsidRPr="0091560A">
              <w:rPr>
                <w:rFonts w:eastAsia="Times New Roman" w:cs="Times New Roman"/>
                <w:color w:val="000000" w:themeColor="text1"/>
                <w:sz w:val="16"/>
                <w:szCs w:val="16"/>
                <w:lang w:eastAsia="en-AU"/>
              </w:rPr>
              <w:br/>
            </w:r>
            <w:r w:rsidRPr="0091560A">
              <w:rPr>
                <w:rFonts w:eastAsia="Times New Roman" w:cs="Times New Roman"/>
                <w:b/>
                <w:bCs/>
                <w:color w:val="000000" w:themeColor="text1"/>
                <w:sz w:val="16"/>
                <w:szCs w:val="16"/>
                <w:lang w:eastAsia="en-AU"/>
              </w:rPr>
              <w:t>Relationship with friends:</w:t>
            </w:r>
            <w:r w:rsidRPr="0091560A">
              <w:rPr>
                <w:rFonts w:eastAsia="Times New Roman" w:cs="Times New Roman"/>
                <w:color w:val="000000" w:themeColor="text1"/>
                <w:sz w:val="16"/>
                <w:szCs w:val="16"/>
                <w:lang w:eastAsia="en-AU"/>
              </w:rPr>
              <w:t xml:space="preserve"> 15.5% of study group stated they had no friends with whom they could share their problems; 16.5% described an intermediate relationship with friends; 65.5% had one or several close friendships</w:t>
            </w:r>
          </w:p>
        </w:tc>
      </w:tr>
      <w:tr w:rsidR="00574EB4" w:rsidRPr="0091560A" w14:paraId="073B1607" w14:textId="77777777">
        <w:trPr>
          <w:trHeight w:val="988"/>
        </w:trPr>
        <w:tc>
          <w:tcPr>
            <w:tcW w:w="1354" w:type="dxa"/>
            <w:shd w:val="clear" w:color="auto" w:fill="auto"/>
            <w:noWrap/>
          </w:tcPr>
          <w:p w14:paraId="3654FBF8" w14:textId="5EB0A08D"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Hedeland (2016</w:t>
            </w:r>
            <w:r w:rsidRPr="0091560A">
              <w:rPr>
                <w:rFonts w:eastAsia="Times New Roman" w:cs="Times New Roman"/>
                <w:sz w:val="16"/>
                <w:szCs w:val="16"/>
                <w:lang w:eastAsia="en-AU"/>
              </w:rPr>
              <w:t xml:space="preserve">)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&lt;EndNote&gt;&lt;Cite&gt;&lt;Author&gt;Hedeland&lt;/Author&gt;&lt;Year&gt;2016&lt;/Year&gt;&lt;RecNum&gt;885&lt;/RecNum&gt;&lt;DisplayText&gt;(Hedeland et al., 2016)&lt;/DisplayText&gt;&lt;record&gt;&lt;rec-number&gt;885&lt;/rec-number&gt;&lt;foreign-keys&gt;&lt;key app="EN" db-id="90p22wx96ddedpe0r9pxtt9gzz05dd5ev299" timestamp="1657000537"&gt;885&lt;/key&gt;&lt;/foreign-keys&gt;&lt;ref-type name="Journal Article"&gt;17&lt;/ref-type&gt;&lt;contributors&gt;&lt;authors&gt;&lt;author&gt;Hedeland, R. L.&lt;/author&gt;&lt;author&gt;Teilmann, G.&lt;/author&gt;&lt;author&gt;Jorgensen, M. H.&lt;/author&gt;&lt;author&gt;Thiesen, L. R.&lt;/author&gt;&lt;author&gt;Andersen, J.&lt;/author&gt;&lt;/authors&gt;&lt;/contributors&gt;&lt;titles&gt;&lt;title&gt;Risk factors and characteristics of suicide attempts among 381 suicidal adolescents&lt;/title&gt;&lt;secondary-title&gt;Acta Paediatrica, International Journal of Paediatrics&lt;/secondary-title&gt;&lt;/titles&gt;&lt;pages&gt;1231-1238&lt;/pages&gt;&lt;volume&gt;105&lt;/volume&gt;&lt;number&gt;10&lt;/number&gt;&lt;dates&gt;&lt;year&gt;2016&lt;/year&gt;&lt;/dates&gt;&lt;urls&gt;&lt;related-urls&gt;&lt;url&gt;http://onlinelibrary.wiley.com/journal/10.1111/(ISSN)1651-2227/issueshttp://ovidsp.ovid.com/ovidweb.cgi?T=JS&amp;amp;PAGE=reference&amp;amp;D=emed17&amp;amp;NEWS=N&amp;amp;AN=610610804&lt;/url&gt;&lt;/related-urls&gt;&lt;/urls&gt;&lt;electronic-resource-num&gt;http://dx.doi.org/10.1111/apa.13458&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(Hedeland et al., 2016)</w:t>
            </w:r>
            <w:r w:rsidRPr="0091560A">
              <w:rPr>
                <w:rFonts w:eastAsia="Times New Roman" w:cs="Times New Roman"/>
                <w:sz w:val="16"/>
                <w:szCs w:val="16"/>
                <w:lang w:eastAsia="en-AU"/>
              </w:rPr>
              <w:fldChar w:fldCharType="end"/>
            </w:r>
          </w:p>
          <w:p w14:paraId="755334E1" w14:textId="77777777" w:rsidR="00574EB4" w:rsidRPr="0091560A" w:rsidRDefault="00574EB4">
            <w:pPr>
              <w:spacing w:after="0" w:line="240" w:lineRule="auto"/>
              <w:rPr>
                <w:rFonts w:eastAsia="Times New Roman" w:cs="Times New Roman"/>
                <w:sz w:val="16"/>
                <w:szCs w:val="16"/>
                <w:lang w:eastAsia="en-AU"/>
              </w:rPr>
            </w:pPr>
          </w:p>
          <w:p w14:paraId="1420892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Denmark</w:t>
            </w:r>
          </w:p>
        </w:tc>
        <w:tc>
          <w:tcPr>
            <w:tcW w:w="1114" w:type="dxa"/>
          </w:tcPr>
          <w:p w14:paraId="3F39BEAF"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Case-control </w:t>
            </w:r>
          </w:p>
        </w:tc>
        <w:tc>
          <w:tcPr>
            <w:tcW w:w="1159" w:type="dxa"/>
            <w:shd w:val="clear" w:color="auto" w:fill="auto"/>
            <w:noWrap/>
          </w:tcPr>
          <w:p w14:paraId="2555178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4C74EC6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Adolescents admitted to a Denmark paediatric department after a suicide attempt with paracetamol between November 2011 and August 2014. All 17 paediatric departments in Denmark and the Medical Department of Bornholms hospital participated</w:t>
            </w:r>
          </w:p>
        </w:tc>
        <w:tc>
          <w:tcPr>
            <w:tcW w:w="1114" w:type="dxa"/>
            <w:shd w:val="clear" w:color="auto" w:fill="auto"/>
            <w:noWrap/>
          </w:tcPr>
          <w:p w14:paraId="3C9E6BD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381 (+ 296 aged- and gender-matched healthy controls)</w:t>
            </w:r>
          </w:p>
        </w:tc>
        <w:tc>
          <w:tcPr>
            <w:tcW w:w="1275" w:type="dxa"/>
            <w:shd w:val="clear" w:color="auto" w:fill="auto"/>
            <w:noWrap/>
          </w:tcPr>
          <w:p w14:paraId="249BB59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Cases: M = 14.8, range = 10-17</w:t>
            </w:r>
            <w:r w:rsidRPr="0091560A">
              <w:rPr>
                <w:rFonts w:cs="Times New Roman"/>
              </w:rPr>
              <w:br/>
            </w:r>
            <w:r w:rsidRPr="0091560A">
              <w:rPr>
                <w:rFonts w:eastAsia="Times New Roman" w:cs="Times New Roman"/>
                <w:sz w:val="16"/>
                <w:szCs w:val="16"/>
                <w:lang w:eastAsia="en-AU"/>
              </w:rPr>
              <w:t>Controls: M = 14.6, range = 11-17</w:t>
            </w:r>
          </w:p>
        </w:tc>
        <w:tc>
          <w:tcPr>
            <w:tcW w:w="1438" w:type="dxa"/>
            <w:shd w:val="clear" w:color="auto" w:fill="auto"/>
            <w:noWrap/>
          </w:tcPr>
          <w:p w14:paraId="0492AC04"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100%</w:t>
            </w:r>
          </w:p>
        </w:tc>
        <w:tc>
          <w:tcPr>
            <w:tcW w:w="5387" w:type="dxa"/>
            <w:shd w:val="clear" w:color="auto" w:fill="auto"/>
          </w:tcPr>
          <w:p w14:paraId="09DDCB7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Motive:</w:t>
            </w:r>
            <w:r w:rsidRPr="0091560A">
              <w:rPr>
                <w:rFonts w:eastAsia="Times New Roman" w:cs="Times New Roman"/>
                <w:color w:val="000000" w:themeColor="text1"/>
                <w:sz w:val="16"/>
                <w:szCs w:val="16"/>
                <w:lang w:eastAsia="en-AU"/>
              </w:rPr>
              <w:t xml:space="preserve"> 46.5% stated that the purpose of their suicide attempt was to die, 28.5% wanted to obtain relief from thoughts, and 18.5% wanted to show how bad they were feeling. The most common reasons for the suicide attempts were problems with parents (66%), problems with boyfriends/girlfriends (17%), non-academic problems in school (e.g., bullying; 17%), problems with friends (14.5%) and loneliness (12%)</w:t>
            </w:r>
            <w:r w:rsidRPr="0091560A">
              <w:rPr>
                <w:rFonts w:cs="Times New Roman"/>
              </w:rPr>
              <w:br/>
            </w:r>
            <w:r w:rsidRPr="0091560A">
              <w:rPr>
                <w:rFonts w:eastAsia="Times New Roman" w:cs="Times New Roman"/>
                <w:b/>
                <w:bCs/>
                <w:color w:val="000000" w:themeColor="text1"/>
                <w:sz w:val="16"/>
                <w:szCs w:val="16"/>
                <w:lang w:eastAsia="en-AU"/>
              </w:rPr>
              <w:t>Planning:</w:t>
            </w:r>
            <w:r w:rsidRPr="0091560A">
              <w:rPr>
                <w:rFonts w:eastAsia="Times New Roman" w:cs="Times New Roman"/>
                <w:color w:val="000000" w:themeColor="text1"/>
                <w:sz w:val="16"/>
                <w:szCs w:val="16"/>
                <w:lang w:eastAsia="en-AU"/>
              </w:rPr>
              <w:t xml:space="preserve"> 21% of suicide attempts were planned for more than 24 hrs</w:t>
            </w:r>
            <w:r w:rsidRPr="0091560A">
              <w:rPr>
                <w:rFonts w:cs="Times New Roman"/>
              </w:rPr>
              <w:br/>
            </w:r>
            <w:r w:rsidRPr="0091560A">
              <w:rPr>
                <w:rFonts w:eastAsia="Times New Roman" w:cs="Times New Roman"/>
                <w:b/>
                <w:bCs/>
                <w:color w:val="000000" w:themeColor="text1"/>
                <w:sz w:val="16"/>
                <w:szCs w:val="16"/>
                <w:lang w:eastAsia="en-AU"/>
              </w:rPr>
              <w:t>Relationship with parents/siblings/friends:</w:t>
            </w:r>
            <w:r w:rsidRPr="0091560A">
              <w:rPr>
                <w:rFonts w:eastAsia="Times New Roman" w:cs="Times New Roman"/>
                <w:color w:val="000000" w:themeColor="text1"/>
                <w:sz w:val="16"/>
                <w:szCs w:val="16"/>
                <w:lang w:eastAsia="en-AU"/>
              </w:rPr>
              <w:t xml:space="preserve"> 23% of cases reported having a close relationship with their parents compared to 76% of the control group; 41.5% of cases vs. 4% of controls reported a dissociated relationship or no contact with their parents; 54% of cases vs. 82% of controls felt they had at least one friend they could turn to for help; 18% of cases vs. 1% of controls had dissociated/no friendships; 35% of cases vs. 57.5% of controls had a close relationship with their siblings; 35.5% of cases vs. 6% of controls had a dissociated relationship or no contact with siblings</w:t>
            </w:r>
          </w:p>
          <w:p w14:paraId="1CD3DFB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Perceived support:</w:t>
            </w:r>
            <w:r w:rsidRPr="0091560A">
              <w:rPr>
                <w:rFonts w:eastAsia="Times New Roman" w:cs="Times New Roman"/>
                <w:color w:val="000000" w:themeColor="text1"/>
                <w:sz w:val="16"/>
                <w:szCs w:val="16"/>
                <w:lang w:eastAsia="en-AU"/>
              </w:rPr>
              <w:t xml:space="preserve"> 62% of cases reported that, when they attempted to talk to their parents or other adults about their problems up to two months prior to their suicide attempt, they felt either not heard or not understood</w:t>
            </w:r>
          </w:p>
        </w:tc>
      </w:tr>
      <w:tr w:rsidR="00574EB4" w:rsidRPr="0091560A" w14:paraId="67D780E8" w14:textId="77777777">
        <w:trPr>
          <w:trHeight w:val="1124"/>
        </w:trPr>
        <w:tc>
          <w:tcPr>
            <w:tcW w:w="1354" w:type="dxa"/>
            <w:shd w:val="clear" w:color="auto" w:fill="auto"/>
            <w:noWrap/>
          </w:tcPr>
          <w:p w14:paraId="00C8BF26" w14:textId="3DC101D8"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Larson (2022)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&lt;EndNote&gt;&lt;Cite&gt;&lt;Author&gt;Larson&lt;/Author&gt;&lt;Year&gt;2022&lt;/Year&gt;&lt;RecNum&gt;893&lt;/RecNum&gt;&lt;DisplayText&gt;(Larson et al., 2022)&lt;/DisplayText&gt;&lt;record&gt;&lt;rec-number&gt;893&lt;/rec-number&gt;&lt;foreign-keys&gt;&lt;key app="EN" db-id="90p22wx96ddedpe0r9pxtt9gzz05dd5ev299" timestamp="1657000537"&gt;893&lt;/key&gt;&lt;/foreign-keys&gt;&lt;ref-type name="Journal Article"&gt;17&lt;/ref-type&gt;&lt;contributors&gt;&lt;authors&gt;&lt;author&gt;Larson, Emma K.&lt;/author&gt;&lt;author&gt;Johnson, Kyle P.&lt;/author&gt;&lt;author&gt;Sheridan, David C.&lt;/author&gt;&lt;/authors&gt;&lt;/contributors&gt;&lt;titles&gt;&lt;title&gt;Sources of Medications Used by Children and Adolescents for Intentional Ingestion: A Retrospective Chart Review&lt;/title&gt;&lt;secondary-title&gt;Pediatric emergency care&lt;/secondary-title&gt;&lt;/titles&gt;&lt;pages&gt;e1213-e1216&lt;/pages&gt;&lt;volume&gt;38&lt;/volume&gt;&lt;number&gt;4&lt;/number&gt;&lt;dates&gt;&lt;year&gt;2022&lt;/year&gt;&lt;/dates&gt;&lt;urls&gt;&lt;related-urls&gt;&lt;url&gt;http://ovidsp.ovid.com/ovidweb.cgi?T=JS&amp;amp;PAGE=reference&amp;amp;D=med20&amp;amp;NEWS=N&amp;amp;AN=34608059&lt;/url&gt;&lt;/related-urls&gt;&lt;/urls&gt;&lt;electronic-resource-num&gt;https://dx.doi.org/10.1097/PEC.0000000000002553&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(Larson et al., 2022)</w:t>
            </w:r>
            <w:r w:rsidRPr="0091560A">
              <w:rPr>
                <w:rFonts w:eastAsia="Times New Roman" w:cs="Times New Roman"/>
                <w:color w:val="000000"/>
                <w:sz w:val="16"/>
                <w:szCs w:val="16"/>
                <w:lang w:eastAsia="en-AU"/>
              </w:rPr>
              <w:fldChar w:fldCharType="end"/>
            </w:r>
          </w:p>
          <w:p w14:paraId="3059B58D" w14:textId="77777777" w:rsidR="00574EB4" w:rsidRPr="0091560A" w:rsidRDefault="00574EB4">
            <w:pPr>
              <w:spacing w:after="0" w:line="240" w:lineRule="auto"/>
              <w:rPr>
                <w:rFonts w:eastAsia="Times New Roman" w:cs="Times New Roman"/>
                <w:color w:val="000000"/>
                <w:sz w:val="16"/>
                <w:szCs w:val="16"/>
                <w:lang w:eastAsia="en-AU"/>
              </w:rPr>
            </w:pPr>
          </w:p>
          <w:p w14:paraId="7C96A42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Oregon, US</w:t>
            </w:r>
          </w:p>
        </w:tc>
        <w:tc>
          <w:tcPr>
            <w:tcW w:w="1114" w:type="dxa"/>
          </w:tcPr>
          <w:p w14:paraId="3A24983E"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Observational or cohort</w:t>
            </w:r>
          </w:p>
        </w:tc>
        <w:tc>
          <w:tcPr>
            <w:tcW w:w="1159" w:type="dxa"/>
            <w:shd w:val="clear" w:color="auto" w:fill="auto"/>
            <w:noWrap/>
          </w:tcPr>
          <w:p w14:paraId="28F14E94"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themeColor="text1"/>
                <w:sz w:val="16"/>
                <w:szCs w:val="16"/>
                <w:lang w:eastAsia="en-AU"/>
              </w:rPr>
              <w:t>OTC medications (other prescription medications used in self-poisonings)</w:t>
            </w:r>
          </w:p>
        </w:tc>
        <w:tc>
          <w:tcPr>
            <w:tcW w:w="2322" w:type="dxa"/>
            <w:shd w:val="clear" w:color="auto" w:fill="auto"/>
            <w:noWrap/>
          </w:tcPr>
          <w:p w14:paraId="4C604541"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themeColor="text1"/>
                <w:sz w:val="16"/>
                <w:szCs w:val="16"/>
                <w:lang w:eastAsia="en-AU"/>
              </w:rPr>
              <w:t>Patients seen by the Doernbecher Child and Adolescent Psychiatry  Consultation-Liaison  Service for intentional ingestion between the years 2015-2017</w:t>
            </w:r>
          </w:p>
        </w:tc>
        <w:tc>
          <w:tcPr>
            <w:tcW w:w="1114" w:type="dxa"/>
            <w:shd w:val="clear" w:color="auto" w:fill="auto"/>
            <w:noWrap/>
          </w:tcPr>
          <w:p w14:paraId="244D9F0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434 (n = 240 for OTC drug overdoses)</w:t>
            </w:r>
          </w:p>
        </w:tc>
        <w:tc>
          <w:tcPr>
            <w:tcW w:w="1275" w:type="dxa"/>
            <w:shd w:val="clear" w:color="auto" w:fill="auto"/>
            <w:noWrap/>
          </w:tcPr>
          <w:p w14:paraId="50DA0C1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themeColor="text1"/>
                <w:sz w:val="16"/>
                <w:szCs w:val="16"/>
                <w:lang w:eastAsia="en-AU"/>
              </w:rPr>
              <w:t>M = 15; range = 11-17</w:t>
            </w:r>
          </w:p>
        </w:tc>
        <w:tc>
          <w:tcPr>
            <w:tcW w:w="1438" w:type="dxa"/>
            <w:shd w:val="clear" w:color="auto" w:fill="auto"/>
            <w:noWrap/>
          </w:tcPr>
          <w:p w14:paraId="580F55B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100%</w:t>
            </w:r>
          </w:p>
        </w:tc>
        <w:tc>
          <w:tcPr>
            <w:tcW w:w="5387" w:type="dxa"/>
            <w:shd w:val="clear" w:color="auto" w:fill="auto"/>
          </w:tcPr>
          <w:p w14:paraId="5F58AC51"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b/>
                <w:color w:val="000000" w:themeColor="text1"/>
                <w:sz w:val="16"/>
                <w:szCs w:val="16"/>
                <w:lang w:eastAsia="en-AU"/>
              </w:rPr>
              <w:t>Access:</w:t>
            </w:r>
            <w:r w:rsidRPr="0091560A">
              <w:rPr>
                <w:rFonts w:eastAsia="Times New Roman" w:cs="Times New Roman"/>
                <w:color w:val="000000" w:themeColor="text1"/>
                <w:sz w:val="16"/>
                <w:szCs w:val="16"/>
                <w:lang w:eastAsia="en-AU"/>
              </w:rPr>
              <w:t xml:space="preserve"> 65.8% OTC medication available in the home, 11.7% acquired elsewhere, 22.5% source unclear</w:t>
            </w:r>
          </w:p>
        </w:tc>
      </w:tr>
      <w:tr w:rsidR="00574EB4" w:rsidRPr="0091560A" w14:paraId="10A64653" w14:textId="77777777">
        <w:trPr>
          <w:trHeight w:val="1558"/>
        </w:trPr>
        <w:tc>
          <w:tcPr>
            <w:tcW w:w="1354" w:type="dxa"/>
            <w:shd w:val="clear" w:color="auto" w:fill="auto"/>
            <w:noWrap/>
          </w:tcPr>
          <w:p w14:paraId="51792A2F" w14:textId="16D3ADCC"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Lo (2003)</w:t>
            </w:r>
            <w:r w:rsidRPr="0076490A">
              <w:rPr>
                <w:rFonts w:eastAsia="Times New Roman" w:cs="Times New Roman"/>
                <w:color w:val="000000"/>
                <w:sz w:val="16"/>
                <w:szCs w:val="16"/>
                <w:lang w:eastAsia="en-AU"/>
              </w:rPr>
              <w:t xml:space="preserve"> </w:t>
            </w:r>
            <w:r w:rsidRPr="0076490A">
              <w:rPr>
                <w:rFonts w:eastAsia="Times New Roman" w:cs="Times New Roman"/>
                <w:color w:val="000000"/>
                <w:sz w:val="16"/>
                <w:szCs w:val="16"/>
                <w:lang w:eastAsia="en-AU"/>
              </w:rPr>
              <w:fldChar w:fldCharType="begin"/>
            </w:r>
            <w:r w:rsidR="00D709C3" w:rsidRPr="0076490A">
              <w:rPr>
                <w:rFonts w:eastAsia="Times New Roman" w:cs="Times New Roman"/>
                <w:color w:val="000000"/>
                <w:sz w:val="16"/>
                <w:szCs w:val="16"/>
                <w:lang w:eastAsia="en-AU"/>
              </w:rPr>
              <w:instrText xml:space="preserve"> ADDIN EN.CITE &lt;EndNote&gt;&lt;Cite&gt;&lt;Author&gt;Lo&lt;/Author&gt;&lt;Year&gt;2003&lt;/Year&gt;&lt;RecNum&gt;894&lt;/RecNum&gt;&lt;DisplayText&gt;(Lo et al., 2003)&lt;/DisplayText&gt;&lt;record&gt;&lt;rec-number&gt;894&lt;/rec-number&gt;&lt;foreign-keys&gt;&lt;key app="EN" db-id="90p22wx96ddedpe0r9pxtt9gzz05dd5ev299" timestamp="1657000537"&gt;894&lt;/key&gt;&lt;/foreign-keys&gt;&lt;ref-type name="Journal Article"&gt;17&lt;/ref-type&gt;&lt;contributors&gt;&lt;authors&gt;&lt;author&gt;Lo, A.&lt;/author&gt;&lt;author&gt;Shalansky, S.&lt;/author&gt;&lt;author&gt;Leung, M.&lt;/author&gt;&lt;author&gt;Hollander, Y.&lt;/author&gt;&lt;author&gt;Raboud, J.&lt;/author&gt;&lt;/authors&gt;&lt;/contributors&gt;&lt;titles&gt;&lt;title&gt;Patient characteristics associated with nonprescription drug use in intentional overdose&lt;/title&gt;&lt;secondary-title&gt;Canadian Journal of Psychiatry&lt;/secondary-title&gt;&lt;/titles&gt;&lt;pages&gt;232-236&lt;/pages&gt;&lt;volume&gt;48&lt;/volume&gt;&lt;number&gt;4&lt;/number&gt;&lt;dates&gt;&lt;year&gt;2003&lt;/year&gt;&lt;/dates&gt;&lt;urls&gt;&lt;related-urls&gt;&lt;url&gt;http://ovidsp.ovid.com/ovidweb.cgi?T=JS&amp;amp;PAGE=reference&amp;amp;D=emed8&amp;amp;NEWS=N&amp;amp;AN=36733829&lt;/url&gt;&lt;/related-urls&gt;&lt;/urls&gt;&lt;electronic-resource-num&gt;http://dx.doi.org/10.1177/070674370304800406&lt;/electronic-resource-num&gt;&lt;/record&gt;&lt;/Cite&gt;&lt;/EndNote&gt;</w:instrText>
            </w:r>
            <w:r w:rsidRPr="0076490A">
              <w:rPr>
                <w:rFonts w:eastAsia="Times New Roman" w:cs="Times New Roman"/>
                <w:color w:val="000000"/>
                <w:sz w:val="16"/>
                <w:szCs w:val="16"/>
                <w:lang w:eastAsia="en-AU"/>
              </w:rPr>
              <w:fldChar w:fldCharType="separate"/>
            </w:r>
            <w:r w:rsidRPr="0076490A">
              <w:rPr>
                <w:rFonts w:eastAsia="Times New Roman" w:cs="Times New Roman"/>
                <w:noProof/>
                <w:color w:val="000000"/>
                <w:sz w:val="16"/>
                <w:szCs w:val="16"/>
                <w:lang w:eastAsia="en-AU"/>
              </w:rPr>
              <w:t>(Lo et al., 2003)</w:t>
            </w:r>
            <w:r w:rsidRPr="0076490A">
              <w:rPr>
                <w:rFonts w:eastAsia="Times New Roman" w:cs="Times New Roman"/>
                <w:color w:val="000000"/>
                <w:sz w:val="16"/>
                <w:szCs w:val="16"/>
                <w:lang w:eastAsia="en-AU"/>
              </w:rPr>
              <w:fldChar w:fldCharType="end"/>
            </w:r>
          </w:p>
          <w:p w14:paraId="3054281D" w14:textId="77777777" w:rsidR="00574EB4" w:rsidRPr="0091560A" w:rsidRDefault="00574EB4">
            <w:pPr>
              <w:spacing w:after="0" w:line="240" w:lineRule="auto"/>
              <w:rPr>
                <w:rFonts w:eastAsia="Times New Roman" w:cs="Times New Roman"/>
                <w:color w:val="000000"/>
                <w:sz w:val="16"/>
                <w:szCs w:val="16"/>
                <w:lang w:eastAsia="en-AU"/>
              </w:rPr>
            </w:pPr>
          </w:p>
          <w:p w14:paraId="2793AE9D"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Vancouver, Canada</w:t>
            </w:r>
          </w:p>
        </w:tc>
        <w:tc>
          <w:tcPr>
            <w:tcW w:w="1114" w:type="dxa"/>
          </w:tcPr>
          <w:p w14:paraId="679E7AD9"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Observational or cohort</w:t>
            </w:r>
          </w:p>
        </w:tc>
        <w:tc>
          <w:tcPr>
            <w:tcW w:w="1159" w:type="dxa"/>
            <w:shd w:val="clear" w:color="auto" w:fill="auto"/>
            <w:noWrap/>
          </w:tcPr>
          <w:p w14:paraId="45DBD16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 xml:space="preserve">OTC medications (other prescription medications used in self-poisonings)  </w:t>
            </w:r>
          </w:p>
        </w:tc>
        <w:tc>
          <w:tcPr>
            <w:tcW w:w="2322" w:type="dxa"/>
            <w:shd w:val="clear" w:color="auto" w:fill="auto"/>
            <w:noWrap/>
          </w:tcPr>
          <w:p w14:paraId="1CFDAFA5" w14:textId="00EC0FB5"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Patients who presented at St Paul</w:t>
            </w:r>
            <w:r w:rsidR="00787E88">
              <w:rPr>
                <w:rFonts w:eastAsia="Times New Roman" w:cs="Times New Roman"/>
                <w:color w:val="000000" w:themeColor="text1"/>
                <w:sz w:val="16"/>
                <w:szCs w:val="16"/>
                <w:lang w:eastAsia="en-AU"/>
              </w:rPr>
              <w:t>’</w:t>
            </w:r>
            <w:r w:rsidRPr="0091560A">
              <w:rPr>
                <w:rFonts w:eastAsia="Times New Roman" w:cs="Times New Roman"/>
                <w:color w:val="000000" w:themeColor="text1"/>
                <w:sz w:val="16"/>
                <w:szCs w:val="16"/>
                <w:lang w:eastAsia="en-AU"/>
              </w:rPr>
              <w:t>s Hospital from 1 August 1997 to 31 July 1998 with a discharge diagnosis of medication overdoses. Patients were excluded if they had accidental poisoning or overdose</w:t>
            </w:r>
          </w:p>
        </w:tc>
        <w:tc>
          <w:tcPr>
            <w:tcW w:w="1114" w:type="dxa"/>
            <w:shd w:val="clear" w:color="auto" w:fill="auto"/>
            <w:noWrap/>
          </w:tcPr>
          <w:p w14:paraId="4B480224"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95 (OTC drug use in overdose = 28; no OTC drug use in overdose = 67)</w:t>
            </w:r>
          </w:p>
        </w:tc>
        <w:tc>
          <w:tcPr>
            <w:tcW w:w="1275" w:type="dxa"/>
            <w:shd w:val="clear" w:color="auto" w:fill="auto"/>
            <w:noWrap/>
          </w:tcPr>
          <w:p w14:paraId="2486F792"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Overall: M = 43, SD = 13</w:t>
            </w:r>
          </w:p>
          <w:p w14:paraId="68D4635E"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OTC drug OD: M = 35, SD = 9</w:t>
            </w:r>
          </w:p>
          <w:p w14:paraId="36F50A5B"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Other OD: M = 42, SD = 14</w:t>
            </w:r>
          </w:p>
        </w:tc>
        <w:tc>
          <w:tcPr>
            <w:tcW w:w="1438" w:type="dxa"/>
            <w:shd w:val="clear" w:color="auto" w:fill="auto"/>
            <w:noWrap/>
          </w:tcPr>
          <w:p w14:paraId="719B0C8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100%</w:t>
            </w:r>
          </w:p>
        </w:tc>
        <w:tc>
          <w:tcPr>
            <w:tcW w:w="5387" w:type="dxa"/>
            <w:shd w:val="clear" w:color="auto" w:fill="auto"/>
          </w:tcPr>
          <w:p w14:paraId="643CEEE9" w14:textId="77777777"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Those using OTC drugs in intentional self-poisoning less likely to possess prescription medication compared to those using prescription drugs in overdose </w:t>
            </w:r>
          </w:p>
        </w:tc>
      </w:tr>
      <w:tr w:rsidR="00574EB4" w:rsidRPr="0091560A" w14:paraId="5C83EC8E" w14:textId="77777777">
        <w:trPr>
          <w:trHeight w:val="988"/>
        </w:trPr>
        <w:tc>
          <w:tcPr>
            <w:tcW w:w="1354" w:type="dxa"/>
            <w:shd w:val="clear" w:color="auto" w:fill="auto"/>
            <w:noWrap/>
          </w:tcPr>
          <w:p w14:paraId="55E4A449" w14:textId="0A5F4A4C" w:rsidR="00574EB4" w:rsidRPr="0091560A" w:rsidRDefault="00574EB4">
            <w:pPr>
              <w:spacing w:after="0" w:line="240" w:lineRule="auto"/>
              <w:rPr>
                <w:rFonts w:eastAsia="Times New Roman" w:cs="Times New Roman"/>
                <w:b/>
                <w:bCs/>
                <w:color w:val="000000"/>
                <w:sz w:val="16"/>
                <w:szCs w:val="16"/>
                <w:lang w:eastAsia="en-AU"/>
              </w:rPr>
            </w:pPr>
            <w:r w:rsidRPr="0091560A">
              <w:rPr>
                <w:rFonts w:eastAsia="Times New Roman" w:cs="Times New Roman"/>
                <w:b/>
                <w:bCs/>
                <w:color w:val="000000"/>
                <w:sz w:val="16"/>
                <w:szCs w:val="16"/>
                <w:lang w:eastAsia="en-AU"/>
              </w:rPr>
              <w:t xml:space="preserve">Makin (2000) </w:t>
            </w:r>
            <w:r w:rsidRPr="0091560A">
              <w:rPr>
                <w:rFonts w:eastAsia="Times New Roman" w:cs="Times New Roman"/>
                <w:color w:val="000000"/>
                <w:sz w:val="16"/>
                <w:szCs w:val="16"/>
                <w:lang w:eastAsia="en-AU"/>
              </w:rPr>
              <w:fldChar w:fldCharType="begin"/>
            </w:r>
            <w:r w:rsidR="00D709C3" w:rsidRPr="0091560A">
              <w:rPr>
                <w:rFonts w:eastAsia="Times New Roman" w:cs="Times New Roman"/>
                <w:color w:val="000000"/>
                <w:sz w:val="16"/>
                <w:szCs w:val="16"/>
                <w:lang w:eastAsia="en-AU"/>
              </w:rPr>
              <w:instrText xml:space="preserve"> ADDIN EN.CITE &lt;EndNote&gt;&lt;Cite&gt;&lt;Author&gt;Makin&lt;/Author&gt;&lt;Year&gt;2000&lt;/Year&gt;&lt;RecNum&gt;895&lt;/RecNum&gt;&lt;DisplayText&gt;(Makin &amp;amp; Williams, 2000)&lt;/DisplayText&gt;&lt;record&gt;&lt;rec-number&gt;895&lt;/rec-number&gt;&lt;foreign-keys&gt;&lt;key app="EN" db-id="90p22wx96ddedpe0r9pxtt9gzz05dd5ev299" timestamp="1657000537"&gt;895&lt;/key&gt;&lt;/foreign-keys&gt;&lt;ref-type name="Journal Article"&gt;17&lt;/ref-type&gt;&lt;contributors&gt;&lt;authors&gt;&lt;author&gt;Makin, A.&lt;/author&gt;&lt;author&gt;Williams, R.&lt;/author&gt;&lt;/authors&gt;&lt;/contributors&gt;&lt;titles&gt;&lt;title&gt;Paracetamol hepatotoxicity and alcohol consumption in deliberate and accidental overdose&lt;/title&gt;&lt;secondary-title&gt;QJM - Monthly Journal of the Association of Physicians&lt;/secondary-title&gt;&lt;/titles&gt;&lt;pages&gt;341-349&lt;/pages&gt;&lt;volume&gt;93&lt;/volume&gt;&lt;number&gt;6&lt;/number&gt;&lt;dates&gt;&lt;year&gt;2000&lt;/year&gt;&lt;/dates&gt;&lt;urls&gt;&lt;related-urls&gt;&lt;url&gt;http://qjmed.oxfordjournals.org/http://ovidsp.ovid.com/ovidweb.cgi?T=JS&amp;amp;PAGE=reference&amp;amp;D=emed22&amp;amp;NEWS=N&amp;amp;AN=30386805&lt;/url&gt;&lt;/related-urls&gt;&lt;/urls&gt;&lt;electronic-resource-num&gt;http://dx.doi.org/10.1093/qjmed/93.6.341&lt;/electronic-resource-num&gt;&lt;/record&gt;&lt;/Cite&gt;&lt;/EndNote&gt;</w:instrText>
            </w:r>
            <w:r w:rsidRPr="0091560A">
              <w:rPr>
                <w:rFonts w:eastAsia="Times New Roman" w:cs="Times New Roman"/>
                <w:color w:val="000000"/>
                <w:sz w:val="16"/>
                <w:szCs w:val="16"/>
                <w:lang w:eastAsia="en-AU"/>
              </w:rPr>
              <w:fldChar w:fldCharType="separate"/>
            </w:r>
            <w:r w:rsidRPr="0091560A">
              <w:rPr>
                <w:rFonts w:eastAsia="Times New Roman" w:cs="Times New Roman"/>
                <w:noProof/>
                <w:color w:val="000000"/>
                <w:sz w:val="16"/>
                <w:szCs w:val="16"/>
                <w:lang w:eastAsia="en-AU"/>
              </w:rPr>
              <w:t>(Makin &amp; Williams, 2000)</w:t>
            </w:r>
            <w:r w:rsidRPr="0091560A">
              <w:rPr>
                <w:rFonts w:eastAsia="Times New Roman" w:cs="Times New Roman"/>
                <w:color w:val="000000"/>
                <w:sz w:val="16"/>
                <w:szCs w:val="16"/>
                <w:lang w:eastAsia="en-AU"/>
              </w:rPr>
              <w:fldChar w:fldCharType="end"/>
            </w:r>
          </w:p>
          <w:p w14:paraId="3F7F5EF5" w14:textId="77777777" w:rsidR="00574EB4" w:rsidRPr="0091560A" w:rsidRDefault="00574EB4">
            <w:pPr>
              <w:spacing w:after="0" w:line="240" w:lineRule="auto"/>
              <w:rPr>
                <w:rFonts w:eastAsia="Times New Roman" w:cs="Times New Roman"/>
                <w:color w:val="000000"/>
                <w:sz w:val="16"/>
                <w:szCs w:val="16"/>
                <w:lang w:eastAsia="en-AU"/>
              </w:rPr>
            </w:pPr>
          </w:p>
          <w:p w14:paraId="146AC01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London, UK</w:t>
            </w:r>
          </w:p>
        </w:tc>
        <w:tc>
          <w:tcPr>
            <w:tcW w:w="1114" w:type="dxa"/>
          </w:tcPr>
          <w:p w14:paraId="5E56DE3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Observational or cohort</w:t>
            </w:r>
          </w:p>
        </w:tc>
        <w:tc>
          <w:tcPr>
            <w:tcW w:w="1159" w:type="dxa"/>
            <w:shd w:val="clear" w:color="auto" w:fill="auto"/>
            <w:noWrap/>
          </w:tcPr>
          <w:p w14:paraId="45987505"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Paracetamol</w:t>
            </w:r>
          </w:p>
        </w:tc>
        <w:tc>
          <w:tcPr>
            <w:tcW w:w="2322" w:type="dxa"/>
            <w:shd w:val="clear" w:color="auto" w:fill="auto"/>
            <w:noWrap/>
          </w:tcPr>
          <w:p w14:paraId="04CE16C3" w14:textId="7B2337B1"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Patients treated for paracetamol-induced severe hepatoxicity in the Liver Failure Unit of King</w:t>
            </w:r>
            <w:r w:rsidR="00787E88">
              <w:rPr>
                <w:rFonts w:eastAsia="Times New Roman" w:cs="Times New Roman"/>
                <w:color w:val="000000"/>
                <w:sz w:val="16"/>
                <w:szCs w:val="16"/>
                <w:lang w:eastAsia="en-AU"/>
              </w:rPr>
              <w:t>’</w:t>
            </w:r>
            <w:r w:rsidRPr="0091560A">
              <w:rPr>
                <w:rFonts w:eastAsia="Times New Roman" w:cs="Times New Roman"/>
                <w:color w:val="000000"/>
                <w:sz w:val="16"/>
                <w:szCs w:val="16"/>
                <w:lang w:eastAsia="en-AU"/>
              </w:rPr>
              <w:t>s College Hospital during the 7-year period between January 1987 and December 1993</w:t>
            </w:r>
          </w:p>
        </w:tc>
        <w:tc>
          <w:tcPr>
            <w:tcW w:w="1114" w:type="dxa"/>
            <w:shd w:val="clear" w:color="auto" w:fill="auto"/>
            <w:noWrap/>
          </w:tcPr>
          <w:p w14:paraId="714BF76D"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color w:val="000000"/>
                <w:sz w:val="16"/>
                <w:szCs w:val="16"/>
                <w:lang w:eastAsia="en-AU"/>
              </w:rPr>
              <w:t>553</w:t>
            </w:r>
          </w:p>
        </w:tc>
        <w:tc>
          <w:tcPr>
            <w:tcW w:w="1275" w:type="dxa"/>
            <w:shd w:val="clear" w:color="auto" w:fill="auto"/>
            <w:noWrap/>
          </w:tcPr>
          <w:p w14:paraId="0A600078"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&lt;30 = 54%</w:t>
            </w:r>
          </w:p>
          <w:p w14:paraId="1FFEB66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 xml:space="preserve">30-50 = 37% </w:t>
            </w:r>
          </w:p>
          <w:p w14:paraId="09A8CA8A"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&gt;50 = 9%</w:t>
            </w:r>
          </w:p>
        </w:tc>
        <w:tc>
          <w:tcPr>
            <w:tcW w:w="1438" w:type="dxa"/>
            <w:shd w:val="clear" w:color="auto" w:fill="auto"/>
            <w:noWrap/>
          </w:tcPr>
          <w:p w14:paraId="2B6ED54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93.1% </w:t>
            </w:r>
          </w:p>
        </w:tc>
        <w:tc>
          <w:tcPr>
            <w:tcW w:w="5387" w:type="dxa"/>
            <w:shd w:val="clear" w:color="auto" w:fill="auto"/>
          </w:tcPr>
          <w:p w14:paraId="55F96AD2" w14:textId="77777777"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Motive:</w:t>
            </w:r>
            <w:r w:rsidRPr="0091560A">
              <w:rPr>
                <w:rFonts w:eastAsia="Times New Roman" w:cs="Times New Roman"/>
                <w:sz w:val="16"/>
                <w:szCs w:val="16"/>
                <w:lang w:eastAsia="en-AU"/>
              </w:rPr>
              <w:t xml:space="preserve"> 60% self-poisoned impulsively in response to an adverse life event; 36% did so as a result of depression (i.e., patient was receiving treatment for depression, or they were described as depressed by next of kin or family practitioner) </w:t>
            </w:r>
          </w:p>
        </w:tc>
      </w:tr>
      <w:tr w:rsidR="00574EB4" w:rsidRPr="0091560A" w14:paraId="29B45BF7" w14:textId="77777777">
        <w:trPr>
          <w:trHeight w:val="423"/>
        </w:trPr>
        <w:tc>
          <w:tcPr>
            <w:tcW w:w="1354" w:type="dxa"/>
            <w:shd w:val="clear" w:color="auto" w:fill="auto"/>
            <w:noWrap/>
          </w:tcPr>
          <w:p w14:paraId="4C16DD80" w14:textId="10A992CC" w:rsidR="00574EB4" w:rsidRPr="0091560A" w:rsidRDefault="00574EB4">
            <w:pPr>
              <w:spacing w:after="0" w:line="240" w:lineRule="auto"/>
              <w:rPr>
                <w:rFonts w:eastAsia="Times New Roman" w:cs="Times New Roman"/>
                <w:b/>
                <w:bCs/>
                <w:color w:val="000000" w:themeColor="text1"/>
                <w:sz w:val="16"/>
                <w:szCs w:val="16"/>
                <w:lang w:eastAsia="en-AU"/>
              </w:rPr>
            </w:pPr>
            <w:r w:rsidRPr="0091560A">
              <w:rPr>
                <w:rFonts w:eastAsia="Times New Roman" w:cs="Times New Roman"/>
                <w:b/>
                <w:bCs/>
                <w:color w:val="000000" w:themeColor="text1"/>
                <w:sz w:val="16"/>
                <w:szCs w:val="16"/>
                <w:lang w:eastAsia="en-AU"/>
              </w:rPr>
              <w:t xml:space="preserve">Pezzia (2017) </w:t>
            </w:r>
            <w:r w:rsidRPr="0091560A">
              <w:rPr>
                <w:rFonts w:eastAsia="Times New Roman" w:cs="Times New Roman"/>
                <w:color w:val="000000" w:themeColor="text1"/>
                <w:sz w:val="16"/>
                <w:szCs w:val="16"/>
                <w:lang w:eastAsia="en-AU"/>
              </w:rPr>
              <w:fldChar w:fldCharType="begin"/>
            </w:r>
            <w:r w:rsidR="00D709C3" w:rsidRPr="0091560A">
              <w:rPr>
                <w:rFonts w:eastAsia="Times New Roman" w:cs="Times New Roman"/>
                <w:color w:val="000000" w:themeColor="text1"/>
                <w:sz w:val="16"/>
                <w:szCs w:val="16"/>
                <w:lang w:eastAsia="en-AU"/>
              </w:rPr>
              <w:instrText xml:space="preserve"> ADDIN EN.CITE &lt;EndNote&gt;&lt;Cite&gt;&lt;Author&gt;Pezzia&lt;/Author&gt;&lt;Year&gt;2017&lt;/Year&gt;&lt;RecNum&gt;906&lt;/RecNum&gt;&lt;DisplayText&gt;(Pezzia et al., 2017)&lt;/DisplayText&gt;&lt;record&gt;&lt;rec-number&gt;906&lt;/rec-number&gt;&lt;foreign-keys&gt;&lt;key app="EN" db-id="90p22wx96ddedpe0r9pxtt9gzz05dd5ev299" timestamp="1657000537"&gt;906&lt;/key&gt;&lt;/foreign-keys&gt;&lt;ref-type name="Journal Article"&gt;17&lt;/ref-type&gt;&lt;contributors&gt;&lt;authors&gt;&lt;author&gt;Pezzia, C.&lt;/author&gt;&lt;author&gt;Sanders, C.&lt;/author&gt;&lt;author&gt;Welch, S.&lt;/author&gt;&lt;author&gt;Bowling, A.&lt;/author&gt;&lt;author&gt;Lee, W. M.&lt;/author&gt;&lt;/authors&gt;&lt;/contributors&gt;&lt;titles&gt;&lt;title&gt;Psychosocial and behavioral factors in acetaminophen-related acute liver failure and liver injury&lt;/title&gt;&lt;secondary-title&gt;Journal of Psychosomatic Research&lt;/secondary-title&gt;&lt;/titles&gt;&lt;pages&gt;51-57&lt;/pages&gt;&lt;volume&gt;101&lt;/volume&gt;&lt;dates&gt;&lt;year&gt;2017&lt;/year&gt;&lt;/dates&gt;&lt;urls&gt;&lt;related-urls&gt;&lt;url&gt;http://www.elsevier.com/locate/jpsychoreshttp://ovidsp.ovid.com/ovidweb.cgi?T=JS&amp;amp;PAGE=reference&amp;amp;D=emed18&amp;amp;NEWS=N&amp;amp;AN=617691979&lt;/url&gt;&lt;/related-urls&gt;&lt;/urls&gt;&lt;electronic-resource-num&gt;http://dx.doi.org/10.1016/j.jpsychores.2017.08.006&lt;/electronic-resource-num&gt;&lt;/record&gt;&lt;/Cite&gt;&lt;/EndNote&gt;</w:instrText>
            </w:r>
            <w:r w:rsidRPr="0091560A">
              <w:rPr>
                <w:rFonts w:eastAsia="Times New Roman" w:cs="Times New Roman"/>
                <w:color w:val="000000" w:themeColor="text1"/>
                <w:sz w:val="16"/>
                <w:szCs w:val="16"/>
                <w:lang w:eastAsia="en-AU"/>
              </w:rPr>
              <w:fldChar w:fldCharType="separate"/>
            </w:r>
            <w:r w:rsidRPr="0091560A">
              <w:rPr>
                <w:rFonts w:eastAsia="Times New Roman" w:cs="Times New Roman"/>
                <w:noProof/>
                <w:color w:val="000000" w:themeColor="text1"/>
                <w:sz w:val="16"/>
                <w:szCs w:val="16"/>
                <w:lang w:eastAsia="en-AU"/>
              </w:rPr>
              <w:t>(Pezzia et al., 2017)</w:t>
            </w:r>
            <w:r w:rsidRPr="0091560A">
              <w:rPr>
                <w:rFonts w:eastAsia="Times New Roman" w:cs="Times New Roman"/>
                <w:color w:val="000000" w:themeColor="text1"/>
                <w:sz w:val="16"/>
                <w:szCs w:val="16"/>
                <w:lang w:eastAsia="en-AU"/>
              </w:rPr>
              <w:fldChar w:fldCharType="end"/>
            </w:r>
          </w:p>
          <w:p w14:paraId="243C5024" w14:textId="77777777" w:rsidR="00574EB4" w:rsidRPr="0091560A" w:rsidRDefault="00574EB4">
            <w:pPr>
              <w:spacing w:after="0" w:line="240" w:lineRule="auto"/>
              <w:rPr>
                <w:rFonts w:eastAsia="Times New Roman" w:cs="Times New Roman"/>
                <w:color w:val="000000" w:themeColor="text1"/>
                <w:sz w:val="16"/>
                <w:szCs w:val="16"/>
                <w:lang w:eastAsia="en-AU"/>
              </w:rPr>
            </w:pPr>
          </w:p>
          <w:p w14:paraId="38DB4A59" w14:textId="299D4A6B"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US</w:t>
            </w:r>
            <w:r w:rsidR="0069672C">
              <w:rPr>
                <w:rFonts w:eastAsia="Times New Roman" w:cs="Times New Roman"/>
                <w:color w:val="000000" w:themeColor="text1"/>
                <w:sz w:val="16"/>
                <w:szCs w:val="16"/>
                <w:lang w:eastAsia="en-AU"/>
              </w:rPr>
              <w:t>A</w:t>
            </w:r>
          </w:p>
          <w:p w14:paraId="4FC006EE" w14:textId="77777777" w:rsidR="00574EB4" w:rsidRPr="0091560A" w:rsidRDefault="00574EB4">
            <w:pPr>
              <w:spacing w:line="240" w:lineRule="auto"/>
              <w:rPr>
                <w:rFonts w:eastAsia="Times New Roman" w:cs="Times New Roman"/>
                <w:b/>
                <w:bCs/>
                <w:color w:val="000000" w:themeColor="text1"/>
                <w:sz w:val="16"/>
                <w:szCs w:val="16"/>
                <w:lang w:eastAsia="en-AU"/>
              </w:rPr>
            </w:pPr>
          </w:p>
        </w:tc>
        <w:tc>
          <w:tcPr>
            <w:tcW w:w="1114" w:type="dxa"/>
          </w:tcPr>
          <w:p w14:paraId="14D6C70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Cross-sectional survey</w:t>
            </w:r>
          </w:p>
          <w:p w14:paraId="0E9F41D3" w14:textId="77777777" w:rsidR="00574EB4" w:rsidRPr="0091560A" w:rsidRDefault="00574EB4">
            <w:pPr>
              <w:spacing w:line="240" w:lineRule="auto"/>
              <w:rPr>
                <w:rFonts w:eastAsia="Times New Roman" w:cs="Times New Roman"/>
                <w:color w:val="000000" w:themeColor="text1"/>
                <w:sz w:val="16"/>
                <w:szCs w:val="16"/>
                <w:lang w:eastAsia="en-AU"/>
              </w:rPr>
            </w:pPr>
          </w:p>
        </w:tc>
        <w:tc>
          <w:tcPr>
            <w:tcW w:w="1159" w:type="dxa"/>
            <w:shd w:val="clear" w:color="auto" w:fill="auto"/>
            <w:noWrap/>
          </w:tcPr>
          <w:p w14:paraId="0EACF80C"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Paracetamol</w:t>
            </w:r>
          </w:p>
        </w:tc>
        <w:tc>
          <w:tcPr>
            <w:tcW w:w="2322" w:type="dxa"/>
            <w:shd w:val="clear" w:color="auto" w:fill="auto"/>
            <w:noWrap/>
          </w:tcPr>
          <w:p w14:paraId="1CB4A746"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Patients hospitalised for paracetamol-related acute liver failure or injury, enrolled at one of eight different study sites between February 2007 and June 2013 who consented to participate in a questionnaire</w:t>
            </w:r>
          </w:p>
        </w:tc>
        <w:tc>
          <w:tcPr>
            <w:tcW w:w="1114" w:type="dxa"/>
            <w:shd w:val="clear" w:color="auto" w:fill="auto"/>
            <w:noWrap/>
          </w:tcPr>
          <w:p w14:paraId="5981E3C6"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95 (44 intentional, 51 unintentional)</w:t>
            </w:r>
          </w:p>
        </w:tc>
        <w:tc>
          <w:tcPr>
            <w:tcW w:w="1275" w:type="dxa"/>
            <w:shd w:val="clear" w:color="auto" w:fill="auto"/>
            <w:noWrap/>
          </w:tcPr>
          <w:p w14:paraId="670BF75F"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Total: Median = 35, IQR = 28-46</w:t>
            </w:r>
            <w:r w:rsidRPr="0091560A">
              <w:rPr>
                <w:rFonts w:cs="Times New Roman"/>
              </w:rPr>
              <w:br/>
            </w:r>
            <w:r w:rsidRPr="0091560A">
              <w:rPr>
                <w:rFonts w:eastAsia="Times New Roman" w:cs="Times New Roman"/>
                <w:color w:val="000000" w:themeColor="text1"/>
                <w:sz w:val="16"/>
                <w:szCs w:val="16"/>
                <w:lang w:eastAsia="en-AU"/>
              </w:rPr>
              <w:t>Unintentional: Median = 34, IQR = 28-46</w:t>
            </w:r>
          </w:p>
          <w:p w14:paraId="511DEC8D" w14:textId="77777777" w:rsidR="00574EB4" w:rsidRPr="0091560A" w:rsidRDefault="00574EB4">
            <w:pPr>
              <w:spacing w:after="0" w:line="240" w:lineRule="auto"/>
              <w:rPr>
                <w:rFonts w:eastAsia="Times New Roman" w:cs="Times New Roman"/>
                <w:color w:val="000000" w:themeColor="text1"/>
                <w:sz w:val="16"/>
                <w:szCs w:val="16"/>
                <w:lang w:eastAsia="en-AU"/>
              </w:rPr>
            </w:pPr>
            <w:r w:rsidRPr="0091560A">
              <w:rPr>
                <w:rFonts w:eastAsia="Times New Roman" w:cs="Times New Roman"/>
                <w:color w:val="000000" w:themeColor="text1"/>
                <w:sz w:val="16"/>
                <w:szCs w:val="16"/>
                <w:lang w:eastAsia="en-AU"/>
              </w:rPr>
              <w:t>Intentional: Median = 35, IQR = 27-46</w:t>
            </w:r>
          </w:p>
        </w:tc>
        <w:tc>
          <w:tcPr>
            <w:tcW w:w="1438" w:type="dxa"/>
            <w:shd w:val="clear" w:color="auto" w:fill="auto"/>
            <w:noWrap/>
          </w:tcPr>
          <w:p w14:paraId="0408AC6D" w14:textId="77777777" w:rsidR="00574EB4" w:rsidRPr="0091560A" w:rsidRDefault="00574EB4">
            <w:pPr>
              <w:spacing w:line="240" w:lineRule="auto"/>
              <w:rPr>
                <w:rFonts w:eastAsia="Times New Roman" w:cs="Times New Roman"/>
                <w:sz w:val="16"/>
                <w:szCs w:val="16"/>
                <w:lang w:eastAsia="en-AU"/>
              </w:rPr>
            </w:pPr>
            <w:r w:rsidRPr="0091560A">
              <w:rPr>
                <w:rFonts w:eastAsia="Times New Roman" w:cs="Times New Roman"/>
                <w:sz w:val="16"/>
                <w:szCs w:val="16"/>
                <w:lang w:eastAsia="en-AU"/>
              </w:rPr>
              <w:t>46.3%</w:t>
            </w:r>
          </w:p>
        </w:tc>
        <w:tc>
          <w:tcPr>
            <w:tcW w:w="5387" w:type="dxa"/>
            <w:shd w:val="clear" w:color="auto" w:fill="auto"/>
          </w:tcPr>
          <w:p w14:paraId="5BCB84D9" w14:textId="77777777" w:rsidR="00574EB4" w:rsidRPr="0091560A" w:rsidRDefault="00574EB4">
            <w:pPr>
              <w:spacing w:line="240" w:lineRule="auto"/>
              <w:rPr>
                <w:rFonts w:eastAsia="Times New Roman" w:cs="Times New Roman"/>
                <w:color w:val="000000" w:themeColor="text1"/>
                <w:sz w:val="16"/>
                <w:szCs w:val="16"/>
                <w:lang w:eastAsia="en-AU"/>
              </w:rPr>
            </w:pPr>
            <w:r w:rsidRPr="0091560A">
              <w:rPr>
                <w:rFonts w:eastAsia="Times New Roman" w:cs="Times New Roman"/>
                <w:b/>
                <w:bCs/>
                <w:color w:val="000000" w:themeColor="text1"/>
                <w:sz w:val="16"/>
                <w:szCs w:val="16"/>
                <w:lang w:eastAsia="en-AU"/>
              </w:rPr>
              <w:t>Impulsivity:</w:t>
            </w:r>
            <w:r w:rsidRPr="0091560A">
              <w:rPr>
                <w:rFonts w:eastAsia="Times New Roman" w:cs="Times New Roman"/>
                <w:color w:val="000000" w:themeColor="text1"/>
                <w:sz w:val="16"/>
                <w:szCs w:val="16"/>
                <w:lang w:eastAsia="en-AU"/>
              </w:rPr>
              <w:t xml:space="preserve"> Levels of impulsivity were similar between intentional and unintentional groups</w:t>
            </w:r>
          </w:p>
        </w:tc>
      </w:tr>
      <w:tr w:rsidR="00574EB4" w:rsidRPr="0091560A" w14:paraId="226D2D8E" w14:textId="77777777">
        <w:trPr>
          <w:trHeight w:val="423"/>
        </w:trPr>
        <w:tc>
          <w:tcPr>
            <w:tcW w:w="1354" w:type="dxa"/>
            <w:shd w:val="clear" w:color="auto" w:fill="auto"/>
            <w:noWrap/>
          </w:tcPr>
          <w:p w14:paraId="0738D220" w14:textId="6EADF468"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Schmidt (2001)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&lt;EndNote&gt;&lt;Cite&gt;&lt;Author&gt;Schmidt&lt;/Author&gt;&lt;Year&gt;2001&lt;/Year&gt;&lt;RecNum&gt;912&lt;/RecNum&gt;&lt;DisplayText&gt;(Schmidt, 2001)&lt;/DisplayText&gt;&lt;record&gt;&lt;rec-number&gt;912&lt;/rec-number&gt;&lt;foreign-keys&gt;&lt;key app="EN" db-id="90p22wx96ddedpe0r9pxtt9gzz05dd5ev299" timestamp="1657000537"&gt;912&lt;/key&gt;&lt;/foreign-keys&gt;&lt;ref-type name="Journal Article"&gt;17&lt;/ref-type&gt;&lt;contributors&gt;&lt;authors&gt;&lt;author&gt;Schmidt, L. E.&lt;/author&gt;&lt;/authors&gt;&lt;/contributors&gt;&lt;titles&gt;&lt;title&gt;Paracetamol self-poisoning among adolescents in a department of hepatology&lt;/title&gt;&lt;secondary-title&gt;International Journal of Adolescent Medicine and Health&lt;/secondary-title&gt;&lt;/titles&gt;&lt;pages&gt;327-334&lt;/pages&gt;&lt;volume&gt;13&lt;/volume&gt;&lt;number&gt;4&lt;/number&gt;&lt;dates&gt;&lt;year&gt;2001&lt;/year&gt;&lt;/dates&gt;&lt;urls&gt;&lt;related-urls&gt;&lt;url&gt;http://ovidsp.ovid.com/ovidweb.cgi?T=JS&amp;amp;PAGE=reference&amp;amp;D=emed7&amp;amp;NEWS=N&amp;amp;AN=33133949&lt;/url&gt;&lt;/related-urls&gt;&lt;/urls&gt;&lt;electronic-resource-num&gt;http://dx.doi.org/10.1515/IJAMH.2001.13.4.327&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(Schmidt, 2001)</w:t>
            </w:r>
            <w:r w:rsidRPr="0091560A">
              <w:rPr>
                <w:rFonts w:eastAsia="Times New Roman" w:cs="Times New Roman"/>
                <w:sz w:val="16"/>
                <w:szCs w:val="16"/>
                <w:lang w:eastAsia="en-AU"/>
              </w:rPr>
              <w:fldChar w:fldCharType="end"/>
            </w:r>
          </w:p>
          <w:p w14:paraId="29E1BC5D" w14:textId="77777777" w:rsidR="00574EB4" w:rsidRPr="0091560A" w:rsidRDefault="00574EB4">
            <w:pPr>
              <w:spacing w:after="0" w:line="240" w:lineRule="auto"/>
              <w:rPr>
                <w:rFonts w:eastAsia="Times New Roman" w:cs="Times New Roman"/>
                <w:sz w:val="16"/>
                <w:szCs w:val="16"/>
                <w:lang w:eastAsia="en-AU"/>
              </w:rPr>
            </w:pPr>
          </w:p>
          <w:p w14:paraId="5404121A"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Denmark</w:t>
            </w:r>
          </w:p>
        </w:tc>
        <w:tc>
          <w:tcPr>
            <w:tcW w:w="1114" w:type="dxa"/>
          </w:tcPr>
          <w:p w14:paraId="3B3752E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Observational or cohort</w:t>
            </w:r>
          </w:p>
        </w:tc>
        <w:tc>
          <w:tcPr>
            <w:tcW w:w="1159" w:type="dxa"/>
            <w:shd w:val="clear" w:color="auto" w:fill="auto"/>
            <w:noWrap/>
          </w:tcPr>
          <w:p w14:paraId="547336A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6303EE31"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The charts of all patients with paracetamol poisoning admitted to Copenhagen University Hospital, Denmark, between 1994 and 2000, were reviewed </w:t>
            </w:r>
          </w:p>
        </w:tc>
        <w:tc>
          <w:tcPr>
            <w:tcW w:w="1114" w:type="dxa"/>
            <w:shd w:val="clear" w:color="auto" w:fill="auto"/>
            <w:noWrap/>
          </w:tcPr>
          <w:p w14:paraId="28D5CBF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110</w:t>
            </w:r>
          </w:p>
        </w:tc>
        <w:tc>
          <w:tcPr>
            <w:tcW w:w="1275" w:type="dxa"/>
            <w:shd w:val="clear" w:color="auto" w:fill="auto"/>
            <w:noWrap/>
          </w:tcPr>
          <w:p w14:paraId="2CFF3187"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Range = 12-19</w:t>
            </w:r>
          </w:p>
        </w:tc>
        <w:tc>
          <w:tcPr>
            <w:tcW w:w="1438" w:type="dxa"/>
            <w:shd w:val="clear" w:color="auto" w:fill="auto"/>
            <w:noWrap/>
          </w:tcPr>
          <w:p w14:paraId="551BDD9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91%</w:t>
            </w:r>
          </w:p>
        </w:tc>
        <w:tc>
          <w:tcPr>
            <w:tcW w:w="5387" w:type="dxa"/>
            <w:shd w:val="clear" w:color="auto" w:fill="auto"/>
          </w:tcPr>
          <w:p w14:paraId="29119426"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Motive:</w:t>
            </w:r>
            <w:r w:rsidRPr="0091560A">
              <w:rPr>
                <w:rFonts w:eastAsia="Times New Roman" w:cs="Times New Roman"/>
                <w:sz w:val="16"/>
                <w:szCs w:val="16"/>
                <w:lang w:eastAsia="en-AU"/>
              </w:rPr>
              <w:t xml:space="preserve"> Among participants with suicidal intent (44% of cases), 37% had a known psychiatric disorder, 20% new depression diagnosis, 43% social problems (family problems, drug abuse, school related problems). Among participants with parasuicidal intent (deliberate act of impulse, not premediated), 47% had a row with their boy (girl) friend, 29% had a row with parents, 4% experienced bereavement, 20% reported other or gave no reason</w:t>
            </w:r>
            <w:r w:rsidRPr="0091560A" w:rsidDel="15B347E2">
              <w:rPr>
                <w:rFonts w:eastAsia="Times New Roman" w:cs="Times New Roman"/>
                <w:sz w:val="16"/>
                <w:szCs w:val="16"/>
                <w:lang w:eastAsia="en-AU"/>
              </w:rPr>
              <w:t xml:space="preserve"> </w:t>
            </w:r>
          </w:p>
        </w:tc>
      </w:tr>
      <w:tr w:rsidR="00574EB4" w:rsidRPr="0091560A" w14:paraId="0AC67317" w14:textId="77777777">
        <w:trPr>
          <w:trHeight w:val="518"/>
        </w:trPr>
        <w:tc>
          <w:tcPr>
            <w:tcW w:w="1354" w:type="dxa"/>
            <w:shd w:val="clear" w:color="auto" w:fill="auto"/>
            <w:noWrap/>
          </w:tcPr>
          <w:p w14:paraId="51795975" w14:textId="374AEFC5" w:rsidR="00574EB4" w:rsidRPr="0091560A" w:rsidRDefault="00574EB4">
            <w:pPr>
              <w:spacing w:after="0" w:line="240" w:lineRule="auto"/>
              <w:rPr>
                <w:rFonts w:eastAsia="Times New Roman" w:cs="Times New Roman"/>
                <w:b/>
                <w:bCs/>
                <w:sz w:val="16"/>
                <w:szCs w:val="16"/>
                <w:lang w:eastAsia="en-AU"/>
              </w:rPr>
            </w:pPr>
            <w:r w:rsidRPr="0091560A">
              <w:rPr>
                <w:rFonts w:eastAsia="Times New Roman" w:cs="Times New Roman"/>
                <w:b/>
                <w:bCs/>
                <w:sz w:val="16"/>
                <w:szCs w:val="16"/>
                <w:lang w:eastAsia="en-AU"/>
              </w:rPr>
              <w:t xml:space="preserve">Simkin (2012) </w:t>
            </w:r>
            <w:r w:rsidRPr="0091560A">
              <w:rPr>
                <w:rFonts w:eastAsia="Times New Roman" w:cs="Times New Roman"/>
                <w:sz w:val="16"/>
                <w:szCs w:val="16"/>
                <w:lang w:eastAsia="en-AU"/>
              </w:rPr>
              <w:fldChar w:fldCharType="begin"/>
            </w:r>
            <w:r w:rsidR="00D709C3" w:rsidRPr="0091560A">
              <w:rPr>
                <w:rFonts w:eastAsia="Times New Roman" w:cs="Times New Roman"/>
                <w:sz w:val="16"/>
                <w:szCs w:val="16"/>
                <w:lang w:eastAsia="en-AU"/>
              </w:rPr>
              <w:instrText xml:space="preserve"> ADDIN EN.CITE &lt;EndNote&gt;&lt;Cite&gt;&lt;Author&gt;Simkin&lt;/Author&gt;&lt;Year&gt;2012&lt;/Year&gt;&lt;RecNum&gt;916&lt;/RecNum&gt;&lt;DisplayText&gt;(Simkin et al., 2012)&lt;/DisplayText&gt;&lt;record&gt;&lt;rec-number&gt;916&lt;/rec-number&gt;&lt;foreign-keys&gt;&lt;key app="EN" db-id="90p22wx96ddedpe0r9pxtt9gzz05dd5ev299" timestamp="1657000537"&gt;916&lt;/key&gt;&lt;/foreign-keys&gt;&lt;ref-type name="Journal Article"&gt;17&lt;/ref-type&gt;&lt;contributors&gt;&lt;authors&gt;&lt;author&gt;Simkin, S.&lt;/author&gt;&lt;author&gt;Hawton, K.&lt;/author&gt;&lt;author&gt;Kapur, N.&lt;/author&gt;&lt;author&gt;Gunnell, D.&lt;/author&gt;&lt;/authors&gt;&lt;/contributors&gt;&lt;titles&gt;&lt;title&gt;What can be done to reduce mortality from paracetamol overdoses? A patient interview study&lt;/title&gt;&lt;secondary-title&gt;QJM&lt;/secondary-title&gt;&lt;/titles&gt;&lt;pages&gt;41-51&lt;/pages&gt;&lt;volume&gt;105&lt;/volume&gt;&lt;number&gt;1&lt;/number&gt;&lt;dates&gt;&lt;year&gt;2012&lt;/year&gt;&lt;/dates&gt;&lt;urls&gt;&lt;related-urls&gt;&lt;url&gt;http://ovidsp.ovid.com/ovidweb.cgi?T=JS&amp;amp;PAGE=reference&amp;amp;D=emed13&amp;amp;NEWS=N&amp;amp;AN=363120476&lt;/url&gt;&lt;/related-urls&gt;&lt;/urls&gt;&lt;electronic-resource-num&gt;http://dx.doi.org/10.1093/qjmed/hcr135&lt;/electronic-resource-num&gt;&lt;/record&gt;&lt;/Cite&gt;&lt;/EndNote&gt;</w:instrText>
            </w:r>
            <w:r w:rsidRPr="0091560A">
              <w:rPr>
                <w:rFonts w:eastAsia="Times New Roman" w:cs="Times New Roman"/>
                <w:sz w:val="16"/>
                <w:szCs w:val="16"/>
                <w:lang w:eastAsia="en-AU"/>
              </w:rPr>
              <w:fldChar w:fldCharType="separate"/>
            </w:r>
            <w:r w:rsidRPr="0091560A">
              <w:rPr>
                <w:rFonts w:eastAsia="Times New Roman" w:cs="Times New Roman"/>
                <w:noProof/>
                <w:sz w:val="16"/>
                <w:szCs w:val="16"/>
                <w:lang w:eastAsia="en-AU"/>
              </w:rPr>
              <w:t>(Simkin et al., 2012)</w:t>
            </w:r>
            <w:r w:rsidRPr="0091560A">
              <w:rPr>
                <w:rFonts w:eastAsia="Times New Roman" w:cs="Times New Roman"/>
                <w:sz w:val="16"/>
                <w:szCs w:val="16"/>
                <w:lang w:eastAsia="en-AU"/>
              </w:rPr>
              <w:fldChar w:fldCharType="end"/>
            </w:r>
          </w:p>
          <w:p w14:paraId="3769B22C" w14:textId="77777777" w:rsidR="00574EB4" w:rsidRPr="0091560A" w:rsidRDefault="00574EB4">
            <w:pPr>
              <w:spacing w:after="0" w:line="240" w:lineRule="auto"/>
              <w:rPr>
                <w:rFonts w:eastAsia="Times New Roman" w:cs="Times New Roman"/>
                <w:sz w:val="16"/>
                <w:szCs w:val="16"/>
                <w:lang w:eastAsia="en-AU"/>
              </w:rPr>
            </w:pPr>
          </w:p>
          <w:p w14:paraId="6CE52590"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England, UK</w:t>
            </w:r>
          </w:p>
        </w:tc>
        <w:tc>
          <w:tcPr>
            <w:tcW w:w="1114" w:type="dxa"/>
          </w:tcPr>
          <w:p w14:paraId="2DDEEE83"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Qualitative </w:t>
            </w:r>
          </w:p>
        </w:tc>
        <w:tc>
          <w:tcPr>
            <w:tcW w:w="1159" w:type="dxa"/>
            <w:shd w:val="clear" w:color="auto" w:fill="auto"/>
            <w:noWrap/>
          </w:tcPr>
          <w:p w14:paraId="5C70F254"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Paracetamol</w:t>
            </w:r>
          </w:p>
        </w:tc>
        <w:tc>
          <w:tcPr>
            <w:tcW w:w="2322" w:type="dxa"/>
            <w:shd w:val="clear" w:color="auto" w:fill="auto"/>
            <w:noWrap/>
          </w:tcPr>
          <w:p w14:paraId="740D5914"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General hospital patients at John Radcliffe Hospital in Oxford. Patients were eligible for inclusion if they had taken an overdose of more than 16 pure paracetamol tablets, were aged at least16 years and had received a psychosocial assessment by a member of the clinical self-harm team in the Department of Psychological Medicine at the hospital</w:t>
            </w:r>
          </w:p>
        </w:tc>
        <w:tc>
          <w:tcPr>
            <w:tcW w:w="1114" w:type="dxa"/>
            <w:shd w:val="clear" w:color="auto" w:fill="auto"/>
            <w:noWrap/>
          </w:tcPr>
          <w:p w14:paraId="3F1F48EE"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60</w:t>
            </w:r>
          </w:p>
        </w:tc>
        <w:tc>
          <w:tcPr>
            <w:tcW w:w="1275" w:type="dxa"/>
            <w:shd w:val="clear" w:color="auto" w:fill="auto"/>
            <w:noWrap/>
          </w:tcPr>
          <w:p w14:paraId="2E3DA542"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Females: M = 29.9, SD = 13.2, range = 16-65</w:t>
            </w:r>
          </w:p>
          <w:p w14:paraId="0DF9A3CE"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 xml:space="preserve">Males: M = 33.3, SD = 14.9, range = 19-65 </w:t>
            </w:r>
          </w:p>
        </w:tc>
        <w:tc>
          <w:tcPr>
            <w:tcW w:w="1438" w:type="dxa"/>
            <w:shd w:val="clear" w:color="auto" w:fill="auto"/>
            <w:noWrap/>
          </w:tcPr>
          <w:p w14:paraId="3D0DCC9C"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sz w:val="16"/>
                <w:szCs w:val="16"/>
                <w:lang w:eastAsia="en-AU"/>
              </w:rPr>
              <w:t>100%</w:t>
            </w:r>
          </w:p>
        </w:tc>
        <w:tc>
          <w:tcPr>
            <w:tcW w:w="5387" w:type="dxa"/>
            <w:shd w:val="clear" w:color="auto" w:fill="auto"/>
          </w:tcPr>
          <w:p w14:paraId="556F4E0B" w14:textId="77777777"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Planning:</w:t>
            </w:r>
            <w:r w:rsidRPr="0091560A">
              <w:rPr>
                <w:rFonts w:eastAsia="Times New Roman" w:cs="Times New Roman"/>
                <w:sz w:val="16"/>
                <w:szCs w:val="16"/>
                <w:lang w:eastAsia="en-AU"/>
              </w:rPr>
              <w:t xml:space="preserve"> 25% spent 0-&lt;15 mins planning, 25% spent 15-&lt;60 mins, 23.3% 1-&lt;24hours, 15% 1-&lt;7 days, 11.7% 1 week+. People who took impulsively (within an hour of thinking about it) more likely to take tablets already in the home (63.3%)</w:t>
            </w:r>
            <w:r w:rsidRPr="0091560A">
              <w:rPr>
                <w:rFonts w:cs="Times New Roman"/>
              </w:rPr>
              <w:br/>
            </w:r>
            <w:r w:rsidRPr="0091560A">
              <w:rPr>
                <w:rFonts w:eastAsia="Times New Roman" w:cs="Times New Roman"/>
                <w:b/>
                <w:bCs/>
                <w:sz w:val="16"/>
                <w:szCs w:val="16"/>
                <w:lang w:eastAsia="en-AU"/>
              </w:rPr>
              <w:t>Access:</w:t>
            </w:r>
            <w:r w:rsidRPr="0091560A">
              <w:rPr>
                <w:rFonts w:eastAsia="Times New Roman" w:cs="Times New Roman"/>
                <w:sz w:val="16"/>
                <w:szCs w:val="16"/>
                <w:lang w:eastAsia="en-AU"/>
              </w:rPr>
              <w:t xml:space="preserve"> 53.3% already in the home, 28.3% pharmacy, 35% supermarket, 13.3% local shop, 11.7% other outlet (e.g., garage and internet). 30% bought the paracetamol from at least two different outlets. 58.3% bought tablets specifically for self-poisoning</w:t>
            </w:r>
            <w:r w:rsidRPr="0091560A">
              <w:rPr>
                <w:rFonts w:cs="Times New Roman"/>
              </w:rPr>
              <w:br/>
            </w:r>
            <w:r w:rsidRPr="0091560A">
              <w:rPr>
                <w:rFonts w:eastAsia="Times New Roman" w:cs="Times New Roman"/>
                <w:b/>
                <w:bCs/>
                <w:sz w:val="16"/>
                <w:szCs w:val="16"/>
                <w:lang w:eastAsia="en-AU"/>
              </w:rPr>
              <w:t>Anticipated effects:</w:t>
            </w:r>
            <w:r w:rsidRPr="0091560A">
              <w:rPr>
                <w:rFonts w:eastAsia="Times New Roman" w:cs="Times New Roman"/>
                <w:sz w:val="16"/>
                <w:szCs w:val="16"/>
                <w:lang w:eastAsia="en-AU"/>
              </w:rPr>
              <w:t xml:space="preserve"> 6.7% Harmful but short-lasting effects, 18.3% permanent damage or harm, 70% could cause death, 80% knew could harm the liver </w:t>
            </w:r>
            <w:r w:rsidRPr="0091560A">
              <w:rPr>
                <w:rFonts w:cs="Times New Roman"/>
              </w:rPr>
              <w:br/>
            </w:r>
            <w:r w:rsidRPr="0091560A">
              <w:rPr>
                <w:rFonts w:eastAsia="Times New Roman" w:cs="Times New Roman"/>
                <w:b/>
                <w:bCs/>
                <w:sz w:val="16"/>
                <w:szCs w:val="16"/>
                <w:lang w:eastAsia="en-AU"/>
              </w:rPr>
              <w:t>Knowledge:</w:t>
            </w:r>
            <w:r w:rsidRPr="0091560A">
              <w:rPr>
                <w:rFonts w:eastAsia="Times New Roman" w:cs="Times New Roman"/>
                <w:sz w:val="16"/>
                <w:szCs w:val="16"/>
                <w:lang w:eastAsia="en-AU"/>
              </w:rPr>
              <w:t xml:space="preserve"> 70% thought they would lose consciousness. Of these people, 54.8% would not have taken overdose if had known they would not lose consciousness and effects would not be immediate. 20% did not know how many tablets could cause death </w:t>
            </w:r>
          </w:p>
          <w:p w14:paraId="2A11DFE1" w14:textId="2FC1A14A" w:rsidR="00574EB4" w:rsidRPr="0091560A" w:rsidRDefault="00574EB4">
            <w:pPr>
              <w:spacing w:after="0" w:line="240" w:lineRule="auto"/>
              <w:rPr>
                <w:rFonts w:eastAsia="Times New Roman" w:cs="Times New Roman"/>
                <w:sz w:val="16"/>
                <w:szCs w:val="16"/>
                <w:lang w:eastAsia="en-AU"/>
              </w:rPr>
            </w:pPr>
            <w:r w:rsidRPr="0091560A">
              <w:rPr>
                <w:rFonts w:eastAsia="Times New Roman" w:cs="Times New Roman"/>
                <w:b/>
                <w:bCs/>
                <w:sz w:val="16"/>
                <w:szCs w:val="16"/>
                <w:lang w:eastAsia="en-AU"/>
              </w:rPr>
              <w:t>Factors that might deter overdoses:</w:t>
            </w:r>
            <w:r w:rsidRPr="0091560A">
              <w:rPr>
                <w:rFonts w:eastAsia="Times New Roman" w:cs="Times New Roman"/>
                <w:sz w:val="16"/>
                <w:szCs w:val="16"/>
                <w:lang w:eastAsia="en-AU"/>
              </w:rPr>
              <w:t xml:space="preserve"> </w:t>
            </w:r>
            <w:bookmarkStart w:id="163" w:name="_Hlk110256361"/>
            <w:r w:rsidRPr="0091560A">
              <w:rPr>
                <w:rFonts w:eastAsia="Times New Roman" w:cs="Times New Roman"/>
                <w:sz w:val="16"/>
                <w:szCs w:val="16"/>
                <w:lang w:eastAsia="en-AU"/>
              </w:rPr>
              <w:t>48.3% noticed warning on packet about dangers of overdose but this did not affect decision for 79.3% cases. Of those who didn</w:t>
            </w:r>
            <w:r w:rsidR="00787E88">
              <w:rPr>
                <w:rFonts w:eastAsia="Times New Roman" w:cs="Times New Roman"/>
                <w:sz w:val="16"/>
                <w:szCs w:val="16"/>
                <w:lang w:eastAsia="en-AU"/>
              </w:rPr>
              <w:t>’</w:t>
            </w:r>
            <w:r w:rsidRPr="0091560A">
              <w:rPr>
                <w:rFonts w:eastAsia="Times New Roman" w:cs="Times New Roman"/>
                <w:sz w:val="16"/>
                <w:szCs w:val="16"/>
                <w:lang w:eastAsia="en-AU"/>
              </w:rPr>
              <w:t xml:space="preserve">t see the warning 80% would still have done it if they had. </w:t>
            </w:r>
            <w:bookmarkEnd w:id="163"/>
            <w:r w:rsidRPr="0091560A">
              <w:rPr>
                <w:rFonts w:eastAsia="Times New Roman" w:cs="Times New Roman"/>
                <w:sz w:val="16"/>
                <w:szCs w:val="16"/>
                <w:lang w:eastAsia="en-AU"/>
              </w:rPr>
              <w:t>89.7% still would have taken overdose if packets were smaller</w:t>
            </w:r>
            <w:r w:rsidRPr="0091560A">
              <w:rPr>
                <w:rFonts w:cs="Times New Roman"/>
              </w:rPr>
              <w:br/>
            </w:r>
            <w:r w:rsidRPr="0091560A">
              <w:rPr>
                <w:rFonts w:eastAsia="Times New Roman" w:cs="Times New Roman"/>
                <w:b/>
                <w:bCs/>
                <w:sz w:val="16"/>
                <w:szCs w:val="16"/>
                <w:lang w:eastAsia="en-AU"/>
              </w:rPr>
              <w:t>Motives:</w:t>
            </w:r>
            <w:r w:rsidRPr="0091560A">
              <w:rPr>
                <w:rFonts w:eastAsia="Times New Roman" w:cs="Times New Roman"/>
                <w:sz w:val="16"/>
                <w:szCs w:val="16"/>
                <w:lang w:eastAsia="en-AU"/>
              </w:rPr>
              <w:t xml:space="preserve"> 76.7% wanted to die, 75% to get relief from a terrible state of mind, 73.3% escape an unbearable situation, 53.3% show how desperate they were feeling, 43.3% to get help, 15% to find out whether someone really loved them, 15% to make someone feel sorry, 5% to influence someone</w:t>
            </w:r>
            <w:r w:rsidRPr="0091560A">
              <w:rPr>
                <w:rFonts w:cs="Times New Roman"/>
              </w:rPr>
              <w:br/>
            </w:r>
            <w:r w:rsidRPr="0091560A">
              <w:rPr>
                <w:rFonts w:eastAsia="Times New Roman" w:cs="Times New Roman"/>
                <w:b/>
                <w:bCs/>
                <w:sz w:val="16"/>
                <w:szCs w:val="16"/>
                <w:lang w:eastAsia="en-AU"/>
              </w:rPr>
              <w:t>Method choice:</w:t>
            </w:r>
            <w:r w:rsidRPr="0091560A">
              <w:rPr>
                <w:rFonts w:eastAsia="Times New Roman" w:cs="Times New Roman"/>
                <w:sz w:val="16"/>
                <w:szCs w:val="16"/>
                <w:lang w:eastAsia="en-AU"/>
              </w:rPr>
              <w:t xml:space="preserve"> 38.3% knew someone else who had self-poisoned with paracetamol, 35% read/seen in media, 13% used internet to get info on methods. 38.3% took paracetamol as it was already in the household, 20% bought paracetamol as it was cheap and readily available, 27% chose paracetamol because they knew it was effective, 8% used it as they had self-poisoned with paracetamol in the past</w:t>
            </w:r>
            <w:r w:rsidRPr="0091560A">
              <w:rPr>
                <w:rFonts w:cs="Times New Roman"/>
              </w:rPr>
              <w:br/>
            </w:r>
            <w:r w:rsidRPr="0091560A">
              <w:rPr>
                <w:rFonts w:eastAsia="Times New Roman" w:cs="Times New Roman"/>
                <w:b/>
                <w:bCs/>
                <w:sz w:val="16"/>
                <w:szCs w:val="16"/>
                <w:lang w:eastAsia="en-AU"/>
              </w:rPr>
              <w:t>Future self-harm:</w:t>
            </w:r>
            <w:r w:rsidRPr="0091560A">
              <w:rPr>
                <w:rFonts w:eastAsia="Times New Roman" w:cs="Times New Roman"/>
                <w:sz w:val="16"/>
                <w:szCs w:val="16"/>
                <w:lang w:eastAsia="en-AU"/>
              </w:rPr>
              <w:t xml:space="preserve"> 70.9% (39/55, 5 participants were unsure) said they would not intentionally self-poison using paracetamol again. The main reason given for not taking another paracetamol overdose was the unpleasant effects (38%), 23% wouldn</w:t>
            </w:r>
            <w:r w:rsidR="00787E88">
              <w:rPr>
                <w:rFonts w:eastAsia="Times New Roman" w:cs="Times New Roman"/>
                <w:sz w:val="16"/>
                <w:szCs w:val="16"/>
                <w:lang w:eastAsia="en-AU"/>
              </w:rPr>
              <w:t>’</w:t>
            </w:r>
            <w:r w:rsidRPr="0091560A">
              <w:rPr>
                <w:rFonts w:eastAsia="Times New Roman" w:cs="Times New Roman"/>
                <w:sz w:val="16"/>
                <w:szCs w:val="16"/>
                <w:lang w:eastAsia="en-AU"/>
              </w:rPr>
              <w:t>t self-poison using any drug, 15% would not self-poison using paracetamol again as they were now aware of the dangers, 23% wouldn</w:t>
            </w:r>
            <w:r w:rsidR="00787E88">
              <w:rPr>
                <w:rFonts w:eastAsia="Times New Roman" w:cs="Times New Roman"/>
                <w:sz w:val="16"/>
                <w:szCs w:val="16"/>
                <w:lang w:eastAsia="en-AU"/>
              </w:rPr>
              <w:t>’</w:t>
            </w:r>
            <w:r w:rsidRPr="0091560A">
              <w:rPr>
                <w:rFonts w:eastAsia="Times New Roman" w:cs="Times New Roman"/>
                <w:sz w:val="16"/>
                <w:szCs w:val="16"/>
                <w:lang w:eastAsia="en-AU"/>
              </w:rPr>
              <w:t>t do it again because it wasn</w:t>
            </w:r>
            <w:r w:rsidR="00787E88">
              <w:rPr>
                <w:rFonts w:eastAsia="Times New Roman" w:cs="Times New Roman"/>
                <w:sz w:val="16"/>
                <w:szCs w:val="16"/>
                <w:lang w:eastAsia="en-AU"/>
              </w:rPr>
              <w:t>’</w:t>
            </w:r>
            <w:r w:rsidRPr="0091560A">
              <w:rPr>
                <w:rFonts w:eastAsia="Times New Roman" w:cs="Times New Roman"/>
                <w:sz w:val="16"/>
                <w:szCs w:val="16"/>
                <w:lang w:eastAsia="en-AU"/>
              </w:rPr>
              <w:t>t quick or effective. Those who would take paracetamol again would do so as it would be effective (19%), is easy to obtain or readily available in the house (44%), habit or what they know (19%)</w:t>
            </w:r>
          </w:p>
        </w:tc>
      </w:tr>
    </w:tbl>
    <w:p w14:paraId="034A1654" w14:textId="77777777" w:rsidR="00574EB4" w:rsidRDefault="00574EB4" w:rsidP="00574EB4">
      <w:pPr>
        <w:spacing w:after="0" w:line="240" w:lineRule="auto"/>
        <w:rPr>
          <w:rFonts w:eastAsia="Times New Roman" w:cs="Times New Roman"/>
          <w:color w:val="000000" w:themeColor="text1"/>
          <w:sz w:val="16"/>
          <w:szCs w:val="16"/>
          <w:lang w:eastAsia="en-AU"/>
        </w:rPr>
      </w:pPr>
      <w:bookmarkStart w:id="164" w:name="_Hlk109336397"/>
      <w:r w:rsidRPr="0091560A">
        <w:rPr>
          <w:rFonts w:eastAsia="Times New Roman" w:cs="Times New Roman"/>
          <w:b/>
          <w:bCs/>
          <w:color w:val="000000" w:themeColor="text1"/>
          <w:sz w:val="16"/>
          <w:szCs w:val="16"/>
          <w:lang w:eastAsia="en-AU"/>
        </w:rPr>
        <w:t xml:space="preserve">Notes. </w:t>
      </w:r>
      <w:r w:rsidRPr="0091560A">
        <w:rPr>
          <w:rFonts w:eastAsia="Times New Roman" w:cs="Times New Roman"/>
          <w:color w:val="000000" w:themeColor="text1"/>
          <w:sz w:val="16"/>
          <w:szCs w:val="16"/>
          <w:lang w:eastAsia="en-AU"/>
        </w:rPr>
        <w:t>M = Mean, SD = Standard deviation,  IQR = Inter-quartile range, OTC = over-the-counter, ICU = Intensive care unit, A &amp; E = Accident and Emergency, ED = Emergency department.</w:t>
      </w:r>
    </w:p>
    <w:p w14:paraId="5153F0C1" w14:textId="77777777" w:rsidR="00531849" w:rsidRPr="00531849" w:rsidRDefault="00531849" w:rsidP="00531849">
      <w:pPr>
        <w:rPr>
          <w:rFonts w:eastAsia="Times New Roman" w:cs="Times New Roman"/>
          <w:sz w:val="16"/>
          <w:szCs w:val="16"/>
          <w:lang w:eastAsia="en-AU"/>
        </w:rPr>
      </w:pPr>
    </w:p>
    <w:p w14:paraId="12768380" w14:textId="77777777" w:rsidR="00531849" w:rsidRPr="00531849" w:rsidRDefault="00531849" w:rsidP="00531849">
      <w:pPr>
        <w:rPr>
          <w:rFonts w:eastAsia="Times New Roman" w:cs="Times New Roman"/>
          <w:sz w:val="16"/>
          <w:szCs w:val="16"/>
          <w:lang w:eastAsia="en-AU"/>
        </w:rPr>
      </w:pPr>
    </w:p>
    <w:p w14:paraId="6F2CBB3E" w14:textId="77777777" w:rsidR="00531849" w:rsidRPr="00531849" w:rsidRDefault="00531849" w:rsidP="00531849">
      <w:pPr>
        <w:rPr>
          <w:rFonts w:eastAsia="Times New Roman" w:cs="Times New Roman"/>
          <w:sz w:val="16"/>
          <w:szCs w:val="16"/>
          <w:lang w:eastAsia="en-AU"/>
        </w:rPr>
      </w:pPr>
    </w:p>
    <w:p w14:paraId="16B622F5" w14:textId="77777777" w:rsidR="00531849" w:rsidRPr="00531849" w:rsidRDefault="00531849" w:rsidP="00531849">
      <w:pPr>
        <w:rPr>
          <w:rFonts w:eastAsia="Times New Roman" w:cs="Times New Roman"/>
          <w:sz w:val="16"/>
          <w:szCs w:val="16"/>
          <w:lang w:eastAsia="en-AU"/>
        </w:rPr>
      </w:pPr>
    </w:p>
    <w:p w14:paraId="7E143B64" w14:textId="77777777" w:rsidR="00531849" w:rsidRDefault="00531849" w:rsidP="00531849">
      <w:pPr>
        <w:rPr>
          <w:rFonts w:eastAsia="Times New Roman" w:cs="Times New Roman"/>
          <w:color w:val="000000" w:themeColor="text1"/>
          <w:sz w:val="16"/>
          <w:szCs w:val="16"/>
          <w:lang w:eastAsia="en-AU"/>
        </w:rPr>
      </w:pPr>
    </w:p>
    <w:p w14:paraId="295DCD98" w14:textId="4C8CDD28" w:rsidR="00531849" w:rsidRDefault="00531849" w:rsidP="00531849">
      <w:pPr>
        <w:tabs>
          <w:tab w:val="left" w:pos="5355"/>
        </w:tabs>
        <w:rPr>
          <w:rFonts w:eastAsia="Times New Roman" w:cs="Times New Roman"/>
          <w:color w:val="000000" w:themeColor="text1"/>
          <w:sz w:val="16"/>
          <w:szCs w:val="16"/>
          <w:lang w:eastAsia="en-AU"/>
        </w:rPr>
      </w:pPr>
      <w:r>
        <w:rPr>
          <w:rFonts w:eastAsia="Times New Roman" w:cs="Times New Roman"/>
          <w:color w:val="000000" w:themeColor="text1"/>
          <w:sz w:val="16"/>
          <w:szCs w:val="16"/>
          <w:lang w:eastAsia="en-AU"/>
        </w:rPr>
        <w:tab/>
      </w:r>
    </w:p>
    <w:p w14:paraId="7A39DD3E" w14:textId="083DF92D" w:rsidR="00531849" w:rsidRPr="00531849" w:rsidRDefault="00531849" w:rsidP="00531849">
      <w:pPr>
        <w:tabs>
          <w:tab w:val="left" w:pos="5355"/>
        </w:tabs>
        <w:rPr>
          <w:rFonts w:eastAsia="Times New Roman" w:cs="Times New Roman"/>
          <w:sz w:val="16"/>
          <w:szCs w:val="16"/>
          <w:lang w:eastAsia="en-AU"/>
        </w:rPr>
        <w:sectPr w:rsidR="00531849" w:rsidRPr="00531849">
          <w:headerReference w:type="default" r:id="rId70"/>
          <w:pgSz w:w="16838" w:h="11906" w:orient="landscape"/>
          <w:pgMar w:top="720" w:right="720" w:bottom="720" w:left="720" w:header="708" w:footer="708" w:gutter="0"/>
          <w:cols w:space="708"/>
          <w:docGrid w:linePitch="360"/>
        </w:sectPr>
      </w:pPr>
      <w:r>
        <w:rPr>
          <w:rFonts w:eastAsia="Times New Roman" w:cs="Times New Roman"/>
          <w:sz w:val="16"/>
          <w:szCs w:val="16"/>
          <w:lang w:eastAsia="en-AU"/>
        </w:rPr>
        <w:tab/>
      </w:r>
    </w:p>
    <w:p w14:paraId="53DDB801" w14:textId="71D699D7" w:rsidR="00574EB4" w:rsidRPr="0091560A" w:rsidRDefault="00297EE7" w:rsidP="00297EE7">
      <w:pPr>
        <w:pStyle w:val="Caption"/>
      </w:pPr>
      <w:bookmarkStart w:id="165" w:name="_Ref110167696"/>
      <w:bookmarkStart w:id="166" w:name="_Toc114560148"/>
      <w:bookmarkEnd w:id="164"/>
      <w:r>
        <w:t xml:space="preserve">Table </w:t>
      </w:r>
      <w:r>
        <w:fldChar w:fldCharType="begin"/>
      </w:r>
      <w:r>
        <w:instrText>SEQ Table \* ARABIC</w:instrText>
      </w:r>
      <w:r>
        <w:fldChar w:fldCharType="separate"/>
      </w:r>
      <w:r w:rsidR="0091734E">
        <w:rPr>
          <w:noProof/>
        </w:rPr>
        <w:t>33</w:t>
      </w:r>
      <w:r>
        <w:fldChar w:fldCharType="end"/>
      </w:r>
      <w:bookmarkEnd w:id="165"/>
      <w:r w:rsidRPr="0091560A">
        <w:t>.</w:t>
      </w:r>
      <w:r w:rsidR="0069672C">
        <w:t xml:space="preserve"> </w:t>
      </w:r>
      <w:r w:rsidR="00574EB4" w:rsidRPr="0091560A">
        <w:t>Studies examining the effect of restricting medication accessibility on overdoses and method substitution to other drugs (ordered based on restriction type)</w:t>
      </w:r>
      <w:bookmarkEnd w:id="166"/>
    </w:p>
    <w:tbl>
      <w:tblPr>
        <w:tblW w:w="14034" w:type="dxa"/>
        <w:tblLayout w:type="fixed"/>
        <w:tblLook w:val="04A0" w:firstRow="1" w:lastRow="0" w:firstColumn="1" w:lastColumn="0" w:noHBand="0" w:noVBand="1"/>
      </w:tblPr>
      <w:tblGrid>
        <w:gridCol w:w="1678"/>
        <w:gridCol w:w="2293"/>
        <w:gridCol w:w="1978"/>
        <w:gridCol w:w="1635"/>
        <w:gridCol w:w="4030"/>
        <w:gridCol w:w="2420"/>
      </w:tblGrid>
      <w:tr w:rsidR="00574EB4" w:rsidRPr="0091560A" w14:paraId="75195EE1" w14:textId="77777777" w:rsidTr="00E64920">
        <w:trPr>
          <w:trHeight w:val="300"/>
          <w:tblHeader/>
        </w:trPr>
        <w:tc>
          <w:tcPr>
            <w:tcW w:w="1678" w:type="dxa"/>
            <w:tcBorders>
              <w:top w:val="single" w:sz="8" w:space="0" w:color="auto"/>
              <w:left w:val="nil"/>
              <w:bottom w:val="single" w:sz="8" w:space="0" w:color="auto"/>
              <w:right w:val="nil"/>
            </w:tcBorders>
            <w:shd w:val="clear" w:color="auto" w:fill="595959" w:themeFill="text1" w:themeFillTint="A6"/>
          </w:tcPr>
          <w:p w14:paraId="7BE8D953" w14:textId="3975E023" w:rsidR="00574EB4" w:rsidRPr="008D46C0" w:rsidRDefault="00574EB4">
            <w:pPr>
              <w:rPr>
                <w:rFonts w:eastAsia="Times New Roman" w:cs="Times New Roman"/>
                <w:b/>
                <w:color w:val="FFFFFF" w:themeColor="background1"/>
                <w:sz w:val="20"/>
                <w:szCs w:val="20"/>
              </w:rPr>
            </w:pPr>
            <w:r w:rsidRPr="008D46C0">
              <w:rPr>
                <w:rFonts w:eastAsia="Times New Roman" w:cs="Times New Roman"/>
                <w:b/>
                <w:color w:val="FFFFFF" w:themeColor="background1"/>
                <w:szCs w:val="24"/>
              </w:rPr>
              <w:t xml:space="preserve"> </w:t>
            </w:r>
            <w:r w:rsidRPr="008D46C0">
              <w:rPr>
                <w:rFonts w:eastAsia="Times New Roman" w:cs="Times New Roman"/>
                <w:b/>
                <w:color w:val="FFFFFF" w:themeColor="background1"/>
                <w:sz w:val="20"/>
                <w:szCs w:val="20"/>
              </w:rPr>
              <w:t>First author (Year) Region, Country</w:t>
            </w:r>
          </w:p>
        </w:tc>
        <w:tc>
          <w:tcPr>
            <w:tcW w:w="2293" w:type="dxa"/>
            <w:tcBorders>
              <w:top w:val="single" w:sz="8" w:space="0" w:color="auto"/>
              <w:left w:val="nil"/>
              <w:bottom w:val="single" w:sz="8" w:space="0" w:color="auto"/>
              <w:right w:val="nil"/>
            </w:tcBorders>
            <w:shd w:val="clear" w:color="auto" w:fill="595959" w:themeFill="text1" w:themeFillTint="A6"/>
          </w:tcPr>
          <w:p w14:paraId="2EE632A0" w14:textId="77777777" w:rsidR="00574EB4" w:rsidRPr="008D46C0" w:rsidRDefault="00574EB4">
            <w:pPr>
              <w:rPr>
                <w:rFonts w:eastAsia="Times New Roman" w:cs="Times New Roman"/>
                <w:b/>
                <w:color w:val="FFFFFF" w:themeColor="background1"/>
                <w:sz w:val="20"/>
                <w:szCs w:val="20"/>
              </w:rPr>
            </w:pPr>
            <w:r w:rsidRPr="008D46C0">
              <w:rPr>
                <w:rFonts w:eastAsia="Times New Roman" w:cs="Times New Roman"/>
                <w:b/>
                <w:color w:val="FFFFFF" w:themeColor="background1"/>
                <w:sz w:val="20"/>
                <w:szCs w:val="20"/>
              </w:rPr>
              <w:t>Details of Restriction</w:t>
            </w:r>
          </w:p>
        </w:tc>
        <w:tc>
          <w:tcPr>
            <w:tcW w:w="1978" w:type="dxa"/>
            <w:tcBorders>
              <w:top w:val="single" w:sz="8" w:space="0" w:color="auto"/>
              <w:left w:val="nil"/>
              <w:bottom w:val="single" w:sz="8" w:space="0" w:color="auto"/>
              <w:right w:val="nil"/>
            </w:tcBorders>
            <w:shd w:val="clear" w:color="auto" w:fill="595959" w:themeFill="text1" w:themeFillTint="A6"/>
          </w:tcPr>
          <w:p w14:paraId="5030E623" w14:textId="77777777" w:rsidR="00574EB4" w:rsidRPr="008D46C0" w:rsidRDefault="00574EB4">
            <w:pPr>
              <w:rPr>
                <w:rFonts w:eastAsia="Times New Roman" w:cs="Times New Roman"/>
                <w:b/>
                <w:color w:val="FFFFFF" w:themeColor="background1"/>
                <w:sz w:val="20"/>
                <w:szCs w:val="20"/>
              </w:rPr>
            </w:pPr>
            <w:r w:rsidRPr="008D46C0">
              <w:rPr>
                <w:rFonts w:eastAsia="Times New Roman" w:cs="Times New Roman"/>
                <w:b/>
                <w:color w:val="FFFFFF" w:themeColor="background1"/>
                <w:sz w:val="20"/>
                <w:szCs w:val="20"/>
              </w:rPr>
              <w:t>Medication(s) and Comparator(s)</w:t>
            </w:r>
          </w:p>
        </w:tc>
        <w:tc>
          <w:tcPr>
            <w:tcW w:w="1635" w:type="dxa"/>
            <w:tcBorders>
              <w:top w:val="single" w:sz="8" w:space="0" w:color="auto"/>
              <w:left w:val="nil"/>
              <w:bottom w:val="single" w:sz="8" w:space="0" w:color="auto"/>
              <w:right w:val="nil"/>
            </w:tcBorders>
            <w:shd w:val="clear" w:color="auto" w:fill="595959" w:themeFill="text1" w:themeFillTint="A6"/>
          </w:tcPr>
          <w:p w14:paraId="7EF9A786" w14:textId="77777777" w:rsidR="00574EB4" w:rsidRPr="008D46C0" w:rsidRDefault="00574EB4">
            <w:pPr>
              <w:spacing w:after="0"/>
              <w:rPr>
                <w:rFonts w:eastAsia="Times New Roman" w:cs="Times New Roman"/>
                <w:b/>
                <w:color w:val="FFFFFF" w:themeColor="background1"/>
                <w:sz w:val="20"/>
                <w:szCs w:val="20"/>
              </w:rPr>
            </w:pPr>
            <w:r w:rsidRPr="008D46C0">
              <w:rPr>
                <w:rFonts w:eastAsia="Times New Roman" w:cs="Times New Roman"/>
                <w:b/>
                <w:color w:val="FFFFFF" w:themeColor="background1"/>
                <w:sz w:val="20"/>
                <w:szCs w:val="20"/>
              </w:rPr>
              <w:t>Sample Type</w:t>
            </w:r>
          </w:p>
        </w:tc>
        <w:tc>
          <w:tcPr>
            <w:tcW w:w="4030" w:type="dxa"/>
            <w:tcBorders>
              <w:top w:val="single" w:sz="8" w:space="0" w:color="auto"/>
              <w:left w:val="nil"/>
              <w:bottom w:val="single" w:sz="8" w:space="0" w:color="auto"/>
              <w:right w:val="nil"/>
            </w:tcBorders>
            <w:shd w:val="clear" w:color="auto" w:fill="595959" w:themeFill="text1" w:themeFillTint="A6"/>
          </w:tcPr>
          <w:p w14:paraId="4A9CC594" w14:textId="77777777" w:rsidR="00574EB4" w:rsidRPr="008D46C0" w:rsidRDefault="00574EB4">
            <w:pPr>
              <w:rPr>
                <w:rFonts w:eastAsia="Times New Roman" w:cs="Times New Roman"/>
                <w:b/>
                <w:color w:val="FFFFFF" w:themeColor="background1"/>
                <w:sz w:val="20"/>
                <w:szCs w:val="20"/>
              </w:rPr>
            </w:pPr>
            <w:r w:rsidRPr="008D46C0">
              <w:rPr>
                <w:rFonts w:eastAsia="Times New Roman" w:cs="Times New Roman"/>
                <w:b/>
                <w:color w:val="FFFFFF" w:themeColor="background1"/>
                <w:sz w:val="20"/>
                <w:szCs w:val="20"/>
              </w:rPr>
              <w:t>Key Outcomes: Restricted medication</w:t>
            </w:r>
          </w:p>
        </w:tc>
        <w:tc>
          <w:tcPr>
            <w:tcW w:w="2420" w:type="dxa"/>
            <w:tcBorders>
              <w:top w:val="single" w:sz="8" w:space="0" w:color="auto"/>
              <w:left w:val="nil"/>
              <w:bottom w:val="single" w:sz="8" w:space="0" w:color="auto"/>
              <w:right w:val="nil"/>
            </w:tcBorders>
            <w:shd w:val="clear" w:color="auto" w:fill="595959" w:themeFill="text1" w:themeFillTint="A6"/>
          </w:tcPr>
          <w:p w14:paraId="7B548904" w14:textId="77777777" w:rsidR="00574EB4" w:rsidRPr="008D46C0" w:rsidRDefault="00574EB4">
            <w:pPr>
              <w:rPr>
                <w:rFonts w:eastAsia="Times New Roman" w:cs="Times New Roman"/>
                <w:b/>
                <w:color w:val="FFFFFF" w:themeColor="background1"/>
                <w:sz w:val="20"/>
                <w:szCs w:val="20"/>
              </w:rPr>
            </w:pPr>
            <w:r w:rsidRPr="008D46C0">
              <w:rPr>
                <w:rFonts w:eastAsia="Times New Roman" w:cs="Times New Roman"/>
                <w:b/>
                <w:color w:val="FFFFFF" w:themeColor="background1"/>
                <w:sz w:val="20"/>
                <w:szCs w:val="20"/>
              </w:rPr>
              <w:t>Key Outcomes: Comparator</w:t>
            </w:r>
          </w:p>
        </w:tc>
      </w:tr>
      <w:tr w:rsidR="00574EB4" w:rsidRPr="0091560A" w14:paraId="6F921351" w14:textId="77777777" w:rsidTr="00E64920">
        <w:trPr>
          <w:trHeight w:val="975"/>
        </w:trPr>
        <w:tc>
          <w:tcPr>
            <w:tcW w:w="1678" w:type="dxa"/>
            <w:tcBorders>
              <w:top w:val="single" w:sz="8" w:space="0" w:color="auto"/>
              <w:left w:val="nil"/>
              <w:bottom w:val="single" w:sz="8" w:space="0" w:color="auto"/>
              <w:right w:val="nil"/>
            </w:tcBorders>
          </w:tcPr>
          <w:p w14:paraId="6959C476" w14:textId="05281544" w:rsidR="00574EB4" w:rsidRPr="0091560A" w:rsidRDefault="00574EB4">
            <w:pPr>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Turvill (2000)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&lt;EndNote&gt;&lt;Cite&gt;&lt;Author&gt;Turvill&lt;/Author&gt;&lt;Year&gt;2000&lt;/Year&gt;&lt;RecNum&gt;920&lt;/RecNum&gt;&lt;DisplayText&gt;(Turvill et al., 2000)&lt;/DisplayText&gt;&lt;record&gt;&lt;rec-number&gt;920&lt;/rec-number&gt;&lt;foreign-keys&gt;&lt;key app="EN" db-id="90p22wx96ddedpe0r9pxtt9gzz05dd5ev299" timestamp="1657000537"&gt;920&lt;/key&gt;&lt;/foreign-keys&gt;&lt;ref-type name="Journal Article"&gt;17&lt;/ref-type&gt;&lt;contributors&gt;&lt;authors&gt;&lt;author&gt;Turvill, J. L.&lt;/author&gt;&lt;author&gt;Burroughs, A. K.&lt;/author&gt;&lt;author&gt;Moore, K. P.&lt;/author&gt;&lt;/authors&gt;&lt;/contributors&gt;&lt;titles&gt;&lt;title&gt;Change in occurrence of paracetamol overdose in UK after introduction of blister packs&lt;/title&gt;&lt;secondary-title&gt;Lancet (London, England)&lt;/secondary-title&gt;&lt;/titles&gt;&lt;pages&gt;2048-9&lt;/pages&gt;&lt;volume&gt;355&lt;/volume&gt;&lt;number&gt;9220&lt;/number&gt;&lt;dates&gt;&lt;year&gt;2000&lt;/year&gt;&lt;/dates&gt;&lt;urls&gt;&lt;related-urls&gt;&lt;url&gt;http://ovidsp.ovid.com/ovidweb.cgi?T=JS&amp;amp;PAGE=reference&amp;amp;D=med4&amp;amp;NEWS=N&amp;amp;AN=10905911&lt;/url&gt;&lt;/related-urls&gt;&lt;/urls&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(Turvill et al., 2000)</w:t>
            </w:r>
            <w:r w:rsidRPr="0091560A">
              <w:rPr>
                <w:rFonts w:eastAsia="Times New Roman" w:cs="Times New Roman"/>
                <w:color w:val="000000" w:themeColor="text1"/>
                <w:sz w:val="20"/>
                <w:szCs w:val="20"/>
              </w:rPr>
              <w:fldChar w:fldCharType="end"/>
            </w:r>
          </w:p>
          <w:p w14:paraId="33D2E445"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color w:val="000000" w:themeColor="text1"/>
                <w:sz w:val="20"/>
                <w:szCs w:val="20"/>
              </w:rPr>
              <w:t>UK</w:t>
            </w:r>
          </w:p>
        </w:tc>
        <w:tc>
          <w:tcPr>
            <w:tcW w:w="2293" w:type="dxa"/>
            <w:tcBorders>
              <w:top w:val="single" w:sz="8" w:space="0" w:color="auto"/>
              <w:left w:val="nil"/>
              <w:bottom w:val="single" w:sz="8" w:space="0" w:color="auto"/>
              <w:right w:val="nil"/>
            </w:tcBorders>
          </w:tcPr>
          <w:p w14:paraId="3C8BF92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xml:space="preserve"> Pack size limit </w:t>
            </w: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xml:space="preserve"> 1998</w:t>
            </w:r>
          </w:p>
          <w:p w14:paraId="60E1BE41"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xml:space="preserve"> Paracetamol, aspirin or both substances </w:t>
            </w: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xml:space="preserve"> Legislation reduced pack size to 32 tablets (pharmacies) and 16 tablets (other retail outlets). In addition, warnings were placed on packs about the danger of overdose and paracetamol became available almost exclusively in blister packs</w:t>
            </w:r>
          </w:p>
        </w:tc>
        <w:tc>
          <w:tcPr>
            <w:tcW w:w="1978" w:type="dxa"/>
            <w:tcBorders>
              <w:top w:val="single" w:sz="8" w:space="0" w:color="auto"/>
              <w:left w:val="nil"/>
              <w:bottom w:val="single" w:sz="8" w:space="0" w:color="auto"/>
              <w:right w:val="nil"/>
            </w:tcBorders>
          </w:tcPr>
          <w:p w14:paraId="4F4CBE32"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Restricted medication:</w:t>
            </w:r>
          </w:p>
          <w:p w14:paraId="4E29644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Paracetamol </w:t>
            </w:r>
          </w:p>
          <w:p w14:paraId="24F9932C"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Benzodiazepine</w:t>
            </w:r>
          </w:p>
          <w:p w14:paraId="158FD77A" w14:textId="77777777" w:rsidR="00574EB4" w:rsidRPr="0091560A" w:rsidRDefault="00574EB4">
            <w:pPr>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tc>
        <w:tc>
          <w:tcPr>
            <w:tcW w:w="1635" w:type="dxa"/>
            <w:tcBorders>
              <w:top w:val="single" w:sz="8" w:space="0" w:color="auto"/>
              <w:left w:val="nil"/>
              <w:bottom w:val="single" w:sz="8" w:space="0" w:color="auto"/>
              <w:right w:val="nil"/>
            </w:tcBorders>
          </w:tcPr>
          <w:p w14:paraId="4A4A2AA7" w14:textId="77777777" w:rsidR="00574EB4" w:rsidRPr="0091560A" w:rsidRDefault="00574EB4">
            <w:pPr>
              <w:rPr>
                <w:rFonts w:eastAsia="Times New Roman" w:cs="Times New Roman"/>
                <w:b/>
                <w:bCs/>
                <w:color w:val="000000" w:themeColor="text1"/>
                <w:sz w:val="20"/>
                <w:szCs w:val="20"/>
              </w:rPr>
            </w:pPr>
            <w:r w:rsidRPr="0091560A">
              <w:rPr>
                <w:rFonts w:eastAsia="Times New Roman" w:cs="Times New Roman"/>
                <w:color w:val="000000" w:themeColor="text1"/>
                <w:sz w:val="20"/>
                <w:szCs w:val="20"/>
              </w:rPr>
              <w:t>Reported on</w:t>
            </w:r>
            <w:r w:rsidRPr="0091560A">
              <w:rPr>
                <w:rFonts w:eastAsia="Times New Roman" w:cs="Times New Roman"/>
                <w:b/>
                <w:bCs/>
                <w:color w:val="000000" w:themeColor="text1"/>
                <w:sz w:val="20"/>
                <w:szCs w:val="20"/>
              </w:rPr>
              <w:t xml:space="preserve"> </w:t>
            </w:r>
            <w:r w:rsidRPr="0091560A">
              <w:rPr>
                <w:rFonts w:eastAsia="Times New Roman" w:cs="Times New Roman"/>
                <w:color w:val="000000" w:themeColor="text1"/>
                <w:sz w:val="20"/>
                <w:szCs w:val="20"/>
              </w:rPr>
              <w:t>total number of overdoses</w:t>
            </w:r>
          </w:p>
        </w:tc>
        <w:tc>
          <w:tcPr>
            <w:tcW w:w="4030" w:type="dxa"/>
            <w:tcBorders>
              <w:top w:val="single" w:sz="8" w:space="0" w:color="auto"/>
              <w:left w:val="nil"/>
              <w:bottom w:val="single" w:sz="8" w:space="0" w:color="auto"/>
              <w:right w:val="nil"/>
            </w:tcBorders>
          </w:tcPr>
          <w:p w14:paraId="1A531F83" w14:textId="77777777" w:rsidR="00574EB4" w:rsidRPr="0091560A" w:rsidRDefault="00574EB4">
            <w:pPr>
              <w:rPr>
                <w:rFonts w:cs="Times New Roman"/>
              </w:rPr>
            </w:pPr>
            <w:r w:rsidRPr="0091560A">
              <w:rPr>
                <w:rFonts w:eastAsia="Times New Roman" w:cs="Times New Roman"/>
                <w:b/>
                <w:bCs/>
                <w:color w:val="000000" w:themeColor="text1"/>
                <w:sz w:val="20"/>
                <w:szCs w:val="20"/>
              </w:rPr>
              <w:t xml:space="preserve">Paracetamol: </w:t>
            </w:r>
            <w:r w:rsidRPr="0091560A">
              <w:rPr>
                <w:rFonts w:eastAsia="Times New Roman" w:cs="Times New Roman"/>
                <w:color w:val="000000" w:themeColor="text1"/>
                <w:sz w:val="20"/>
                <w:szCs w:val="20"/>
              </w:rPr>
              <w:t xml:space="preserve">For the 3 years leading up to the legislation change, the occurrence of paracetamol overdoses at the Royal Free Hospital, London, was consistent. In the year following the introduction there was a 21% reduction in all paracetamol overdoses and 64% reduction in severe overdoses.   </w:t>
            </w:r>
          </w:p>
        </w:tc>
        <w:tc>
          <w:tcPr>
            <w:tcW w:w="2420" w:type="dxa"/>
            <w:tcBorders>
              <w:top w:val="single" w:sz="8" w:space="0" w:color="auto"/>
              <w:left w:val="nil"/>
              <w:bottom w:val="single" w:sz="8" w:space="0" w:color="auto"/>
              <w:right w:val="nil"/>
            </w:tcBorders>
          </w:tcPr>
          <w:p w14:paraId="01ECAC13"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Benzodiazepine: </w:t>
            </w:r>
            <w:r w:rsidRPr="0091560A">
              <w:rPr>
                <w:rFonts w:eastAsia="Times New Roman" w:cs="Times New Roman"/>
                <w:color w:val="000000" w:themeColor="text1"/>
                <w:sz w:val="20"/>
                <w:szCs w:val="20"/>
              </w:rPr>
              <w:t>The frequency of overdoses remained stable over the study period.</w:t>
            </w:r>
          </w:p>
        </w:tc>
      </w:tr>
      <w:tr w:rsidR="00574EB4" w:rsidRPr="0091560A" w14:paraId="3BFB5AC8" w14:textId="77777777" w:rsidTr="00E64920">
        <w:trPr>
          <w:trHeight w:val="975"/>
        </w:trPr>
        <w:tc>
          <w:tcPr>
            <w:tcW w:w="1678" w:type="dxa"/>
            <w:tcBorders>
              <w:top w:val="single" w:sz="8" w:space="0" w:color="auto"/>
              <w:left w:val="nil"/>
              <w:bottom w:val="single" w:sz="8" w:space="0" w:color="auto"/>
              <w:right w:val="nil"/>
            </w:tcBorders>
          </w:tcPr>
          <w:p w14:paraId="51FBF008" w14:textId="03093FAB"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Hawton (2004)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&lt;EndNote&gt;&lt;Cite&gt;&lt;Author&gt;Hawton&lt;/Author&gt;&lt;Year&gt;2004&lt;/Year&gt;&lt;RecNum&gt;881&lt;/RecNum&gt;&lt;DisplayText&gt;(K. Hawton et al., 2004)&lt;/DisplayText&gt;&lt;record&gt;&lt;rec-number&gt;881&lt;/rec-number&gt;&lt;foreign-keys&gt;&lt;key app="EN" db-id="90p22wx96ddedpe0r9pxtt9gzz05dd5ev299" timestamp="1657000537"&gt;881&lt;/key&gt;&lt;/foreign-keys&gt;&lt;ref-type name="Journal Article"&gt;17&lt;/ref-type&gt;&lt;contributors&gt;&lt;authors&gt;&lt;author&gt;Hawton, K.&lt;/author&gt;&lt;author&gt;Simkin, S.&lt;/author&gt;&lt;author&gt;Decks, J.&lt;/author&gt;&lt;author&gt;Cooper, J.&lt;/author&gt;&lt;author&gt;Johnston, A.&lt;/author&gt;&lt;author&gt;Waters, K.&lt;/author&gt;&lt;author&gt;Arundel, M.&lt;/author&gt;&lt;author&gt;Bernal, W.&lt;/author&gt;&lt;author&gt;Gunson, B.&lt;/author&gt;&lt;author&gt;Hudson, M.&lt;/author&gt;&lt;author&gt;Suri, D.&lt;/author&gt;&lt;author&gt;Simpson, K.&lt;/author&gt;&lt;/authors&gt;&lt;/contributors&gt;&lt;titles&gt;&lt;title&gt;UK legislation on analgesic packs: Before and after study of long term effect on poisonings&lt;/title&gt;&lt;secondary-title&gt;British Medical Journal&lt;/secondary-title&gt;&lt;/titles&gt;&lt;pages&gt;1076-1079&lt;/pages&gt;&lt;volume&gt;329&lt;/volume&gt;&lt;number&gt;7474&lt;/number&gt;&lt;dates&gt;&lt;year&gt;2004&lt;/year&gt;&lt;/dates&gt;&lt;urls&gt;&lt;related-urls&gt;&lt;url&gt;http://ovidsp.ovid.com/ovidweb.cgi?T=JS&amp;amp;PAGE=reference&amp;amp;D=emed8&amp;amp;NEWS=N&amp;amp;AN=39490692&lt;/url&gt;&lt;/related-urls&gt;&lt;/urls&gt;&lt;electronic-resource-num&gt;http://dx.doi.org/10.1136/bmj.38253.572581.7C&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(K. Hawton et al., 2004)</w:t>
            </w:r>
            <w:r w:rsidRPr="0091560A">
              <w:rPr>
                <w:rFonts w:eastAsia="Times New Roman" w:cs="Times New Roman"/>
                <w:color w:val="000000" w:themeColor="text1"/>
                <w:sz w:val="20"/>
                <w:szCs w:val="20"/>
              </w:rPr>
              <w:fldChar w:fldCharType="end"/>
            </w:r>
          </w:p>
          <w:p w14:paraId="49343926" w14:textId="77777777" w:rsidR="00574EB4" w:rsidRPr="0091560A" w:rsidRDefault="00574EB4">
            <w:pPr>
              <w:spacing w:after="0"/>
              <w:rPr>
                <w:rFonts w:eastAsia="Times New Roman" w:cs="Times New Roman"/>
                <w:b/>
                <w:bCs/>
                <w:color w:val="000000" w:themeColor="text1"/>
                <w:sz w:val="20"/>
                <w:szCs w:val="20"/>
              </w:rPr>
            </w:pPr>
          </w:p>
          <w:p w14:paraId="7381434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UK</w:t>
            </w:r>
          </w:p>
        </w:tc>
        <w:tc>
          <w:tcPr>
            <w:tcW w:w="2293" w:type="dxa"/>
            <w:tcBorders>
              <w:top w:val="single" w:sz="8" w:space="0" w:color="auto"/>
              <w:left w:val="nil"/>
              <w:bottom w:val="single" w:sz="8" w:space="0" w:color="auto"/>
              <w:right w:val="nil"/>
            </w:tcBorders>
          </w:tcPr>
          <w:p w14:paraId="40FE671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xml:space="preserve"> Pack size limit</w:t>
            </w:r>
          </w:p>
          <w:p w14:paraId="7AC599A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xml:space="preserve"> 1998</w:t>
            </w:r>
          </w:p>
          <w:p w14:paraId="09A53DC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xml:space="preserve"> Paracetamol, aspirin or both substances</w:t>
            </w:r>
          </w:p>
          <w:p w14:paraId="2340543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xml:space="preserve">  Legislation reduced pack size to 32 tablets (pharmacies) and 16 tablets (other retail outlets). In addition, warnings were placed on packs about the danger of overdose and paracetamol became available almost exclusively in blister packs</w:t>
            </w:r>
          </w:p>
          <w:p w14:paraId="75EB6FAF" w14:textId="77777777" w:rsidR="00574EB4" w:rsidRPr="0091560A" w:rsidRDefault="00574EB4">
            <w:pPr>
              <w:spacing w:after="0"/>
              <w:rPr>
                <w:rFonts w:eastAsia="Times New Roman" w:cs="Times New Roman"/>
                <w:color w:val="000000" w:themeColor="text1"/>
                <w:sz w:val="20"/>
                <w:szCs w:val="20"/>
              </w:rPr>
            </w:pPr>
          </w:p>
        </w:tc>
        <w:tc>
          <w:tcPr>
            <w:tcW w:w="1978" w:type="dxa"/>
            <w:tcBorders>
              <w:top w:val="single" w:sz="8" w:space="0" w:color="auto"/>
              <w:left w:val="nil"/>
              <w:bottom w:val="single" w:sz="8" w:space="0" w:color="auto"/>
              <w:right w:val="nil"/>
            </w:tcBorders>
          </w:tcPr>
          <w:p w14:paraId="6428852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Paracetamol; salicylates (either alone or in combination with other drugs (excludes co-proxamol)</w:t>
            </w:r>
          </w:p>
          <w:p w14:paraId="01884D3C"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Comparator:</w:t>
            </w:r>
          </w:p>
          <w:p w14:paraId="6507AF2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Ibuprofen</w:t>
            </w:r>
          </w:p>
        </w:tc>
        <w:tc>
          <w:tcPr>
            <w:tcW w:w="1635" w:type="dxa"/>
            <w:tcBorders>
              <w:top w:val="single" w:sz="8" w:space="0" w:color="auto"/>
              <w:left w:val="nil"/>
              <w:bottom w:val="single" w:sz="8" w:space="0" w:color="auto"/>
              <w:right w:val="nil"/>
            </w:tcBorders>
          </w:tcPr>
          <w:p w14:paraId="72D6E8B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Deaths reported are for suicides, open verdicts and accidental poisonings. Findings were similar when restricted to suicides and open verdicts however data was not shown.</w:t>
            </w:r>
          </w:p>
        </w:tc>
        <w:tc>
          <w:tcPr>
            <w:tcW w:w="4030" w:type="dxa"/>
            <w:tcBorders>
              <w:top w:val="single" w:sz="8" w:space="0" w:color="auto"/>
              <w:left w:val="nil"/>
              <w:bottom w:val="single" w:sz="8" w:space="0" w:color="auto"/>
              <w:right w:val="nil"/>
            </w:tcBorders>
          </w:tcPr>
          <w:p w14:paraId="39A9DA3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Paracetamol alone:</w:t>
            </w:r>
            <w:r w:rsidRPr="0091560A">
              <w:rPr>
                <w:rFonts w:eastAsia="Times New Roman" w:cs="Times New Roman"/>
                <w:color w:val="000000" w:themeColor="text1"/>
                <w:sz w:val="20"/>
                <w:szCs w:val="20"/>
              </w:rPr>
              <w:t xml:space="preserve"> Reduced deaths (suicides, open verdicts and accidental poisonings) in the year after the legislation (29%) sustained in subsequent two years (34%). Reduced presentations to hospital for non-fatal paracetamol overdoses in the first year (15% reduction), but no reduction in subsequent years. Number of tablets taken in overdoses decreased post-legislation. Large paracetamol overdoses (&gt;32 tablets) decreased in the year after legislation was introduced and was sustained. 30% reduction in the number of people admitted to liver units due to paracetamol-induced hepatoxicity, those listed for liver transplant and actual transplantations in the first two years post-legislation</w:t>
            </w:r>
          </w:p>
          <w:p w14:paraId="4424686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Salicylates alone: </w:t>
            </w:r>
            <w:r w:rsidRPr="0091560A">
              <w:rPr>
                <w:rFonts w:eastAsia="Times New Roman" w:cs="Times New Roman"/>
                <w:color w:val="000000" w:themeColor="text1"/>
                <w:sz w:val="20"/>
                <w:szCs w:val="20"/>
              </w:rPr>
              <w:t>Reduced deaths (suicides, open verdicts and accidental poisonings) in the year after legislation (46%), sustained in subsequent two years (70%). No change in non-fatal salicylate overdoses with introduction of legislation. Number of tablets taken in overdoses decreased post-legislation.</w:t>
            </w:r>
          </w:p>
        </w:tc>
        <w:tc>
          <w:tcPr>
            <w:tcW w:w="2420" w:type="dxa"/>
            <w:tcBorders>
              <w:top w:val="single" w:sz="8" w:space="0" w:color="auto"/>
              <w:left w:val="nil"/>
              <w:bottom w:val="single" w:sz="8" w:space="0" w:color="auto"/>
              <w:right w:val="nil"/>
            </w:tcBorders>
          </w:tcPr>
          <w:p w14:paraId="43C753F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Ibuprofen</w:t>
            </w:r>
            <w:r w:rsidRPr="0091560A">
              <w:rPr>
                <w:rFonts w:eastAsia="Times New Roman" w:cs="Times New Roman"/>
                <w:color w:val="000000" w:themeColor="text1"/>
                <w:sz w:val="20"/>
                <w:szCs w:val="20"/>
              </w:rPr>
              <w:t>: All deaths increased 2.2-fold and suicide/open verdict deaths increased 2.1-fold following legislation change, however actual numbers were small (4 accidental and 7 open verdict/suicide in the 5 years before legislation; 4 accidental and 9 open verdict/suicide in the 3 years following legislation). Number of ibuprofen overdoses increased by 27% in the second and third years after the legislation was introduced. No major change in the number of tablets taken in non-fatal overdoses with ibuprofen alone. Large ibuprofen overdoses (&gt;32 tablets) did not change significantly following legislation change.</w:t>
            </w:r>
          </w:p>
          <w:p w14:paraId="50ED55A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r>
      <w:tr w:rsidR="00574EB4" w:rsidRPr="0091560A" w14:paraId="30866800" w14:textId="77777777" w:rsidTr="00E64920">
        <w:trPr>
          <w:trHeight w:val="975"/>
        </w:trPr>
        <w:tc>
          <w:tcPr>
            <w:tcW w:w="1678" w:type="dxa"/>
            <w:tcBorders>
              <w:top w:val="single" w:sz="8" w:space="0" w:color="auto"/>
              <w:left w:val="nil"/>
              <w:bottom w:val="single" w:sz="8" w:space="0" w:color="auto"/>
              <w:right w:val="nil"/>
            </w:tcBorders>
          </w:tcPr>
          <w:p w14:paraId="34D67B35" w14:textId="3ADEA222"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Morgan (2005)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&lt;EndNote&gt;&lt;Cite&gt;&lt;Author&gt;Morgan&lt;/Author&gt;&lt;Year&gt;2005&lt;/Year&gt;&lt;RecNum&gt;898&lt;/RecNum&gt;&lt;DisplayText&gt;(O. Morgan et al., 2005)&lt;/DisplayText&gt;&lt;record&gt;&lt;rec-number&gt;898&lt;/rec-number&gt;&lt;foreign-keys&gt;&lt;key app="EN" db-id="90p22wx96ddedpe0r9pxtt9gzz05dd5ev299" timestamp="1657000537"&gt;898&lt;/key&gt;&lt;/foreign-keys&gt;&lt;ref-type name="Journal Article"&gt;17&lt;/ref-type&gt;&lt;contributors&gt;&lt;authors&gt;&lt;author&gt;Morgan, Oliver&lt;/author&gt;&lt;author&gt;Griffiths, Clare&lt;/author&gt;&lt;author&gt;Majeed, Azeem&lt;/author&gt;&lt;/authors&gt;&lt;/contributors&gt;&lt;titles&gt;&lt;title&gt;Impact of paracetamol pack size restrictions on poisoning from paracetamol in England and Wales: an observational study&lt;/title&gt;&lt;secondary-title&gt;Journal of public health (Oxford, England)&lt;/secondary-title&gt;&lt;/titles&gt;&lt;pages&gt;19-24&lt;/pages&gt;&lt;volume&gt;27&lt;/volume&gt;&lt;number&gt;1&lt;/number&gt;&lt;dates&gt;&lt;year&gt;2005&lt;/year&gt;&lt;/dates&gt;&lt;urls&gt;&lt;related-urls&gt;&lt;url&gt;http://ovidsp.ovid.com/ovidweb.cgi?T=JS&amp;amp;PAGE=reference&amp;amp;D=med6&amp;amp;NEWS=N&amp;amp;AN=15637104&lt;/url&gt;&lt;/related-urls&gt;&lt;/urls&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(O. Morgan et al., 2005)</w:t>
            </w:r>
            <w:r w:rsidRPr="0091560A">
              <w:rPr>
                <w:rFonts w:eastAsia="Times New Roman" w:cs="Times New Roman"/>
                <w:color w:val="000000" w:themeColor="text1"/>
                <w:sz w:val="20"/>
                <w:szCs w:val="20"/>
              </w:rPr>
              <w:fldChar w:fldCharType="end"/>
            </w:r>
          </w:p>
          <w:p w14:paraId="23415DD9"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p w14:paraId="1DBA0D2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England and Wales, UK</w:t>
            </w:r>
          </w:p>
        </w:tc>
        <w:tc>
          <w:tcPr>
            <w:tcW w:w="2293" w:type="dxa"/>
            <w:tcBorders>
              <w:top w:val="single" w:sz="8" w:space="0" w:color="auto"/>
              <w:left w:val="nil"/>
              <w:bottom w:val="single" w:sz="8" w:space="0" w:color="auto"/>
              <w:right w:val="nil"/>
            </w:tcBorders>
          </w:tcPr>
          <w:p w14:paraId="059730F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xml:space="preserve"> Pack size limit</w:t>
            </w:r>
          </w:p>
          <w:p w14:paraId="143D41A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xml:space="preserve"> 1998</w:t>
            </w:r>
          </w:p>
          <w:p w14:paraId="0D0B7A2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xml:space="preserve"> Paracetamol, aspirin or both substances</w:t>
            </w:r>
          </w:p>
          <w:p w14:paraId="0C5B158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xml:space="preserve"> Legislation reduced pack size to 32 tablets (pharmacies) and 16 tablets (other retail outlets). In addition, warnings were placed on packs about the danger of overdose and paracetamol became available almost exclusively in blister packs</w:t>
            </w:r>
          </w:p>
          <w:p w14:paraId="1D547A5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4CE6F15D"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tc>
        <w:tc>
          <w:tcPr>
            <w:tcW w:w="1978" w:type="dxa"/>
            <w:tcBorders>
              <w:top w:val="single" w:sz="8" w:space="0" w:color="auto"/>
              <w:left w:val="nil"/>
              <w:bottom w:val="single" w:sz="8" w:space="0" w:color="auto"/>
              <w:right w:val="nil"/>
            </w:tcBorders>
          </w:tcPr>
          <w:p w14:paraId="52C663BC"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Restricted medication:</w:t>
            </w:r>
          </w:p>
          <w:p w14:paraId="1FED132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Paracetamol </w:t>
            </w:r>
          </w:p>
          <w:p w14:paraId="6505135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Paracetamol compounds, all other drugs excluding paracetamol and opioids</w:t>
            </w:r>
          </w:p>
        </w:tc>
        <w:tc>
          <w:tcPr>
            <w:tcW w:w="1635" w:type="dxa"/>
            <w:tcBorders>
              <w:top w:val="single" w:sz="8" w:space="0" w:color="auto"/>
              <w:left w:val="nil"/>
              <w:bottom w:val="single" w:sz="8" w:space="0" w:color="auto"/>
              <w:right w:val="nil"/>
            </w:tcBorders>
          </w:tcPr>
          <w:p w14:paraId="0EC4C03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Intentionality of deaths or overdoses leading to hospital admission was not assessed. Across the whole study period 47% of all paracetamol only deaths were classified as intentional self-poisoning, and 33% were of underdetermined intent.</w:t>
            </w:r>
          </w:p>
        </w:tc>
        <w:tc>
          <w:tcPr>
            <w:tcW w:w="4030" w:type="dxa"/>
            <w:tcBorders>
              <w:top w:val="single" w:sz="8" w:space="0" w:color="auto"/>
              <w:left w:val="nil"/>
              <w:bottom w:val="single" w:sz="8" w:space="0" w:color="auto"/>
              <w:right w:val="nil"/>
            </w:tcBorders>
          </w:tcPr>
          <w:p w14:paraId="2D0EA0E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Paracetamol: </w:t>
            </w:r>
            <w:r w:rsidRPr="0091560A">
              <w:rPr>
                <w:rFonts w:eastAsia="Times New Roman" w:cs="Times New Roman"/>
                <w:color w:val="000000" w:themeColor="text1"/>
                <w:sz w:val="20"/>
                <w:szCs w:val="20"/>
              </w:rPr>
              <w:t xml:space="preserve">Modelling showed a decreasing trend in age-standardised mortality rates for deaths involving pure paracetamol over time, but some of this decrease was speculated to be the result of natural variation in rates. There was a modest decline in hospital admissions due to paracetamol (trend not significant). </w:t>
            </w:r>
          </w:p>
          <w:p w14:paraId="253F63C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0BE2D8E7"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18A7DE1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Compound paracetamol:</w:t>
            </w:r>
            <w:r w:rsidRPr="0091560A">
              <w:rPr>
                <w:rFonts w:eastAsia="Times New Roman" w:cs="Times New Roman"/>
                <w:color w:val="000000" w:themeColor="text1"/>
                <w:sz w:val="20"/>
                <w:szCs w:val="20"/>
              </w:rPr>
              <w:t xml:space="preserve"> Deaths due to compound paracetamol remained relatively constant.</w:t>
            </w:r>
          </w:p>
          <w:p w14:paraId="7AFF55A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All poisonings: </w:t>
            </w:r>
            <w:r w:rsidRPr="0091560A">
              <w:rPr>
                <w:rFonts w:eastAsia="Times New Roman" w:cs="Times New Roman"/>
                <w:color w:val="000000" w:themeColor="text1"/>
                <w:sz w:val="20"/>
                <w:szCs w:val="20"/>
              </w:rPr>
              <w:t>There was a decreasing trend for age standardised mortality rates for deaths due to all poisoning excluding opioids and paracetamol.</w:t>
            </w:r>
          </w:p>
        </w:tc>
      </w:tr>
      <w:tr w:rsidR="00574EB4" w:rsidRPr="0091560A" w14:paraId="4D72FBBE" w14:textId="77777777" w:rsidTr="00E64920">
        <w:trPr>
          <w:trHeight w:val="975"/>
        </w:trPr>
        <w:tc>
          <w:tcPr>
            <w:tcW w:w="1678" w:type="dxa"/>
            <w:tcBorders>
              <w:top w:val="single" w:sz="8" w:space="0" w:color="auto"/>
              <w:left w:val="nil"/>
              <w:bottom w:val="single" w:sz="8" w:space="0" w:color="auto"/>
              <w:right w:val="nil"/>
            </w:tcBorders>
          </w:tcPr>
          <w:p w14:paraId="2F508A9D" w14:textId="5DAC2304" w:rsidR="00574EB4" w:rsidRPr="0091560A" w:rsidRDefault="00574EB4">
            <w:pPr>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Morgan (2007)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&lt;EndNote&gt;&lt;Cite&gt;&lt;Author&gt;Morgan&lt;/Author&gt;&lt;Year&gt;2007&lt;/Year&gt;&lt;RecNum&gt;899&lt;/RecNum&gt;&lt;DisplayText&gt;(O. W. Morgan et al., 2007)&lt;/DisplayText&gt;&lt;record&gt;&lt;rec-number&gt;899&lt;/rec-number&gt;&lt;foreign-keys&gt;&lt;key app="EN" db-id="90p22wx96ddedpe0r9pxtt9gzz05dd5ev299" timestamp="1657000537"&gt;899&lt;/key&gt;&lt;/foreign-keys&gt;&lt;ref-type name="Journal Article"&gt;17&lt;/ref-type&gt;&lt;contributors&gt;&lt;authors&gt;&lt;author&gt;Morgan, O. W.&lt;/author&gt;&lt;author&gt;Griffiths, C.&lt;/author&gt;&lt;author&gt;Majeed, A.&lt;/author&gt;&lt;/authors&gt;&lt;/contributors&gt;&lt;titles&gt;&lt;title&gt;Interrupted time-series analysis of regulations to reduce paracetamol (acetaminophen) poisoning&lt;/title&gt;&lt;secondary-title&gt;PLoS Medicine&lt;/secondary-title&gt;&lt;/titles&gt;&lt;pages&gt;654-659&lt;/pages&gt;&lt;volume&gt;4&lt;/volume&gt;&lt;number&gt;4&lt;/number&gt;&lt;dates&gt;&lt;year&gt;2007&lt;/year&gt;&lt;/dates&gt;&lt;urls&gt;&lt;related-urls&gt;&lt;url&gt;http://medicine.plosjournals.org/archive/1549-1676/4/4/pdf/10.1371_journal.pmed.0040105-S.pdfhttp://ovidsp.ovid.com/ovidweb.cgi?T=JS&amp;amp;PAGE=reference&amp;amp;D=emed10&amp;amp;NEWS=N&amp;amp;AN=46658767&lt;/url&gt;&lt;/related-urls&gt;&lt;/urls&gt;&lt;electronic-resource-num&gt;http://dx.doi.org/10.1371/journal.pmed.0040105&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(O. W. Morgan et al., 2007)</w:t>
            </w:r>
            <w:r w:rsidRPr="0091560A">
              <w:rPr>
                <w:rFonts w:eastAsia="Times New Roman" w:cs="Times New Roman"/>
                <w:color w:val="000000" w:themeColor="text1"/>
                <w:sz w:val="20"/>
                <w:szCs w:val="20"/>
              </w:rPr>
              <w:fldChar w:fldCharType="end"/>
            </w:r>
          </w:p>
          <w:p w14:paraId="3FE26EDE"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color w:val="000000" w:themeColor="text1"/>
                <w:sz w:val="20"/>
                <w:szCs w:val="20"/>
              </w:rPr>
              <w:t>England and Wales, UK</w:t>
            </w:r>
          </w:p>
        </w:tc>
        <w:tc>
          <w:tcPr>
            <w:tcW w:w="2293" w:type="dxa"/>
            <w:tcBorders>
              <w:top w:val="single" w:sz="8" w:space="0" w:color="auto"/>
              <w:left w:val="nil"/>
              <w:bottom w:val="single" w:sz="8" w:space="0" w:color="auto"/>
              <w:right w:val="nil"/>
            </w:tcBorders>
          </w:tcPr>
          <w:p w14:paraId="6CC41F9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xml:space="preserve"> Pack size limit </w:t>
            </w: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xml:space="preserve"> 1998</w:t>
            </w:r>
          </w:p>
          <w:p w14:paraId="3AFC3DF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xml:space="preserve"> Paracetamol, aspirin or both substances </w:t>
            </w: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xml:space="preserve">  Legislation reduced pack size to 32 tablets (pharmacies) and 16 tablets (other retail outlets). In addition, warnings were placed on packs about the danger of overdose and paracetamol became available almost exclusively in blister packs</w:t>
            </w:r>
          </w:p>
        </w:tc>
        <w:tc>
          <w:tcPr>
            <w:tcW w:w="1978" w:type="dxa"/>
            <w:tcBorders>
              <w:top w:val="single" w:sz="8" w:space="0" w:color="auto"/>
              <w:left w:val="nil"/>
              <w:bottom w:val="single" w:sz="8" w:space="0" w:color="auto"/>
              <w:right w:val="nil"/>
            </w:tcBorders>
          </w:tcPr>
          <w:p w14:paraId="79E123FC"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Restricted medication:</w:t>
            </w:r>
          </w:p>
          <w:p w14:paraId="4D2E67C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Paracetamol; aspirin</w:t>
            </w:r>
          </w:p>
          <w:p w14:paraId="0850AA4B" w14:textId="77777777" w:rsidR="00574EB4" w:rsidRPr="0091560A" w:rsidRDefault="00574EB4">
            <w:pPr>
              <w:spacing w:after="0"/>
              <w:rPr>
                <w:rFonts w:cs="Times New Roman"/>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w:t>
            </w:r>
            <w:r w:rsidRPr="0091560A">
              <w:rPr>
                <w:rFonts w:eastAsia="Times New Roman" w:cs="Times New Roman"/>
                <w:sz w:val="20"/>
                <w:szCs w:val="20"/>
              </w:rPr>
              <w:t xml:space="preserve"> Paracetamol compounds, antidepressants, or non-drug poisoning suicide</w:t>
            </w:r>
          </w:p>
        </w:tc>
        <w:tc>
          <w:tcPr>
            <w:tcW w:w="1635" w:type="dxa"/>
            <w:tcBorders>
              <w:top w:val="single" w:sz="8" w:space="0" w:color="auto"/>
              <w:left w:val="nil"/>
              <w:bottom w:val="single" w:sz="8" w:space="0" w:color="auto"/>
              <w:right w:val="nil"/>
            </w:tcBorders>
          </w:tcPr>
          <w:p w14:paraId="19A1C708" w14:textId="77777777" w:rsidR="00574EB4" w:rsidRPr="0091560A" w:rsidRDefault="00574EB4">
            <w:pPr>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and unintentional self-poisoning considered. 75% of all paracetamol only deaths were classified as suicide.</w:t>
            </w:r>
          </w:p>
          <w:p w14:paraId="6E5D31D4" w14:textId="77777777" w:rsidR="00574EB4" w:rsidRPr="0091560A" w:rsidRDefault="00574EB4">
            <w:pPr>
              <w:rPr>
                <w:rFonts w:eastAsia="Times New Roman" w:cs="Times New Roman"/>
                <w:b/>
                <w:bCs/>
                <w:color w:val="000000" w:themeColor="text1"/>
                <w:sz w:val="20"/>
                <w:szCs w:val="20"/>
              </w:rPr>
            </w:pPr>
          </w:p>
        </w:tc>
        <w:tc>
          <w:tcPr>
            <w:tcW w:w="4030" w:type="dxa"/>
            <w:tcBorders>
              <w:top w:val="single" w:sz="8" w:space="0" w:color="auto"/>
              <w:left w:val="nil"/>
              <w:bottom w:val="single" w:sz="8" w:space="0" w:color="auto"/>
              <w:right w:val="nil"/>
            </w:tcBorders>
          </w:tcPr>
          <w:p w14:paraId="084D8D8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Paracetamol: </w:t>
            </w:r>
            <w:r w:rsidRPr="0091560A">
              <w:rPr>
                <w:rFonts w:eastAsia="Times New Roman" w:cs="Times New Roman"/>
                <w:color w:val="000000" w:themeColor="text1"/>
                <w:sz w:val="20"/>
                <w:szCs w:val="20"/>
              </w:rPr>
              <w:t xml:space="preserve">Age-standardised mortality rates for deaths involving paracetamol increased until 1997, and then showed a decrease over time after the restriction was introduced. </w:t>
            </w:r>
          </w:p>
          <w:p w14:paraId="223A282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Aspirin: </w:t>
            </w:r>
            <w:r w:rsidRPr="0091560A">
              <w:rPr>
                <w:rFonts w:eastAsia="Times New Roman" w:cs="Times New Roman"/>
                <w:color w:val="000000" w:themeColor="text1"/>
                <w:sz w:val="20"/>
                <w:szCs w:val="20"/>
              </w:rPr>
              <w:t>Trends in age-standardised mortality rate similar to paracetamol (increasing until 1997 and then declining).</w:t>
            </w:r>
          </w:p>
          <w:p w14:paraId="2C23A3BB" w14:textId="77777777" w:rsidR="00574EB4" w:rsidRPr="0091560A" w:rsidRDefault="00574EB4">
            <w:pPr>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tc>
        <w:tc>
          <w:tcPr>
            <w:tcW w:w="2420" w:type="dxa"/>
            <w:tcBorders>
              <w:top w:val="single" w:sz="8" w:space="0" w:color="auto"/>
              <w:left w:val="nil"/>
              <w:bottom w:val="single" w:sz="8" w:space="0" w:color="auto"/>
              <w:right w:val="nil"/>
            </w:tcBorders>
          </w:tcPr>
          <w:p w14:paraId="6E4D19EB" w14:textId="77777777" w:rsidR="00574EB4" w:rsidRPr="0091560A" w:rsidRDefault="00574EB4">
            <w:pPr>
              <w:spacing w:after="0"/>
              <w:rPr>
                <w:rFonts w:eastAsia="Times New Roman" w:cs="Times New Roman"/>
                <w:sz w:val="20"/>
                <w:szCs w:val="20"/>
              </w:rPr>
            </w:pPr>
            <w:r w:rsidRPr="0091560A">
              <w:rPr>
                <w:rFonts w:eastAsia="Times New Roman" w:cs="Times New Roman"/>
                <w:b/>
                <w:bCs/>
                <w:color w:val="000000" w:themeColor="text1"/>
                <w:sz w:val="20"/>
                <w:szCs w:val="20"/>
              </w:rPr>
              <w:t xml:space="preserve">Paracetamol compounds, antidepressants: </w:t>
            </w:r>
            <w:r w:rsidRPr="0091560A">
              <w:rPr>
                <w:rFonts w:eastAsia="Times New Roman" w:cs="Times New Roman"/>
                <w:sz w:val="20"/>
                <w:szCs w:val="20"/>
              </w:rPr>
              <w:t xml:space="preserve">Trends in the age-standardised mortality rate for aspirin, paracetamol compounds, and antidepressants were similar to paracetamol (increasing until 1997 and then declining). </w:t>
            </w:r>
          </w:p>
          <w:p w14:paraId="1EE8362C" w14:textId="77777777" w:rsidR="00574EB4" w:rsidRPr="0091560A" w:rsidRDefault="00574EB4">
            <w:pPr>
              <w:spacing w:after="0"/>
              <w:rPr>
                <w:rFonts w:eastAsia="Times New Roman" w:cs="Times New Roman"/>
                <w:sz w:val="20"/>
                <w:szCs w:val="20"/>
              </w:rPr>
            </w:pPr>
            <w:r w:rsidRPr="0091560A">
              <w:rPr>
                <w:rFonts w:eastAsia="Times New Roman" w:cs="Times New Roman"/>
                <w:b/>
                <w:bCs/>
                <w:sz w:val="20"/>
                <w:szCs w:val="20"/>
              </w:rPr>
              <w:t xml:space="preserve">Non-drug poisoning suicide: </w:t>
            </w:r>
            <w:r w:rsidRPr="0091560A">
              <w:rPr>
                <w:rFonts w:eastAsia="Times New Roman" w:cs="Times New Roman"/>
                <w:sz w:val="20"/>
                <w:szCs w:val="20"/>
              </w:rPr>
              <w:t>Non-drug poisoning suicide also declined during the study period.</w:t>
            </w:r>
          </w:p>
        </w:tc>
      </w:tr>
      <w:tr w:rsidR="00574EB4" w:rsidRPr="0091560A" w14:paraId="6E5D43CF" w14:textId="77777777" w:rsidTr="00E64920">
        <w:trPr>
          <w:trHeight w:val="975"/>
        </w:trPr>
        <w:tc>
          <w:tcPr>
            <w:tcW w:w="1678" w:type="dxa"/>
            <w:tcBorders>
              <w:top w:val="single" w:sz="8" w:space="0" w:color="auto"/>
              <w:left w:val="nil"/>
              <w:bottom w:val="single" w:sz="8" w:space="0" w:color="auto"/>
              <w:right w:val="nil"/>
            </w:tcBorders>
          </w:tcPr>
          <w:p w14:paraId="4F3085FC" w14:textId="730C95FC"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Balit (2002)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&lt;EndNote&gt;&lt;Cite&gt;&lt;Author&gt;Balit&lt;/Author&gt;&lt;Year&gt;2002&lt;/Year&gt;&lt;RecNum&gt;853&lt;/RecNum&gt;&lt;DisplayText&gt;(Balit et al., 2002)&lt;/DisplayText&gt;&lt;record&gt;&lt;rec-number&gt;853&lt;/rec-number&gt;&lt;foreign-keys&gt;&lt;key app="EN" db-id="90p22wx96ddedpe0r9pxtt9gzz05dd5ev299" timestamp="1657000537"&gt;853&lt;/key&gt;&lt;/foreign-keys&gt;&lt;ref-type name="Journal Article"&gt;17&lt;/ref-type&gt;&lt;contributors&gt;&lt;authors&gt;&lt;author&gt;Balit, C. R.&lt;/author&gt;&lt;author&gt;Isbister, G. K.&lt;/author&gt;&lt;author&gt;Peat, J.&lt;/author&gt;&lt;author&gt;Dawson, A. H.&lt;/author&gt;&lt;author&gt;Whyte, I. M.&lt;/author&gt;&lt;/authors&gt;&lt;/contributors&gt;&lt;titles&gt;&lt;title&gt;Paracetamol recall: A natural experiment influencing analgesic poisoning&lt;/title&gt;&lt;secondary-title&gt;Medical Journal of Australia&lt;/secondary-title&gt;&lt;/titles&gt;&lt;pages&gt;162-165&lt;/pages&gt;&lt;volume&gt;176&lt;/volume&gt;&lt;number&gt;4&lt;/number&gt;&lt;dates&gt;&lt;year&gt;2002&lt;/year&gt;&lt;/dates&gt;&lt;urls&gt;&lt;related-urls&gt;&lt;url&gt;https://www.mja.com.auhttp://ovidsp.ovid.com/ovidweb.cgi?T=JS&amp;amp;PAGE=reference&amp;amp;D=emed22&amp;amp;NEWS=N&amp;amp;AN=34192951&lt;/url&gt;&lt;/related-urls&gt;&lt;/urls&gt;&lt;electronic-resource-num&gt;https://dx.doi.org/10.5694/j.1326-5377.2002.tb04346.x&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(Balit et al., 2002)</w:t>
            </w:r>
            <w:r w:rsidRPr="0091560A">
              <w:rPr>
                <w:rFonts w:eastAsia="Times New Roman" w:cs="Times New Roman"/>
                <w:color w:val="000000" w:themeColor="text1"/>
                <w:sz w:val="20"/>
                <w:szCs w:val="20"/>
              </w:rPr>
              <w:fldChar w:fldCharType="end"/>
            </w:r>
          </w:p>
          <w:p w14:paraId="1390E5D9" w14:textId="77777777" w:rsidR="00574EB4" w:rsidRPr="0091560A" w:rsidRDefault="00574EB4">
            <w:pPr>
              <w:spacing w:after="0"/>
              <w:rPr>
                <w:rFonts w:eastAsia="Times New Roman" w:cs="Times New Roman"/>
                <w:color w:val="000000" w:themeColor="text1"/>
                <w:sz w:val="20"/>
                <w:szCs w:val="20"/>
              </w:rPr>
            </w:pPr>
          </w:p>
          <w:p w14:paraId="38CE6C6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Australia</w:t>
            </w:r>
          </w:p>
        </w:tc>
        <w:tc>
          <w:tcPr>
            <w:tcW w:w="2293" w:type="dxa"/>
            <w:tcBorders>
              <w:top w:val="single" w:sz="8" w:space="0" w:color="auto"/>
              <w:left w:val="nil"/>
              <w:bottom w:val="single" w:sz="8" w:space="0" w:color="auto"/>
              <w:right w:val="nil"/>
            </w:tcBorders>
          </w:tcPr>
          <w:p w14:paraId="6220A81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Recall causing lack of supply</w:t>
            </w:r>
          </w:p>
          <w:p w14:paraId="19DC846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2000</w:t>
            </w:r>
          </w:p>
          <w:p w14:paraId="3BD0DA7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Paracetamol</w:t>
            </w:r>
          </w:p>
          <w:p w14:paraId="56598F5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xml:space="preserve">: Two recalls of paracetamol products from 16 March – 21 May 2000 and 6 June – 23 August 2000 due to extortion and spiking with strychnine </w:t>
            </w:r>
          </w:p>
        </w:tc>
        <w:tc>
          <w:tcPr>
            <w:tcW w:w="1978" w:type="dxa"/>
            <w:tcBorders>
              <w:top w:val="single" w:sz="8" w:space="0" w:color="auto"/>
              <w:left w:val="nil"/>
              <w:bottom w:val="single" w:sz="8" w:space="0" w:color="auto"/>
              <w:right w:val="nil"/>
            </w:tcBorders>
          </w:tcPr>
          <w:p w14:paraId="44DC2E4E"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Restricted medication:</w:t>
            </w:r>
          </w:p>
          <w:p w14:paraId="4DE9474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Paracetamol</w:t>
            </w:r>
          </w:p>
          <w:p w14:paraId="0960E3B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Ibuprofen, aspirin</w:t>
            </w:r>
          </w:p>
        </w:tc>
        <w:tc>
          <w:tcPr>
            <w:tcW w:w="1635" w:type="dxa"/>
            <w:tcBorders>
              <w:top w:val="single" w:sz="8" w:space="0" w:color="auto"/>
              <w:left w:val="nil"/>
              <w:bottom w:val="single" w:sz="8" w:space="0" w:color="auto"/>
              <w:right w:val="nil"/>
            </w:tcBorders>
          </w:tcPr>
          <w:p w14:paraId="650D74D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poisoning considered, except for paediatric calls.</w:t>
            </w:r>
          </w:p>
        </w:tc>
        <w:tc>
          <w:tcPr>
            <w:tcW w:w="4030" w:type="dxa"/>
            <w:tcBorders>
              <w:top w:val="single" w:sz="8" w:space="0" w:color="auto"/>
              <w:left w:val="nil"/>
              <w:bottom w:val="single" w:sz="8" w:space="0" w:color="auto"/>
              <w:right w:val="nil"/>
            </w:tcBorders>
          </w:tcPr>
          <w:p w14:paraId="504767BE"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Paracetamol: </w:t>
            </w:r>
            <w:r w:rsidRPr="0091560A">
              <w:rPr>
                <w:rFonts w:eastAsia="Times New Roman" w:cs="Times New Roman"/>
                <w:color w:val="000000" w:themeColor="text1"/>
                <w:sz w:val="20"/>
                <w:szCs w:val="20"/>
              </w:rPr>
              <w:t>No significant change in deliberate self-harm calls to NSW PIC related to paracetamol during recall periods. First recall period had slight non-significant reduction for paracetamol deliberate self-harm. No significant change in proportion of deliberate self-harm presentations to HATS related to paracetamol (or ibuprofen) during the recall period. Regarding accidental paediatric poisoning, there was no significant change in calls for paracetamol.</w:t>
            </w:r>
          </w:p>
          <w:p w14:paraId="5E63BA7D" w14:textId="77777777" w:rsidR="00574EB4" w:rsidRPr="0091560A" w:rsidRDefault="00574EB4">
            <w:pPr>
              <w:spacing w:after="0"/>
              <w:rPr>
                <w:rFonts w:eastAsia="Times New Roman" w:cs="Times New Roman"/>
                <w:color w:val="000000" w:themeColor="text1"/>
                <w:sz w:val="20"/>
                <w:szCs w:val="20"/>
              </w:rPr>
            </w:pPr>
          </w:p>
          <w:p w14:paraId="32F63EC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2BD32B51"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5F317FC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Aspirin:</w:t>
            </w:r>
            <w:r w:rsidRPr="0091560A">
              <w:rPr>
                <w:rFonts w:eastAsia="Times New Roman" w:cs="Times New Roman"/>
                <w:color w:val="000000" w:themeColor="text1"/>
                <w:sz w:val="20"/>
                <w:szCs w:val="20"/>
              </w:rPr>
              <w:t xml:space="preserve"> No significant change in deliberate self-harm calls to NSW PIC related to aspirin during recall periods. Significant increase in the proportion of deliberate self-harm presentations to HATS related to aspirin. Regarding accidental paediatric poisoning, there was no significant change in calls for aspirin.</w:t>
            </w:r>
          </w:p>
          <w:p w14:paraId="09005F8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Ibuprofen: </w:t>
            </w:r>
            <w:r w:rsidRPr="0091560A">
              <w:rPr>
                <w:rFonts w:eastAsia="Times New Roman" w:cs="Times New Roman"/>
                <w:color w:val="000000" w:themeColor="text1"/>
                <w:sz w:val="20"/>
                <w:szCs w:val="20"/>
              </w:rPr>
              <w:t>Significant increase in the proportion of calls about ibuprofen, suggesting means substitution. No significant change in proportion of deliberate self-harm presentations to HATS related to ibuprofen during the recall period. Regarding accidental paediatric poisoning, there was a significant increase in calls related to ibuprofen.</w:t>
            </w:r>
          </w:p>
        </w:tc>
      </w:tr>
      <w:tr w:rsidR="00574EB4" w:rsidRPr="0091560A" w14:paraId="7ED40348" w14:textId="77777777" w:rsidTr="00E64920">
        <w:trPr>
          <w:trHeight w:val="1020"/>
        </w:trPr>
        <w:tc>
          <w:tcPr>
            <w:tcW w:w="1678" w:type="dxa"/>
            <w:tcBorders>
              <w:top w:val="single" w:sz="8" w:space="0" w:color="auto"/>
              <w:left w:val="nil"/>
              <w:bottom w:val="single" w:sz="8" w:space="0" w:color="auto"/>
              <w:right w:val="nil"/>
            </w:tcBorders>
          </w:tcPr>
          <w:p w14:paraId="0AFF5BE1" w14:textId="2D4492A0"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Kisely (2003)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&lt;EndNote&gt;&lt;Cite&gt;&lt;Author&gt;Kisely&lt;/Author&gt;&lt;Year&gt;2003&lt;/Year&gt;&lt;RecNum&gt;888&lt;/RecNum&gt;&lt;DisplayText&gt;(Kisely et al., 2003)&lt;/DisplayText&gt;&lt;record&gt;&lt;rec-number&gt;888&lt;/rec-number&gt;&lt;foreign-keys&gt;&lt;key app="EN" db-id="90p22wx96ddedpe0r9pxtt9gzz05dd5ev299" timestamp="1657000537"&gt;888&lt;/key&gt;&lt;/foreign-keys&gt;&lt;ref-type name="Journal Article"&gt;17&lt;/ref-type&gt;&lt;contributors&gt;&lt;authors&gt;&lt;author&gt;Kisely, Stephen R.&lt;/author&gt;&lt;author&gt;Lawrence, David&lt;/author&gt;&lt;author&gt;Preston, Neil J.&lt;/author&gt;&lt;/authors&gt;&lt;/contributors&gt;&lt;titles&gt;&lt;title&gt;The effect of recalling paracetamol on hospital admissions for poisoning in Western Australia&lt;/title&gt;&lt;secondary-title&gt;The Medical journal of Australia&lt;/secondary-title&gt;&lt;/titles&gt;&lt;pages&gt;72-4&lt;/pages&gt;&lt;volume&gt;178&lt;/volume&gt;&lt;number&gt;2&lt;/number&gt;&lt;dates&gt;&lt;year&gt;2003&lt;/year&gt;&lt;/dates&gt;&lt;urls&gt;&lt;related-urls&gt;&lt;url&gt;http://ovidsp.ovid.com/ovidweb.cgi?T=JS&amp;amp;PAGE=reference&amp;amp;D=med5&amp;amp;NEWS=N&amp;amp;AN=12526726&lt;/url&gt;&lt;/related-urls&gt;&lt;/urls&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(Kisely et al., 2003)</w:t>
            </w:r>
            <w:r w:rsidRPr="0091560A">
              <w:rPr>
                <w:rFonts w:eastAsia="Times New Roman" w:cs="Times New Roman"/>
                <w:color w:val="000000" w:themeColor="text1"/>
                <w:sz w:val="20"/>
                <w:szCs w:val="20"/>
              </w:rPr>
              <w:fldChar w:fldCharType="end"/>
            </w:r>
          </w:p>
          <w:p w14:paraId="01748E0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6F783F8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Western Australia,</w:t>
            </w:r>
          </w:p>
          <w:p w14:paraId="7329503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Australia</w:t>
            </w:r>
          </w:p>
        </w:tc>
        <w:tc>
          <w:tcPr>
            <w:tcW w:w="2293" w:type="dxa"/>
            <w:tcBorders>
              <w:top w:val="single" w:sz="8" w:space="0" w:color="auto"/>
              <w:left w:val="nil"/>
              <w:bottom w:val="single" w:sz="8" w:space="0" w:color="auto"/>
              <w:right w:val="nil"/>
            </w:tcBorders>
          </w:tcPr>
          <w:p w14:paraId="12F657D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Recall causing lack of supply</w:t>
            </w:r>
          </w:p>
          <w:p w14:paraId="0F93DC0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2000</w:t>
            </w:r>
          </w:p>
          <w:p w14:paraId="366D7A2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Paracetamol</w:t>
            </w:r>
          </w:p>
          <w:p w14:paraId="20F3C9B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Two recalls of paracetamol products from 16 March – 21 May 2000 and 6 June – 23 August 2000 due to extortion and spiking with strychnine</w:t>
            </w:r>
          </w:p>
        </w:tc>
        <w:tc>
          <w:tcPr>
            <w:tcW w:w="1978" w:type="dxa"/>
            <w:tcBorders>
              <w:top w:val="single" w:sz="8" w:space="0" w:color="auto"/>
              <w:left w:val="nil"/>
              <w:bottom w:val="single" w:sz="8" w:space="0" w:color="auto"/>
              <w:right w:val="nil"/>
            </w:tcBorders>
          </w:tcPr>
          <w:p w14:paraId="438E370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Paracetamol</w:t>
            </w:r>
          </w:p>
          <w:p w14:paraId="41E15D8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Aspirin, ibuprofen, other poisoning agents</w:t>
            </w:r>
          </w:p>
        </w:tc>
        <w:tc>
          <w:tcPr>
            <w:tcW w:w="1635" w:type="dxa"/>
            <w:tcBorders>
              <w:top w:val="single" w:sz="8" w:space="0" w:color="auto"/>
              <w:left w:val="nil"/>
              <w:bottom w:val="single" w:sz="8" w:space="0" w:color="auto"/>
              <w:right w:val="nil"/>
            </w:tcBorders>
          </w:tcPr>
          <w:p w14:paraId="7DCD21E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deaths not considered separately</w:t>
            </w:r>
          </w:p>
        </w:tc>
        <w:tc>
          <w:tcPr>
            <w:tcW w:w="4030" w:type="dxa"/>
            <w:tcBorders>
              <w:top w:val="single" w:sz="8" w:space="0" w:color="auto"/>
              <w:left w:val="nil"/>
              <w:bottom w:val="single" w:sz="8" w:space="0" w:color="auto"/>
              <w:right w:val="nil"/>
            </w:tcBorders>
          </w:tcPr>
          <w:p w14:paraId="4199DD4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Paracetamol: </w:t>
            </w:r>
            <w:r w:rsidRPr="0091560A">
              <w:rPr>
                <w:rFonts w:eastAsia="Times New Roman" w:cs="Times New Roman"/>
                <w:color w:val="000000" w:themeColor="text1"/>
                <w:sz w:val="20"/>
                <w:szCs w:val="20"/>
              </w:rPr>
              <w:t>Decrease in admission rate for paracetamol poisoning when sales were restricted in 2000.</w:t>
            </w:r>
          </w:p>
          <w:p w14:paraId="46C9CDB8"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46E5F42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Aspirin, ibuprofen, other non-paracetamol agents: </w:t>
            </w:r>
            <w:r w:rsidRPr="0091560A">
              <w:rPr>
                <w:rFonts w:eastAsia="Times New Roman" w:cs="Times New Roman"/>
                <w:color w:val="000000" w:themeColor="text1"/>
                <w:sz w:val="20"/>
                <w:szCs w:val="20"/>
              </w:rPr>
              <w:t>No increase in hospital admissions from overdoses using aspirin, ibuprofen or other non-paracetamol agents during paracetamol recall period.</w:t>
            </w:r>
          </w:p>
        </w:tc>
      </w:tr>
      <w:tr w:rsidR="00574EB4" w:rsidRPr="0091560A" w14:paraId="5B70DF50" w14:textId="77777777" w:rsidTr="00E64920">
        <w:trPr>
          <w:trHeight w:val="975"/>
        </w:trPr>
        <w:tc>
          <w:tcPr>
            <w:tcW w:w="1678" w:type="dxa"/>
            <w:tcBorders>
              <w:top w:val="single" w:sz="8" w:space="0" w:color="auto"/>
              <w:left w:val="nil"/>
              <w:bottom w:val="single" w:sz="8" w:space="0" w:color="auto"/>
              <w:right w:val="nil"/>
            </w:tcBorders>
          </w:tcPr>
          <w:p w14:paraId="268EEB2D" w14:textId="5F6279E6"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Sandilands (2008)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&lt;EndNote&gt;&lt;Cite&gt;&lt;Author&gt;Sandilands&lt;/Author&gt;&lt;Year&gt;2008&lt;/Year&gt;&lt;RecNum&gt;910&lt;/RecNum&gt;&lt;DisplayText&gt;(Sandilands &amp;amp; Bateman, 2008)&lt;/DisplayText&gt;&lt;record&gt;&lt;rec-number&gt;910&lt;/rec-number&gt;&lt;foreign-keys&gt;&lt;key app="EN" db-id="90p22wx96ddedpe0r9pxtt9gzz05dd5ev299" timestamp="1657000537"&gt;910&lt;/key&gt;&lt;/foreign-keys&gt;&lt;ref-type name="Journal Article"&gt;17&lt;/ref-type&gt;&lt;contributors&gt;&lt;authors&gt;&lt;author&gt;Sandilands, E. A.&lt;/author&gt;&lt;author&gt;Bateman, D. N.&lt;/author&gt;&lt;/authors&gt;&lt;/contributors&gt;&lt;titles&gt;&lt;title&gt;Co-proxamol withdrawal has reduced suicide from drugs in Scotland&lt;/title&gt;&lt;secondary-title&gt;British Journal of Clinical Pharmacology&lt;/secondary-title&gt;&lt;/titles&gt;&lt;pages&gt;290-293&lt;/pages&gt;&lt;volume&gt;66&lt;/volume&gt;&lt;number&gt;2&lt;/number&gt;&lt;dates&gt;&lt;year&gt;2008&lt;/year&gt;&lt;/dates&gt;&lt;urls&gt;&lt;related-urls&gt;&lt;url&gt;http://onlinelibrary.wiley.com/journal/10.1111/(ISSN)1365-2125http://ovidsp.ovid.com/ovidweb.cgi?T=JS&amp;amp;PAGE=reference&amp;amp;D=emed10&amp;amp;NEWS=N&amp;amp;AN=351991455&lt;/url&gt;&lt;/related-urls&gt;&lt;/urls&gt;&lt;electronic-resource-num&gt;http://dx.doi.org/10.1111/j.1365-2125.2008.03206.x&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(Sandilands &amp; Bateman, 2008)</w:t>
            </w:r>
            <w:r w:rsidRPr="0091560A">
              <w:rPr>
                <w:rFonts w:eastAsia="Times New Roman" w:cs="Times New Roman"/>
                <w:color w:val="000000" w:themeColor="text1"/>
                <w:sz w:val="20"/>
                <w:szCs w:val="20"/>
              </w:rPr>
              <w:fldChar w:fldCharType="end"/>
            </w:r>
          </w:p>
          <w:p w14:paraId="53E0E74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7616598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Scotland, UK</w:t>
            </w:r>
          </w:p>
        </w:tc>
        <w:tc>
          <w:tcPr>
            <w:tcW w:w="2293" w:type="dxa"/>
            <w:tcBorders>
              <w:top w:val="single" w:sz="8" w:space="0" w:color="auto"/>
              <w:left w:val="nil"/>
              <w:bottom w:val="single" w:sz="8" w:space="0" w:color="auto"/>
              <w:right w:val="nil"/>
            </w:tcBorders>
          </w:tcPr>
          <w:p w14:paraId="527560B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Withdrawal</w:t>
            </w:r>
          </w:p>
          <w:p w14:paraId="7C0D249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2005</w:t>
            </w:r>
          </w:p>
          <w:p w14:paraId="1F42F28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Co-proxamol</w:t>
            </w:r>
          </w:p>
          <w:p w14:paraId="665F0E2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Withdrawal from the UK market</w:t>
            </w:r>
          </w:p>
          <w:p w14:paraId="67AF5B6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c>
          <w:tcPr>
            <w:tcW w:w="1978" w:type="dxa"/>
            <w:tcBorders>
              <w:top w:val="single" w:sz="8" w:space="0" w:color="auto"/>
              <w:left w:val="nil"/>
              <w:bottom w:val="single" w:sz="8" w:space="0" w:color="auto"/>
              <w:right w:val="nil"/>
            </w:tcBorders>
          </w:tcPr>
          <w:p w14:paraId="4D51E80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Co-proxamol</w:t>
            </w:r>
          </w:p>
          <w:p w14:paraId="5A3EAF6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Co-codamol, co-dydramol, tramadol, dihydrocodeine, codeine, paracetamol</w:t>
            </w:r>
          </w:p>
        </w:tc>
        <w:tc>
          <w:tcPr>
            <w:tcW w:w="1635" w:type="dxa"/>
            <w:tcBorders>
              <w:top w:val="single" w:sz="8" w:space="0" w:color="auto"/>
              <w:left w:val="nil"/>
              <w:bottom w:val="single" w:sz="8" w:space="0" w:color="auto"/>
              <w:right w:val="nil"/>
            </w:tcBorders>
          </w:tcPr>
          <w:p w14:paraId="31DAF27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deaths not considered separately</w:t>
            </w:r>
          </w:p>
        </w:tc>
        <w:tc>
          <w:tcPr>
            <w:tcW w:w="4030" w:type="dxa"/>
            <w:tcBorders>
              <w:top w:val="single" w:sz="8" w:space="0" w:color="auto"/>
              <w:left w:val="nil"/>
              <w:bottom w:val="single" w:sz="8" w:space="0" w:color="auto"/>
              <w:right w:val="nil"/>
            </w:tcBorders>
          </w:tcPr>
          <w:p w14:paraId="3795352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Co-proxamol: </w:t>
            </w:r>
            <w:r w:rsidRPr="0091560A">
              <w:rPr>
                <w:rFonts w:eastAsia="Times New Roman" w:cs="Times New Roman"/>
                <w:color w:val="000000" w:themeColor="text1"/>
                <w:sz w:val="20"/>
                <w:szCs w:val="20"/>
              </w:rPr>
              <w:t>Significant reduction in the proportion of poisoning deaths due to co-proxamol (mean 2000-2004, 37 deaths (21.8% total poisoning deaths) compared to 2006, 10 (7.8%)). A shift in age distribution of deaths was observed following legislation, particularly in younger patients (where there was a marked decrease in cases).</w:t>
            </w:r>
          </w:p>
        </w:tc>
        <w:tc>
          <w:tcPr>
            <w:tcW w:w="2420" w:type="dxa"/>
            <w:tcBorders>
              <w:top w:val="single" w:sz="8" w:space="0" w:color="auto"/>
              <w:left w:val="nil"/>
              <w:bottom w:val="single" w:sz="8" w:space="0" w:color="auto"/>
              <w:right w:val="nil"/>
            </w:tcBorders>
          </w:tcPr>
          <w:p w14:paraId="7224ABD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Other commonly prescribed analgesics:</w:t>
            </w:r>
            <w:r w:rsidRPr="0091560A">
              <w:rPr>
                <w:rFonts w:eastAsia="Times New Roman" w:cs="Times New Roman"/>
                <w:color w:val="000000" w:themeColor="text1"/>
                <w:sz w:val="20"/>
                <w:szCs w:val="20"/>
              </w:rPr>
              <w:t xml:space="preserve"> No evidence of increased mortality for co-codamol, paracetamol or any other commonly prescribed analgesics, despite steady rise in co-codamol and paracetamol prescriptions since legislation.</w:t>
            </w:r>
          </w:p>
          <w:p w14:paraId="03E0A043" w14:textId="77777777" w:rsidR="00574EB4" w:rsidRPr="0091560A" w:rsidRDefault="00574EB4">
            <w:pPr>
              <w:spacing w:after="0" w:line="257" w:lineRule="auto"/>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r>
      <w:tr w:rsidR="00574EB4" w:rsidRPr="0091560A" w14:paraId="0A124771" w14:textId="77777777" w:rsidTr="00E64920">
        <w:trPr>
          <w:trHeight w:val="1275"/>
        </w:trPr>
        <w:tc>
          <w:tcPr>
            <w:tcW w:w="1678" w:type="dxa"/>
            <w:tcBorders>
              <w:top w:val="single" w:sz="8" w:space="0" w:color="auto"/>
              <w:left w:val="nil"/>
              <w:bottom w:val="single" w:sz="8" w:space="0" w:color="auto"/>
              <w:right w:val="nil"/>
            </w:tcBorders>
          </w:tcPr>
          <w:p w14:paraId="1433EA04" w14:textId="61D3AEFA"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Hawton (2009)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&lt;EndNote&gt;&lt;Cite&gt;&lt;Author&gt;Hawton&lt;/Author&gt;&lt;Year&gt;2009&lt;/Year&gt;&lt;RecNum&gt;878&lt;/RecNum&gt;&lt;DisplayText&gt;(K. Hawton et al., 2009)&lt;/DisplayText&gt;&lt;record&gt;&lt;rec-number&gt;878&lt;/rec-number&gt;&lt;foreign-keys&gt;&lt;key app="EN" db-id="90p22wx96ddedpe0r9pxtt9gzz05dd5ev299" timestamp="1657000537"&gt;878&lt;/key&gt;&lt;/foreign-keys&gt;&lt;ref-type name="Journal Article"&gt;17&lt;/ref-type&gt;&lt;contributors&gt;&lt;authors&gt;&lt;author&gt;Hawton, K.&lt;/author&gt;&lt;author&gt;Bergen, H.&lt;/author&gt;&lt;author&gt;Simkin, S.&lt;/author&gt;&lt;author&gt;Brock, A.&lt;/author&gt;&lt;author&gt;Griffiths, C.&lt;/author&gt;&lt;author&gt;Romeri, E.&lt;/author&gt;&lt;author&gt;Smith, K. L.&lt;/author&gt;&lt;author&gt;Kapur, N.&lt;/author&gt;&lt;author&gt;Gunnell, D.&lt;/author&gt;&lt;/authors&gt;&lt;/contributors&gt;&lt;titles&gt;&lt;title&gt;Effect of withdrawal of co-proxamol on prescribing and deaths from drug poisoning in England and Wales: Time series analysis&lt;/title&gt;&lt;secondary-title&gt;BMJ (Online)&lt;/secondary-title&gt;&lt;/titles&gt;&lt;pages&gt;435-437&lt;/pages&gt;&lt;volume&gt;339&lt;/volume&gt;&lt;number&gt;7718&lt;/number&gt;&lt;dates&gt;&lt;year&gt;2009&lt;/year&gt;&lt;/dates&gt;&lt;urls&gt;&lt;related-urls&gt;&lt;url&gt;http://www.bmj.com/cgi/reprint/338/jun18_2/b2270http://ovidsp.ovid.com/ovidweb.cgi?T=JS&amp;amp;PAGE=reference&amp;amp;D=emed11&amp;amp;NEWS=N&amp;amp;AN=355178651&lt;/url&gt;&lt;/related-urls&gt;&lt;/urls&gt;&lt;electronic-resource-num&gt;http://dx.doi.org/10.1136/bmj.b2270&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(K. Hawton et al., 2009)</w:t>
            </w:r>
            <w:r w:rsidRPr="0091560A">
              <w:rPr>
                <w:rFonts w:eastAsia="Times New Roman" w:cs="Times New Roman"/>
                <w:color w:val="000000" w:themeColor="text1"/>
                <w:sz w:val="20"/>
                <w:szCs w:val="20"/>
              </w:rPr>
              <w:fldChar w:fldCharType="end"/>
            </w:r>
          </w:p>
          <w:p w14:paraId="26A548C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2DE61CB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England and Wales, UK</w:t>
            </w:r>
          </w:p>
        </w:tc>
        <w:tc>
          <w:tcPr>
            <w:tcW w:w="2293" w:type="dxa"/>
            <w:tcBorders>
              <w:top w:val="single" w:sz="8" w:space="0" w:color="auto"/>
              <w:left w:val="nil"/>
              <w:bottom w:val="single" w:sz="8" w:space="0" w:color="auto"/>
              <w:right w:val="nil"/>
            </w:tcBorders>
          </w:tcPr>
          <w:p w14:paraId="6FE950B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Withdrawal</w:t>
            </w:r>
          </w:p>
          <w:p w14:paraId="64CA059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2005</w:t>
            </w:r>
          </w:p>
          <w:p w14:paraId="354684E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Co-proxamol</w:t>
            </w:r>
          </w:p>
          <w:p w14:paraId="6D6520C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Withdrawal from the UK market</w:t>
            </w:r>
          </w:p>
        </w:tc>
        <w:tc>
          <w:tcPr>
            <w:tcW w:w="1978" w:type="dxa"/>
            <w:tcBorders>
              <w:top w:val="single" w:sz="8" w:space="0" w:color="auto"/>
              <w:left w:val="nil"/>
              <w:bottom w:val="single" w:sz="8" w:space="0" w:color="auto"/>
              <w:right w:val="nil"/>
            </w:tcBorders>
          </w:tcPr>
          <w:p w14:paraId="5BA6649A"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Restricted medication:</w:t>
            </w:r>
          </w:p>
          <w:p w14:paraId="196E55B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Co-proxamol</w:t>
            </w:r>
          </w:p>
          <w:p w14:paraId="38DB2B4B"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Comparator:</w:t>
            </w:r>
          </w:p>
          <w:p w14:paraId="4B189F9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Paracetamol; NSAIDs; Codeine; co-codamol, co-dydramol, dihydrocodeine, tramadol</w:t>
            </w:r>
          </w:p>
        </w:tc>
        <w:tc>
          <w:tcPr>
            <w:tcW w:w="1635" w:type="dxa"/>
            <w:tcBorders>
              <w:top w:val="single" w:sz="8" w:space="0" w:color="auto"/>
              <w:left w:val="nil"/>
              <w:bottom w:val="single" w:sz="8" w:space="0" w:color="auto"/>
              <w:right w:val="nil"/>
            </w:tcBorders>
          </w:tcPr>
          <w:p w14:paraId="0AAFE27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S</w:t>
            </w:r>
            <w:r w:rsidRPr="0091560A">
              <w:rPr>
                <w:rFonts w:eastAsia="Times New Roman" w:cs="Times New Roman"/>
                <w:color w:val="000000" w:themeColor="text1"/>
                <w:sz w:val="20"/>
                <w:szCs w:val="20"/>
              </w:rPr>
              <w:t xml:space="preserve">uicide (with open verdict deaths) and also in combination with unintentional deaths </w:t>
            </w:r>
          </w:p>
        </w:tc>
        <w:tc>
          <w:tcPr>
            <w:tcW w:w="4030" w:type="dxa"/>
            <w:tcBorders>
              <w:top w:val="single" w:sz="8" w:space="0" w:color="auto"/>
              <w:left w:val="nil"/>
              <w:bottom w:val="single" w:sz="8" w:space="0" w:color="auto"/>
              <w:right w:val="nil"/>
            </w:tcBorders>
          </w:tcPr>
          <w:p w14:paraId="188FAAF3" w14:textId="0E7512DE"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Co-proxamol:</w:t>
            </w:r>
            <w:r w:rsidRPr="0091560A">
              <w:rPr>
                <w:rFonts w:eastAsia="Times New Roman" w:cs="Times New Roman"/>
                <w:color w:val="000000" w:themeColor="text1"/>
                <w:sz w:val="20"/>
                <w:szCs w:val="20"/>
              </w:rPr>
              <w:t xml:space="preserve"> Before 2005, co-proxamol deaths accounted for 19.5% of suicides by drug poisoning, whereas between 2005-2007, they accounted for 6.4%. Co-proxamol withdrawal was associated with a major reduction in deaths involving co-proxamol compared with the expected number of deaths (an estimated 295 fewer suicides (</w:t>
            </w:r>
            <w:r w:rsidR="00787E88">
              <w:rPr>
                <w:rFonts w:eastAsia="Times New Roman" w:cs="Times New Roman"/>
                <w:color w:val="000000" w:themeColor="text1"/>
                <w:sz w:val="20"/>
                <w:szCs w:val="20"/>
              </w:rPr>
              <w:pgNum/>
            </w:r>
            <w:r w:rsidR="00811E59">
              <w:rPr>
                <w:rFonts w:eastAsia="Times New Roman" w:cs="Times New Roman"/>
                <w:color w:val="000000" w:themeColor="text1"/>
                <w:sz w:val="20"/>
                <w:szCs w:val="20"/>
              </w:rPr>
              <w:t xml:space="preserve"> a</w:t>
            </w:r>
            <w:r w:rsidR="00787E88">
              <w:rPr>
                <w:rFonts w:eastAsia="Times New Roman" w:cs="Times New Roman"/>
                <w:color w:val="000000" w:themeColor="text1"/>
                <w:sz w:val="20"/>
                <w:szCs w:val="20"/>
              </w:rPr>
              <w:t>pprox.</w:t>
            </w:r>
            <w:r w:rsidRPr="0091560A">
              <w:rPr>
                <w:rFonts w:eastAsia="Times New Roman" w:cs="Times New Roman"/>
                <w:color w:val="000000" w:themeColor="text1"/>
                <w:sz w:val="20"/>
                <w:szCs w:val="20"/>
              </w:rPr>
              <w:t>. 62%) and 349 fewer deaths, including accidental poisonings (</w:t>
            </w:r>
            <w:r w:rsidR="00787E88">
              <w:rPr>
                <w:rFonts w:eastAsia="Times New Roman" w:cs="Times New Roman"/>
                <w:color w:val="000000" w:themeColor="text1"/>
                <w:sz w:val="20"/>
                <w:szCs w:val="20"/>
              </w:rPr>
              <w:pgNum/>
            </w:r>
            <w:r w:rsidR="00811E59">
              <w:rPr>
                <w:rFonts w:eastAsia="Times New Roman" w:cs="Times New Roman"/>
                <w:color w:val="000000" w:themeColor="text1"/>
                <w:sz w:val="20"/>
                <w:szCs w:val="20"/>
              </w:rPr>
              <w:t xml:space="preserve"> a</w:t>
            </w:r>
            <w:r w:rsidR="00787E88">
              <w:rPr>
                <w:rFonts w:eastAsia="Times New Roman" w:cs="Times New Roman"/>
                <w:color w:val="000000" w:themeColor="text1"/>
                <w:sz w:val="20"/>
                <w:szCs w:val="20"/>
              </w:rPr>
              <w:t>pprox.</w:t>
            </w:r>
            <w:r w:rsidRPr="0091560A">
              <w:rPr>
                <w:rFonts w:eastAsia="Times New Roman" w:cs="Times New Roman"/>
                <w:color w:val="000000" w:themeColor="text1"/>
                <w:sz w:val="20"/>
                <w:szCs w:val="20"/>
              </w:rPr>
              <w:t xml:space="preserve">. 61%)). Prescriptions of co-proxamol decreased by 59% in the three years post intervention. </w:t>
            </w:r>
          </w:p>
        </w:tc>
        <w:tc>
          <w:tcPr>
            <w:tcW w:w="2420" w:type="dxa"/>
            <w:tcBorders>
              <w:top w:val="single" w:sz="8" w:space="0" w:color="auto"/>
              <w:left w:val="nil"/>
              <w:bottom w:val="single" w:sz="8" w:space="0" w:color="auto"/>
              <w:right w:val="nil"/>
            </w:tcBorders>
          </w:tcPr>
          <w:p w14:paraId="5A9DFD3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Other analgesics: </w:t>
            </w:r>
            <w:r w:rsidRPr="0091560A">
              <w:rPr>
                <w:rFonts w:eastAsia="Times New Roman" w:cs="Times New Roman"/>
                <w:color w:val="000000" w:themeColor="text1"/>
                <w:sz w:val="20"/>
                <w:szCs w:val="20"/>
              </w:rPr>
              <w:t>No statistical evidence of an increase in deaths involving other analgesics or drugs. Prescribing of some other analgesics (co-codamol, paracetamol, co-dydramol, and codeine) increased significantly during this time (20%, 13%, 12%, 8% respectively), however prescriptions for dihydrocodeine decreased by approximately 6%.</w:t>
            </w:r>
          </w:p>
          <w:p w14:paraId="7A076DF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NSAIDs: </w:t>
            </w:r>
            <w:r w:rsidRPr="0091560A">
              <w:rPr>
                <w:rFonts w:eastAsia="Times New Roman" w:cs="Times New Roman"/>
                <w:color w:val="000000" w:themeColor="text1"/>
                <w:sz w:val="20"/>
                <w:szCs w:val="20"/>
              </w:rPr>
              <w:t>Prescriptions decreased by approximately 19%.</w:t>
            </w:r>
          </w:p>
        </w:tc>
      </w:tr>
      <w:tr w:rsidR="00574EB4" w:rsidRPr="0091560A" w14:paraId="651043D2" w14:textId="77777777" w:rsidTr="00E64920">
        <w:trPr>
          <w:trHeight w:val="705"/>
        </w:trPr>
        <w:tc>
          <w:tcPr>
            <w:tcW w:w="1678" w:type="dxa"/>
            <w:tcBorders>
              <w:top w:val="single" w:sz="8" w:space="0" w:color="auto"/>
              <w:left w:val="nil"/>
              <w:bottom w:val="single" w:sz="8" w:space="0" w:color="auto"/>
              <w:right w:val="nil"/>
            </w:tcBorders>
          </w:tcPr>
          <w:p w14:paraId="7A4B8234" w14:textId="0635699E"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Hawton (2011)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&lt;EndNote&gt;&lt;Cite&gt;&lt;Author&gt;Hawton&lt;/Author&gt;&lt;Year&gt;2011&lt;/Year&gt;&lt;RecNum&gt;880&lt;/RecNum&gt;&lt;DisplayText&gt;(K. Hawton et al., 2011)&lt;/DisplayText&gt;&lt;record&gt;&lt;rec-number&gt;880&lt;/rec-number&gt;&lt;foreign-keys&gt;&lt;key app="EN" db-id="90p22wx96ddedpe0r9pxtt9gzz05dd5ev299" timestamp="1657000537"&gt;880&lt;/key&gt;&lt;/foreign-keys&gt;&lt;ref-type name="Journal Article"&gt;17&lt;/ref-type&gt;&lt;contributors&gt;&lt;authors&gt;&lt;author&gt;Hawton, K.&lt;/author&gt;&lt;author&gt;Bergen, H.&lt;/author&gt;&lt;author&gt;Waters, K.&lt;/author&gt;&lt;author&gt;Murphy, E.&lt;/author&gt;&lt;author&gt;Cooper, J.&lt;/author&gt;&lt;author&gt;Kapur, N.&lt;/author&gt;&lt;/authors&gt;&lt;/contributors&gt;&lt;titles&gt;&lt;title&gt;Impact of withdrawal of the analgesic co-proxamol on nonfatal self-poisoning in the UK&lt;/title&gt;&lt;secondary-title&gt;Crisis&lt;/secondary-title&gt;&lt;/titles&gt;&lt;pages&gt;81-87&lt;/pages&gt;&lt;volume&gt;32&lt;/volume&gt;&lt;number&gt;2&lt;/number&gt;&lt;dates&gt;&lt;year&gt;2011&lt;/year&gt;&lt;/dates&gt;&lt;urls&gt;&lt;related-urls&gt;&lt;url&gt;http://www.psycontent.com/content/e341129r0x87t4t2/fulltext.pdfhttp://ovidsp.ovid.com/ovidweb.cgi?T=JS&amp;amp;PAGE=reference&amp;amp;D=emed12&amp;amp;NEWS=N&amp;amp;AN=362005316&lt;/url&gt;&lt;/related-urls&gt;&lt;/urls&gt;&lt;electronic-resource-num&gt;http://dx.doi.org/10.1027/0227-5910/a000063&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(K. Hawton et al., 2011)</w:t>
            </w:r>
            <w:r w:rsidRPr="0091560A">
              <w:rPr>
                <w:rFonts w:eastAsia="Times New Roman" w:cs="Times New Roman"/>
                <w:color w:val="000000" w:themeColor="text1"/>
                <w:sz w:val="20"/>
                <w:szCs w:val="20"/>
              </w:rPr>
              <w:fldChar w:fldCharType="end"/>
            </w:r>
          </w:p>
          <w:p w14:paraId="3DCF0205"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p w14:paraId="498D60D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Oxford, Derby &amp; Leeds, UK</w:t>
            </w:r>
          </w:p>
        </w:tc>
        <w:tc>
          <w:tcPr>
            <w:tcW w:w="2293" w:type="dxa"/>
            <w:tcBorders>
              <w:top w:val="single" w:sz="8" w:space="0" w:color="auto"/>
              <w:left w:val="nil"/>
              <w:bottom w:val="single" w:sz="8" w:space="0" w:color="auto"/>
              <w:right w:val="nil"/>
            </w:tcBorders>
          </w:tcPr>
          <w:p w14:paraId="4FC90EF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Withdrawal</w:t>
            </w:r>
          </w:p>
          <w:p w14:paraId="6F4F108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2005</w:t>
            </w:r>
          </w:p>
          <w:p w14:paraId="473A419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Co-proxamol</w:t>
            </w:r>
          </w:p>
          <w:p w14:paraId="20F243C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Withdrawal from the UK market</w:t>
            </w:r>
          </w:p>
        </w:tc>
        <w:tc>
          <w:tcPr>
            <w:tcW w:w="1978" w:type="dxa"/>
            <w:tcBorders>
              <w:top w:val="single" w:sz="8" w:space="0" w:color="auto"/>
              <w:left w:val="nil"/>
              <w:bottom w:val="single" w:sz="8" w:space="0" w:color="auto"/>
              <w:right w:val="nil"/>
            </w:tcBorders>
          </w:tcPr>
          <w:p w14:paraId="091FC71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Restricted medication: </w:t>
            </w:r>
            <w:r w:rsidRPr="0091560A">
              <w:rPr>
                <w:rFonts w:eastAsia="Times New Roman" w:cs="Times New Roman"/>
                <w:color w:val="000000" w:themeColor="text1"/>
                <w:sz w:val="20"/>
                <w:szCs w:val="20"/>
              </w:rPr>
              <w:t>Co-proxamol</w:t>
            </w:r>
          </w:p>
          <w:p w14:paraId="2324CED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Comparator: </w:t>
            </w:r>
            <w:r w:rsidRPr="0091560A">
              <w:rPr>
                <w:rFonts w:eastAsia="Times New Roman" w:cs="Times New Roman"/>
                <w:color w:val="000000" w:themeColor="text1"/>
                <w:sz w:val="20"/>
                <w:szCs w:val="20"/>
              </w:rPr>
              <w:t>co-codamol, codeine, co-dydramol, dihydrocodeine, tramadol, NSAIDs, paracetamol</w:t>
            </w:r>
          </w:p>
        </w:tc>
        <w:tc>
          <w:tcPr>
            <w:tcW w:w="1635" w:type="dxa"/>
            <w:tcBorders>
              <w:top w:val="single" w:sz="8" w:space="0" w:color="auto"/>
              <w:left w:val="nil"/>
              <w:bottom w:val="single" w:sz="8" w:space="0" w:color="auto"/>
              <w:right w:val="nil"/>
            </w:tcBorders>
          </w:tcPr>
          <w:p w14:paraId="561FC4A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All patients presented with self-harm (intentional self-poisoning)</w:t>
            </w:r>
          </w:p>
        </w:tc>
        <w:tc>
          <w:tcPr>
            <w:tcW w:w="4030" w:type="dxa"/>
            <w:tcBorders>
              <w:top w:val="single" w:sz="8" w:space="0" w:color="auto"/>
              <w:left w:val="nil"/>
              <w:bottom w:val="single" w:sz="8" w:space="0" w:color="auto"/>
              <w:right w:val="nil"/>
            </w:tcBorders>
          </w:tcPr>
          <w:p w14:paraId="1BC81D8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Co-proxamol: </w:t>
            </w:r>
            <w:r w:rsidRPr="0091560A">
              <w:rPr>
                <w:rFonts w:eastAsia="Times New Roman" w:cs="Times New Roman"/>
                <w:color w:val="000000" w:themeColor="text1"/>
                <w:sz w:val="20"/>
                <w:szCs w:val="20"/>
              </w:rPr>
              <w:t>Significant decrease in level and slope for non-fatal self-poisoning for co-proxamol was associated with the restriction. This equated to an approximate decrease of 62% over 2005-2007, when compared to prior to the restriction.</w:t>
            </w:r>
          </w:p>
        </w:tc>
        <w:tc>
          <w:tcPr>
            <w:tcW w:w="2420" w:type="dxa"/>
            <w:tcBorders>
              <w:top w:val="single" w:sz="8" w:space="0" w:color="auto"/>
              <w:left w:val="nil"/>
              <w:bottom w:val="single" w:sz="8" w:space="0" w:color="auto"/>
              <w:right w:val="nil"/>
            </w:tcBorders>
          </w:tcPr>
          <w:p w14:paraId="6720816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Other analgesics: N</w:t>
            </w:r>
            <w:r w:rsidRPr="0091560A">
              <w:rPr>
                <w:rFonts w:eastAsia="Times New Roman" w:cs="Times New Roman"/>
                <w:color w:val="000000" w:themeColor="text1"/>
                <w:sz w:val="20"/>
                <w:szCs w:val="20"/>
              </w:rPr>
              <w:t>o significant change in the level or slope of non-fatal self-poisoning involving five often prescribed analgesics (co-codamol, codeine, co-dydramol, dihydrocodeine, and tramadol) and no change in level or slope of self-poisoning involving all other analgesics (co-codamol, codeine, co-dydramol, dihydrocodeine, NSAIDS, paracetamol, and tramadol).</w:t>
            </w:r>
          </w:p>
        </w:tc>
      </w:tr>
      <w:tr w:rsidR="00574EB4" w:rsidRPr="0091560A" w14:paraId="3526F8DB" w14:textId="77777777" w:rsidTr="00E64920">
        <w:trPr>
          <w:trHeight w:val="1560"/>
        </w:trPr>
        <w:tc>
          <w:tcPr>
            <w:tcW w:w="1678" w:type="dxa"/>
            <w:tcBorders>
              <w:top w:val="single" w:sz="8" w:space="0" w:color="auto"/>
              <w:left w:val="nil"/>
              <w:bottom w:val="single" w:sz="8" w:space="0" w:color="auto"/>
              <w:right w:val="nil"/>
            </w:tcBorders>
          </w:tcPr>
          <w:p w14:paraId="3C06CA79" w14:textId="6FA4CD8B"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Hawton (2012)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&lt;EndNote&gt;&lt;Cite&gt;&lt;Author&gt;Hawton&lt;/Author&gt;&lt;Year&gt;2012&lt;/Year&gt;&lt;RecNum&gt;879&lt;/RecNum&gt;&lt;DisplayText&gt;(K. Hawton et al., 2012)&lt;/DisplayText&gt;&lt;record&gt;&lt;rec-number&gt;879&lt;/rec-number&gt;&lt;foreign-keys&gt;&lt;key app="EN" db-id="90p22wx96ddedpe0r9pxtt9gzz05dd5ev299" timestamp="1657000537"&gt;879&lt;/key&gt;&lt;/foreign-keys&gt;&lt;ref-type name="Journal Article"&gt;17&lt;/ref-type&gt;&lt;contributors&gt;&lt;authors&gt;&lt;author&gt;Hawton, K.&lt;/author&gt;&lt;author&gt;Bergen, H.&lt;/author&gt;&lt;author&gt;Simkin, S.&lt;/author&gt;&lt;author&gt;Wells, C.&lt;/author&gt;&lt;author&gt;Kapur, N.&lt;/author&gt;&lt;author&gt;Gunnell, D.&lt;/author&gt;&lt;/authors&gt;&lt;/contributors&gt;&lt;titles&gt;&lt;title&gt;Six-year follow-up of impact of co-proxamol withdrawal in england and wales on prescribing and deaths: Time-series study&lt;/title&gt;&lt;secondary-title&gt;PLoS Medicine&lt;/secondary-title&gt;&lt;/titles&gt;&lt;pages&gt;e1001213&lt;/pages&gt;&lt;volume&gt;9&lt;/volume&gt;&lt;number&gt;5&lt;/number&gt;&lt;dates&gt;&lt;year&gt;2012&lt;/year&gt;&lt;/dates&gt;&lt;urls&gt;&lt;related-urls&gt;&lt;url&gt;http://www.plosmedicine.org/article/fetchObjectAttachment.action?uri=info%3Adoi%2F10.1371%2Fjournal.pmed.1001213&amp;amp;representation=PDFhttp://ovidsp.ovid.com/ovidweb.cgi?T=JS&amp;amp;PAGE=reference&amp;amp;D=emed13&amp;amp;NEWS=N&amp;amp;AN=364901016&lt;/url&gt;&lt;/related-urls&gt;&lt;/urls&gt;&lt;electronic-resource-num&gt;http://dx.doi.org/10.1371/journal.pmed.1001213&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(K. Hawton et al., 2012)</w:t>
            </w:r>
            <w:r w:rsidRPr="0091560A">
              <w:rPr>
                <w:rFonts w:eastAsia="Times New Roman" w:cs="Times New Roman"/>
                <w:color w:val="000000" w:themeColor="text1"/>
                <w:sz w:val="20"/>
                <w:szCs w:val="20"/>
              </w:rPr>
              <w:fldChar w:fldCharType="end"/>
            </w:r>
          </w:p>
          <w:p w14:paraId="6B924F1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66F1C62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UK</w:t>
            </w:r>
          </w:p>
        </w:tc>
        <w:tc>
          <w:tcPr>
            <w:tcW w:w="2293" w:type="dxa"/>
            <w:tcBorders>
              <w:top w:val="single" w:sz="8" w:space="0" w:color="auto"/>
              <w:left w:val="nil"/>
              <w:bottom w:val="single" w:sz="8" w:space="0" w:color="auto"/>
              <w:right w:val="nil"/>
            </w:tcBorders>
          </w:tcPr>
          <w:p w14:paraId="644ABBA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Withdrawal</w:t>
            </w:r>
          </w:p>
          <w:p w14:paraId="220CC89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2005</w:t>
            </w:r>
          </w:p>
          <w:p w14:paraId="5F77E5B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Co-proxamol</w:t>
            </w:r>
          </w:p>
          <w:p w14:paraId="15B4019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Withdrawal from the UK market</w:t>
            </w:r>
          </w:p>
        </w:tc>
        <w:tc>
          <w:tcPr>
            <w:tcW w:w="1978" w:type="dxa"/>
            <w:tcBorders>
              <w:top w:val="single" w:sz="8" w:space="0" w:color="auto"/>
              <w:left w:val="nil"/>
              <w:bottom w:val="single" w:sz="8" w:space="0" w:color="auto"/>
              <w:right w:val="nil"/>
            </w:tcBorders>
          </w:tcPr>
          <w:p w14:paraId="35AE81A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Co-proxamol</w:t>
            </w:r>
          </w:p>
          <w:p w14:paraId="02AFF407"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Comparator:</w:t>
            </w:r>
          </w:p>
          <w:p w14:paraId="333171A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Co-codamol, codeine, co-dydramol, dihydrocodeine, NSAIDs, paracetamol, tramadol </w:t>
            </w:r>
          </w:p>
        </w:tc>
        <w:tc>
          <w:tcPr>
            <w:tcW w:w="1635" w:type="dxa"/>
            <w:tcBorders>
              <w:top w:val="single" w:sz="8" w:space="0" w:color="auto"/>
              <w:left w:val="nil"/>
              <w:bottom w:val="single" w:sz="8" w:space="0" w:color="auto"/>
              <w:right w:val="nil"/>
            </w:tcBorders>
          </w:tcPr>
          <w:p w14:paraId="0AE20DF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S</w:t>
            </w:r>
            <w:r w:rsidRPr="0091560A">
              <w:rPr>
                <w:rFonts w:eastAsia="Times New Roman" w:cs="Times New Roman"/>
                <w:color w:val="000000" w:themeColor="text1"/>
                <w:sz w:val="20"/>
                <w:szCs w:val="20"/>
              </w:rPr>
              <w:t>uicide (with open verdict deaths) and also in combination with unintentional deaths.</w:t>
            </w:r>
          </w:p>
        </w:tc>
        <w:tc>
          <w:tcPr>
            <w:tcW w:w="4030" w:type="dxa"/>
            <w:tcBorders>
              <w:top w:val="single" w:sz="8" w:space="0" w:color="auto"/>
              <w:left w:val="nil"/>
              <w:bottom w:val="single" w:sz="8" w:space="0" w:color="auto"/>
              <w:right w:val="nil"/>
            </w:tcBorders>
          </w:tcPr>
          <w:p w14:paraId="1D3E24E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Co-proxamol: </w:t>
            </w:r>
            <w:r w:rsidRPr="0091560A">
              <w:rPr>
                <w:rFonts w:eastAsia="Times New Roman" w:cs="Times New Roman"/>
                <w:color w:val="000000" w:themeColor="text1"/>
                <w:sz w:val="20"/>
                <w:szCs w:val="20"/>
              </w:rPr>
              <w:t>During 2005 – 2010 there was a 61% reduction in deaths by suicide (and open verdict deaths) and 62% reduction when accidental deaths included for co-proxamol poisoning. During the same period, there was a 53% reduction in prescribing of co-proxamol.</w:t>
            </w:r>
          </w:p>
          <w:p w14:paraId="741A94E5"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3ACF135F" w14:textId="77777777" w:rsidR="00574EB4" w:rsidRPr="0091560A" w:rsidRDefault="00574EB4">
            <w:pPr>
              <w:spacing w:after="0" w:line="257" w:lineRule="auto"/>
              <w:rPr>
                <w:rFonts w:eastAsia="Times New Roman" w:cs="Times New Roman"/>
                <w:color w:val="000000" w:themeColor="text1"/>
                <w:sz w:val="20"/>
                <w:szCs w:val="20"/>
              </w:rPr>
            </w:pPr>
            <w:r w:rsidRPr="0091560A">
              <w:rPr>
                <w:rFonts w:eastAsia="Times New Roman" w:cs="Times New Roman"/>
                <w:b/>
                <w:bCs/>
                <w:color w:val="000000" w:themeColor="text1"/>
                <w:sz w:val="20"/>
                <w:szCs w:val="20"/>
              </w:rPr>
              <w:t>Other analgesics:</w:t>
            </w:r>
            <w:r w:rsidRPr="0091560A">
              <w:rPr>
                <w:rFonts w:eastAsia="Times New Roman" w:cs="Times New Roman"/>
                <w:color w:val="000000" w:themeColor="text1"/>
                <w:sz w:val="20"/>
                <w:szCs w:val="20"/>
              </w:rPr>
              <w:t xml:space="preserve"> There was a significant increase in the prescribing of co-codamol (23%), paracetamol (16%), codeine (10%), co-dydramol (6%), and tramadol (19%). The number of deaths involving other analgesics did not appear to change markedly during this study period.</w:t>
            </w:r>
          </w:p>
        </w:tc>
      </w:tr>
      <w:tr w:rsidR="00574EB4" w:rsidRPr="0091560A" w14:paraId="312EB2CC" w14:textId="77777777" w:rsidTr="00E64920">
        <w:trPr>
          <w:trHeight w:val="705"/>
        </w:trPr>
        <w:tc>
          <w:tcPr>
            <w:tcW w:w="1678" w:type="dxa"/>
            <w:tcBorders>
              <w:top w:val="single" w:sz="8" w:space="0" w:color="auto"/>
              <w:left w:val="nil"/>
              <w:bottom w:val="single" w:sz="8" w:space="0" w:color="auto"/>
              <w:right w:val="nil"/>
            </w:tcBorders>
          </w:tcPr>
          <w:p w14:paraId="3325BF21" w14:textId="5EC1FB81"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Corcoran (2010)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&lt;EndNote&gt;&lt;Cite&gt;&lt;Author&gt;Corcoran&lt;/Author&gt;&lt;Year&gt;2010&lt;/Year&gt;&lt;RecNum&gt;864&lt;/RecNum&gt;&lt;DisplayText&gt;(Corcoran et al., 2010)&lt;/DisplayText&gt;&lt;record&gt;&lt;rec-number&gt;864&lt;/rec-number&gt;&lt;foreign-keys&gt;&lt;key app="EN" db-id="90p22wx96ddedpe0r9pxtt9gzz05dd5ev299" timestamp="1657000537"&gt;864&lt;/key&gt;&lt;/foreign-keys&gt;&lt;ref-type name="Journal Article"&gt;17&lt;/ref-type&gt;&lt;contributors&gt;&lt;authors&gt;&lt;author&gt;Corcoran, P.&lt;/author&gt;&lt;author&gt;Reulbach, U.&lt;/author&gt;&lt;author&gt;Keeley, H. S.&lt;/author&gt;&lt;author&gt;Perry, I. J.&lt;/author&gt;&lt;author&gt;Hawton, K.&lt;/author&gt;&lt;author&gt;Arensman, E.&lt;/author&gt;&lt;/authors&gt;&lt;/contributors&gt;&lt;titles&gt;&lt;title&gt;Use of analgesics in intentional drug overdose presentations to hospital before and after the withdrawal of distalgesic from the Irish market&lt;/title&gt;&lt;secondary-title&gt;BMC Clinical Pharmacology&lt;/secondary-title&gt;&lt;/titles&gt;&lt;pages&gt;6&lt;/pages&gt;&lt;volume&gt;10&lt;/volume&gt;&lt;dates&gt;&lt;year&gt;2010&lt;/year&gt;&lt;/dates&gt;&lt;urls&gt;&lt;related-urls&gt;&lt;url&gt;http://www.biomedcentral.com/1472-6904/10/6http://ovidsp.ovid.com/ovidweb.cgi?T=JS&amp;amp;PAGE=reference&amp;amp;D=emed11&amp;amp;NEWS=N&amp;amp;AN=358812480&lt;/url&gt;&lt;/related-urls&gt;&lt;/urls&gt;&lt;electronic-resource-num&gt;http://dx.doi.org/10.1186/1472-6904-10-6&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(Corcoran et al., 2010)</w:t>
            </w:r>
            <w:r w:rsidRPr="0091560A">
              <w:rPr>
                <w:rFonts w:eastAsia="Times New Roman" w:cs="Times New Roman"/>
                <w:color w:val="000000" w:themeColor="text1"/>
                <w:sz w:val="20"/>
                <w:szCs w:val="20"/>
              </w:rPr>
              <w:fldChar w:fldCharType="end"/>
            </w:r>
          </w:p>
          <w:p w14:paraId="4A22191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1929B23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Ireland</w:t>
            </w:r>
          </w:p>
        </w:tc>
        <w:tc>
          <w:tcPr>
            <w:tcW w:w="2293" w:type="dxa"/>
            <w:tcBorders>
              <w:top w:val="single" w:sz="8" w:space="0" w:color="auto"/>
              <w:left w:val="nil"/>
              <w:bottom w:val="single" w:sz="8" w:space="0" w:color="auto"/>
              <w:right w:val="nil"/>
            </w:tcBorders>
          </w:tcPr>
          <w:p w14:paraId="6FA5E10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Withdrawal</w:t>
            </w:r>
          </w:p>
          <w:p w14:paraId="49B6EAF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Year: </w:t>
            </w:r>
            <w:r w:rsidRPr="0091560A">
              <w:rPr>
                <w:rFonts w:eastAsia="Times New Roman" w:cs="Times New Roman"/>
                <w:color w:val="000000" w:themeColor="text1"/>
                <w:sz w:val="20"/>
                <w:szCs w:val="20"/>
              </w:rPr>
              <w:t>2006</w:t>
            </w:r>
          </w:p>
          <w:p w14:paraId="095FDCE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Co-proxamol (Distalgesic)</w:t>
            </w:r>
          </w:p>
          <w:p w14:paraId="3DAAF42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Withdrawal from Irish market</w:t>
            </w:r>
          </w:p>
        </w:tc>
        <w:tc>
          <w:tcPr>
            <w:tcW w:w="1978" w:type="dxa"/>
            <w:tcBorders>
              <w:top w:val="single" w:sz="8" w:space="0" w:color="auto"/>
              <w:left w:val="nil"/>
              <w:bottom w:val="single" w:sz="8" w:space="0" w:color="auto"/>
              <w:right w:val="nil"/>
            </w:tcBorders>
          </w:tcPr>
          <w:p w14:paraId="626501F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Co-proxamol (Distalgesic) </w:t>
            </w:r>
          </w:p>
          <w:p w14:paraId="58082D8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Comparator: </w:t>
            </w:r>
            <w:r w:rsidRPr="0091560A">
              <w:rPr>
                <w:rFonts w:eastAsia="Times New Roman" w:cs="Times New Roman"/>
                <w:color w:val="000000" w:themeColor="text1"/>
                <w:sz w:val="20"/>
                <w:szCs w:val="20"/>
              </w:rPr>
              <w:t>Any paracetamol containing medication, solpadeine, ‘other prescription compound analgesics’ (kapake, paramol, solpadol, syndol, tylex)</w:t>
            </w:r>
          </w:p>
        </w:tc>
        <w:tc>
          <w:tcPr>
            <w:tcW w:w="1635" w:type="dxa"/>
            <w:tcBorders>
              <w:top w:val="single" w:sz="8" w:space="0" w:color="auto"/>
              <w:left w:val="nil"/>
              <w:bottom w:val="single" w:sz="8" w:space="0" w:color="auto"/>
              <w:right w:val="nil"/>
            </w:tcBorders>
          </w:tcPr>
          <w:p w14:paraId="4CC6751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self-poisoning</w:t>
            </w:r>
          </w:p>
        </w:tc>
        <w:tc>
          <w:tcPr>
            <w:tcW w:w="4030" w:type="dxa"/>
            <w:tcBorders>
              <w:top w:val="single" w:sz="8" w:space="0" w:color="auto"/>
              <w:left w:val="nil"/>
              <w:bottom w:val="single" w:sz="8" w:space="0" w:color="auto"/>
              <w:right w:val="nil"/>
            </w:tcBorders>
          </w:tcPr>
          <w:p w14:paraId="7487F62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Co-proxamol (Distalgesic): </w:t>
            </w:r>
            <w:r w:rsidRPr="0091560A">
              <w:rPr>
                <w:rFonts w:eastAsia="Times New Roman" w:cs="Times New Roman"/>
                <w:color w:val="000000" w:themeColor="text1"/>
                <w:sz w:val="20"/>
                <w:szCs w:val="20"/>
              </w:rPr>
              <w:t xml:space="preserve">The rate of intentional self-poisoning presentations to hospital involving co-proxamol in 2006-2008 was 84% lower than in the three years before it was withdrawn. </w:t>
            </w:r>
          </w:p>
          <w:p w14:paraId="1EFA6852"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0780CFE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Other prescription compound analgesics:</w:t>
            </w:r>
            <w:r w:rsidRPr="0091560A">
              <w:rPr>
                <w:rFonts w:eastAsia="Times New Roman" w:cs="Times New Roman"/>
                <w:color w:val="000000" w:themeColor="text1"/>
                <w:sz w:val="20"/>
                <w:szCs w:val="20"/>
              </w:rPr>
              <w:t xml:space="preserve"> There was a 44% increase in the rate of intentional self-poisoning presentations involving other prescription compound analgesics, but the magnitude of this rate increase was five times smaller than the magnitude of the decrease in distalgesic-related intentional self-poisoning presentations.</w:t>
            </w:r>
          </w:p>
          <w:p w14:paraId="73B4C10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Any paracetamol-containing medication: </w:t>
            </w:r>
            <w:r w:rsidRPr="0091560A">
              <w:rPr>
                <w:rFonts w:eastAsia="Times New Roman" w:cs="Times New Roman"/>
                <w:color w:val="000000" w:themeColor="text1"/>
                <w:sz w:val="20"/>
                <w:szCs w:val="20"/>
              </w:rPr>
              <w:t>Overall, there was a 16% decrease in presentations for any paracetamol-containing medication after restriction.</w:t>
            </w:r>
          </w:p>
          <w:p w14:paraId="785D5FB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Sales data:</w:t>
            </w:r>
            <w:r w:rsidRPr="0091560A">
              <w:rPr>
                <w:rFonts w:eastAsia="Times New Roman" w:cs="Times New Roman"/>
                <w:color w:val="000000" w:themeColor="text1"/>
                <w:sz w:val="20"/>
                <w:szCs w:val="20"/>
              </w:rPr>
              <w:t xml:space="preserve"> Between 2005-2006, 48% jump in sales of other prescription compound analgesics, 11% increase in solpadeine and 22% increase in sales of other paracetamol-containing medicines.</w:t>
            </w:r>
          </w:p>
        </w:tc>
      </w:tr>
      <w:tr w:rsidR="00574EB4" w:rsidRPr="0091560A" w14:paraId="1367F525" w14:textId="77777777" w:rsidTr="00E64920">
        <w:trPr>
          <w:trHeight w:val="1410"/>
        </w:trPr>
        <w:tc>
          <w:tcPr>
            <w:tcW w:w="1678" w:type="dxa"/>
            <w:tcBorders>
              <w:top w:val="single" w:sz="8" w:space="0" w:color="auto"/>
              <w:left w:val="nil"/>
              <w:bottom w:val="single" w:sz="8" w:space="0" w:color="auto"/>
              <w:right w:val="nil"/>
            </w:tcBorders>
          </w:tcPr>
          <w:p w14:paraId="678E0D8E" w14:textId="1A2AE708"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Birchall (2021)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&lt;EndNote&gt;&lt;Cite&gt;&lt;Author&gt;Birchall&lt;/Author&gt;&lt;Year&gt;2021&lt;/Year&gt;&lt;RecNum&gt;854&lt;/RecNum&gt;&lt;DisplayText&gt;(Birchall et al., 2021)&lt;/DisplayText&gt;&lt;record&gt;&lt;rec-number&gt;854&lt;/rec-number&gt;&lt;foreign-keys&gt;&lt;key app="EN" db-id="90p22wx96ddedpe0r9pxtt9gzz05dd5ev299" timestamp="1657000537"&gt;854&lt;/key&gt;&lt;/foreign-keys&gt;&lt;ref-type name="Journal Article"&gt;17&lt;/ref-type&gt;&lt;contributors&gt;&lt;authors&gt;&lt;author&gt;Birchall, E.&lt;/author&gt;&lt;author&gt;Perry, I. J.&lt;/author&gt;&lt;author&gt;Corcoran, P.&lt;/author&gt;&lt;author&gt;Daly, C.&lt;/author&gt;&lt;author&gt;Griffin, E.&lt;/author&gt;&lt;/authors&gt;&lt;/contributors&gt;&lt;titles&gt;&lt;title&gt;The impact of guidance on the supply of codeine-containing products on their use in intentional drug overdose&lt;/title&gt;&lt;secondary-title&gt;European journal of public health&lt;/secondary-title&gt;&lt;/titles&gt;&lt;pages&gt;853-858&lt;/pages&gt;&lt;volume&gt;31&lt;/volume&gt;&lt;number&gt;4&lt;/number&gt;&lt;dates&gt;&lt;year&gt;2021&lt;/year&gt;&lt;/dates&gt;&lt;urls&gt;&lt;related-urls&gt;&lt;url&gt;http://ovidsp.ovid.com/ovidweb.cgi?T=JS&amp;amp;PAGE=reference&amp;amp;D=emexb&amp;amp;NEWS=N&amp;amp;AN=635166476&lt;/url&gt;&lt;/related-urls&gt;&lt;/urls&gt;&lt;electronic-resource-num&gt;https://dx.doi.org/10.1093/eurpub/ckab082&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(Birchall et al., 2021)</w:t>
            </w:r>
            <w:r w:rsidRPr="0091560A">
              <w:rPr>
                <w:rFonts w:eastAsia="Times New Roman" w:cs="Times New Roman"/>
                <w:color w:val="000000" w:themeColor="text1"/>
                <w:sz w:val="20"/>
                <w:szCs w:val="20"/>
              </w:rPr>
              <w:fldChar w:fldCharType="end"/>
            </w:r>
          </w:p>
          <w:p w14:paraId="4FAAEB6F"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p w14:paraId="6B16DBE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Ireland</w:t>
            </w:r>
          </w:p>
        </w:tc>
        <w:tc>
          <w:tcPr>
            <w:tcW w:w="2293" w:type="dxa"/>
            <w:tcBorders>
              <w:top w:val="single" w:sz="8" w:space="0" w:color="auto"/>
              <w:left w:val="nil"/>
              <w:bottom w:val="single" w:sz="8" w:space="0" w:color="auto"/>
              <w:right w:val="nil"/>
            </w:tcBorders>
          </w:tcPr>
          <w:p w14:paraId="66FF6AA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Sale guidelines for pharmacists</w:t>
            </w:r>
          </w:p>
          <w:p w14:paraId="6FAAC5C1"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2010</w:t>
            </w:r>
          </w:p>
          <w:p w14:paraId="0571757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Codeine</w:t>
            </w:r>
          </w:p>
          <w:p w14:paraId="6CB38BD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Guidelines for pharmacists included specific criteria for sale of codeine reiterating its pre-existing classification as Schedule 5 (available OTC under pharmacist supervision)</w:t>
            </w:r>
          </w:p>
        </w:tc>
        <w:tc>
          <w:tcPr>
            <w:tcW w:w="1978" w:type="dxa"/>
            <w:tcBorders>
              <w:top w:val="single" w:sz="8" w:space="0" w:color="auto"/>
              <w:left w:val="nil"/>
              <w:bottom w:val="single" w:sz="8" w:space="0" w:color="auto"/>
              <w:right w:val="nil"/>
            </w:tcBorders>
          </w:tcPr>
          <w:p w14:paraId="3F080FB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Codeine</w:t>
            </w:r>
          </w:p>
          <w:p w14:paraId="334EE4D3"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Comparator:</w:t>
            </w:r>
          </w:p>
          <w:p w14:paraId="74AD3F3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Non-opioid analgesics, other opiates, all drugs</w:t>
            </w:r>
          </w:p>
        </w:tc>
        <w:tc>
          <w:tcPr>
            <w:tcW w:w="1635" w:type="dxa"/>
            <w:tcBorders>
              <w:top w:val="single" w:sz="8" w:space="0" w:color="auto"/>
              <w:left w:val="nil"/>
              <w:bottom w:val="single" w:sz="8" w:space="0" w:color="auto"/>
              <w:right w:val="nil"/>
            </w:tcBorders>
          </w:tcPr>
          <w:p w14:paraId="355F865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All patients presenting with self-harm (intentional self-poisoning)</w:t>
            </w:r>
          </w:p>
        </w:tc>
        <w:tc>
          <w:tcPr>
            <w:tcW w:w="4030" w:type="dxa"/>
            <w:tcBorders>
              <w:top w:val="single" w:sz="8" w:space="0" w:color="auto"/>
              <w:left w:val="nil"/>
              <w:bottom w:val="single" w:sz="8" w:space="0" w:color="auto"/>
              <w:right w:val="nil"/>
            </w:tcBorders>
          </w:tcPr>
          <w:p w14:paraId="2CB16B3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Codeine: </w:t>
            </w:r>
            <w:r w:rsidRPr="0091560A">
              <w:rPr>
                <w:rFonts w:eastAsia="Times New Roman" w:cs="Times New Roman"/>
                <w:color w:val="000000" w:themeColor="text1"/>
                <w:sz w:val="20"/>
                <w:szCs w:val="20"/>
              </w:rPr>
              <w:t>Rate of codeine related intentional overdose was 20% lower in the post-guidance period compared to the pre-guidance period. Reduction in codeine-related intentional overdoses was more pronounced in females (-24%) than males (-13%), and in &gt;65 year olds (-44%) compared to 25–64 year olds (-14%) and &lt;25 year olds (-23%). In the over 65 year olds and 25–44 year olds, decreases were significant only for females, but in the &lt;25 year olds, decreases were seen for both males and females.</w:t>
            </w:r>
          </w:p>
        </w:tc>
        <w:tc>
          <w:tcPr>
            <w:tcW w:w="2420" w:type="dxa"/>
            <w:tcBorders>
              <w:top w:val="single" w:sz="8" w:space="0" w:color="auto"/>
              <w:left w:val="nil"/>
              <w:bottom w:val="single" w:sz="8" w:space="0" w:color="auto"/>
              <w:right w:val="nil"/>
            </w:tcBorders>
          </w:tcPr>
          <w:p w14:paraId="2D6B960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Comparator: </w:t>
            </w:r>
            <w:r w:rsidRPr="0091560A">
              <w:rPr>
                <w:rFonts w:eastAsia="Times New Roman" w:cs="Times New Roman"/>
                <w:color w:val="000000" w:themeColor="text1"/>
                <w:sz w:val="20"/>
                <w:szCs w:val="20"/>
              </w:rPr>
              <w:t>There was an overall reduction in intentional overdoses with all drugs other than codeine. The rate of intentional overdose with non-opioid analgesics reduced by 11%, but no change was identified for other opiates.</w:t>
            </w:r>
          </w:p>
        </w:tc>
      </w:tr>
      <w:tr w:rsidR="00574EB4" w:rsidRPr="0091560A" w14:paraId="32E368F7" w14:textId="77777777" w:rsidTr="00E64920">
        <w:trPr>
          <w:trHeight w:val="4721"/>
        </w:trPr>
        <w:tc>
          <w:tcPr>
            <w:tcW w:w="1678" w:type="dxa"/>
            <w:tcBorders>
              <w:top w:val="single" w:sz="8" w:space="0" w:color="auto"/>
              <w:left w:val="nil"/>
              <w:bottom w:val="single" w:sz="8" w:space="0" w:color="auto"/>
              <w:right w:val="nil"/>
            </w:tcBorders>
          </w:tcPr>
          <w:p w14:paraId="16345B6B" w14:textId="3668C5F2"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Morthorst (2020) </w:t>
            </w:r>
            <w:r w:rsidR="002A5450">
              <w:rPr>
                <w:rFonts w:eastAsia="Times New Roman" w:cs="Times New Roman"/>
                <w:b/>
                <w:bCs/>
                <w:color w:val="000000" w:themeColor="text1"/>
                <w:sz w:val="20"/>
                <w:szCs w:val="20"/>
              </w:rPr>
              <w:br/>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(Morthorst et al., 2020)</w:t>
            </w:r>
            <w:r w:rsidRPr="0091560A">
              <w:rPr>
                <w:rFonts w:eastAsia="Times New Roman" w:cs="Times New Roman"/>
                <w:color w:val="000000" w:themeColor="text1"/>
                <w:sz w:val="20"/>
                <w:szCs w:val="20"/>
              </w:rPr>
              <w:fldChar w:fldCharType="end"/>
            </w:r>
          </w:p>
          <w:p w14:paraId="71A3DC9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3652094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Denmark</w:t>
            </w:r>
          </w:p>
        </w:tc>
        <w:tc>
          <w:tcPr>
            <w:tcW w:w="2293" w:type="dxa"/>
            <w:tcBorders>
              <w:top w:val="single" w:sz="8" w:space="0" w:color="auto"/>
              <w:left w:val="nil"/>
              <w:bottom w:val="single" w:sz="8" w:space="0" w:color="auto"/>
              <w:right w:val="nil"/>
            </w:tcBorders>
          </w:tcPr>
          <w:p w14:paraId="043A0D9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Age restriction and pack size limit</w:t>
            </w:r>
          </w:p>
          <w:p w14:paraId="4228CAF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2011 (age restriction) and 2013 (pack size limit)</w:t>
            </w:r>
          </w:p>
          <w:p w14:paraId="31FFA03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OTC non-opioid analgesics</w:t>
            </w:r>
          </w:p>
          <w:p w14:paraId="36B2AEE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Age restriction to ensure that only persons aged 18 years or older can purchase non-opioid analgesics. Legislation reduced pack size to 20 tablets</w:t>
            </w:r>
          </w:p>
        </w:tc>
        <w:tc>
          <w:tcPr>
            <w:tcW w:w="1978" w:type="dxa"/>
            <w:tcBorders>
              <w:top w:val="single" w:sz="8" w:space="0" w:color="auto"/>
              <w:left w:val="nil"/>
              <w:bottom w:val="single" w:sz="8" w:space="0" w:color="auto"/>
              <w:right w:val="nil"/>
            </w:tcBorders>
          </w:tcPr>
          <w:p w14:paraId="7FEBD775"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Restricted medication: </w:t>
            </w:r>
            <w:r w:rsidRPr="0091560A">
              <w:rPr>
                <w:rFonts w:eastAsia="Times New Roman" w:cs="Times New Roman"/>
                <w:color w:val="000000" w:themeColor="text1"/>
                <w:sz w:val="20"/>
                <w:szCs w:val="20"/>
              </w:rPr>
              <w:t>Paracetamol, Aspirin, non-steroidal anti-inflammatory medication</w:t>
            </w:r>
          </w:p>
          <w:p w14:paraId="15B5AF0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 O</w:t>
            </w:r>
            <w:r w:rsidRPr="0091560A">
              <w:rPr>
                <w:rFonts w:eastAsia="Times New Roman" w:cs="Times New Roman"/>
                <w:color w:val="000000" w:themeColor="text1"/>
                <w:sz w:val="20"/>
                <w:szCs w:val="20"/>
              </w:rPr>
              <w:t>ther pharmacological poisonings, violent self-harm methods</w:t>
            </w:r>
          </w:p>
        </w:tc>
        <w:tc>
          <w:tcPr>
            <w:tcW w:w="1635" w:type="dxa"/>
            <w:tcBorders>
              <w:top w:val="single" w:sz="8" w:space="0" w:color="auto"/>
              <w:left w:val="nil"/>
              <w:bottom w:val="single" w:sz="8" w:space="0" w:color="auto"/>
              <w:right w:val="nil"/>
            </w:tcBorders>
          </w:tcPr>
          <w:p w14:paraId="7608350B"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Intentional and accidental poisoning combined for analysis. Considered suicide and accidental deaths separately however numbers too small for analysis</w:t>
            </w:r>
          </w:p>
        </w:tc>
        <w:tc>
          <w:tcPr>
            <w:tcW w:w="4030" w:type="dxa"/>
            <w:tcBorders>
              <w:top w:val="single" w:sz="8" w:space="0" w:color="auto"/>
              <w:left w:val="nil"/>
              <w:bottom w:val="single" w:sz="8" w:space="0" w:color="auto"/>
              <w:right w:val="nil"/>
            </w:tcBorders>
          </w:tcPr>
          <w:p w14:paraId="33E7EC38" w14:textId="027F462C"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Over-the-counter non-opioid analgesics: </w:t>
            </w:r>
            <w:r w:rsidRPr="0091560A">
              <w:rPr>
                <w:rFonts w:eastAsia="Times New Roman" w:cs="Times New Roman"/>
                <w:color w:val="000000" w:themeColor="text1"/>
                <w:sz w:val="20"/>
                <w:szCs w:val="20"/>
              </w:rPr>
              <w:t xml:space="preserve">No change in the overall number of emergency department presentations/hospital admissions for non-opioid analgesic poisonings (intentional/accidental) following age restriction, but there was a substantial reduction following pack size restriction (estimated 18.5% reduction). When stratified by age, there was a 17% reduction in non-opioid analgesic poisonings following the age restriction among those aged 10-17 </w:t>
            </w:r>
            <w:r w:rsidR="00811E59" w:rsidRPr="0091560A">
              <w:rPr>
                <w:rFonts w:eastAsia="Times New Roman" w:cs="Times New Roman"/>
                <w:color w:val="000000" w:themeColor="text1"/>
                <w:sz w:val="20"/>
                <w:szCs w:val="20"/>
              </w:rPr>
              <w:t>years</w:t>
            </w:r>
            <w:r w:rsidRPr="0091560A">
              <w:rPr>
                <w:rFonts w:eastAsia="Times New Roman" w:cs="Times New Roman"/>
                <w:color w:val="000000" w:themeColor="text1"/>
                <w:sz w:val="20"/>
                <w:szCs w:val="20"/>
              </w:rPr>
              <w:t>. No changes were observed in other age groups following the age restriction. No change in accidental poisoning deaths and suicides by non-opioid analgesics following pack size restriction (numbers too small for analysis). No change in suicide deaths involving other substances following pack size restriction (numbers too small for analysis).</w:t>
            </w:r>
          </w:p>
        </w:tc>
        <w:tc>
          <w:tcPr>
            <w:tcW w:w="2420" w:type="dxa"/>
            <w:tcBorders>
              <w:top w:val="single" w:sz="8" w:space="0" w:color="auto"/>
              <w:left w:val="nil"/>
              <w:bottom w:val="single" w:sz="8" w:space="0" w:color="auto"/>
              <w:right w:val="nil"/>
            </w:tcBorders>
          </w:tcPr>
          <w:p w14:paraId="635DF8A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Other pharmacological poisonings: </w:t>
            </w:r>
            <w:r w:rsidRPr="0091560A">
              <w:rPr>
                <w:rFonts w:eastAsia="Times New Roman" w:cs="Times New Roman"/>
                <w:color w:val="000000" w:themeColor="text1"/>
                <w:sz w:val="20"/>
                <w:szCs w:val="20"/>
              </w:rPr>
              <w:t>Emergency department presentations/ hospital admissions with poisoning by substances other than non-opioid analgesics reduced by 10% and 11% following age and pack size restrictions, respectively. When stratified by age, there was a 18% reduction in other poisonings following age restriction among those aged 10-17 years. No changes observed in other age groups following the age restriction.</w:t>
            </w:r>
          </w:p>
          <w:p w14:paraId="271A315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Violent self-harm methods: </w:t>
            </w:r>
            <w:r w:rsidRPr="0091560A">
              <w:rPr>
                <w:rFonts w:eastAsia="Times New Roman" w:cs="Times New Roman"/>
                <w:color w:val="000000" w:themeColor="text1"/>
                <w:sz w:val="20"/>
                <w:szCs w:val="20"/>
              </w:rPr>
              <w:t>No change in violent self-harm methods when comparing pre-intervention vs. interim period trends (i.e., period between age restriction and pack size restriction); however, the pack size restriction was followed by a significant reduction in suicide attempts using violent methods.</w:t>
            </w:r>
          </w:p>
        </w:tc>
      </w:tr>
      <w:tr w:rsidR="00574EB4" w:rsidRPr="0091560A" w14:paraId="2997C04F" w14:textId="77777777" w:rsidTr="00E64920">
        <w:trPr>
          <w:trHeight w:val="2280"/>
        </w:trPr>
        <w:tc>
          <w:tcPr>
            <w:tcW w:w="1678" w:type="dxa"/>
            <w:tcBorders>
              <w:top w:val="single" w:sz="8" w:space="0" w:color="auto"/>
              <w:left w:val="nil"/>
              <w:bottom w:val="single" w:sz="8" w:space="0" w:color="auto"/>
              <w:right w:val="nil"/>
            </w:tcBorders>
          </w:tcPr>
          <w:p w14:paraId="593E9276" w14:textId="722CAB58"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Cairns (2020) </w:t>
            </w:r>
            <w:r w:rsidRPr="0091560A">
              <w:rPr>
                <w:rFonts w:eastAsia="Times New Roman" w:cs="Times New Roman"/>
                <w:color w:val="000000" w:themeColor="text1"/>
                <w:sz w:val="20"/>
                <w:szCs w:val="20"/>
              </w:rPr>
              <w:fldChar w:fldCharType="begin"/>
            </w:r>
            <w:r w:rsidR="00CA01EC">
              <w:rPr>
                <w:rFonts w:eastAsia="Times New Roman" w:cs="Times New Roman"/>
                <w:color w:val="000000" w:themeColor="text1"/>
                <w:sz w:val="20"/>
                <w:szCs w:val="20"/>
              </w:rPr>
              <w:instrText xml:space="preserve"> ADDIN EN.CITE &lt;EndNote&gt;&lt;Cite&gt;&lt;Author&gt;Cairns&lt;/Author&gt;&lt;Year&gt;2020&lt;/Year&gt;&lt;RecNum&gt;860&lt;/RecNum&gt;&lt;DisplayText&gt;(Cairns et al., 2020a)&lt;/DisplayText&gt;&lt;record&gt;&lt;rec-number&gt;860&lt;/rec-number&gt;&lt;foreign-keys&gt;&lt;key app="EN" db-id="90p22wx96ddedpe0r9pxtt9gzz05dd5ev299" timestamp="1657000537"&gt;860&lt;/key&gt;&lt;/foreign-keys&gt;&lt;ref-type name="Journal Article"&gt;17&lt;/ref-type&gt;&lt;contributors&gt;&lt;authors&gt;&lt;author&gt;Cairns, R.&lt;/author&gt;&lt;author&gt;Schaffer, A. L.&lt;/author&gt;&lt;author&gt;Brown, J. A.&lt;/author&gt;&lt;author&gt;Pearson, S. A.&lt;/author&gt;&lt;author&gt;Buckley, N. A.&lt;/author&gt;&lt;/authors&gt;&lt;/contributors&gt;&lt;titles&gt;&lt;title&gt;Codeine use and harms in Australia: evaluating the effects of re-scheduling&lt;/title&gt;&lt;secondary-title&gt;Addiction (Abingdon, England)&lt;/secondary-title&gt;&lt;/titles&gt;&lt;pages&gt;451-459&lt;/pages&gt;&lt;volume&gt;115&lt;/volume&gt;&lt;number&gt;3&lt;/number&gt;&lt;dates&gt;&lt;year&gt;2020&lt;/year&gt;&lt;/dates&gt;&lt;urls&gt;&lt;related-urls&gt;&lt;url&gt;http://ovidsp.ovid.com/ovidweb.cgi?T=JS&amp;amp;PAGE=reference&amp;amp;D=emed22&amp;amp;NEWS=N&amp;amp;AN=629491344&lt;/url&gt;&lt;/related-urls&gt;&lt;/urls&gt;&lt;electronic-resource-num&gt;https://dx.doi.org/10.1111/add.14798&lt;/electronic-resource-num&gt;&lt;/record&gt;&lt;/Cite&gt;&lt;/EndNote&gt;</w:instrText>
            </w:r>
            <w:r w:rsidRPr="0091560A">
              <w:rPr>
                <w:rFonts w:eastAsia="Times New Roman" w:cs="Times New Roman"/>
                <w:color w:val="000000" w:themeColor="text1"/>
                <w:sz w:val="20"/>
                <w:szCs w:val="20"/>
              </w:rPr>
              <w:fldChar w:fldCharType="separate"/>
            </w:r>
            <w:r w:rsidR="00CA01EC">
              <w:rPr>
                <w:rFonts w:eastAsia="Times New Roman" w:cs="Times New Roman"/>
                <w:noProof/>
                <w:color w:val="000000" w:themeColor="text1"/>
                <w:sz w:val="20"/>
                <w:szCs w:val="20"/>
              </w:rPr>
              <w:t>(Cairns et al., 2020a)</w:t>
            </w:r>
            <w:r w:rsidRPr="0091560A">
              <w:rPr>
                <w:rFonts w:eastAsia="Times New Roman" w:cs="Times New Roman"/>
                <w:color w:val="000000" w:themeColor="text1"/>
                <w:sz w:val="20"/>
                <w:szCs w:val="20"/>
              </w:rPr>
              <w:fldChar w:fldCharType="end"/>
            </w:r>
          </w:p>
          <w:p w14:paraId="5085A4B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p w14:paraId="320BDC6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Australia</w:t>
            </w:r>
          </w:p>
        </w:tc>
        <w:tc>
          <w:tcPr>
            <w:tcW w:w="2293" w:type="dxa"/>
            <w:tcBorders>
              <w:top w:val="single" w:sz="8" w:space="0" w:color="auto"/>
              <w:left w:val="nil"/>
              <w:bottom w:val="single" w:sz="8" w:space="0" w:color="auto"/>
              <w:right w:val="nil"/>
            </w:tcBorders>
          </w:tcPr>
          <w:p w14:paraId="0C12A3C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Up-scheduling</w:t>
            </w:r>
          </w:p>
          <w:p w14:paraId="4220B1CD"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2018</w:t>
            </w:r>
          </w:p>
          <w:p w14:paraId="7B51D00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Low-strength codeine products</w:t>
            </w:r>
          </w:p>
          <w:p w14:paraId="0CA66C1F"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Up scheduling from Schedule 3 (pharmacist only) to Schedule 4 (prescription only)</w:t>
            </w:r>
          </w:p>
          <w:p w14:paraId="678E912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c>
          <w:tcPr>
            <w:tcW w:w="1978" w:type="dxa"/>
            <w:tcBorders>
              <w:top w:val="single" w:sz="8" w:space="0" w:color="auto"/>
              <w:left w:val="nil"/>
              <w:bottom w:val="single" w:sz="8" w:space="0" w:color="auto"/>
              <w:right w:val="nil"/>
            </w:tcBorders>
          </w:tcPr>
          <w:p w14:paraId="6362EE8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Restricted medication:</w:t>
            </w:r>
            <w:r w:rsidRPr="0091560A">
              <w:rPr>
                <w:rFonts w:eastAsia="Times New Roman" w:cs="Times New Roman"/>
                <w:color w:val="000000" w:themeColor="text1"/>
                <w:sz w:val="20"/>
                <w:szCs w:val="20"/>
              </w:rPr>
              <w:t xml:space="preserve"> Codeine</w:t>
            </w:r>
          </w:p>
          <w:p w14:paraId="65660384"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Comparator:</w:t>
            </w:r>
          </w:p>
          <w:p w14:paraId="15A1C19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Oxycodone; tramadol, tapentadol, morphine, hydromorphone, fentanyl, buprenorphine, methadone, loperamide, dextromethorphan, dihydrocodeine</w:t>
            </w:r>
          </w:p>
        </w:tc>
        <w:tc>
          <w:tcPr>
            <w:tcW w:w="1635" w:type="dxa"/>
            <w:tcBorders>
              <w:top w:val="single" w:sz="8" w:space="0" w:color="auto"/>
              <w:left w:val="nil"/>
              <w:bottom w:val="single" w:sz="8" w:space="0" w:color="auto"/>
              <w:right w:val="nil"/>
            </w:tcBorders>
          </w:tcPr>
          <w:p w14:paraId="798B664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Calls were for intentional misuse of medication</w:t>
            </w:r>
          </w:p>
        </w:tc>
        <w:tc>
          <w:tcPr>
            <w:tcW w:w="4030" w:type="dxa"/>
            <w:tcBorders>
              <w:top w:val="single" w:sz="8" w:space="0" w:color="auto"/>
              <w:left w:val="nil"/>
              <w:bottom w:val="single" w:sz="8" w:space="0" w:color="auto"/>
              <w:right w:val="nil"/>
            </w:tcBorders>
          </w:tcPr>
          <w:p w14:paraId="73DFE877"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Codeine:</w:t>
            </w:r>
            <w:r w:rsidRPr="0091560A">
              <w:rPr>
                <w:rFonts w:eastAsia="Times New Roman" w:cs="Times New Roman"/>
                <w:color w:val="000000" w:themeColor="text1"/>
                <w:sz w:val="20"/>
                <w:szCs w:val="20"/>
              </w:rPr>
              <w:t xml:space="preserve"> Monthly calls related to intentional codeine poisoning reduced significantly after rescheduling with similar findings seen for all codeine poisoning calls. The change was driven by a reduction in calls for low-strength codeine (which was rescheduled) but not high-strength products (for which scheduling was unchanged). Codeine dose (mg) taken in intentional exposures did not differ significantly. Sales of low-strength codeine preparations decreased following rescheduling.</w:t>
            </w:r>
          </w:p>
          <w:p w14:paraId="6FE61770" w14:textId="77777777" w:rsidR="00574EB4" w:rsidRPr="0091560A" w:rsidRDefault="00574EB4">
            <w:pPr>
              <w:spacing w:after="0"/>
              <w:rPr>
                <w:rFonts w:eastAsia="Times New Roman" w:cs="Times New Roman"/>
                <w:color w:val="000000" w:themeColor="text1"/>
                <w:sz w:val="20"/>
                <w:szCs w:val="20"/>
              </w:rPr>
            </w:pPr>
          </w:p>
        </w:tc>
        <w:tc>
          <w:tcPr>
            <w:tcW w:w="2420" w:type="dxa"/>
            <w:tcBorders>
              <w:top w:val="single" w:sz="8" w:space="0" w:color="auto"/>
              <w:left w:val="nil"/>
              <w:bottom w:val="single" w:sz="8" w:space="0" w:color="auto"/>
              <w:right w:val="nil"/>
            </w:tcBorders>
          </w:tcPr>
          <w:p w14:paraId="691E076A"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Other pharmaceutical opioids and OTC products:</w:t>
            </w:r>
            <w:r w:rsidRPr="0091560A">
              <w:rPr>
                <w:rFonts w:eastAsia="Times New Roman" w:cs="Times New Roman"/>
                <w:color w:val="000000" w:themeColor="text1"/>
                <w:sz w:val="20"/>
                <w:szCs w:val="20"/>
              </w:rPr>
              <w:t xml:space="preserve"> Calls about other pharmaceutical opioids and OTC products with misuse potential did not increase, suggesting no evidence of substitution.</w:t>
            </w:r>
          </w:p>
          <w:p w14:paraId="400F64B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r>
      <w:tr w:rsidR="00574EB4" w:rsidRPr="0091560A" w14:paraId="42246B16" w14:textId="77777777" w:rsidTr="00E64920">
        <w:trPr>
          <w:trHeight w:val="1260"/>
        </w:trPr>
        <w:tc>
          <w:tcPr>
            <w:tcW w:w="1678" w:type="dxa"/>
            <w:tcBorders>
              <w:top w:val="single" w:sz="8" w:space="0" w:color="auto"/>
              <w:left w:val="nil"/>
              <w:bottom w:val="single" w:sz="8" w:space="0" w:color="auto"/>
              <w:right w:val="nil"/>
            </w:tcBorders>
          </w:tcPr>
          <w:p w14:paraId="3DB96BE5" w14:textId="2906C36C"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Harris (2020) </w:t>
            </w:r>
            <w:r w:rsidRPr="0091560A">
              <w:rPr>
                <w:rFonts w:eastAsia="Times New Roman" w:cs="Times New Roman"/>
                <w:color w:val="000000" w:themeColor="text1"/>
                <w:sz w:val="20"/>
                <w:szCs w:val="20"/>
              </w:rPr>
              <w:fldChar w:fldCharType="begin"/>
            </w:r>
            <w:r w:rsidR="00D709C3" w:rsidRPr="0091560A">
              <w:rPr>
                <w:rFonts w:eastAsia="Times New Roman" w:cs="Times New Roman"/>
                <w:color w:val="000000" w:themeColor="text1"/>
                <w:sz w:val="20"/>
                <w:szCs w:val="20"/>
              </w:rPr>
              <w:instrText xml:space="preserve"> ADDIN EN.CITE &lt;EndNote&gt;&lt;Cite&gt;&lt;Author&gt;Harris&lt;/Author&gt;&lt;Year&gt;2020&lt;/Year&gt;&lt;RecNum&gt;874&lt;/RecNum&gt;&lt;DisplayText&gt;(Harris et al., 2020)&lt;/DisplayText&gt;&lt;record&gt;&lt;rec-number&gt;874&lt;/rec-number&gt;&lt;foreign-keys&gt;&lt;key app="EN" db-id="90p22wx96ddedpe0r9pxtt9gzz05dd5ev299" timestamp="1657000537"&gt;874&lt;/key&gt;&lt;/foreign-keys&gt;&lt;ref-type name="Generic"&gt;13&lt;/ref-type&gt;&lt;contributors&gt;&lt;authors&gt;&lt;author&gt;Harris, Keith&lt;/author&gt;&lt;author&gt;Jiang, Andrew&lt;/author&gt;&lt;author&gt;Knoeckel, Robert&lt;/author&gt;&lt;author&gt;Isoardi, Katherine Z.&lt;/author&gt;&lt;/authors&gt;&lt;/contributors&gt;&lt;titles&gt;&lt;title&gt;Rescheduling codeine-containing analgesics reduced codeine-related hospital presentations&lt;/title&gt;&lt;alt-title&gt;Medical Journal of Australia&lt;/alt-title&gt;&lt;/titles&gt;&lt;pages&gt;328-328&lt;/pages&gt;&lt;volume&gt;212&lt;/volume&gt;&lt;dates&gt;&lt;year&gt;2020&lt;/year&gt;&lt;/dates&gt;&lt;pub-location&gt;Malden, Massachusetts&lt;/pub-location&gt;&lt;publisher&gt;Wiley-Blackwell&lt;/publisher&gt;&lt;urls&gt;&lt;related-urls&gt;&lt;url&gt;https://search.ebscohost.com/login.aspx?direct=true&amp;amp;db=cin20&amp;amp;AN=142792610&amp;amp;site=ehost-live&lt;/url&gt;&lt;/related-urls&gt;&lt;/urls&gt;&lt;electronic-resource-num&gt;10.5694/mja2.50400&lt;/electronic-resource-num&gt;&lt;/record&gt;&lt;/Cite&gt;&lt;/EndNote&gt;</w:instrText>
            </w:r>
            <w:r w:rsidRPr="0091560A">
              <w:rPr>
                <w:rFonts w:eastAsia="Times New Roman" w:cs="Times New Roman"/>
                <w:color w:val="000000" w:themeColor="text1"/>
                <w:sz w:val="20"/>
                <w:szCs w:val="20"/>
              </w:rPr>
              <w:fldChar w:fldCharType="separate"/>
            </w:r>
            <w:r w:rsidRPr="0091560A">
              <w:rPr>
                <w:rFonts w:eastAsia="Times New Roman" w:cs="Times New Roman"/>
                <w:noProof/>
                <w:color w:val="000000" w:themeColor="text1"/>
                <w:sz w:val="20"/>
                <w:szCs w:val="20"/>
              </w:rPr>
              <w:t>(Harris et al., 2020)</w:t>
            </w:r>
            <w:r w:rsidRPr="0091560A">
              <w:rPr>
                <w:rFonts w:eastAsia="Times New Roman" w:cs="Times New Roman"/>
                <w:color w:val="000000" w:themeColor="text1"/>
                <w:sz w:val="20"/>
                <w:szCs w:val="20"/>
              </w:rPr>
              <w:fldChar w:fldCharType="end"/>
            </w:r>
          </w:p>
          <w:p w14:paraId="0D6CF7D4"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 xml:space="preserve"> </w:t>
            </w:r>
          </w:p>
          <w:p w14:paraId="286C2602"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Australia</w:t>
            </w:r>
          </w:p>
        </w:tc>
        <w:tc>
          <w:tcPr>
            <w:tcW w:w="2293" w:type="dxa"/>
            <w:tcBorders>
              <w:top w:val="single" w:sz="8" w:space="0" w:color="auto"/>
              <w:left w:val="nil"/>
              <w:bottom w:val="single" w:sz="8" w:space="0" w:color="auto"/>
              <w:right w:val="nil"/>
            </w:tcBorders>
          </w:tcPr>
          <w:p w14:paraId="57FAD1B9"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Type</w:t>
            </w:r>
            <w:r w:rsidRPr="0091560A">
              <w:rPr>
                <w:rFonts w:eastAsia="Times New Roman" w:cs="Times New Roman"/>
                <w:color w:val="000000" w:themeColor="text1"/>
                <w:sz w:val="20"/>
                <w:szCs w:val="20"/>
              </w:rPr>
              <w:t>: Up-scheduling</w:t>
            </w:r>
          </w:p>
          <w:p w14:paraId="4C4C8C7C"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Year</w:t>
            </w:r>
            <w:r w:rsidRPr="0091560A">
              <w:rPr>
                <w:rFonts w:eastAsia="Times New Roman" w:cs="Times New Roman"/>
                <w:color w:val="000000" w:themeColor="text1"/>
                <w:sz w:val="20"/>
                <w:szCs w:val="20"/>
              </w:rPr>
              <w:t>: 2018</w:t>
            </w:r>
          </w:p>
          <w:p w14:paraId="2FB64890"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Medication affected</w:t>
            </w:r>
            <w:r w:rsidRPr="0091560A">
              <w:rPr>
                <w:rFonts w:eastAsia="Times New Roman" w:cs="Times New Roman"/>
                <w:color w:val="000000" w:themeColor="text1"/>
                <w:sz w:val="20"/>
                <w:szCs w:val="20"/>
              </w:rPr>
              <w:t>: Low-strength codeine products</w:t>
            </w:r>
          </w:p>
          <w:p w14:paraId="7F0A9C2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Description</w:t>
            </w:r>
            <w:r w:rsidRPr="0091560A">
              <w:rPr>
                <w:rFonts w:eastAsia="Times New Roman" w:cs="Times New Roman"/>
                <w:color w:val="000000" w:themeColor="text1"/>
                <w:sz w:val="20"/>
                <w:szCs w:val="20"/>
              </w:rPr>
              <w:t>: Up-scheduling from Schedule 3 (pharmacist only) to Schedule 4 (prescription only)</w:t>
            </w:r>
          </w:p>
        </w:tc>
        <w:tc>
          <w:tcPr>
            <w:tcW w:w="1978" w:type="dxa"/>
            <w:tcBorders>
              <w:top w:val="single" w:sz="8" w:space="0" w:color="auto"/>
              <w:left w:val="nil"/>
              <w:bottom w:val="single" w:sz="8" w:space="0" w:color="auto"/>
              <w:right w:val="nil"/>
            </w:tcBorders>
          </w:tcPr>
          <w:p w14:paraId="55151D7E"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Restricted medication: </w:t>
            </w:r>
            <w:r w:rsidRPr="0091560A">
              <w:rPr>
                <w:rFonts w:eastAsia="Times New Roman" w:cs="Times New Roman"/>
                <w:color w:val="000000" w:themeColor="text1"/>
                <w:sz w:val="20"/>
                <w:szCs w:val="20"/>
              </w:rPr>
              <w:t>Codeine</w:t>
            </w:r>
          </w:p>
          <w:p w14:paraId="261953E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Comparator:</w:t>
            </w:r>
            <w:r w:rsidRPr="0091560A">
              <w:rPr>
                <w:rFonts w:eastAsia="Times New Roman" w:cs="Times New Roman"/>
                <w:color w:val="000000" w:themeColor="text1"/>
                <w:sz w:val="20"/>
                <w:szCs w:val="20"/>
              </w:rPr>
              <w:t xml:space="preserve"> Alternative opioid-related medications</w:t>
            </w:r>
          </w:p>
        </w:tc>
        <w:tc>
          <w:tcPr>
            <w:tcW w:w="1635" w:type="dxa"/>
            <w:tcBorders>
              <w:top w:val="single" w:sz="8" w:space="0" w:color="auto"/>
              <w:left w:val="nil"/>
              <w:bottom w:val="single" w:sz="8" w:space="0" w:color="auto"/>
              <w:right w:val="nil"/>
            </w:tcBorders>
          </w:tcPr>
          <w:p w14:paraId="34B47253"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Presentations included deliberate self-poisonings and recreational exposure</w:t>
            </w:r>
          </w:p>
        </w:tc>
        <w:tc>
          <w:tcPr>
            <w:tcW w:w="4030" w:type="dxa"/>
            <w:tcBorders>
              <w:top w:val="single" w:sz="8" w:space="0" w:color="auto"/>
              <w:left w:val="nil"/>
              <w:bottom w:val="single" w:sz="8" w:space="0" w:color="auto"/>
              <w:right w:val="nil"/>
            </w:tcBorders>
          </w:tcPr>
          <w:p w14:paraId="0992B6D8"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b/>
                <w:bCs/>
                <w:color w:val="000000" w:themeColor="text1"/>
                <w:sz w:val="20"/>
                <w:szCs w:val="20"/>
              </w:rPr>
              <w:t xml:space="preserve">Codeine: </w:t>
            </w:r>
            <w:r w:rsidRPr="0091560A">
              <w:rPr>
                <w:rFonts w:eastAsia="Times New Roman" w:cs="Times New Roman"/>
                <w:color w:val="000000" w:themeColor="text1"/>
                <w:sz w:val="20"/>
                <w:szCs w:val="20"/>
              </w:rPr>
              <w:t>The number of codeine-related presentations was 53% lower in the 12 months after rescheduling: there were 163 presentations before and 77 presentations after rescheduling. A similar number of presentations for 30mg codeine products (unaffected by rescheduling) were observed (52 before, 60 after rescheduling). A decrease in the number of presentations for codeine products affected by rescheduling (&lt;30mg codeine) was observed (111 presentations before, 17 presentations after, 85% lower).</w:t>
            </w:r>
          </w:p>
        </w:tc>
        <w:tc>
          <w:tcPr>
            <w:tcW w:w="2420" w:type="dxa"/>
            <w:tcBorders>
              <w:top w:val="single" w:sz="8" w:space="0" w:color="auto"/>
              <w:left w:val="nil"/>
              <w:bottom w:val="single" w:sz="8" w:space="0" w:color="auto"/>
              <w:right w:val="nil"/>
            </w:tcBorders>
          </w:tcPr>
          <w:p w14:paraId="5C7D2408" w14:textId="77777777" w:rsidR="00574EB4" w:rsidRPr="0091560A" w:rsidRDefault="00574EB4">
            <w:pPr>
              <w:spacing w:after="0"/>
              <w:rPr>
                <w:rFonts w:eastAsia="Times New Roman" w:cs="Times New Roman"/>
                <w:b/>
                <w:bCs/>
                <w:color w:val="000000" w:themeColor="text1"/>
                <w:sz w:val="20"/>
                <w:szCs w:val="20"/>
              </w:rPr>
            </w:pPr>
            <w:r w:rsidRPr="0091560A">
              <w:rPr>
                <w:rFonts w:eastAsia="Times New Roman" w:cs="Times New Roman"/>
                <w:b/>
                <w:bCs/>
                <w:color w:val="000000" w:themeColor="text1"/>
                <w:sz w:val="20"/>
                <w:szCs w:val="20"/>
              </w:rPr>
              <w:t>Alternative opioid-related medications:</w:t>
            </w:r>
          </w:p>
          <w:p w14:paraId="47DC1D26"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The decline in codeine-related presentations was not associated with a rise in alternative opioid-related presentations (185 alternative opioid-related presentations before, 178 after re-scheduling).</w:t>
            </w:r>
          </w:p>
          <w:p w14:paraId="62571744" w14:textId="77777777" w:rsidR="00574EB4" w:rsidRPr="0091560A" w:rsidRDefault="00574EB4">
            <w:pPr>
              <w:spacing w:after="0"/>
              <w:rPr>
                <w:rFonts w:eastAsia="Times New Roman" w:cs="Times New Roman"/>
                <w:color w:val="000000" w:themeColor="text1"/>
                <w:sz w:val="20"/>
                <w:szCs w:val="20"/>
              </w:rPr>
            </w:pPr>
            <w:r w:rsidRPr="0091560A">
              <w:rPr>
                <w:rFonts w:eastAsia="Times New Roman" w:cs="Times New Roman"/>
                <w:color w:val="000000" w:themeColor="text1"/>
                <w:sz w:val="20"/>
                <w:szCs w:val="20"/>
              </w:rPr>
              <w:t xml:space="preserve"> </w:t>
            </w:r>
          </w:p>
        </w:tc>
      </w:tr>
    </w:tbl>
    <w:p w14:paraId="0A2D0D9A" w14:textId="77777777" w:rsidR="00574EB4" w:rsidRPr="0091560A" w:rsidRDefault="00574EB4" w:rsidP="00574EB4">
      <w:pPr>
        <w:spacing w:line="257" w:lineRule="auto"/>
        <w:rPr>
          <w:rFonts w:eastAsia="Times New Roman" w:cs="Times New Roman"/>
          <w:b/>
          <w:bCs/>
          <w:sz w:val="20"/>
          <w:szCs w:val="20"/>
        </w:rPr>
      </w:pPr>
      <w:r w:rsidRPr="0091560A">
        <w:rPr>
          <w:rFonts w:eastAsia="Times New Roman" w:cs="Times New Roman"/>
          <w:b/>
          <w:bCs/>
          <w:szCs w:val="24"/>
        </w:rPr>
        <w:t xml:space="preserve"> </w:t>
      </w:r>
      <w:r w:rsidRPr="0091560A">
        <w:rPr>
          <w:rFonts w:eastAsia="Times New Roman" w:cs="Times New Roman"/>
          <w:b/>
          <w:bCs/>
          <w:sz w:val="20"/>
          <w:szCs w:val="20"/>
        </w:rPr>
        <w:t xml:space="preserve">Notes. </w:t>
      </w:r>
      <w:r w:rsidRPr="00AD5E6E">
        <w:rPr>
          <w:rFonts w:eastAsia="Times New Roman" w:cs="Times New Roman"/>
          <w:sz w:val="20"/>
          <w:szCs w:val="20"/>
        </w:rPr>
        <w:t>OTC = over-the-counter</w:t>
      </w:r>
    </w:p>
    <w:p w14:paraId="7D6F81EB" w14:textId="77777777" w:rsidR="00574EB4" w:rsidRPr="0091560A" w:rsidRDefault="00574EB4" w:rsidP="00574EB4">
      <w:pPr>
        <w:rPr>
          <w:rFonts w:cs="Times New Roman"/>
        </w:rPr>
      </w:pPr>
    </w:p>
    <w:p w14:paraId="10DA58B0" w14:textId="77777777" w:rsidR="00FB4D01" w:rsidRPr="0091560A" w:rsidRDefault="00FB4D01" w:rsidP="00FB4D01">
      <w:pPr>
        <w:spacing w:after="0"/>
        <w:rPr>
          <w:rFonts w:cs="Times New Roman"/>
          <w:szCs w:val="24"/>
        </w:rPr>
      </w:pPr>
    </w:p>
    <w:p w14:paraId="77284157" w14:textId="77777777" w:rsidR="00D51C9A" w:rsidRPr="0091560A" w:rsidRDefault="00D51C9A" w:rsidP="0088521A">
      <w:pPr>
        <w:pStyle w:val="Heading1"/>
        <w:sectPr w:rsidR="00D51C9A" w:rsidRPr="0091560A" w:rsidSect="00CA575D">
          <w:headerReference w:type="default" r:id="rId71"/>
          <w:footerReference w:type="default" r:id="rId72"/>
          <w:pgSz w:w="16838" w:h="11906" w:orient="landscape"/>
          <w:pgMar w:top="1440" w:right="1440" w:bottom="1440" w:left="1440" w:header="709" w:footer="709" w:gutter="0"/>
          <w:cols w:space="708"/>
          <w:docGrid w:linePitch="360"/>
        </w:sectPr>
      </w:pPr>
    </w:p>
    <w:p w14:paraId="462D6172" w14:textId="6FAFA52D" w:rsidR="00D709C3" w:rsidRPr="00094476" w:rsidRDefault="00B96031" w:rsidP="008D46C0">
      <w:pPr>
        <w:pStyle w:val="Heading1"/>
      </w:pPr>
      <w:bookmarkStart w:id="167" w:name="_Toc112843947"/>
      <w:r>
        <w:t>5</w:t>
      </w:r>
      <w:r w:rsidR="00632463">
        <w:t>. C</w:t>
      </w:r>
      <w:r w:rsidR="49A26F47" w:rsidRPr="00A905E4">
        <w:t>onclusions</w:t>
      </w:r>
      <w:bookmarkEnd w:id="167"/>
    </w:p>
    <w:p w14:paraId="24547359" w14:textId="2C01706B" w:rsidR="00711C30" w:rsidRPr="00711C30" w:rsidRDefault="00711C30" w:rsidP="00711C30">
      <w:r>
        <w:t xml:space="preserve">Australians purchase </w:t>
      </w:r>
      <w:r w:rsidR="00691110">
        <w:t xml:space="preserve">around a </w:t>
      </w:r>
      <w:r w:rsidR="00884857">
        <w:t>thousand</w:t>
      </w:r>
      <w:r w:rsidR="00691110">
        <w:t xml:space="preserve"> tonnes of paracetamol each year, and it is undoubtedly the most widely used analgesic</w:t>
      </w:r>
      <w:r w:rsidR="0023633B">
        <w:t>.</w:t>
      </w:r>
      <w:r w:rsidR="00884857">
        <w:t xml:space="preserve"> It is very safe in therapeu</w:t>
      </w:r>
      <w:r w:rsidR="00FA6353">
        <w:t>t</w:t>
      </w:r>
      <w:r w:rsidR="00884857">
        <w:t>ic use</w:t>
      </w:r>
      <w:r w:rsidR="00FA6353">
        <w:t>, and a first line analgesic in pain guidelines for many conditions</w:t>
      </w:r>
      <w:r w:rsidR="00884857">
        <w:t>.</w:t>
      </w:r>
      <w:r w:rsidR="0023633B">
        <w:t xml:space="preserve"> It is very widely available for purchase in quantities that would be </w:t>
      </w:r>
      <w:r w:rsidR="00BF262C">
        <w:t xml:space="preserve">harmful if ingested in </w:t>
      </w:r>
      <w:r w:rsidR="00096E4C">
        <w:t>intentional</w:t>
      </w:r>
      <w:r w:rsidR="00BF262C">
        <w:t xml:space="preserve"> self-poisoning. </w:t>
      </w:r>
      <w:r w:rsidR="008329DD">
        <w:t xml:space="preserve">It is also very commonly taken in </w:t>
      </w:r>
      <w:r w:rsidR="00445B6C">
        <w:t>intentional self-poisoning</w:t>
      </w:r>
      <w:r w:rsidR="007F67D0">
        <w:t xml:space="preserve">, especially by children/adolescents. </w:t>
      </w:r>
      <w:r w:rsidR="00EB7A56">
        <w:t xml:space="preserve">Many </w:t>
      </w:r>
      <w:r w:rsidR="00765B01">
        <w:t xml:space="preserve">(but not all) </w:t>
      </w:r>
      <w:r w:rsidR="00EB7A56">
        <w:t xml:space="preserve">countries have responded to this problem by </w:t>
      </w:r>
      <w:r w:rsidR="004767BE">
        <w:t>various</w:t>
      </w:r>
      <w:r w:rsidR="00EB7A56">
        <w:t xml:space="preserve"> restrictions</w:t>
      </w:r>
      <w:r w:rsidR="00765B01">
        <w:t xml:space="preserve"> </w:t>
      </w:r>
      <w:r w:rsidR="00BF35EB">
        <w:t xml:space="preserve">on availability </w:t>
      </w:r>
      <w:r w:rsidR="00765B01">
        <w:t>to reduce the size of overdoses</w:t>
      </w:r>
      <w:r w:rsidR="00D46607">
        <w:t xml:space="preserve">, while maintaining ready access for </w:t>
      </w:r>
      <w:r w:rsidR="007535F0">
        <w:t>the public to self-manage minor painful conditions</w:t>
      </w:r>
      <w:r w:rsidR="00445B6C">
        <w:t>.</w:t>
      </w:r>
    </w:p>
    <w:p w14:paraId="5FFF07AA" w14:textId="0C141426" w:rsidR="00D709C3" w:rsidRPr="0091560A" w:rsidRDefault="00D709C3" w:rsidP="00D709C3">
      <w:pPr>
        <w:rPr>
          <w:rFonts w:cs="Times New Roman"/>
        </w:rPr>
      </w:pPr>
      <w:r w:rsidRPr="0091560A">
        <w:rPr>
          <w:rFonts w:cs="Times New Roman"/>
        </w:rPr>
        <w:t xml:space="preserve">The contemporary Australian data and the research literature are broadly in agreement about the nature of intentional self-poisoning in children, adolescents and adults. However, the social and psychiatric aspects of this problem within Australia </w:t>
      </w:r>
      <w:r w:rsidR="005F5B60" w:rsidRPr="0091560A">
        <w:rPr>
          <w:rFonts w:cs="Times New Roman"/>
        </w:rPr>
        <w:t>have</w:t>
      </w:r>
      <w:r w:rsidRPr="0091560A">
        <w:rPr>
          <w:rFonts w:cs="Times New Roman"/>
        </w:rPr>
        <w:t xml:space="preserve"> not been substantially addressed in recent years. We are short of information from within Australia about the use, and knowledge of paracetamol in the self-harming population. There is a need to look at age/gender differences in motivations, planning and perceived preventative actions. Further qualitative and quantitative research could investigate knowledge around the risks, nature, dosage knowledge, and potential perceived preventative strategies to self</w:t>
      </w:r>
      <w:r w:rsidR="006B5FAF">
        <w:rPr>
          <w:rFonts w:cs="Times New Roman"/>
        </w:rPr>
        <w:t>-</w:t>
      </w:r>
      <w:r w:rsidRPr="0091560A">
        <w:rPr>
          <w:rFonts w:cs="Times New Roman"/>
        </w:rPr>
        <w:t>harm, particularly in young women. There is particular merit in focussing efforts on young people. They have the highest rates of self-harm generally, and particularly in paracetamol, and these rates have greatly increased in recent years</w:t>
      </w:r>
      <w:r w:rsidR="00C23427" w:rsidRPr="0091560A">
        <w:rPr>
          <w:rFonts w:cs="Times New Roman"/>
        </w:rPr>
        <w:t>.</w:t>
      </w:r>
      <w:r w:rsidR="00644BDC" w:rsidRPr="0091560A">
        <w:rPr>
          <w:rFonts w:cs="Times New Roman"/>
        </w:rPr>
        <w:fldChar w:fldCharType="begin">
          <w:fldData xml:space="preserve">PEVuZE5vdGU+PENpdGU+PEF1dGhvcj5DYWlybnM8L0F1dGhvcj48WWVhcj4yMDE5PC9ZZWFyPjxS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</w:fldData>
        </w:fldChar>
      </w:r>
      <w:r w:rsidR="00AA79F3">
        <w:rPr>
          <w:rFonts w:cs="Times New Roman"/>
        </w:rPr>
        <w:instrText xml:space="preserve"> ADDIN EN.CITE </w:instrText>
      </w:r>
      <w:r w:rsidR="00AA79F3">
        <w:rPr>
          <w:rFonts w:cs="Times New Roman"/>
        </w:rPr>
        <w:fldChar w:fldCharType="begin">
          <w:fldData xml:space="preserve">PEVuZE5vdGU+PENpdGU+PEF1dGhvcj5DYWlybnM8L0F1dGhvcj48WWVhcj4yMDE5PC9ZZWFyPjxS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</w:fldData>
        </w:fldChar>
      </w:r>
      <w:r w:rsidR="00AA79F3">
        <w:rPr>
          <w:rFonts w:cs="Times New Roman"/>
        </w:rPr>
        <w:instrText xml:space="preserve"> ADDIN EN.CITE.DATA </w:instrText>
      </w:r>
      <w:r w:rsidR="00AA79F3">
        <w:rPr>
          <w:rFonts w:cs="Times New Roman"/>
        </w:rPr>
      </w:r>
      <w:r w:rsidR="00AA79F3">
        <w:rPr>
          <w:rFonts w:cs="Times New Roman"/>
        </w:rPr>
        <w:fldChar w:fldCharType="end"/>
      </w:r>
      <w:r w:rsidR="00644BDC" w:rsidRPr="0091560A">
        <w:rPr>
          <w:rFonts w:cs="Times New Roman"/>
        </w:rPr>
      </w:r>
      <w:r w:rsidR="00644BDC" w:rsidRPr="0091560A">
        <w:rPr>
          <w:rFonts w:cs="Times New Roman"/>
        </w:rPr>
        <w:fldChar w:fldCharType="separate"/>
      </w:r>
      <w:r w:rsidR="00AA79F3">
        <w:rPr>
          <w:rFonts w:cs="Times New Roman"/>
          <w:noProof/>
        </w:rPr>
        <w:t>(Cairns et al., 2019; Chitty, Raubenheimer, Cairns, Kirby, &amp; Buckley, 2022)</w:t>
      </w:r>
      <w:r w:rsidR="00644BDC" w:rsidRPr="0091560A">
        <w:rPr>
          <w:rFonts w:cs="Times New Roman"/>
        </w:rPr>
        <w:fldChar w:fldCharType="end"/>
      </w:r>
      <w:r w:rsidRPr="0091560A">
        <w:rPr>
          <w:rFonts w:cs="Times New Roman"/>
        </w:rPr>
        <w:t xml:space="preserve"> Paracetamol may often be the first means of self-harm used. The consequences of self-harm continue across the lifespan, and may well be ameliorated by early prevention and intervention. The use of means restriction of these (and other) toxic over-the-counter agents is likely to have the greatest impact in this group. </w:t>
      </w:r>
    </w:p>
    <w:p w14:paraId="08ACA68D" w14:textId="7955B843" w:rsidR="00D709C3" w:rsidRPr="0091560A" w:rsidRDefault="00D709C3" w:rsidP="00D709C3">
      <w:pPr>
        <w:rPr>
          <w:rFonts w:cs="Times New Roman"/>
        </w:rPr>
      </w:pPr>
      <w:r w:rsidRPr="0091560A">
        <w:rPr>
          <w:rFonts w:cs="Times New Roman"/>
        </w:rPr>
        <w:t xml:space="preserve">Over the last decade in Australia, there has been an increase in the use of paracetamol in adolescents and young adults. Importantly, the age at which children and adolescents are using this method has lowered. More children and very young teens use this method more frequently than previously recorded.  </w:t>
      </w:r>
    </w:p>
    <w:p w14:paraId="1C61FA90" w14:textId="2EBCD14E" w:rsidR="00D709C3" w:rsidRPr="0091560A" w:rsidRDefault="00D709C3" w:rsidP="00D709C3">
      <w:pPr>
        <w:rPr>
          <w:rFonts w:cs="Times New Roman"/>
        </w:rPr>
      </w:pPr>
      <w:r w:rsidRPr="0091560A">
        <w:rPr>
          <w:rFonts w:cs="Times New Roman"/>
        </w:rPr>
        <w:t>This represents a significant change in the pattern of use, the causes of which are not clear. We don’t know if it will continue or become worse, but the consequences of this change will need to be addressed. If the current pattern continues, we will see an increasing proportion of young people affected at younger ages, a long</w:t>
      </w:r>
      <w:r w:rsidR="005669A3">
        <w:rPr>
          <w:rFonts w:cs="Times New Roman"/>
        </w:rPr>
        <w:t>-</w:t>
      </w:r>
      <w:r w:rsidRPr="0091560A">
        <w:rPr>
          <w:rFonts w:cs="Times New Roman"/>
        </w:rPr>
        <w:t xml:space="preserve">term increase in suicide rates and attempts over the lifespan of users, higher prevalence of mental illness and ill effects that often accompany immediate and subsequent attempts, resulting in increased health utilisation, increased pressure on schools and families and ultimately reduced economic productivity. </w:t>
      </w:r>
    </w:p>
    <w:p w14:paraId="34D2C796" w14:textId="77777777" w:rsidR="00D709C3" w:rsidRPr="0091560A" w:rsidRDefault="00D709C3" w:rsidP="00D709C3">
      <w:pPr>
        <w:rPr>
          <w:rFonts w:cs="Times New Roman"/>
        </w:rPr>
      </w:pPr>
      <w:r w:rsidRPr="0091560A">
        <w:rPr>
          <w:rFonts w:cs="Times New Roman"/>
        </w:rPr>
        <w:t xml:space="preserve">One implication is that more effort should be directed to understanding the societal and environmental pressures that might be causing these changes. In the immediate short term, means restriction may be the best measure we have to counter this trend in young people. Means restriction is a strong preventative strategy, that might be particularly effective for young cohorts, because of its universal coverage, where we do not have effective ‘identifiers’ of risk prior to an attempt being made. </w:t>
      </w:r>
    </w:p>
    <w:p w14:paraId="430FE5BA" w14:textId="47EA1C95" w:rsidR="00D709C3" w:rsidRPr="0091560A" w:rsidRDefault="00D709C3" w:rsidP="00D709C3">
      <w:r w:rsidRPr="0091560A">
        <w:t xml:space="preserve">Looking after young people after a paracetamol </w:t>
      </w:r>
      <w:r w:rsidR="0064214C">
        <w:t>self-</w:t>
      </w:r>
      <w:r w:rsidR="00FE6165">
        <w:t>poisoning</w:t>
      </w:r>
      <w:r w:rsidRPr="0091560A">
        <w:t xml:space="preserve"> should also be a high priority. Effective post care and treatment is critical, as treatments using dialectic</w:t>
      </w:r>
      <w:r w:rsidR="00BD6AF6">
        <w:t>al</w:t>
      </w:r>
      <w:r w:rsidRPr="0091560A">
        <w:t xml:space="preserve"> behaviour therapy (DBT) are highly effective </w:t>
      </w:r>
      <w:r w:rsidR="00644BDC" w:rsidRPr="0091560A">
        <w:fldChar w:fldCharType="begin">
          <w:fldData xml:space="preserve">PEVuZE5vdGU+PENpdGU+PEF1dGhvcj5aYWxzbWFuPC9BdXRob3I+PFllYXI+MjAxNjwvWWVhcj48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</w:fldData>
        </w:fldChar>
      </w:r>
      <w:r w:rsidR="006E08D8">
        <w:instrText xml:space="preserve"> ADDIN EN.CITE </w:instrText>
      </w:r>
      <w:r w:rsidR="006E08D8">
        <w:fldChar w:fldCharType="begin">
          <w:fldData xml:space="preserve">PEVuZE5vdGU+PENpdGU+PEF1dGhvcj5aYWxzbWFuPC9BdXRob3I+PFllYXI+MjAxNjwvWWVhcj48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</w:fldData>
        </w:fldChar>
      </w:r>
      <w:r w:rsidR="006E08D8">
        <w:instrText xml:space="preserve"> ADDIN EN.CITE.DATA </w:instrText>
      </w:r>
      <w:r w:rsidR="006E08D8">
        <w:fldChar w:fldCharType="end"/>
      </w:r>
      <w:r w:rsidR="00644BDC" w:rsidRPr="0091560A">
        <w:fldChar w:fldCharType="separate"/>
      </w:r>
      <w:r w:rsidR="00644BDC" w:rsidRPr="0091560A">
        <w:t>(Zalsman et al., 2016)</w:t>
      </w:r>
      <w:r w:rsidR="00644BDC" w:rsidRPr="0091560A">
        <w:fldChar w:fldCharType="end"/>
      </w:r>
      <w:r w:rsidRPr="0091560A">
        <w:t xml:space="preserve"> if they can be accessed. Priority in access to treatment for young people might be considered as a health priority. Recent research has established the effectiveness of online and digital ‘</w:t>
      </w:r>
      <w:r w:rsidR="005669A3" w:rsidRPr="0091560A">
        <w:t>self-help</w:t>
      </w:r>
      <w:r w:rsidRPr="0091560A">
        <w:t xml:space="preserve">’ approaches </w:t>
      </w:r>
      <w:r w:rsidR="00644BDC" w:rsidRPr="0091560A">
        <w:fldChar w:fldCharType="begin"/>
      </w:r>
      <w:r w:rsidR="006E08D8">
        <w:instrText xml:space="preserve"> ADDIN EN.CITE &lt;EndNote&gt;&lt;Cite&gt;&lt;Author&gt;Torok&lt;/Author&gt;&lt;Year&gt;2020&lt;/Year&gt;&lt;RecNum&gt;936&lt;/RecNum&gt;&lt;DisplayText&gt;(Torok et al., 2020)&lt;/DisplayText&gt;&lt;record&gt;&lt;rec-number&gt;936&lt;/rec-number&gt;&lt;foreign-keys&gt;&lt;key app="EN" db-id="90p22wx96ddedpe0r9pxtt9gzz05dd5ev299" timestamp="1658411771"&gt;936&lt;/key&gt;&lt;/foreign-keys&gt;&lt;ref-type name="Journal Article"&gt;17&lt;/ref-type&gt;&lt;contributors&gt;&lt;authors&gt;&lt;author&gt;Torok, M.&lt;/author&gt;&lt;author&gt;Han, J.&lt;/author&gt;&lt;author&gt;Baker, S.&lt;/author&gt;&lt;author&gt;Werner-Seidler, A.&lt;/author&gt;&lt;author&gt;Wong, I.&lt;/author&gt;&lt;author&gt;Larsen, M. E.&lt;/author&gt;&lt;author&gt;Christensen, H.&lt;/author&gt;&lt;/authors&gt;&lt;/contributors&gt;&lt;auth-address&gt;Black Dog Institute, University of New South Wales, Sydney, NSW, Australia. Electronic address: m.torok@unsw.edu.au.&amp;#xD;Black Dog Institute, University of New South Wales, Sydney, NSW, Australia.&lt;/auth-address&gt;&lt;titles&gt;&lt;title&gt;Suicide prevention using self-guided digital interventions: a systematic review and meta-analysis of randomised controlled trials&lt;/title&gt;&lt;secondary-title&gt;Lancet Digit Health&lt;/secondary-title&gt;&lt;/titles&gt;&lt;pages&gt;e25-e36&lt;/pages&gt;&lt;volume&gt;2&lt;/volume&gt;&lt;number&gt;1&lt;/number&gt;&lt;edition&gt;20191129&lt;/edition&gt;&lt;keywords&gt;&lt;keyword&gt;*Digital Technology&lt;/keyword&gt;&lt;keyword&gt;Humans&lt;/keyword&gt;&lt;keyword&gt;Randomized Controlled Trials as Topic&lt;/keyword&gt;&lt;keyword&gt;Self Care/*methods&lt;/keyword&gt;&lt;keyword&gt;Suicide/*prevention &amp;amp; control&lt;/keyword&gt;&lt;/keywords&gt;&lt;dates&gt;&lt;year&gt;2020&lt;/year&gt;&lt;pub-dates&gt;&lt;date&gt;Jan&lt;/date&gt;&lt;/pub-dates&gt;&lt;/dates&gt;&lt;isbn&gt;2589-7500&lt;/isbn&gt;&lt;accession-num&gt;33328037&lt;/accession-num&gt;&lt;urls&gt;&lt;/urls&gt;&lt;electronic-resource-num&gt;10.1016/s2589-7500(19)30199-2&lt;/electronic-resource-num&gt;&lt;remote-database-provider&gt;NLM&lt;/remote-database-provider&gt;&lt;language&gt;eng&lt;/language&gt;&lt;/record&gt;&lt;/Cite&gt;&lt;/EndNote&gt;</w:instrText>
      </w:r>
      <w:r w:rsidR="00644BDC" w:rsidRPr="0091560A">
        <w:fldChar w:fldCharType="separate"/>
      </w:r>
      <w:r w:rsidR="00644BDC" w:rsidRPr="0091560A">
        <w:t>(Torok et al., 2020)</w:t>
      </w:r>
      <w:r w:rsidR="00644BDC" w:rsidRPr="0091560A">
        <w:fldChar w:fldCharType="end"/>
      </w:r>
      <w:r w:rsidR="00A07EE2" w:rsidRPr="0091560A">
        <w:t xml:space="preserve"> </w:t>
      </w:r>
      <w:r w:rsidRPr="0091560A">
        <w:t>which may assist when clinician access is limited. Yet to be published research evaluating LifeSpan in Australia</w:t>
      </w:r>
      <w:r w:rsidR="00171167">
        <w:t>,</w:t>
      </w:r>
      <w:r w:rsidR="002D5F68">
        <w:fldChar w:fldCharType="begin">
          <w:fldData xml:space="preserve">PEVuZE5vdGU+PENpdGU+PEF1dGhvcj5TaGFuZDwvQXV0aG9yPjxZZWFyPjIwMjA8L1llYXI+PFJl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</w:fldData>
        </w:fldChar>
      </w:r>
      <w:r w:rsidR="006E08D8">
        <w:instrText xml:space="preserve"> ADDIN EN.CITE </w:instrText>
      </w:r>
      <w:r w:rsidR="006E08D8">
        <w:fldChar w:fldCharType="begin">
          <w:fldData xml:space="preserve">PEVuZE5vdGU+PENpdGU+PEF1dGhvcj5TaGFuZDwvQXV0aG9yPjxZZWFyPjIwMjA8L1llYXI+PFJl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</w:fldData>
        </w:fldChar>
      </w:r>
      <w:r w:rsidR="006E08D8">
        <w:instrText xml:space="preserve"> ADDIN EN.CITE.DATA </w:instrText>
      </w:r>
      <w:r w:rsidR="006E08D8">
        <w:fldChar w:fldCharType="end"/>
      </w:r>
      <w:r w:rsidR="002D5F68">
        <w:fldChar w:fldCharType="separate"/>
      </w:r>
      <w:r w:rsidR="002D5F68">
        <w:t>(F. Shand et al., 2020)</w:t>
      </w:r>
      <w:r w:rsidR="002D5F68">
        <w:fldChar w:fldCharType="end"/>
      </w:r>
      <w:r w:rsidRPr="0091560A">
        <w:t xml:space="preserve"> has demonstrated some positive effects from systems wide approaches that incorporate means restriction, community and school programs and health systems. However, access to psychiatric and psychological treatment is critical.</w:t>
      </w:r>
    </w:p>
    <w:p w14:paraId="4173E0A1" w14:textId="77777777" w:rsidR="00D709C3" w:rsidRPr="0091560A" w:rsidRDefault="00D709C3" w:rsidP="00D709C3">
      <w:pPr>
        <w:rPr>
          <w:rFonts w:cs="Times New Roman"/>
        </w:rPr>
      </w:pPr>
      <w:r w:rsidRPr="0091560A">
        <w:rPr>
          <w:rFonts w:cs="Times New Roman"/>
        </w:rPr>
        <w:t xml:space="preserve">There may be some benefit to better education of the public and health professionals, in order to assist in harm minimisation at a population level. We are fully cognisant of the potential ill effects of publicising any methods for suicide or suicide attempt, and particularly for paracetamol, although the mortality risk is lower than many other medications or methods. However, a considered approach to educating the community about its dangers might be worthwhile. This could be approached by generic messages around keeping medications out of harm’s way because of their potential inadvertent risk to children and adults. Effective strategies to assist in reducing danger are to keep medications in safe places, keep low doses of medication, and not to stockpile potentially hazardous medicines. This approach would need to first ascertain the current (lack of) knowledge of the community, and then ensure that the messages were carefully pretested. </w:t>
      </w:r>
    </w:p>
    <w:p w14:paraId="04BA1D4C" w14:textId="1EF3E1E9" w:rsidR="00D709C3" w:rsidRPr="0091560A" w:rsidRDefault="00D709C3" w:rsidP="00D709C3">
      <w:pPr>
        <w:rPr>
          <w:rFonts w:cs="Times New Roman"/>
        </w:rPr>
      </w:pPr>
      <w:r w:rsidRPr="0091560A">
        <w:rPr>
          <w:rFonts w:cs="Times New Roman"/>
        </w:rPr>
        <w:t xml:space="preserve">We found that the research literature we identified had not been substantially refreshed for decades. Aside from the issue of not understanding the causes of the rising risk of paracetamol use in children and adolescents, we are short of information from within Australia about how our population understands the nature and risks of paracetamol (and self- poisoning more generally). There is a need to look at age/gender differences in motivations, planning and perceived preventative actions. Further qualitative and quantitative research could investigate knowledge around the risks, nature, dosage knowledge, and potential perceived preventative strategies to self-harm, particularly in </w:t>
      </w:r>
      <w:r w:rsidR="00E020D5">
        <w:rPr>
          <w:rFonts w:cs="Times New Roman"/>
        </w:rPr>
        <w:t>older</w:t>
      </w:r>
      <w:r w:rsidR="00E020D5" w:rsidRPr="0091560A">
        <w:rPr>
          <w:rFonts w:cs="Times New Roman"/>
        </w:rPr>
        <w:t xml:space="preserve"> </w:t>
      </w:r>
      <w:r w:rsidRPr="0091560A">
        <w:rPr>
          <w:rFonts w:cs="Times New Roman"/>
        </w:rPr>
        <w:t>children, adolescents and women.</w:t>
      </w:r>
    </w:p>
    <w:p w14:paraId="73028F73" w14:textId="77777777" w:rsidR="00D709C3" w:rsidRPr="0091560A" w:rsidRDefault="00D709C3" w:rsidP="00D709C3">
      <w:pPr>
        <w:rPr>
          <w:rFonts w:cs="Times New Roman"/>
        </w:rPr>
      </w:pPr>
    </w:p>
    <w:p w14:paraId="24A84540" w14:textId="77777777" w:rsidR="005669A3" w:rsidRDefault="005669A3">
      <w:pPr>
        <w:rPr>
          <w:rFonts w:eastAsiaTheme="majorEastAsia" w:cs="Times New Roman"/>
          <w:color w:val="2F5496" w:themeColor="accent1" w:themeShade="BF"/>
          <w:sz w:val="32"/>
          <w:szCs w:val="32"/>
        </w:rPr>
      </w:pPr>
      <w:r>
        <w:rPr>
          <w:rFonts w:cs="Times New Roman"/>
        </w:rPr>
        <w:br w:type="page"/>
      </w:r>
    </w:p>
    <w:p w14:paraId="44461A60" w14:textId="40D0F807" w:rsidR="00D709C3" w:rsidRPr="005B48E8" w:rsidRDefault="00B96031" w:rsidP="0088521A">
      <w:pPr>
        <w:pStyle w:val="Heading1"/>
      </w:pPr>
      <w:bookmarkStart w:id="168" w:name="_Toc112843948"/>
      <w:r>
        <w:t>6</w:t>
      </w:r>
      <w:r w:rsidR="00632463">
        <w:t>.</w:t>
      </w:r>
      <w:r w:rsidR="000322F7">
        <w:t xml:space="preserve"> </w:t>
      </w:r>
      <w:r w:rsidR="00D709C3" w:rsidRPr="005B48E8">
        <w:t xml:space="preserve">Recommendations </w:t>
      </w:r>
      <w:r w:rsidR="005B48E8" w:rsidRPr="005B48E8">
        <w:t>to the TGA and to inform scheduling deliberations</w:t>
      </w:r>
      <w:bookmarkEnd w:id="168"/>
    </w:p>
    <w:p w14:paraId="1F655D00" w14:textId="76859633" w:rsidR="007635E4" w:rsidRDefault="00B96031">
      <w:pPr>
        <w:pStyle w:val="Heading2"/>
      </w:pPr>
      <w:bookmarkStart w:id="169" w:name="_Toc112843949"/>
      <w:r>
        <w:t>6</w:t>
      </w:r>
      <w:r w:rsidR="00984EF7">
        <w:t>.1 Recommendations</w:t>
      </w:r>
      <w:bookmarkEnd w:id="169"/>
    </w:p>
    <w:p w14:paraId="403FFF04" w14:textId="3A92737D" w:rsidR="00D709C3" w:rsidRPr="003D12EC" w:rsidRDefault="00D709C3" w:rsidP="0089680F">
      <w:pPr>
        <w:pStyle w:val="Heading3"/>
      </w:pPr>
      <w:bookmarkStart w:id="170" w:name="_Toc112843950"/>
      <w:r w:rsidRPr="003D12EC">
        <w:t>Means restriction and harm minimisation interventions</w:t>
      </w:r>
      <w:bookmarkEnd w:id="170"/>
    </w:p>
    <w:p w14:paraId="722716BD" w14:textId="62696D0D" w:rsidR="00D709C3" w:rsidRPr="0091560A" w:rsidRDefault="00D709C3" w:rsidP="00D709C3">
      <w:r w:rsidRPr="0091560A">
        <w:t>Means restriction of highly toxic agents is a very effective suicide prevention strategy</w:t>
      </w:r>
      <w:r w:rsidR="00776976">
        <w:t xml:space="preserve"> </w:t>
      </w:r>
      <w:r w:rsidR="00644BDC" w:rsidRPr="0091560A">
        <w:fldChar w:fldCharType="begin"/>
      </w:r>
      <w:r w:rsidR="00E91348">
        <w:instrText xml:space="preserve"> ADDIN EN.CITE &lt;EndNote&gt;&lt;Cite&gt;&lt;Author&gt;Lim&lt;/Author&gt;&lt;Year&gt;2021&lt;/Year&gt;&lt;RecNum&gt;942&lt;/RecNum&gt;&lt;DisplayText&gt;(Lim, Buckley, Chitty, Moles, &amp;amp; Cairns, 2021)&lt;/DisplayText&gt;&lt;record&gt;&lt;rec-number&gt;942&lt;/rec-number&gt;&lt;foreign-keys&gt;&lt;key app="EN" db-id="90p22wx96ddedpe0r9pxtt9gzz05dd5ev299" timestamp="1658412428"&gt;942&lt;/key&gt;&lt;/foreign-keys&gt;&lt;ref-type name="Journal Article"&gt;17&lt;/ref-type&gt;&lt;contributors&gt;&lt;authors&gt;&lt;author&gt;Lim, Jessy S.&lt;/author&gt;&lt;author&gt;Buckley, Nicholas A.&lt;/author&gt;&lt;author&gt;Chitty, Kate M.&lt;/author&gt;&lt;author&gt;Moles, Rebekah Jane&lt;/author&gt;&lt;author&gt;Cairns, Rose&lt;/author&gt;&lt;/authors&gt;&lt;/contributors&gt;&lt;titles&gt;&lt;title&gt;Association Between Means Restriction of Poison and Method-Specific Suicide Rates: A Systematic Review&lt;/title&gt;&lt;secondary-title&gt;JAMA Health Forum&lt;/secondary-title&gt;&lt;/titles&gt;&lt;pages&gt;e213042-e213042&lt;/pages&gt;&lt;volume&gt;2&lt;/volume&gt;&lt;number&gt;10&lt;/number&gt;&lt;dates&gt;&lt;year&gt;2021&lt;/year&gt;&lt;/dates&gt;&lt;isbn&gt;2689-0186&lt;/isbn&gt;&lt;urls&gt;&lt;related-urls&gt;&lt;url&gt;https://doi.org/10.1001/jamahealthforum.2021.3042&lt;/url&gt;&lt;/related-urls&gt;&lt;/urls&gt;&lt;electronic-resource-num&gt;10.1001/jamahealthforum.2021.3042&lt;/electronic-resource-num&gt;&lt;access-date&gt;7/21/2022&lt;/access-date&gt;&lt;/record&gt;&lt;/Cite&gt;&lt;/EndNote&gt;</w:instrText>
      </w:r>
      <w:r w:rsidR="00644BDC" w:rsidRPr="0091560A">
        <w:fldChar w:fldCharType="separate"/>
      </w:r>
      <w:r w:rsidR="00E91348">
        <w:t>(Lim, Buckley, Chitty, Moles, &amp; Cairns, 2021)</w:t>
      </w:r>
      <w:r w:rsidR="00644BDC" w:rsidRPr="0091560A">
        <w:fldChar w:fldCharType="end"/>
      </w:r>
      <w:r w:rsidR="00E020D5">
        <w:t>.</w:t>
      </w:r>
      <w:r w:rsidRPr="0091560A">
        <w:t xml:space="preserve"> Restrictions on moderately toxic over-the-counter medicines like paracetamol might prevent some suicide deaths. However, given the extremely widespread appropriate therapeutic use of paracetamol the main aim might be better framed as harm minimisation. Various restrictions will limit the average and maximum size of the overdose, or cause diversion to less toxic more easily purchased agents. This might limit the amount available for impulsive access in most homes and also limit the amount purchased specifically to self-harm</w:t>
      </w:r>
      <w:r w:rsidR="003637D8">
        <w:t xml:space="preserve">, </w:t>
      </w:r>
      <w:r w:rsidR="00780DD5">
        <w:t>each of</w:t>
      </w:r>
      <w:r w:rsidR="003637D8">
        <w:t xml:space="preserve"> </w:t>
      </w:r>
      <w:r w:rsidR="00780DD5">
        <w:t xml:space="preserve">these </w:t>
      </w:r>
      <w:r w:rsidR="003637D8">
        <w:t xml:space="preserve">scenarios </w:t>
      </w:r>
      <w:r w:rsidR="000603E5">
        <w:t>reported</w:t>
      </w:r>
      <w:r w:rsidR="00255887">
        <w:t xml:space="preserve"> </w:t>
      </w:r>
      <w:r w:rsidR="00A61C16">
        <w:t xml:space="preserve">as </w:t>
      </w:r>
      <w:r w:rsidR="00480661">
        <w:t>contributing roughly equally to</w:t>
      </w:r>
      <w:r w:rsidR="00AF6A8D">
        <w:t xml:space="preserve"> </w:t>
      </w:r>
      <w:r w:rsidR="00106B57">
        <w:t>deliberate paracetamol overdos</w:t>
      </w:r>
      <w:r w:rsidR="003066DA">
        <w:t>ing events</w:t>
      </w:r>
      <w:r w:rsidRPr="0091560A">
        <w:t>.</w:t>
      </w:r>
    </w:p>
    <w:p w14:paraId="0095E81C" w14:textId="3B1E347C" w:rsidR="00D709C3" w:rsidRPr="0091560A" w:rsidRDefault="00D709C3" w:rsidP="00D709C3">
      <w:pPr>
        <w:rPr>
          <w:rFonts w:cs="Times New Roman"/>
        </w:rPr>
      </w:pPr>
      <w:r w:rsidRPr="0091560A">
        <w:rPr>
          <w:rFonts w:cs="Times New Roman"/>
        </w:rPr>
        <w:t xml:space="preserve">There are </w:t>
      </w:r>
      <w:r w:rsidR="00BA5FD6">
        <w:rPr>
          <w:rFonts w:cs="Times New Roman"/>
        </w:rPr>
        <w:t>four</w:t>
      </w:r>
      <w:r w:rsidR="00EA1D30" w:rsidRPr="0091560A">
        <w:rPr>
          <w:rFonts w:cs="Times New Roman"/>
        </w:rPr>
        <w:t xml:space="preserve"> </w:t>
      </w:r>
      <w:r w:rsidRPr="0091560A">
        <w:rPr>
          <w:rFonts w:cs="Times New Roman"/>
        </w:rPr>
        <w:t>potential areas to consider based on overseas experience and regulation:</w:t>
      </w:r>
    </w:p>
    <w:p w14:paraId="11F62449" w14:textId="06F6D68E" w:rsidR="00D709C3" w:rsidRPr="00F44D7F" w:rsidRDefault="00293167" w:rsidP="0089680F">
      <w:pPr>
        <w:spacing w:after="120"/>
        <w:rPr>
          <w:rFonts w:cs="Times New Roman"/>
          <w:b/>
          <w:szCs w:val="24"/>
        </w:rPr>
      </w:pPr>
      <w:r>
        <w:rPr>
          <w:rFonts w:cs="Times New Roman"/>
          <w:b/>
          <w:bCs/>
          <w:szCs w:val="24"/>
        </w:rPr>
        <w:t xml:space="preserve">Recommendation 1: </w:t>
      </w:r>
      <w:r w:rsidR="00D709C3" w:rsidRPr="00807710">
        <w:rPr>
          <w:rFonts w:cs="Times New Roman"/>
          <w:b/>
          <w:szCs w:val="24"/>
        </w:rPr>
        <w:t xml:space="preserve">Pack size restrictions </w:t>
      </w:r>
    </w:p>
    <w:p w14:paraId="244A4961" w14:textId="61264B6E" w:rsidR="00D709C3" w:rsidRPr="0091560A" w:rsidRDefault="00D709C3" w:rsidP="00D62924">
      <w:pPr>
        <w:rPr>
          <w:rFonts w:cs="Times New Roman"/>
          <w:b/>
          <w:bCs/>
          <w:szCs w:val="24"/>
        </w:rPr>
      </w:pPr>
      <w:r w:rsidRPr="0091560A">
        <w:rPr>
          <w:rFonts w:cs="Times New Roman"/>
        </w:rPr>
        <w:t>Changes in scheduling to reduce the pack sizes that may be purchased in grocery and convenience sales or in a pharmacy without a prescription or consultation with the pharmacist are both possible strategies</w:t>
      </w:r>
      <w:r w:rsidR="007F72DB">
        <w:rPr>
          <w:rFonts w:cs="Times New Roman"/>
        </w:rPr>
        <w:t>, and scheduling entries frequently depend on pack size</w:t>
      </w:r>
      <w:r w:rsidRPr="0091560A">
        <w:rPr>
          <w:rFonts w:cs="Times New Roman"/>
        </w:rPr>
        <w:t>. The current unscheduled pack size limit is 20 x 500</w:t>
      </w:r>
      <w:r w:rsidR="00F16265">
        <w:rPr>
          <w:rFonts w:cs="Times New Roman"/>
        </w:rPr>
        <w:t xml:space="preserve"> </w:t>
      </w:r>
      <w:r w:rsidRPr="0091560A">
        <w:rPr>
          <w:rFonts w:cs="Times New Roman"/>
        </w:rPr>
        <w:t>mg paracetamol tablets, and this is the main item sold in grocery and convenience stores. This could be reduced to 12 or 16 tablets and be expected to have a modest effect on overdose size</w:t>
      </w:r>
      <w:r w:rsidR="00AA7D17">
        <w:rPr>
          <w:rFonts w:cs="Times New Roman"/>
        </w:rPr>
        <w:t xml:space="preserve"> </w:t>
      </w:r>
      <w:r w:rsidRPr="0091560A">
        <w:rPr>
          <w:rFonts w:cs="Times New Roman"/>
        </w:rPr>
        <w:fldChar w:fldCharType="begin"/>
      </w:r>
      <w:r w:rsidR="006E08D8">
        <w:rPr>
          <w:rFonts w:cs="Times New Roman"/>
        </w:rPr>
        <w:instrText xml:space="preserve"> ADDIN EN.CITE &lt;EndNote&gt;&lt;Cite&gt;&lt;Author&gt;Donohoe&lt;/Author&gt;&lt;Year&gt;2006&lt;/Year&gt;&lt;RecNum&gt;951&lt;/RecNum&gt;&lt;DisplayText&gt;(Donohoe, Walsh, &amp;amp; Tracey, 2006)&lt;/DisplayText&gt;&lt;record&gt;&lt;rec-number&gt;951&lt;/rec-number&gt;&lt;foreign-keys&gt;&lt;key app="EN" db-id="90p22wx96ddedpe0r9pxtt9gzz05dd5ev299" timestamp="1658453682"&gt;951&lt;/key&gt;&lt;/foreign-keys&gt;&lt;ref-type name="Journal Article"&gt;17&lt;/ref-type&gt;&lt;contributors&gt;&lt;authors&gt;&lt;author&gt;Donohoe, E.&lt;/author&gt;&lt;author&gt;Walsh, N.&lt;/author&gt;&lt;author&gt;Tracey, J.A.&lt;/author&gt;&lt;/authors&gt;&lt;/contributors&gt;&lt;titles&gt;&lt;title&gt;Pack-size legislation reduces severity of paracetamol overdoses in Ireland&lt;/title&gt;&lt;secondary-title&gt;Ir. J Med Sci&lt;/secondary-title&gt;&lt;/titles&gt;&lt;periodical&gt;&lt;full-title&gt;Ir. J Med Sci&lt;/full-title&gt;&lt;/periodical&gt;&lt;pages&gt;40-42&lt;/pages&gt;&lt;volume&gt;175&lt;/volume&gt;&lt;number&gt;3&lt;/number&gt;&lt;reprint-edition&gt;Not in File&lt;/reprint-edition&gt;&lt;keywords&gt;&lt;keyword&gt;12&lt;/keyword&gt;&lt;keyword&gt;Acute&lt;/keyword&gt;&lt;keyword&gt;Hospital&lt;/keyword&gt;&lt;keyword&gt;Ireland&lt;/keyword&gt;&lt;keyword&gt;Legislation&lt;/keyword&gt;&lt;keyword&gt;Methods&lt;/keyword&gt;&lt;keyword&gt;Overdose&lt;/keyword&gt;&lt;keyword&gt;paracetamol&lt;/keyword&gt;&lt;keyword&gt;Poisons&lt;/keyword&gt;&lt;keyword&gt;Tablets&lt;/keyword&gt;&lt;/keywords&gt;&lt;dates&gt;&lt;year&gt;2006&lt;/year&gt;&lt;pub-dates&gt;&lt;date&gt;7/2006&lt;/date&gt;&lt;/pub-dates&gt;&lt;/dates&gt;&lt;label&gt;32314&lt;/label&gt;&lt;urls&gt;&lt;/urls&gt;&lt;/record&gt;&lt;/Cite&gt;&lt;/EndNote&gt;</w:instrText>
      </w:r>
      <w:r w:rsidRPr="0091560A">
        <w:rPr>
          <w:rFonts w:cs="Times New Roman"/>
        </w:rPr>
        <w:fldChar w:fldCharType="separate"/>
      </w:r>
      <w:r w:rsidR="00FF2E57">
        <w:rPr>
          <w:rFonts w:cs="Times New Roman"/>
          <w:noProof/>
        </w:rPr>
        <w:t>(Donohoe, Walsh, &amp; Tracey, 2006)</w:t>
      </w:r>
      <w:r w:rsidRPr="0091560A">
        <w:rPr>
          <w:rFonts w:cs="Times New Roman"/>
        </w:rPr>
        <w:fldChar w:fldCharType="end"/>
      </w:r>
      <w:r w:rsidR="00790014">
        <w:rPr>
          <w:rFonts w:cs="Times New Roman"/>
        </w:rPr>
        <w:t>.</w:t>
      </w:r>
      <w:r w:rsidRPr="0091560A">
        <w:rPr>
          <w:rFonts w:cs="Times New Roman"/>
        </w:rPr>
        <w:t xml:space="preserve"> However, the majority of paracetamol is purchased in pharmacies in Australia, and most paracetamol ingested is sourced from </w:t>
      </w:r>
      <w:r w:rsidR="00E020D5">
        <w:rPr>
          <w:rFonts w:cs="Times New Roman"/>
        </w:rPr>
        <w:t xml:space="preserve">paracetamol </w:t>
      </w:r>
      <w:r w:rsidR="00A779F6">
        <w:rPr>
          <w:rFonts w:cs="Times New Roman"/>
        </w:rPr>
        <w:t>already</w:t>
      </w:r>
      <w:r w:rsidR="00E020D5">
        <w:rPr>
          <w:rFonts w:cs="Times New Roman"/>
        </w:rPr>
        <w:t xml:space="preserve"> in the home</w:t>
      </w:r>
      <w:r w:rsidRPr="0091560A">
        <w:rPr>
          <w:rFonts w:cs="Times New Roman"/>
        </w:rPr>
        <w:t>. More benefit is likely from reducing the S2 pack size limit to 24 or 48 or 50 x 500</w:t>
      </w:r>
      <w:r w:rsidR="007506B3">
        <w:rPr>
          <w:rFonts w:cs="Times New Roman"/>
        </w:rPr>
        <w:t xml:space="preserve"> </w:t>
      </w:r>
      <w:r w:rsidRPr="0091560A">
        <w:rPr>
          <w:rFonts w:cs="Times New Roman"/>
        </w:rPr>
        <w:t xml:space="preserve">mg tablets. </w:t>
      </w:r>
      <w:r w:rsidR="00375DE1">
        <w:rPr>
          <w:rFonts w:cs="Times New Roman"/>
        </w:rPr>
        <w:t>T</w:t>
      </w:r>
      <w:r w:rsidR="00C20D53">
        <w:rPr>
          <w:rFonts w:cs="Times New Roman"/>
        </w:rPr>
        <w:t xml:space="preserve">he </w:t>
      </w:r>
      <w:r w:rsidR="00375DE1">
        <w:rPr>
          <w:rFonts w:cs="Times New Roman"/>
        </w:rPr>
        <w:t>50-pack size limit</w:t>
      </w:r>
      <w:r w:rsidR="00C20D53">
        <w:rPr>
          <w:rFonts w:cs="Times New Roman"/>
        </w:rPr>
        <w:t xml:space="preserve"> </w:t>
      </w:r>
      <w:r w:rsidR="00144A50">
        <w:rPr>
          <w:rFonts w:cs="Times New Roman"/>
        </w:rPr>
        <w:t>would equate to a paracetamol quantity of 25 g</w:t>
      </w:r>
      <w:r w:rsidR="00643298">
        <w:rPr>
          <w:rFonts w:cs="Times New Roman"/>
        </w:rPr>
        <w:t>,</w:t>
      </w:r>
      <w:r w:rsidR="00144A50">
        <w:rPr>
          <w:rFonts w:cs="Times New Roman"/>
        </w:rPr>
        <w:t xml:space="preserve"> greater than the median </w:t>
      </w:r>
      <w:r w:rsidR="00021155">
        <w:rPr>
          <w:rFonts w:cs="Times New Roman"/>
        </w:rPr>
        <w:t>dose taken intentionally in overdose</w:t>
      </w:r>
      <w:r w:rsidR="00375DE1">
        <w:rPr>
          <w:rFonts w:cs="Times New Roman"/>
        </w:rPr>
        <w:t>. However,</w:t>
      </w:r>
      <w:r w:rsidR="00021155">
        <w:rPr>
          <w:rFonts w:cs="Times New Roman"/>
        </w:rPr>
        <w:t xml:space="preserve"> </w:t>
      </w:r>
      <w:r w:rsidR="00375DE1">
        <w:rPr>
          <w:rFonts w:cs="Times New Roman"/>
        </w:rPr>
        <w:t xml:space="preserve">overdoses of 25 g or lower are easier to treat compared to </w:t>
      </w:r>
      <w:r w:rsidR="00BC3F20">
        <w:rPr>
          <w:rFonts w:cs="Times New Roman"/>
        </w:rPr>
        <w:t>over</w:t>
      </w:r>
      <w:r w:rsidR="00375DE1">
        <w:rPr>
          <w:rFonts w:cs="Times New Roman"/>
        </w:rPr>
        <w:t>doses more than 25 g</w:t>
      </w:r>
      <w:r w:rsidR="00296B21">
        <w:rPr>
          <w:rFonts w:cs="Times New Roman"/>
        </w:rPr>
        <w:t>,</w:t>
      </w:r>
      <w:r w:rsidR="00375DE1">
        <w:rPr>
          <w:rFonts w:cs="Times New Roman"/>
        </w:rPr>
        <w:t xml:space="preserve"> which disproportionately cause severe liver toxicity. </w:t>
      </w:r>
      <w:r w:rsidRPr="0091560A">
        <w:rPr>
          <w:rFonts w:cs="Times New Roman"/>
        </w:rPr>
        <w:t>The larger pack sizes would then become S3, and presumably become much less purchased generally.</w:t>
      </w:r>
    </w:p>
    <w:p w14:paraId="50EDE2A5" w14:textId="4E333226" w:rsidR="00D709C3" w:rsidRPr="00F44D7F" w:rsidRDefault="00293167" w:rsidP="0089680F">
      <w:pPr>
        <w:spacing w:after="120"/>
        <w:rPr>
          <w:rFonts w:cs="Times New Roman"/>
          <w:b/>
        </w:rPr>
      </w:pPr>
      <w:r>
        <w:rPr>
          <w:rFonts w:cs="Times New Roman"/>
          <w:b/>
          <w:bCs/>
        </w:rPr>
        <w:t xml:space="preserve">Recommendation 2: </w:t>
      </w:r>
      <w:r w:rsidR="49A26F47" w:rsidRPr="00807710">
        <w:rPr>
          <w:rFonts w:cs="Times New Roman"/>
          <w:b/>
        </w:rPr>
        <w:t xml:space="preserve">Pack number limits </w:t>
      </w:r>
    </w:p>
    <w:p w14:paraId="511CB250" w14:textId="66E8A1B9" w:rsidR="00D709C3" w:rsidRPr="0091560A" w:rsidRDefault="00D709C3" w:rsidP="00D709C3">
      <w:pPr>
        <w:spacing w:after="120"/>
        <w:rPr>
          <w:rFonts w:cs="Times New Roman"/>
        </w:rPr>
      </w:pPr>
      <w:r w:rsidRPr="0091560A">
        <w:rPr>
          <w:rFonts w:cs="Times New Roman"/>
        </w:rPr>
        <w:t xml:space="preserve">Most (~95%) sales of </w:t>
      </w:r>
      <w:r w:rsidRPr="0091560A">
        <w:rPr>
          <w:rFonts w:cs="Times New Roman"/>
          <w:szCs w:val="24"/>
        </w:rPr>
        <w:t>paracetamol tablets</w:t>
      </w:r>
      <w:r w:rsidRPr="0091560A">
        <w:rPr>
          <w:rFonts w:cs="Times New Roman"/>
        </w:rPr>
        <w:t xml:space="preserve"> involve the purchase of 1 or 2 packs. Making this the maximum number of packs that can be purchased in one transaction would almost certainly reduce home stockpiles, and likely also reduce the number of very large overdoses, which have much higher morbidity and risk of death. Such restrictions would also inconvenience relatively few people. Purchasing limits on many pharmaceutical agents and other items have been widely used and shown to be implementable in the recent COVID-19 </w:t>
      </w:r>
      <w:r w:rsidR="00A779F6">
        <w:rPr>
          <w:rFonts w:cs="Times New Roman"/>
        </w:rPr>
        <w:t>pandemic</w:t>
      </w:r>
      <w:r w:rsidRPr="0091560A">
        <w:rPr>
          <w:rFonts w:cs="Times New Roman"/>
        </w:rPr>
        <w:t>.</w:t>
      </w:r>
    </w:p>
    <w:p w14:paraId="5824BFD6" w14:textId="21EA8D54" w:rsidR="003F5D89" w:rsidRPr="0091560A" w:rsidRDefault="003F5D89" w:rsidP="00D709C3">
      <w:pPr>
        <w:spacing w:after="120"/>
        <w:rPr>
          <w:rFonts w:cs="Times New Roman"/>
        </w:rPr>
      </w:pPr>
      <w:r>
        <w:rPr>
          <w:rFonts w:cs="Times New Roman"/>
        </w:rPr>
        <w:t xml:space="preserve">The TGA should consider whether </w:t>
      </w:r>
      <w:r w:rsidR="00D31245">
        <w:rPr>
          <w:rFonts w:cs="Times New Roman"/>
        </w:rPr>
        <w:t xml:space="preserve">scheduling is the appropriate mechanism to implement </w:t>
      </w:r>
      <w:r w:rsidR="00AA6DF4">
        <w:rPr>
          <w:rFonts w:cs="Times New Roman"/>
        </w:rPr>
        <w:t>pack number limits</w:t>
      </w:r>
      <w:r w:rsidR="00D97AEF">
        <w:rPr>
          <w:rFonts w:cs="Times New Roman"/>
        </w:rPr>
        <w:t xml:space="preserve">. </w:t>
      </w:r>
      <w:r w:rsidR="004A56A8">
        <w:rPr>
          <w:rFonts w:cs="Times New Roman"/>
        </w:rPr>
        <w:t>W</w:t>
      </w:r>
      <w:r w:rsidR="00051CCE">
        <w:rPr>
          <w:rFonts w:cs="Times New Roman"/>
        </w:rPr>
        <w:t>e observe that in the current Poisons Standard there</w:t>
      </w:r>
      <w:r w:rsidRPr="003F5D89">
        <w:rPr>
          <w:rFonts w:cs="Times New Roman"/>
        </w:rPr>
        <w:t xml:space="preserve"> is no precedent for making the scheduling status of a substance dependent on the number of packs purchased. </w:t>
      </w:r>
      <w:r w:rsidR="004A56A8">
        <w:rPr>
          <w:rFonts w:cs="Times New Roman"/>
        </w:rPr>
        <w:t>As such</w:t>
      </w:r>
      <w:r w:rsidR="00051CCE">
        <w:rPr>
          <w:rFonts w:cs="Times New Roman"/>
        </w:rPr>
        <w:t xml:space="preserve">, </w:t>
      </w:r>
      <w:r w:rsidR="004A56A8">
        <w:rPr>
          <w:rFonts w:cs="Times New Roman"/>
        </w:rPr>
        <w:t xml:space="preserve">it </w:t>
      </w:r>
      <w:r w:rsidR="00ED6ED2">
        <w:rPr>
          <w:rFonts w:cs="Times New Roman"/>
        </w:rPr>
        <w:t>would need to be determined how, if at all, pack number limits in the Poisons Standard could be</w:t>
      </w:r>
      <w:r w:rsidRPr="003F5D89">
        <w:rPr>
          <w:rFonts w:cs="Times New Roman"/>
        </w:rPr>
        <w:t xml:space="preserve"> implement</w:t>
      </w:r>
      <w:r w:rsidR="00ED6ED2">
        <w:rPr>
          <w:rFonts w:cs="Times New Roman"/>
        </w:rPr>
        <w:t>ed</w:t>
      </w:r>
      <w:r w:rsidRPr="003F5D89">
        <w:rPr>
          <w:rFonts w:cs="Times New Roman"/>
        </w:rPr>
        <w:t>, including monitoring and enforcement, under State and Territory legislation.</w:t>
      </w:r>
      <w:r w:rsidR="00ED6ED2">
        <w:rPr>
          <w:rFonts w:cs="Times New Roman"/>
        </w:rPr>
        <w:t xml:space="preserve"> </w:t>
      </w:r>
      <w:r w:rsidR="00E23E6D">
        <w:rPr>
          <w:rFonts w:cs="Times New Roman"/>
        </w:rPr>
        <w:t>O</w:t>
      </w:r>
      <w:r w:rsidR="00450849">
        <w:rPr>
          <w:rFonts w:cs="Times New Roman"/>
        </w:rPr>
        <w:t xml:space="preserve">ther approaches </w:t>
      </w:r>
      <w:r w:rsidR="00B6189E">
        <w:rPr>
          <w:rFonts w:cs="Times New Roman"/>
        </w:rPr>
        <w:t xml:space="preserve">to enforcing pack number limits </w:t>
      </w:r>
      <w:r w:rsidR="00E23E6D">
        <w:rPr>
          <w:rFonts w:cs="Times New Roman"/>
        </w:rPr>
        <w:t xml:space="preserve">may need to </w:t>
      </w:r>
      <w:r w:rsidR="00B6189E">
        <w:rPr>
          <w:rFonts w:cs="Times New Roman"/>
        </w:rPr>
        <w:t xml:space="preserve">be considered. </w:t>
      </w:r>
    </w:p>
    <w:p w14:paraId="3FBE9FD4" w14:textId="09ACE848" w:rsidR="00D709C3" w:rsidRPr="00186613" w:rsidRDefault="00293167" w:rsidP="0089680F">
      <w:pPr>
        <w:rPr>
          <w:b/>
          <w:bCs/>
        </w:rPr>
      </w:pPr>
      <w:r>
        <w:rPr>
          <w:rFonts w:cs="Times New Roman"/>
          <w:b/>
          <w:bCs/>
          <w:szCs w:val="24"/>
        </w:rPr>
        <w:t>Recommendation 3:</w:t>
      </w:r>
      <w:r w:rsidRPr="0089680F">
        <w:rPr>
          <w:rFonts w:cs="Times New Roman"/>
          <w:szCs w:val="24"/>
        </w:rPr>
        <w:t xml:space="preserve"> </w:t>
      </w:r>
      <w:r w:rsidR="00D709C3" w:rsidRPr="00807710">
        <w:rPr>
          <w:b/>
        </w:rPr>
        <w:t>MR paracetamol restrictions</w:t>
      </w:r>
    </w:p>
    <w:p w14:paraId="0F0664B5" w14:textId="28679C8C" w:rsidR="00D709C3" w:rsidRPr="00BA5FD6" w:rsidRDefault="00D709C3" w:rsidP="0089680F">
      <w:r w:rsidRPr="00BA5FD6">
        <w:t>MR paracetamol (664</w:t>
      </w:r>
      <w:r w:rsidR="00BA5FD6">
        <w:t xml:space="preserve"> </w:t>
      </w:r>
      <w:r w:rsidRPr="00BA5FD6">
        <w:t xml:space="preserve">mg) is the largest tablet size registered in Australia, and it is associated with much more morbidity and larger typical overdoses </w:t>
      </w:r>
      <w:r w:rsidR="00C24574" w:rsidRPr="00BA5FD6">
        <w:fldChar w:fldCharType="begin">
          <w:fldData xml:space="preserve">PEVuZE5vdGU+PENpdGU+PEF1dGhvcj5DaGlldzwvQXV0aG9yPjxZZWFyPjIwMTg8L1llYXI+PFJl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</w:fldData>
        </w:fldChar>
      </w:r>
      <w:r w:rsidR="00AA79F3" w:rsidRPr="003F4120">
        <w:instrText xml:space="preserve"> ADDIN EN.CITE </w:instrText>
      </w:r>
      <w:r w:rsidR="00AA79F3" w:rsidRPr="00186613">
        <w:fldChar w:fldCharType="begin">
          <w:fldData xml:space="preserve">PEVuZE5vdGU+PENpdGU+PEF1dGhvcj5DaGlldzwvQXV0aG9yPjxZZWFyPjIwMTg8L1llYXI+PFJl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</w:fldData>
        </w:fldChar>
      </w:r>
      <w:r w:rsidR="00AA79F3" w:rsidRPr="003F4120">
        <w:instrText xml:space="preserve"> ADDIN EN.CITE.DATA </w:instrText>
      </w:r>
      <w:r w:rsidR="00AA79F3" w:rsidRPr="00186613">
        <w:fldChar w:fldCharType="end"/>
      </w:r>
      <w:r w:rsidR="00C24574" w:rsidRPr="00BA5FD6">
        <w:fldChar w:fldCharType="separate"/>
      </w:r>
      <w:r w:rsidR="00AA79F3" w:rsidRPr="00BA5FD6">
        <w:rPr>
          <w:noProof/>
        </w:rPr>
        <w:t>(Cairns et al., 2019; Chiew, Isbister, et al., 2018)</w:t>
      </w:r>
      <w:r w:rsidR="00C24574" w:rsidRPr="00BA5FD6">
        <w:fldChar w:fldCharType="end"/>
      </w:r>
      <w:r w:rsidRPr="00BA5FD6">
        <w:t>.  Such products are not registered in the EU or UK. The S3 scheduling of MR paracetamol does not appear to have had much impact. This product is designed to aid adherence with long-term use (e.g., for osteoarthritis), rather than for acute pain. Prescription only (S4) scheduling would be expected to reduce casual use of this mor</w:t>
      </w:r>
      <w:r w:rsidRPr="00771450">
        <w:t xml:space="preserve">e dangerous product and therefore overdoses, as shown recently for codeine </w:t>
      </w:r>
      <w:r w:rsidR="00E51F23" w:rsidRPr="00BA5FD6">
        <w:fldChar w:fldCharType="begin"/>
      </w:r>
      <w:r w:rsidR="00CA01EC" w:rsidRPr="003F4120">
        <w:instrText xml:space="preserve"> ADDIN EN.CITE &lt;EndNote&gt;&lt;Cite&gt;&lt;Author&gt;Cairns&lt;/Author&gt;&lt;Year&gt;2020&lt;/Year&gt;&lt;RecNum&gt;953&lt;/RecNum&gt;&lt;DisplayText&gt;(Cairns, Schaffer, Brown, Pearson, &amp;amp; Buckley, 2020b)&lt;/DisplayText&gt;&lt;record&gt;&lt;rec-number&gt;953&lt;/rec-number&gt;&lt;foreign-keys&gt;&lt;key app="EN" db-id="90p22wx96ddedpe0r9pxtt9gzz05dd5ev299" timestamp="1658454116"&gt;953&lt;/key&gt;&lt;/foreign-keys&gt;&lt;ref-type name="Journal Article"&gt;17&lt;/ref-type&gt;&lt;contributors&gt;&lt;authors&gt;&lt;author&gt;Cairns, R.&lt;/author&gt;&lt;author&gt;Schaffer, A. L.&lt;/author&gt;&lt;author&gt;Brown, J. A.&lt;/author&gt;&lt;author&gt;Pearson, S. A.&lt;/author&gt;&lt;author&gt;Buckley, N. A.&lt;/author&gt;&lt;/authors&gt;&lt;/contributors&gt;&lt;auth-address&gt;School of Pharmacy, Faculty of Medicine and Health, University of Sydney, Sydney, Australia.&amp;#xD;NSW Poisons Information Centre, The Children&amp;apos;s Hospital at Westmead, Sydney, Australia.&amp;#xD;Centre for Big Data Research in Health, University of New South Wales, Sydney, Australia.&amp;#xD;School of Medical Sciences, Faculty of Medicine and Health, University of Sydney, Sydney, Australia.&lt;/auth-address&gt;&lt;titles&gt;&lt;title&gt;Codeine use and harms in Australia: evaluating the effects of re-scheduling&lt;/title&gt;&lt;secondary-title&gt;Addiction&lt;/secondary-title&gt;&lt;/titles&gt;&lt;periodical&gt;&lt;full-title&gt;Addiction&lt;/full-title&gt;&lt;/periodical&gt;&lt;pages&gt;451-459&lt;/pages&gt;&lt;volume&gt;115&lt;/volume&gt;&lt;number&gt;3&lt;/number&gt;&lt;edition&gt;2019/10/03&lt;/edition&gt;&lt;keywords&gt;&lt;keyword&gt;codeine&lt;/keyword&gt;&lt;keyword&gt;legislative change&lt;/keyword&gt;&lt;keyword&gt;opioids&lt;/keyword&gt;&lt;keyword&gt;poisons centres&lt;/keyword&gt;&lt;keyword&gt;policy&lt;/keyword&gt;&lt;keyword&gt;re-scheduling&lt;/keyword&gt;&lt;keyword&gt;substance misuse&lt;/keyword&gt;&lt;/keywords&gt;&lt;dates&gt;&lt;year&gt;2020&lt;/year&gt;&lt;pub-dates&gt;&lt;date&gt;Mar&lt;/date&gt;&lt;/pub-dates&gt;&lt;/dates&gt;&lt;isbn&gt;0965-2140&lt;/isbn&gt;&lt;accession-num&gt;31577369&lt;/accession-num&gt;&lt;urls&gt;&lt;/urls&gt;&lt;electronic-resource-num&gt;10.1111/add.14798&lt;/electronic-resource-num&gt;&lt;remote-database-provider&gt;NLM&lt;/remote-database-provider&gt;&lt;language&gt;eng&lt;/language&gt;&lt;/record&gt;&lt;/Cite&gt;&lt;/EndNote&gt;</w:instrText>
      </w:r>
      <w:r w:rsidR="00E51F23" w:rsidRPr="00BA5FD6">
        <w:fldChar w:fldCharType="separate"/>
      </w:r>
      <w:r w:rsidR="00CA01EC" w:rsidRPr="00BA5FD6">
        <w:rPr>
          <w:noProof/>
        </w:rPr>
        <w:t>(Cairns, Schaffer, Brown, Pearson, &amp; Buckley, 2020b)</w:t>
      </w:r>
      <w:r w:rsidR="00E51F23" w:rsidRPr="00BA5FD6">
        <w:fldChar w:fldCharType="end"/>
      </w:r>
      <w:r w:rsidR="00C24574" w:rsidRPr="00BA5FD6">
        <w:t xml:space="preserve"> </w:t>
      </w:r>
      <w:r w:rsidRPr="00BA5FD6">
        <w:t>and should be considered.</w:t>
      </w:r>
    </w:p>
    <w:p w14:paraId="03521B52" w14:textId="53161D6B" w:rsidR="00D709C3" w:rsidRPr="00F44D7F" w:rsidRDefault="00BA5FD6" w:rsidP="0089680F">
      <w:pPr>
        <w:rPr>
          <w:b/>
        </w:rPr>
      </w:pPr>
      <w:r>
        <w:rPr>
          <w:b/>
        </w:rPr>
        <w:t xml:space="preserve">Recommendation 4: </w:t>
      </w:r>
      <w:r w:rsidR="00D709C3" w:rsidRPr="00807710">
        <w:rPr>
          <w:b/>
        </w:rPr>
        <w:t>Age restrictions</w:t>
      </w:r>
    </w:p>
    <w:p w14:paraId="569EA75D" w14:textId="7E7482A0" w:rsidR="00D709C3" w:rsidRPr="0091560A" w:rsidRDefault="00D709C3" w:rsidP="0089680F">
      <w:pPr>
        <w:rPr>
          <w:rFonts w:eastAsia="Times New Roman"/>
        </w:rPr>
      </w:pPr>
      <w:r w:rsidRPr="0091560A">
        <w:rPr>
          <w:rFonts w:cs="Times New Roman"/>
          <w:szCs w:val="24"/>
        </w:rPr>
        <w:t>There is research from Denmark</w:t>
      </w:r>
      <w:r w:rsidRPr="0091560A">
        <w:rPr>
          <w:rFonts w:cs="Times New Roman"/>
        </w:rPr>
        <w:t xml:space="preserve"> </w:t>
      </w:r>
      <w:r w:rsidR="00F7612B" w:rsidRPr="0091560A">
        <w:rPr>
          <w:rFonts w:cs="Times New Roman"/>
        </w:rPr>
        <w:fldChar w:fldCharType="begin"/>
      </w:r>
      <w:r w:rsidR="00F7612B" w:rsidRPr="0091560A">
        <w:rPr>
          <w:rFonts w:cs="Times New Roman"/>
        </w:rPr>
        <w:instrText xml:space="preserve"> ADDIN EN.CITE &lt;EndNote&gt;&lt;Cite&gt;&lt;Author&gt;Morthorst&lt;/Author&gt;&lt;Year&gt;2020&lt;/Year&gt;&lt;RecNum&gt;900&lt;/RecNum&gt;&lt;DisplayText&gt;(Morthorst et al., 2020)&lt;/DisplayText&gt;&lt;record&gt;&lt;rec-number&gt;900&lt;/rec-number&gt;&lt;foreign-keys&gt;&lt;key app="EN" db-id="90p22wx96ddedpe0r9pxtt9gzz05dd5ev299" timestamp="1657000537"&gt;900&lt;/key&gt;&lt;/foreign-keys&gt;&lt;ref-type name="Journal Article"&gt;17&lt;/ref-type&gt;&lt;contributors&gt;&lt;authors&gt;&lt;author&gt;Morthorst, B. R.&lt;/author&gt;&lt;author&gt;Erlangsen, A.&lt;/author&gt;&lt;author&gt;Chaine, M.&lt;/author&gt;&lt;author&gt;Eriksson, F.&lt;/author&gt;&lt;author&gt;Hawton, K.&lt;/author&gt;&lt;author&gt;Dalhoff, K.&lt;/author&gt;&lt;author&gt;Nordentoft, M.&lt;/author&gt;&lt;/authors&gt;&lt;/contributors&gt;&lt;titles&gt;&lt;title&gt;Restriction of non-opioid analgesics sold over-the-counter in Denmark: A national study of impact on poisonings&lt;/title&gt;&lt;secondary-title&gt;Journal of Affective Disorders&lt;/secondary-title&gt;&lt;/titles&gt;&lt;pages&gt;61-68&lt;/pages&gt;&lt;volume&gt;268&lt;/volume&gt;&lt;dates&gt;&lt;year&gt;2020&lt;/year&gt;&lt;/dates&gt;&lt;urls&gt;&lt;related-urls&gt;&lt;url&gt;http://www.elsevier.com/locate/jadhttp://ovidsp.ovid.com/ovidweb.cgi?T=JS&amp;amp;PAGE=reference&amp;amp;D=emed21&amp;amp;NEWS=N&amp;amp;AN=2005147282&lt;/url&gt;&lt;/related-urls&gt;&lt;/urls&gt;&lt;electronic-resource-num&gt;http://dx.doi.org/10.1016/j.jad.2020.02.043&lt;/electronic-resource-num&gt;&lt;/record&gt;&lt;/Cite&gt;&lt;/EndNote&gt;</w:instrText>
      </w:r>
      <w:r w:rsidR="00F7612B" w:rsidRPr="0091560A">
        <w:rPr>
          <w:rFonts w:cs="Times New Roman"/>
        </w:rPr>
        <w:fldChar w:fldCharType="separate"/>
      </w:r>
      <w:r w:rsidR="00F7612B" w:rsidRPr="0091560A">
        <w:rPr>
          <w:rFonts w:cs="Times New Roman"/>
          <w:noProof/>
        </w:rPr>
        <w:t>(Morthorst et al., 2020)</w:t>
      </w:r>
      <w:r w:rsidR="00F7612B" w:rsidRPr="0091560A">
        <w:rPr>
          <w:rFonts w:cs="Times New Roman"/>
        </w:rPr>
        <w:fldChar w:fldCharType="end"/>
      </w:r>
      <w:r w:rsidRPr="0091560A">
        <w:rPr>
          <w:rFonts w:cs="Times New Roman"/>
          <w:szCs w:val="24"/>
        </w:rPr>
        <w:t xml:space="preserve"> showing that an 18+ age restriction on the purchasing of over-the-counter non-opioid analgesics resulted in a significant decrease in non-opioid analgesic poisonings among 10-17 year-olds. Given that paracetamol self-poisoning is most common among adolescents and young people, an age restriction on paracetamol and similar over-the-counter non-opioid analgesics should be considered.</w:t>
      </w:r>
      <w:r w:rsidR="00D647F7">
        <w:rPr>
          <w:rFonts w:cs="Times New Roman"/>
          <w:szCs w:val="24"/>
        </w:rPr>
        <w:t xml:space="preserve"> However, </w:t>
      </w:r>
      <w:r w:rsidR="004657F8">
        <w:rPr>
          <w:rFonts w:cs="Times New Roman"/>
          <w:szCs w:val="24"/>
        </w:rPr>
        <w:t xml:space="preserve">any effect of such restrictions would be modest, as </w:t>
      </w:r>
      <w:r w:rsidR="00B75832">
        <w:rPr>
          <w:rFonts w:cs="Times New Roman"/>
          <w:szCs w:val="24"/>
        </w:rPr>
        <w:t xml:space="preserve">most paracetamol ingested in self-poisoning </w:t>
      </w:r>
      <w:r w:rsidR="00311001">
        <w:rPr>
          <w:rFonts w:cs="Times New Roman"/>
          <w:szCs w:val="24"/>
        </w:rPr>
        <w:t>i</w:t>
      </w:r>
      <w:r w:rsidR="00B75832">
        <w:rPr>
          <w:rFonts w:cs="Times New Roman"/>
          <w:szCs w:val="24"/>
        </w:rPr>
        <w:t xml:space="preserve">s </w:t>
      </w:r>
      <w:r w:rsidR="00311001">
        <w:rPr>
          <w:rFonts w:cs="Times New Roman"/>
          <w:szCs w:val="24"/>
        </w:rPr>
        <w:t>already purchased and present in the home.</w:t>
      </w:r>
      <w:r w:rsidR="00BD0A48">
        <w:rPr>
          <w:rFonts w:cs="Times New Roman"/>
          <w:szCs w:val="24"/>
        </w:rPr>
        <w:t xml:space="preserve"> </w:t>
      </w:r>
      <w:r w:rsidR="00E74666">
        <w:rPr>
          <w:rFonts w:cs="Times New Roman"/>
          <w:szCs w:val="24"/>
        </w:rPr>
        <w:t xml:space="preserve">Moreover, </w:t>
      </w:r>
      <w:r w:rsidR="00644325">
        <w:rPr>
          <w:rFonts w:cs="Times New Roman"/>
          <w:szCs w:val="24"/>
        </w:rPr>
        <w:t>w</w:t>
      </w:r>
      <w:r w:rsidR="0058015B">
        <w:rPr>
          <w:rFonts w:cs="Times New Roman"/>
          <w:szCs w:val="24"/>
        </w:rPr>
        <w:t>hereas</w:t>
      </w:r>
      <w:r w:rsidR="005B1C84">
        <w:rPr>
          <w:rFonts w:cs="Times New Roman"/>
          <w:szCs w:val="24"/>
        </w:rPr>
        <w:t xml:space="preserve"> </w:t>
      </w:r>
      <w:r w:rsidR="00915AFE">
        <w:rPr>
          <w:rFonts w:cs="Times New Roman"/>
          <w:szCs w:val="24"/>
        </w:rPr>
        <w:t>scheduling based on the age</w:t>
      </w:r>
      <w:r w:rsidR="00EE3DDC">
        <w:rPr>
          <w:rFonts w:cs="Times New Roman"/>
          <w:szCs w:val="24"/>
        </w:rPr>
        <w:t xml:space="preserve"> for whom medicines are indicated is common, </w:t>
      </w:r>
      <w:r w:rsidR="000B30F0">
        <w:rPr>
          <w:rFonts w:cs="Times New Roman"/>
          <w:szCs w:val="24"/>
        </w:rPr>
        <w:t>it would need to be determined</w:t>
      </w:r>
      <w:r w:rsidR="009345DE">
        <w:rPr>
          <w:rFonts w:cs="Times New Roman"/>
          <w:szCs w:val="24"/>
        </w:rPr>
        <w:t xml:space="preserve"> whether </w:t>
      </w:r>
      <w:r w:rsidR="00946994">
        <w:rPr>
          <w:rFonts w:cs="Times New Roman"/>
          <w:szCs w:val="24"/>
        </w:rPr>
        <w:t>scheduling</w:t>
      </w:r>
      <w:r w:rsidR="001671ED">
        <w:rPr>
          <w:rFonts w:cs="Times New Roman"/>
          <w:szCs w:val="24"/>
        </w:rPr>
        <w:t xml:space="preserve"> based on the age of </w:t>
      </w:r>
      <w:r w:rsidR="00E23E6D">
        <w:rPr>
          <w:rFonts w:cs="Times New Roman"/>
          <w:szCs w:val="24"/>
        </w:rPr>
        <w:t>the</w:t>
      </w:r>
      <w:r w:rsidR="00B801BC">
        <w:rPr>
          <w:rFonts w:cs="Times New Roman"/>
          <w:szCs w:val="24"/>
        </w:rPr>
        <w:t xml:space="preserve"> </w:t>
      </w:r>
      <w:r w:rsidR="001671ED">
        <w:rPr>
          <w:rFonts w:cs="Times New Roman"/>
          <w:szCs w:val="24"/>
        </w:rPr>
        <w:t>person to</w:t>
      </w:r>
      <w:r w:rsidR="00B801BC">
        <w:rPr>
          <w:rFonts w:cs="Times New Roman"/>
          <w:szCs w:val="24"/>
        </w:rPr>
        <w:t xml:space="preserve"> whom a medicine is sold in real time</w:t>
      </w:r>
      <w:r w:rsidR="00E23E6D">
        <w:rPr>
          <w:rFonts w:cs="Times New Roman"/>
          <w:szCs w:val="24"/>
        </w:rPr>
        <w:t xml:space="preserve"> is </w:t>
      </w:r>
      <w:r w:rsidR="001A5DBC">
        <w:rPr>
          <w:rFonts w:cs="Times New Roman"/>
          <w:szCs w:val="24"/>
        </w:rPr>
        <w:t>feasible</w:t>
      </w:r>
      <w:r w:rsidR="00B801BC">
        <w:rPr>
          <w:rFonts w:cs="Times New Roman"/>
          <w:szCs w:val="24"/>
        </w:rPr>
        <w:t xml:space="preserve">. </w:t>
      </w:r>
    </w:p>
    <w:p w14:paraId="2A4CF2E7" w14:textId="77777777" w:rsidR="00D709C3" w:rsidRPr="003D12EC" w:rsidRDefault="00D709C3" w:rsidP="0089680F">
      <w:pPr>
        <w:pStyle w:val="Heading3"/>
      </w:pPr>
      <w:bookmarkStart w:id="171" w:name="_Toc112843951"/>
      <w:r w:rsidRPr="003D12EC">
        <w:t>Non-medication specific recommendations to reduce self-poisoning</w:t>
      </w:r>
      <w:bookmarkEnd w:id="171"/>
    </w:p>
    <w:p w14:paraId="17A7FDDD" w14:textId="56C42F75" w:rsidR="00D709C3" w:rsidRPr="00F44D7F" w:rsidRDefault="00293167">
      <w:pPr>
        <w:spacing w:line="257" w:lineRule="auto"/>
        <w:rPr>
          <w:rFonts w:eastAsiaTheme="minorEastAsia" w:cs="Times New Roman"/>
          <w:b/>
          <w:szCs w:val="24"/>
        </w:rPr>
      </w:pPr>
      <w:r>
        <w:rPr>
          <w:rFonts w:cs="Times New Roman"/>
          <w:b/>
          <w:szCs w:val="24"/>
        </w:rPr>
        <w:t xml:space="preserve">Recommendation </w:t>
      </w:r>
      <w:r w:rsidR="00BA5FD6">
        <w:rPr>
          <w:rFonts w:cs="Times New Roman"/>
          <w:b/>
          <w:szCs w:val="24"/>
        </w:rPr>
        <w:t>5</w:t>
      </w:r>
      <w:r>
        <w:rPr>
          <w:rFonts w:cs="Times New Roman"/>
          <w:b/>
          <w:szCs w:val="24"/>
        </w:rPr>
        <w:t xml:space="preserve">: </w:t>
      </w:r>
      <w:r w:rsidR="00D709C3" w:rsidRPr="00807710">
        <w:rPr>
          <w:rFonts w:cs="Times New Roman"/>
          <w:b/>
          <w:szCs w:val="24"/>
        </w:rPr>
        <w:t xml:space="preserve">Use safe reporting guidelines for any communication around the harms associated with paracetamol overdose </w:t>
      </w:r>
    </w:p>
    <w:p w14:paraId="22C2B478" w14:textId="54A1643D" w:rsidR="00D709C3" w:rsidRPr="0091560A" w:rsidRDefault="49A26F47" w:rsidP="00D709C3">
      <w:pPr>
        <w:rPr>
          <w:rFonts w:cs="Times New Roman"/>
        </w:rPr>
      </w:pPr>
      <w:r w:rsidRPr="11F138D4">
        <w:rPr>
          <w:rFonts w:cs="Times New Roman"/>
        </w:rPr>
        <w:t>Any communication around the potential harms of paracetamol must comply with safe reporting guidelines</w:t>
      </w:r>
      <w:r w:rsidR="0EC7566C" w:rsidRPr="11F138D4">
        <w:rPr>
          <w:rFonts w:cs="Times New Roman"/>
        </w:rPr>
        <w:t xml:space="preserve"> for self-harm and suicide </w:t>
      </w:r>
      <w:r w:rsidR="07F0615B" w:rsidRPr="11F138D4">
        <w:rPr>
          <w:rFonts w:cs="Times New Roman"/>
        </w:rPr>
        <w:t>(e.g., Mindframe guidelines)</w:t>
      </w:r>
      <w:r w:rsidR="00D709C3" w:rsidRPr="11F138D4">
        <w:rPr>
          <w:rFonts w:cs="Times New Roman"/>
        </w:rPr>
        <w:fldChar w:fldCharType="begin"/>
      </w:r>
      <w:r w:rsidR="00D709C3" w:rsidRPr="11F138D4">
        <w:rPr>
          <w:rFonts w:cs="Times New Roman"/>
        </w:rPr>
        <w:instrText xml:space="preserve"> ADDIN EN.CITE &lt;EndNote&gt;&lt;Cite&gt;&lt;Author&gt;Mindframe Media Advisory Group&lt;/Author&gt;&lt;Year&gt;2020&lt;/Year&gt;&lt;RecNum&gt;963&lt;/RecNum&gt;&lt;DisplayText&gt;(Mindframe Media Advisory Group, 2020)&lt;/DisplayText&gt;&lt;record&gt;&lt;rec-number&gt;963&lt;/rec-number&gt;&lt;foreign-keys&gt;&lt;key app="EN" db-id="90p22wx96ddedpe0r9pxtt9gzz05dd5ev299" timestamp="1659231790"&gt;963&lt;/key&gt;&lt;/foreign-keys&gt;&lt;ref-type name="Web Page"&gt;12&lt;/ref-type&gt;&lt;contributors&gt;&lt;authors&gt;&lt;author&gt;Mindframe Media Advisory Group,&lt;/author&gt;&lt;/authors&gt;&lt;/contributors&gt;&lt;titles&gt;&lt;title&gt;Mindframe guidelines&lt;/title&gt;&lt;/titles&gt;&lt;volume&gt;2022&lt;/volume&gt;&lt;number&gt;31/7/2022&lt;/number&gt;&lt;dates&gt;&lt;year&gt;2020&lt;/year&gt;&lt;/dates&gt;&lt;urls&gt;&lt;related-urls&gt;&lt;url&gt;https://mindframe.org.au/suicide/communicating-about-suicide/mindframe-guidelines&lt;/url&gt;&lt;/related-urls&gt;&lt;/urls&gt;&lt;/record&gt;&lt;/Cite&gt;&lt;/EndNote&gt;</w:instrText>
      </w:r>
      <w:r w:rsidR="00D709C3" w:rsidRPr="11F138D4">
        <w:rPr>
          <w:rFonts w:cs="Times New Roman"/>
        </w:rPr>
        <w:fldChar w:fldCharType="separate"/>
      </w:r>
      <w:r w:rsidR="18538783" w:rsidRPr="11F138D4">
        <w:rPr>
          <w:rFonts w:cs="Times New Roman"/>
          <w:noProof/>
        </w:rPr>
        <w:t>(Mindframe Media Advisory Group, 2020)</w:t>
      </w:r>
      <w:r w:rsidR="00D709C3" w:rsidRPr="11F138D4">
        <w:rPr>
          <w:rFonts w:cs="Times New Roman"/>
        </w:rPr>
        <w:fldChar w:fldCharType="end"/>
      </w:r>
      <w:r w:rsidR="07F0615B" w:rsidRPr="11F138D4">
        <w:rPr>
          <w:rFonts w:cs="Times New Roman"/>
        </w:rPr>
        <w:t xml:space="preserve"> </w:t>
      </w:r>
      <w:r w:rsidRPr="11F138D4">
        <w:rPr>
          <w:rFonts w:cs="Times New Roman"/>
        </w:rPr>
        <w:t xml:space="preserve">and be rigorously evaluated prior to implementation. This will enable any unintended consequences of the communication to be identified, such as an increase in self-harming behaviour. </w:t>
      </w:r>
    </w:p>
    <w:p w14:paraId="5BFD682A" w14:textId="3F5D8022" w:rsidR="00D709C3" w:rsidRPr="00F44D7F" w:rsidRDefault="00293167" w:rsidP="0089680F">
      <w:pPr>
        <w:spacing w:after="120"/>
        <w:rPr>
          <w:rFonts w:eastAsiaTheme="minorEastAsia" w:cs="Times New Roman"/>
          <w:b/>
          <w:szCs w:val="24"/>
        </w:rPr>
      </w:pPr>
      <w:r>
        <w:rPr>
          <w:rFonts w:cs="Times New Roman"/>
          <w:b/>
          <w:szCs w:val="24"/>
        </w:rPr>
        <w:t xml:space="preserve">Recommendation </w:t>
      </w:r>
      <w:r w:rsidR="00BA5FD6">
        <w:rPr>
          <w:rFonts w:cs="Times New Roman"/>
          <w:b/>
          <w:szCs w:val="24"/>
        </w:rPr>
        <w:t>6</w:t>
      </w:r>
      <w:r>
        <w:rPr>
          <w:rFonts w:cs="Times New Roman"/>
          <w:b/>
          <w:szCs w:val="24"/>
        </w:rPr>
        <w:t xml:space="preserve">: </w:t>
      </w:r>
      <w:r w:rsidR="00D709C3" w:rsidRPr="00807710">
        <w:rPr>
          <w:rFonts w:cs="Times New Roman"/>
          <w:b/>
          <w:szCs w:val="24"/>
        </w:rPr>
        <w:t xml:space="preserve">Maintain and expand support for </w:t>
      </w:r>
      <w:r w:rsidR="00E83F94" w:rsidRPr="00F44D7F">
        <w:rPr>
          <w:rFonts w:cs="Times New Roman"/>
          <w:b/>
          <w:szCs w:val="24"/>
        </w:rPr>
        <w:t xml:space="preserve">aftercare </w:t>
      </w:r>
      <w:r w:rsidR="00D709C3" w:rsidRPr="00F44D7F">
        <w:rPr>
          <w:rFonts w:cs="Times New Roman"/>
          <w:b/>
          <w:szCs w:val="24"/>
        </w:rPr>
        <w:t>services</w:t>
      </w:r>
    </w:p>
    <w:p w14:paraId="2F8C91E7" w14:textId="56B913BF" w:rsidR="00D709C3" w:rsidRPr="0091560A" w:rsidRDefault="00D709C3" w:rsidP="0041067E">
      <w:pPr>
        <w:rPr>
          <w:rFonts w:cs="Times New Roman"/>
        </w:rPr>
      </w:pPr>
      <w:r w:rsidRPr="0091560A">
        <w:rPr>
          <w:rFonts w:cs="Times New Roman"/>
        </w:rPr>
        <w:t xml:space="preserve">It is important to ensure that those reaching the emergency departments of hospitals </w:t>
      </w:r>
      <w:r w:rsidR="00E83F94">
        <w:rPr>
          <w:rFonts w:cs="Times New Roman"/>
        </w:rPr>
        <w:t xml:space="preserve">following self-poisoning </w:t>
      </w:r>
      <w:r w:rsidRPr="0091560A">
        <w:rPr>
          <w:rFonts w:cs="Times New Roman"/>
        </w:rPr>
        <w:t xml:space="preserve">are treated quickly and respectfully. All should be offered appropriate care and Australian recommendations for </w:t>
      </w:r>
      <w:r w:rsidR="00E83F94">
        <w:rPr>
          <w:rFonts w:cs="Times New Roman"/>
        </w:rPr>
        <w:t>aftercare (</w:t>
      </w:r>
      <w:r w:rsidRPr="0091560A">
        <w:rPr>
          <w:rFonts w:cs="Times New Roman"/>
        </w:rPr>
        <w:t>follow</w:t>
      </w:r>
      <w:r w:rsidR="00E83F94">
        <w:rPr>
          <w:rFonts w:cs="Times New Roman"/>
        </w:rPr>
        <w:t>-</w:t>
      </w:r>
      <w:r w:rsidRPr="0091560A">
        <w:rPr>
          <w:rFonts w:cs="Times New Roman"/>
        </w:rPr>
        <w:t>up</w:t>
      </w:r>
      <w:r w:rsidR="00E83F94">
        <w:rPr>
          <w:rFonts w:cs="Times New Roman"/>
        </w:rPr>
        <w:t xml:space="preserve"> care and support after self-harm)</w:t>
      </w:r>
      <w:r w:rsidRPr="0091560A">
        <w:rPr>
          <w:rFonts w:cs="Times New Roman"/>
        </w:rPr>
        <w:t xml:space="preserve"> implemented</w:t>
      </w:r>
      <w:r w:rsidR="00AA396F">
        <w:rPr>
          <w:rFonts w:cs="Times New Roman"/>
        </w:rPr>
        <w:t xml:space="preserve"> </w:t>
      </w:r>
      <w:r w:rsidR="000C1424" w:rsidRPr="0091560A">
        <w:rPr>
          <w:rFonts w:cs="Times New Roman"/>
        </w:rPr>
        <w:fldChar w:fldCharType="begin"/>
      </w:r>
      <w:r w:rsidR="00B33E54">
        <w:rPr>
          <w:rFonts w:cs="Times New Roman"/>
        </w:rPr>
        <w:instrText xml:space="preserve"> ADDIN EN.CITE &lt;EndNote&gt;&lt;Cite&gt;&lt;Author&gt;Shand&lt;/Author&gt;&lt;Year&gt;2018&lt;/Year&gt;&lt;RecNum&gt;937&lt;/RecNum&gt;&lt;DisplayText&gt;(F. Shand, Vogl, &amp;amp; Robinson, 2018)&lt;/DisplayText&gt;&lt;record&gt;&lt;rec-number&gt;937&lt;/rec-number&gt;&lt;foreign-keys&gt;&lt;key app="EN" db-id="90p22wx96ddedpe0r9pxtt9gzz05dd5ev299" timestamp="1658411968"&gt;937&lt;/key&gt;&lt;/foreign-keys&gt;&lt;ref-type name="Journal Article"&gt;17&lt;/ref-type&gt;&lt;contributors&gt;&lt;authors&gt;&lt;author&gt;Shand, F.&lt;/author&gt;&lt;author&gt;Vogl, L.&lt;/author&gt;&lt;author&gt;Robinson, J.&lt;/author&gt;&lt;/authors&gt;&lt;/contributors&gt;&lt;auth-address&gt;LifeSpan Research Director, Senior Research Fellow, Black Dog Institute, Black Dog Institute, UNSW Sydney, Randwick, NSW, Australia.&amp;#xD;Research Fellow, Black Dog Institute, UNSW Sydney, Randwick, NSW, Australia.&amp;#xD;Senior Research Fellow and Head, Suicide Prevention Research, Orygen, The National Centre of Excellence in Youth Mental Health, Melbourne, VIC, Australia.&lt;/auth-address&gt;&lt;titles&gt;&lt;title&gt;Improving patient care after a suicide attempt&lt;/title&gt;&lt;secondary-title&gt;Australas Psychiatry&lt;/secondary-title&gt;&lt;/titles&gt;&lt;pages&gt;145-148&lt;/pages&gt;&lt;volume&gt;26&lt;/volume&gt;&lt;number&gt;2&lt;/number&gt;&lt;edition&gt;20180226&lt;/edition&gt;&lt;keywords&gt;&lt;keyword&gt;Aftercare/*standards&lt;/keyword&gt;&lt;keyword&gt;Emergency Medical Services/*standards&lt;/keyword&gt;&lt;keyword&gt;Humans&lt;/keyword&gt;&lt;keyword&gt;Suicide/*prevention &amp;amp; control&lt;/keyword&gt;&lt;keyword&gt;Suicide, Attempted/prevention &amp;amp; control&lt;/keyword&gt;&lt;keyword&gt;aftercare&lt;/keyword&gt;&lt;keyword&gt;crisis care&lt;/keyword&gt;&lt;keyword&gt;deliberate self-harm&lt;/keyword&gt;&lt;keyword&gt;suicide prevention&lt;/keyword&gt;&lt;/keywords&gt;&lt;dates&gt;&lt;year&gt;2018&lt;/year&gt;&lt;pub-dates&gt;&lt;date&gt;Apr&lt;/date&gt;&lt;/pub-dates&gt;&lt;/dates&gt;&lt;isbn&gt;1039-8562&lt;/isbn&gt;&lt;accession-num&gt;29480013&lt;/accession-num&gt;&lt;urls&gt;&lt;/urls&gt;&lt;electronic-resource-num&gt;10.1177/1039856218758560&lt;/electronic-resource-num&gt;&lt;remote-database-provider&gt;NLM&lt;/remote-database-provider&gt;&lt;language&gt;eng&lt;/language&gt;&lt;/record&gt;&lt;/Cite&gt;&lt;/EndNote&gt;</w:instrText>
      </w:r>
      <w:r w:rsidR="000C1424" w:rsidRPr="0091560A">
        <w:rPr>
          <w:rFonts w:cs="Times New Roman"/>
        </w:rPr>
        <w:fldChar w:fldCharType="separate"/>
      </w:r>
      <w:r w:rsidR="00B33E54">
        <w:rPr>
          <w:rFonts w:cs="Times New Roman"/>
          <w:noProof/>
        </w:rPr>
        <w:t>(F. Shand, Vogl, &amp; Robinson, 2018)</w:t>
      </w:r>
      <w:r w:rsidR="000C1424" w:rsidRPr="0091560A">
        <w:rPr>
          <w:rFonts w:cs="Times New Roman"/>
        </w:rPr>
        <w:fldChar w:fldCharType="end"/>
      </w:r>
      <w:r w:rsidR="001315FE">
        <w:rPr>
          <w:rFonts w:cs="Times New Roman"/>
        </w:rPr>
        <w:t>.</w:t>
      </w:r>
      <w:r w:rsidRPr="0091560A">
        <w:rPr>
          <w:rFonts w:cs="Times New Roman"/>
        </w:rPr>
        <w:t xml:space="preserve"> </w:t>
      </w:r>
      <w:r w:rsidR="0041067E" w:rsidRPr="0091560A">
        <w:rPr>
          <w:rFonts w:cs="Times New Roman"/>
        </w:rPr>
        <w:t xml:space="preserve">Previous research has identified that the period immediately after discharge from psychiatric inpatient care </w:t>
      </w:r>
      <w:r w:rsidR="0014611A">
        <w:rPr>
          <w:rFonts w:cs="Times New Roman"/>
        </w:rPr>
        <w:t>is associated with</w:t>
      </w:r>
      <w:r w:rsidR="0041067E" w:rsidRPr="0091560A">
        <w:rPr>
          <w:rFonts w:cs="Times New Roman"/>
        </w:rPr>
        <w:t xml:space="preserve"> very high risk of death by suicide</w:t>
      </w:r>
      <w:r w:rsidR="00340F79">
        <w:rPr>
          <w:rFonts w:cs="Times New Roman"/>
        </w:rPr>
        <w:t xml:space="preserve"> </w:t>
      </w:r>
      <w:r w:rsidR="00DE5F85" w:rsidRPr="0091560A">
        <w:rPr>
          <w:rFonts w:cs="Times New Roman"/>
        </w:rPr>
        <w:fldChar w:fldCharType="begin"/>
      </w:r>
      <w:r w:rsidR="006E08D8">
        <w:rPr>
          <w:rFonts w:cs="Times New Roman"/>
        </w:rPr>
        <w:instrText xml:space="preserve"> ADDIN EN.CITE &lt;EndNote&gt;&lt;Cite&gt;&lt;Author&gt;Shand&lt;/Author&gt;&lt;Year&gt;2019&lt;/Year&gt;&lt;RecNum&gt;955&lt;/RecNum&gt;&lt;DisplayText&gt;(F.  Shand et al., 2019)&lt;/DisplayText&gt;&lt;record&gt;&lt;rec-number&gt;955&lt;/rec-number&gt;&lt;foreign-keys&gt;&lt;key app="EN" db-id="90p22wx96ddedpe0r9pxtt9gzz05dd5ev299" timestamp="1658462697"&gt;955&lt;/key&gt;&lt;/foreign-keys&gt;&lt;ref-type name="Government Document"&gt;46&lt;/ref-type&gt;&lt;contributors&gt;&lt;authors&gt;&lt;author&gt;Shand, F. &lt;/author&gt;&lt;author&gt;Woodward, A. &lt;/author&gt;&lt;author&gt;McGill, K.A. &lt;/author&gt;&lt;author&gt;Larsen, M.&lt;/author&gt;&lt;author&gt;Torok, M.&lt;/author&gt;&lt;author&gt;Petheridge, A.&lt;/author&gt;&lt;author&gt;Rosebrock, H.&lt;/author&gt;&lt;author&gt;Cotterill, T.&lt;/author&gt;&lt;author&gt;Hains, A. &lt;/author&gt;&lt;/authors&gt;&lt;/contributors&gt;&lt;titles&gt;&lt;title&gt;Suicide aftercare services: an Evidence Check rapid review brokered by the Sax Institute (www.saxinstitute.org.au) for the NSW Ministry of Health&lt;/title&gt;&lt;/titles&gt;&lt;dates&gt;&lt;year&gt;2019&lt;/year&gt;&lt;/dates&gt;&lt;publisher&gt;Sax Institute&lt;/publisher&gt;&lt;urls&gt;&lt;related-urls&gt;&lt;url&gt;https://dev.saxinstitute.org.au/wp-content/uploads/2019_Suicide-Aftercare-Services-Report.pdf&lt;/url&gt;&lt;/related-urls&gt;&lt;/urls&gt;&lt;/record&gt;&lt;/Cite&gt;&lt;/EndNote&gt;</w:instrText>
      </w:r>
      <w:r w:rsidR="00DE5F85" w:rsidRPr="0091560A">
        <w:rPr>
          <w:rFonts w:cs="Times New Roman"/>
        </w:rPr>
        <w:fldChar w:fldCharType="separate"/>
      </w:r>
      <w:r w:rsidR="00DE5F85" w:rsidRPr="0091560A">
        <w:rPr>
          <w:rFonts w:cs="Times New Roman"/>
          <w:noProof/>
        </w:rPr>
        <w:t>(F.  Shand et al., 2019)</w:t>
      </w:r>
      <w:r w:rsidR="00DE5F85" w:rsidRPr="0091560A">
        <w:rPr>
          <w:rFonts w:cs="Times New Roman"/>
        </w:rPr>
        <w:fldChar w:fldCharType="end"/>
      </w:r>
      <w:r w:rsidR="00340F79">
        <w:rPr>
          <w:rFonts w:cs="Times New Roman"/>
        </w:rPr>
        <w:t>.</w:t>
      </w:r>
    </w:p>
    <w:p w14:paraId="5115A850" w14:textId="01097006" w:rsidR="00D709C3" w:rsidRPr="00F44D7F" w:rsidRDefault="00293167" w:rsidP="0089680F">
      <w:pPr>
        <w:spacing w:after="120"/>
        <w:rPr>
          <w:rFonts w:cs="Times New Roman"/>
          <w:sz w:val="22"/>
        </w:rPr>
      </w:pPr>
      <w:r>
        <w:rPr>
          <w:rFonts w:cs="Times New Roman"/>
          <w:b/>
          <w:szCs w:val="24"/>
        </w:rPr>
        <w:t xml:space="preserve">Recommendation </w:t>
      </w:r>
      <w:r w:rsidR="00BA5FD6">
        <w:rPr>
          <w:rFonts w:cs="Times New Roman"/>
          <w:b/>
          <w:szCs w:val="24"/>
        </w:rPr>
        <w:t>7</w:t>
      </w:r>
      <w:r>
        <w:rPr>
          <w:rFonts w:cs="Times New Roman"/>
          <w:b/>
          <w:szCs w:val="24"/>
        </w:rPr>
        <w:t xml:space="preserve">: </w:t>
      </w:r>
      <w:r w:rsidR="00D709C3" w:rsidRPr="00807710">
        <w:rPr>
          <w:rFonts w:cs="Times New Roman"/>
          <w:b/>
          <w:szCs w:val="24"/>
        </w:rPr>
        <w:t xml:space="preserve">Safer storage of medicines and reduced stockpiling of unwanted medicines </w:t>
      </w:r>
    </w:p>
    <w:p w14:paraId="46E6EEDC" w14:textId="621B3739" w:rsidR="00D709C3" w:rsidRPr="0091560A" w:rsidRDefault="001315FE" w:rsidP="00D709C3">
      <w:pPr>
        <w:rPr>
          <w:rFonts w:cs="Times New Roman"/>
        </w:rPr>
      </w:pPr>
      <w:r>
        <w:rPr>
          <w:rFonts w:cs="Times New Roman"/>
        </w:rPr>
        <w:t>Public health sites in Australia already provide</w:t>
      </w:r>
      <w:r w:rsidR="00D709C3" w:rsidRPr="0091560A">
        <w:rPr>
          <w:rFonts w:cs="Times New Roman"/>
        </w:rPr>
        <w:t xml:space="preserve"> messages around keeping medications and chemicals out of harm’s way to reduce the risks of accidental poisoning. These typically target parents of young children</w:t>
      </w:r>
      <w:r w:rsidR="00032946">
        <w:rPr>
          <w:rFonts w:cs="Times New Roman"/>
        </w:rPr>
        <w:t xml:space="preserve">, and don’t mention the </w:t>
      </w:r>
      <w:r>
        <w:rPr>
          <w:rFonts w:cs="Times New Roman"/>
        </w:rPr>
        <w:t>potential risk for older children and adolescents</w:t>
      </w:r>
      <w:r w:rsidR="00AA396F">
        <w:rPr>
          <w:rFonts w:cs="Times New Roman"/>
        </w:rPr>
        <w:t xml:space="preserve"> </w:t>
      </w:r>
      <w:r w:rsidR="00DE5F85" w:rsidRPr="0091560A">
        <w:rPr>
          <w:rFonts w:cs="Times New Roman"/>
        </w:rPr>
        <w:fldChar w:fldCharType="begin"/>
      </w:r>
      <w:r w:rsidR="006E08D8">
        <w:rPr>
          <w:rFonts w:cs="Times New Roman"/>
        </w:rPr>
        <w:instrText xml:space="preserve"> ADDIN EN.CITE &lt;EndNote&gt;&lt;Cite&gt;&lt;Author&gt;Raising Children Network&lt;/Author&gt;&lt;Year&gt;2021&lt;/Year&gt;&lt;RecNum&gt;956&lt;/RecNum&gt;&lt;DisplayText&gt;(Raising Children Network, 2021)&lt;/DisplayText&gt;&lt;record&gt;&lt;rec-number&gt;956&lt;/rec-number&gt;&lt;foreign-keys&gt;&lt;key app="EN" db-id="90p22wx96ddedpe0r9pxtt9gzz05dd5ev299" timestamp="1658462898"&gt;956&lt;/key&gt;&lt;/foreign-keys&gt;&lt;ref-type name="Web Page"&gt;12&lt;/ref-type&gt;&lt;contributors&gt;&lt;authors&gt;&lt;author&gt;Raising Children Network,&lt;/author&gt;&lt;/authors&gt;&lt;/contributors&gt;&lt;titles&gt;&lt;title&gt;Medicines that can poison children&lt;/title&gt;&lt;/titles&gt;&lt;number&gt;22-7-2022&lt;/number&gt;&lt;dates&gt;&lt;year&gt;2021&lt;/year&gt;&lt;/dates&gt;&lt;urls&gt;&lt;related-urls&gt;&lt;url&gt;https://raisingchildren.net.au/babies/safety/poisons/medicines-that-can-poison&lt;/url&gt;&lt;/related-urls&gt;&lt;/urls&gt;&lt;/record&gt;&lt;/Cite&gt;&lt;/EndNote&gt;</w:instrText>
      </w:r>
      <w:r w:rsidR="00DE5F85" w:rsidRPr="0091560A">
        <w:rPr>
          <w:rFonts w:cs="Times New Roman"/>
        </w:rPr>
        <w:fldChar w:fldCharType="separate"/>
      </w:r>
      <w:r w:rsidR="00DE5F85" w:rsidRPr="0091560A">
        <w:rPr>
          <w:rFonts w:cs="Times New Roman"/>
          <w:noProof/>
        </w:rPr>
        <w:t>(Raising Children Network, 2021)</w:t>
      </w:r>
      <w:r w:rsidR="00DE5F85" w:rsidRPr="0091560A">
        <w:rPr>
          <w:rFonts w:cs="Times New Roman"/>
        </w:rPr>
        <w:fldChar w:fldCharType="end"/>
      </w:r>
      <w:r w:rsidR="00AA396F">
        <w:rPr>
          <w:rFonts w:cs="Times New Roman"/>
        </w:rPr>
        <w:t>.</w:t>
      </w:r>
      <w:r w:rsidR="00D709C3" w:rsidRPr="0091560A">
        <w:rPr>
          <w:rFonts w:cs="Times New Roman"/>
        </w:rPr>
        <w:t xml:space="preserve"> </w:t>
      </w:r>
      <w:r>
        <w:rPr>
          <w:rFonts w:cs="Times New Roman"/>
        </w:rPr>
        <w:t>S</w:t>
      </w:r>
      <w:r w:rsidR="00D709C3" w:rsidRPr="0091560A">
        <w:rPr>
          <w:rFonts w:cs="Times New Roman"/>
        </w:rPr>
        <w:t>imilar preventative messages</w:t>
      </w:r>
      <w:r>
        <w:rPr>
          <w:rFonts w:cs="Times New Roman"/>
        </w:rPr>
        <w:t xml:space="preserve"> targeting older children and adults</w:t>
      </w:r>
      <w:r w:rsidR="00D709C3" w:rsidRPr="0091560A">
        <w:rPr>
          <w:rFonts w:cs="Times New Roman"/>
        </w:rPr>
        <w:t xml:space="preserve"> could be delivered to the public </w:t>
      </w:r>
      <w:r>
        <w:rPr>
          <w:rFonts w:cs="Times New Roman"/>
        </w:rPr>
        <w:t>so that medications are kept safely</w:t>
      </w:r>
      <w:r w:rsidR="006C12FE">
        <w:rPr>
          <w:rFonts w:cs="Times New Roman"/>
        </w:rPr>
        <w:t xml:space="preserve">. </w:t>
      </w:r>
      <w:r w:rsidR="00D709C3" w:rsidRPr="0091560A">
        <w:rPr>
          <w:rFonts w:cs="Times New Roman"/>
        </w:rPr>
        <w:t xml:space="preserve">Strategies to assist </w:t>
      </w:r>
      <w:r w:rsidR="00161202">
        <w:rPr>
          <w:rFonts w:cs="Times New Roman"/>
        </w:rPr>
        <w:t>in</w:t>
      </w:r>
      <w:r w:rsidR="006C12FE">
        <w:rPr>
          <w:rFonts w:cs="Times New Roman"/>
        </w:rPr>
        <w:t xml:space="preserve"> </w:t>
      </w:r>
      <w:r w:rsidR="00161202">
        <w:rPr>
          <w:rFonts w:cs="Times New Roman"/>
        </w:rPr>
        <w:t>increasing medication</w:t>
      </w:r>
      <w:r w:rsidR="006C12FE">
        <w:rPr>
          <w:rFonts w:cs="Times New Roman"/>
        </w:rPr>
        <w:t xml:space="preserve"> safety </w:t>
      </w:r>
      <w:r w:rsidR="00161202">
        <w:rPr>
          <w:rFonts w:cs="Times New Roman"/>
        </w:rPr>
        <w:t>could include</w:t>
      </w:r>
      <w:r w:rsidR="00D709C3" w:rsidRPr="0091560A">
        <w:rPr>
          <w:rFonts w:cs="Times New Roman"/>
        </w:rPr>
        <w:t xml:space="preserve"> keeping medications in </w:t>
      </w:r>
      <w:r w:rsidR="00161202">
        <w:rPr>
          <w:rFonts w:cs="Times New Roman"/>
        </w:rPr>
        <w:t>a secure</w:t>
      </w:r>
      <w:r w:rsidR="00161202" w:rsidRPr="0091560A">
        <w:rPr>
          <w:rFonts w:cs="Times New Roman"/>
        </w:rPr>
        <w:t xml:space="preserve"> </w:t>
      </w:r>
      <w:r w:rsidR="00161202">
        <w:rPr>
          <w:rFonts w:cs="Times New Roman"/>
        </w:rPr>
        <w:t>location (e.g., locked or hard to reach cupboard)</w:t>
      </w:r>
      <w:r w:rsidR="00D709C3" w:rsidRPr="0091560A">
        <w:rPr>
          <w:rFonts w:cs="Times New Roman"/>
        </w:rPr>
        <w:t xml:space="preserve">, keeping low doses of medication, and </w:t>
      </w:r>
      <w:r w:rsidR="006C12FE">
        <w:rPr>
          <w:rFonts w:cs="Times New Roman"/>
        </w:rPr>
        <w:t>avoid</w:t>
      </w:r>
      <w:r w:rsidR="00161202">
        <w:rPr>
          <w:rFonts w:cs="Times New Roman"/>
        </w:rPr>
        <w:t>ing</w:t>
      </w:r>
      <w:r w:rsidR="006C12FE" w:rsidRPr="0091560A">
        <w:rPr>
          <w:rFonts w:cs="Times New Roman"/>
        </w:rPr>
        <w:t xml:space="preserve"> </w:t>
      </w:r>
      <w:r w:rsidR="00D709C3" w:rsidRPr="0091560A">
        <w:rPr>
          <w:rFonts w:cs="Times New Roman"/>
        </w:rPr>
        <w:t>stockpiling potentially hazardous medications.</w:t>
      </w:r>
      <w:r w:rsidR="00A4233C">
        <w:rPr>
          <w:rFonts w:cs="Times New Roman"/>
        </w:rPr>
        <w:t xml:space="preserve"> Further research would be required to examine the effects of these messages before larger campaigns</w:t>
      </w:r>
    </w:p>
    <w:p w14:paraId="1A8DB114" w14:textId="49226385" w:rsidR="003532A5" w:rsidRDefault="00B96031" w:rsidP="00B30A2E">
      <w:pPr>
        <w:pStyle w:val="Heading2"/>
      </w:pPr>
      <w:bookmarkStart w:id="172" w:name="_Toc112843952"/>
      <w:r>
        <w:t>6</w:t>
      </w:r>
      <w:r w:rsidR="006465AF">
        <w:t xml:space="preserve">.2 </w:t>
      </w:r>
      <w:r w:rsidR="00BF2DB8">
        <w:t>Other c</w:t>
      </w:r>
      <w:r w:rsidR="00787E88">
        <w:t>onsiderations</w:t>
      </w:r>
      <w:bookmarkEnd w:id="172"/>
      <w:r w:rsidR="00787E88">
        <w:t xml:space="preserve"> </w:t>
      </w:r>
    </w:p>
    <w:p w14:paraId="059935F6" w14:textId="537DA0EE" w:rsidR="00D709C3" w:rsidRPr="00186613" w:rsidRDefault="003532A5" w:rsidP="0089680F">
      <w:pPr>
        <w:pStyle w:val="Heading3"/>
      </w:pPr>
      <w:bookmarkStart w:id="173" w:name="_Toc112843953"/>
      <w:r>
        <w:t xml:space="preserve">6.2.1  Considerations </w:t>
      </w:r>
      <w:r w:rsidR="006309D7">
        <w:t xml:space="preserve">related to </w:t>
      </w:r>
      <w:r w:rsidR="006465AF">
        <w:t xml:space="preserve">current </w:t>
      </w:r>
      <w:r w:rsidR="006309D7">
        <w:t>knowledge and data gaps</w:t>
      </w:r>
      <w:bookmarkEnd w:id="173"/>
      <w:r w:rsidR="006309D7">
        <w:t xml:space="preserve"> </w:t>
      </w:r>
    </w:p>
    <w:p w14:paraId="71E19FEE" w14:textId="4CD7B29C" w:rsidR="00D709C3" w:rsidRPr="0091560A" w:rsidRDefault="006E62C0" w:rsidP="00D709C3">
      <w:pPr>
        <w:rPr>
          <w:rFonts w:cs="Times New Roman"/>
          <w:b/>
        </w:rPr>
      </w:pPr>
      <w:r>
        <w:rPr>
          <w:rFonts w:cs="Times New Roman"/>
          <w:bCs/>
        </w:rPr>
        <w:t xml:space="preserve">This report </w:t>
      </w:r>
      <w:r w:rsidR="00C35250">
        <w:rPr>
          <w:rFonts w:cs="Times New Roman"/>
          <w:bCs/>
        </w:rPr>
        <w:t xml:space="preserve">has </w:t>
      </w:r>
      <w:r w:rsidR="00833996">
        <w:rPr>
          <w:rFonts w:cs="Times New Roman"/>
          <w:bCs/>
        </w:rPr>
        <w:t>revealed</w:t>
      </w:r>
      <w:r w:rsidR="00C35250">
        <w:rPr>
          <w:rFonts w:cs="Times New Roman"/>
          <w:bCs/>
        </w:rPr>
        <w:t xml:space="preserve"> that </w:t>
      </w:r>
      <w:r w:rsidR="00FD72CC">
        <w:rPr>
          <w:rFonts w:cs="Times New Roman"/>
          <w:bCs/>
        </w:rPr>
        <w:t xml:space="preserve">understanding </w:t>
      </w:r>
      <w:r w:rsidR="00261082">
        <w:rPr>
          <w:rFonts w:cs="Times New Roman"/>
          <w:bCs/>
        </w:rPr>
        <w:t xml:space="preserve">the nature </w:t>
      </w:r>
      <w:r w:rsidR="004772AE">
        <w:rPr>
          <w:rFonts w:cs="Times New Roman"/>
          <w:bCs/>
        </w:rPr>
        <w:t xml:space="preserve">of </w:t>
      </w:r>
      <w:r w:rsidR="00C57F53">
        <w:rPr>
          <w:rFonts w:cs="Times New Roman"/>
          <w:bCs/>
        </w:rPr>
        <w:t xml:space="preserve">the problem of intentional self-poisoning with paracetamol </w:t>
      </w:r>
      <w:r w:rsidR="007D7EA1">
        <w:rPr>
          <w:rFonts w:cs="Times New Roman"/>
          <w:bCs/>
        </w:rPr>
        <w:t xml:space="preserve">and </w:t>
      </w:r>
      <w:r w:rsidR="00634DD8">
        <w:rPr>
          <w:rFonts w:cs="Times New Roman"/>
          <w:bCs/>
        </w:rPr>
        <w:t xml:space="preserve">recommending </w:t>
      </w:r>
      <w:r w:rsidR="00641905">
        <w:rPr>
          <w:rFonts w:cs="Times New Roman"/>
          <w:bCs/>
        </w:rPr>
        <w:t xml:space="preserve">actions to address it are hampered </w:t>
      </w:r>
      <w:r w:rsidR="004A28A3">
        <w:rPr>
          <w:rFonts w:cs="Times New Roman"/>
          <w:bCs/>
        </w:rPr>
        <w:t xml:space="preserve">by </w:t>
      </w:r>
      <w:r w:rsidR="005A6209">
        <w:rPr>
          <w:rFonts w:cs="Times New Roman"/>
          <w:bCs/>
        </w:rPr>
        <w:t>limited availability of relevant data</w:t>
      </w:r>
      <w:r w:rsidR="004907F8">
        <w:rPr>
          <w:rFonts w:cs="Times New Roman"/>
          <w:bCs/>
        </w:rPr>
        <w:t xml:space="preserve">. </w:t>
      </w:r>
      <w:r w:rsidR="00D67A1D">
        <w:rPr>
          <w:rFonts w:cs="Times New Roman"/>
          <w:bCs/>
        </w:rPr>
        <w:t>The gaps in the current knowledge</w:t>
      </w:r>
      <w:r w:rsidR="00EB1AF2">
        <w:rPr>
          <w:rFonts w:cs="Times New Roman"/>
          <w:bCs/>
        </w:rPr>
        <w:t xml:space="preserve"> fall under </w:t>
      </w:r>
      <w:r w:rsidR="00D709C3" w:rsidRPr="0091560A">
        <w:rPr>
          <w:rFonts w:cs="Times New Roman"/>
          <w:bCs/>
        </w:rPr>
        <w:t xml:space="preserve">the following four themes, </w:t>
      </w:r>
      <w:r w:rsidR="00AD787C">
        <w:rPr>
          <w:rFonts w:cs="Times New Roman"/>
          <w:bCs/>
        </w:rPr>
        <w:t xml:space="preserve">which further </w:t>
      </w:r>
      <w:r w:rsidR="00D709C3" w:rsidRPr="0091560A">
        <w:rPr>
          <w:rFonts w:cs="Times New Roman"/>
          <w:bCs/>
        </w:rPr>
        <w:t xml:space="preserve">research could </w:t>
      </w:r>
      <w:r w:rsidR="002A3290">
        <w:rPr>
          <w:rFonts w:cs="Times New Roman"/>
          <w:bCs/>
        </w:rPr>
        <w:t>address.</w:t>
      </w:r>
    </w:p>
    <w:p w14:paraId="77C15DB3" w14:textId="384B970A" w:rsidR="00D709C3" w:rsidRPr="002A13EF" w:rsidRDefault="002A3290" w:rsidP="0089680F">
      <w:pPr>
        <w:rPr>
          <w:rFonts w:cs="Times New Roman"/>
          <w:b/>
          <w:szCs w:val="24"/>
        </w:rPr>
      </w:pPr>
      <w:r>
        <w:rPr>
          <w:rFonts w:cs="Times New Roman"/>
          <w:b/>
          <w:bCs/>
          <w:szCs w:val="24"/>
        </w:rPr>
        <w:t>M</w:t>
      </w:r>
      <w:r w:rsidR="00D709C3" w:rsidRPr="0089680F">
        <w:rPr>
          <w:rFonts w:cs="Times New Roman"/>
          <w:b/>
          <w:bCs/>
          <w:szCs w:val="24"/>
        </w:rPr>
        <w:t>otivations</w:t>
      </w:r>
      <w:r w:rsidR="00D709C3" w:rsidRPr="002A13EF">
        <w:rPr>
          <w:rFonts w:cs="Times New Roman"/>
          <w:b/>
          <w:szCs w:val="24"/>
        </w:rPr>
        <w:t xml:space="preserve"> and behaviours of young Australians who have taken paracetamol (and other medicines) for deliberate self-harm or attempted suicide  </w:t>
      </w:r>
    </w:p>
    <w:p w14:paraId="5034A020" w14:textId="089CADFE" w:rsidR="00D709C3" w:rsidRDefault="00D709C3" w:rsidP="00D709C3">
      <w:r w:rsidRPr="0091560A">
        <w:t xml:space="preserve">Much of the research identified in the current review pertaining to the motivations and behaviours of people who self-poison with paracetamol was dated and none of the studies were conducted in Australia, and thus none can be used to understand the doubling in self-harm in children and adolescents over the last decade. As such, commissioning research to undertake qualitative interviews with young Australians who have taken paracetamol for deliberate self-harm or attempted suicide would fill an important knowledge gap. Further research is also needed to understand how online purchasing behaviour including bulk buying through online supermarket and pharmacy retailers may impact the accessibility and availability of paracetamol in the home for self-harm. </w:t>
      </w:r>
      <w:r w:rsidR="00A4233C">
        <w:t>Research could also be commissioned to examine the health literacy of the public around paracetamol and its storage in the home.</w:t>
      </w:r>
    </w:p>
    <w:p w14:paraId="43D02862" w14:textId="3BE9D16C" w:rsidR="00D709C3" w:rsidRPr="002A13EF" w:rsidRDefault="002A3290" w:rsidP="00186613">
      <w:pPr>
        <w:spacing w:after="120"/>
        <w:rPr>
          <w:rFonts w:cs="Times New Roman"/>
          <w:b/>
          <w:szCs w:val="24"/>
        </w:rPr>
      </w:pPr>
      <w:r>
        <w:rPr>
          <w:rFonts w:cs="Times New Roman"/>
          <w:b/>
          <w:szCs w:val="24"/>
        </w:rPr>
        <w:t>T</w:t>
      </w:r>
      <w:r w:rsidR="00D709C3" w:rsidRPr="00186613">
        <w:rPr>
          <w:rFonts w:cs="Times New Roman"/>
          <w:b/>
          <w:bCs/>
          <w:szCs w:val="24"/>
        </w:rPr>
        <w:t>rends</w:t>
      </w:r>
      <w:r w:rsidR="00D709C3" w:rsidRPr="002A13EF">
        <w:rPr>
          <w:rFonts w:cs="Times New Roman"/>
          <w:b/>
          <w:szCs w:val="24"/>
        </w:rPr>
        <w:t xml:space="preserve"> in self-harm with paracetamol over time to identify changing risks </w:t>
      </w:r>
    </w:p>
    <w:p w14:paraId="56C198C5" w14:textId="66797F79" w:rsidR="00A43BDF" w:rsidRDefault="00D709C3" w:rsidP="00D709C3">
      <w:pPr>
        <w:rPr>
          <w:rFonts w:cs="Times New Roman"/>
        </w:rPr>
      </w:pPr>
      <w:r w:rsidRPr="0091560A">
        <w:rPr>
          <w:rFonts w:cs="Times New Roman"/>
        </w:rPr>
        <w:t>Whether changes to paracetamol availability are made or not</w:t>
      </w:r>
      <w:r w:rsidR="0080559E">
        <w:rPr>
          <w:rFonts w:cs="Times New Roman"/>
        </w:rPr>
        <w:t>,</w:t>
      </w:r>
      <w:r w:rsidRPr="0091560A">
        <w:rPr>
          <w:rFonts w:cs="Times New Roman"/>
        </w:rPr>
        <w:t xml:space="preserve"> monitor</w:t>
      </w:r>
      <w:r w:rsidR="00BA60DF">
        <w:rPr>
          <w:rFonts w:cs="Times New Roman"/>
        </w:rPr>
        <w:t>ing</w:t>
      </w:r>
      <w:r w:rsidRPr="0091560A">
        <w:rPr>
          <w:rFonts w:cs="Times New Roman"/>
        </w:rPr>
        <w:t xml:space="preserve"> ongoing trends in self-poisoning with paracetamol and other medicines</w:t>
      </w:r>
      <w:r w:rsidR="00BA60DF">
        <w:rPr>
          <w:rFonts w:cs="Times New Roman"/>
        </w:rPr>
        <w:t xml:space="preserve"> </w:t>
      </w:r>
      <w:r w:rsidRPr="0091560A">
        <w:rPr>
          <w:rFonts w:cs="Times New Roman"/>
        </w:rPr>
        <w:t>would enable any new trends, such as age/gender trends or changes in response to COVID</w:t>
      </w:r>
      <w:r w:rsidR="00AA396F">
        <w:rPr>
          <w:rFonts w:cs="Times New Roman"/>
        </w:rPr>
        <w:t>-19</w:t>
      </w:r>
      <w:r w:rsidRPr="0091560A">
        <w:rPr>
          <w:rFonts w:cs="Times New Roman"/>
        </w:rPr>
        <w:t>, to be effectively identified and monitored. The only current national real-time monitoring option is through poisons information centres, and this is also the only source likely to provide high quality information on specific medicines, doses or products ingested. This would be complemented by other sources such as the AIHW NMDS and NCIS, but increasing the currency of data and quality of coding of poisoning information would make these sources much more useful to regulators and policy makers.</w:t>
      </w:r>
    </w:p>
    <w:p w14:paraId="172FC995" w14:textId="1CBDAF51" w:rsidR="006C12FE" w:rsidRPr="0091560A" w:rsidRDefault="00AE4C04" w:rsidP="00D709C3">
      <w:pPr>
        <w:rPr>
          <w:rFonts w:cs="Times New Roman"/>
        </w:rPr>
      </w:pPr>
      <w:r>
        <w:rPr>
          <w:rFonts w:cs="Times New Roman"/>
        </w:rPr>
        <w:t xml:space="preserve">There would also be benefits in research to better understand </w:t>
      </w:r>
      <w:r w:rsidR="00A43BDF" w:rsidRPr="00A43BDF">
        <w:rPr>
          <w:rFonts w:cs="Times New Roman"/>
        </w:rPr>
        <w:t xml:space="preserve">the public’s </w:t>
      </w:r>
      <w:r>
        <w:rPr>
          <w:rFonts w:cs="Times New Roman"/>
        </w:rPr>
        <w:t xml:space="preserve">current </w:t>
      </w:r>
      <w:r w:rsidR="00A43BDF" w:rsidRPr="00A43BDF">
        <w:rPr>
          <w:rFonts w:cs="Times New Roman"/>
        </w:rPr>
        <w:t>knowledge of paracetamol poisoning (population sample) and that of youth (not just those that have already self-harmed) to inform preventative practices</w:t>
      </w:r>
      <w:r w:rsidR="009C0F3A">
        <w:rPr>
          <w:rFonts w:cs="Times New Roman"/>
        </w:rPr>
        <w:t xml:space="preserve">, that </w:t>
      </w:r>
      <w:r w:rsidR="00090EDF">
        <w:rPr>
          <w:rFonts w:cs="Times New Roman"/>
        </w:rPr>
        <w:t xml:space="preserve">could improve safety but not </w:t>
      </w:r>
      <w:r w:rsidR="009C0F3A">
        <w:rPr>
          <w:rFonts w:cs="Times New Roman"/>
        </w:rPr>
        <w:t xml:space="preserve">have </w:t>
      </w:r>
      <w:r w:rsidR="00090EDF">
        <w:rPr>
          <w:rFonts w:cs="Times New Roman"/>
        </w:rPr>
        <w:t xml:space="preserve">adverse </w:t>
      </w:r>
      <w:r w:rsidR="009C0F3A">
        <w:rPr>
          <w:rFonts w:cs="Times New Roman"/>
        </w:rPr>
        <w:t>impact</w:t>
      </w:r>
      <w:r w:rsidR="00090EDF">
        <w:rPr>
          <w:rFonts w:cs="Times New Roman"/>
        </w:rPr>
        <w:t>s</w:t>
      </w:r>
      <w:r w:rsidR="009C0F3A">
        <w:rPr>
          <w:rFonts w:cs="Times New Roman"/>
        </w:rPr>
        <w:t xml:space="preserve"> on </w:t>
      </w:r>
      <w:r w:rsidR="00090EDF">
        <w:rPr>
          <w:rFonts w:cs="Times New Roman"/>
        </w:rPr>
        <w:t>appropriate use</w:t>
      </w:r>
      <w:r w:rsidR="00AD6129">
        <w:rPr>
          <w:rFonts w:cs="Times New Roman"/>
        </w:rPr>
        <w:t>.</w:t>
      </w:r>
      <w:r w:rsidR="00A43BDF" w:rsidRPr="00A43BDF">
        <w:t xml:space="preserve"> </w:t>
      </w:r>
      <w:r w:rsidR="00A43BDF" w:rsidRPr="00A43BDF">
        <w:rPr>
          <w:rFonts w:cs="Times New Roman"/>
        </w:rPr>
        <w:t xml:space="preserve">This research </w:t>
      </w:r>
      <w:r w:rsidR="00AD6129">
        <w:rPr>
          <w:rFonts w:cs="Times New Roman"/>
        </w:rPr>
        <w:t>might</w:t>
      </w:r>
      <w:r w:rsidR="00A43BDF" w:rsidRPr="00A43BDF">
        <w:rPr>
          <w:rFonts w:cs="Times New Roman"/>
        </w:rPr>
        <w:t xml:space="preserve"> also help understand </w:t>
      </w:r>
      <w:r w:rsidR="00A3251A">
        <w:rPr>
          <w:rFonts w:cs="Times New Roman"/>
        </w:rPr>
        <w:t xml:space="preserve">how </w:t>
      </w:r>
      <w:r w:rsidR="006C12FE">
        <w:rPr>
          <w:rFonts w:cs="Times New Roman"/>
        </w:rPr>
        <w:t xml:space="preserve">to reach the large number of individuals at risk of </w:t>
      </w:r>
      <w:r w:rsidR="00161202">
        <w:rPr>
          <w:rFonts w:cs="Times New Roman"/>
        </w:rPr>
        <w:t>self-harm</w:t>
      </w:r>
      <w:r w:rsidR="006C12FE">
        <w:rPr>
          <w:rFonts w:cs="Times New Roman"/>
        </w:rPr>
        <w:t xml:space="preserve"> who do not come to the attention of clinicians or educators. </w:t>
      </w:r>
    </w:p>
    <w:p w14:paraId="274C5A22" w14:textId="7C9ED2AF" w:rsidR="00D709C3" w:rsidRPr="002A13EF" w:rsidRDefault="008735E0" w:rsidP="00186613">
      <w:pPr>
        <w:spacing w:after="120"/>
        <w:rPr>
          <w:rFonts w:cs="Times New Roman"/>
          <w:b/>
          <w:szCs w:val="24"/>
        </w:rPr>
      </w:pPr>
      <w:r>
        <w:rPr>
          <w:rFonts w:cs="Times New Roman"/>
          <w:b/>
          <w:szCs w:val="24"/>
        </w:rPr>
        <w:t>L</w:t>
      </w:r>
      <w:r w:rsidR="00D709C3" w:rsidRPr="00186613">
        <w:rPr>
          <w:rFonts w:cs="Times New Roman"/>
          <w:b/>
          <w:szCs w:val="24"/>
        </w:rPr>
        <w:t>ong</w:t>
      </w:r>
      <w:r w:rsidR="00D709C3" w:rsidRPr="002A13EF">
        <w:rPr>
          <w:rFonts w:cs="Times New Roman"/>
          <w:b/>
          <w:szCs w:val="24"/>
        </w:rPr>
        <w:t xml:space="preserve">-term outcomes after non-fatal self-harm to identify changing risks </w:t>
      </w:r>
    </w:p>
    <w:p w14:paraId="372A84F2" w14:textId="13EAAC0A" w:rsidR="00D709C3" w:rsidRPr="0091560A" w:rsidRDefault="00D709C3" w:rsidP="00D709C3">
      <w:pPr>
        <w:spacing w:after="120"/>
        <w:rPr>
          <w:rFonts w:cs="Times New Roman"/>
          <w:bCs/>
        </w:rPr>
      </w:pPr>
      <w:r w:rsidRPr="0091560A">
        <w:rPr>
          <w:rFonts w:cs="Times New Roman"/>
          <w:bCs/>
        </w:rPr>
        <w:t xml:space="preserve">There is a need for contemporary Australian data to better understand whether the long-term outcomes after self-harm are changing, in line with the changing rates. There is also much better access to routinely collected data for data linkage to enable comprehensive long-term follow-up. There are several examples of such studies from overseas </w:t>
      </w:r>
      <w:r w:rsidR="00DE5F85" w:rsidRPr="0091560A">
        <w:rPr>
          <w:rFonts w:cs="Times New Roman"/>
          <w:bCs/>
        </w:rPr>
        <w:fldChar w:fldCharType="begin">
          <w:fldData xml:space="preserve">PEVuZE5vdGU+PENpdGU+PEF1dGhvcj5Kb2xsYW50PC9BdXRob3I+PFllYXI+MjAyMjwvWWVhcj48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</w:fldData>
        </w:fldChar>
      </w:r>
      <w:r w:rsidR="006E08D8">
        <w:rPr>
          <w:rFonts w:cs="Times New Roman"/>
          <w:bCs/>
        </w:rPr>
        <w:instrText xml:space="preserve"> ADDIN EN.CITE </w:instrText>
      </w:r>
      <w:r w:rsidR="006E08D8">
        <w:rPr>
          <w:rFonts w:cs="Times New Roman"/>
          <w:bCs/>
        </w:rPr>
        <w:fldChar w:fldCharType="begin">
          <w:fldData xml:space="preserve">PEVuZE5vdGU+PENpdGU+PEF1dGhvcj5Kb2xsYW50PC9BdXRob3I+PFllYXI+MjAyMjwvWWVhcj48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</w:fldData>
        </w:fldChar>
      </w:r>
      <w:r w:rsidR="006E08D8">
        <w:rPr>
          <w:rFonts w:cs="Times New Roman"/>
          <w:bCs/>
        </w:rPr>
        <w:instrText xml:space="preserve"> ADDIN EN.CITE.DATA </w:instrText>
      </w:r>
      <w:r w:rsidR="006E08D8">
        <w:rPr>
          <w:rFonts w:cs="Times New Roman"/>
          <w:bCs/>
        </w:rPr>
      </w:r>
      <w:r w:rsidR="006E08D8">
        <w:rPr>
          <w:rFonts w:cs="Times New Roman"/>
          <w:bCs/>
        </w:rPr>
        <w:fldChar w:fldCharType="end"/>
      </w:r>
      <w:r w:rsidR="00DE5F85" w:rsidRPr="0091560A">
        <w:rPr>
          <w:rFonts w:cs="Times New Roman"/>
          <w:bCs/>
        </w:rPr>
      </w:r>
      <w:r w:rsidR="00DE5F85" w:rsidRPr="0091560A">
        <w:rPr>
          <w:rFonts w:cs="Times New Roman"/>
          <w:bCs/>
        </w:rPr>
        <w:fldChar w:fldCharType="separate"/>
      </w:r>
      <w:r w:rsidR="00B33E54">
        <w:rPr>
          <w:rFonts w:cs="Times New Roman"/>
          <w:bCs/>
          <w:noProof/>
        </w:rPr>
        <w:t>(Jollant, Goueslard, Hawton, &amp; Quantin, 2022)</w:t>
      </w:r>
      <w:r w:rsidR="00DE5F85" w:rsidRPr="0091560A">
        <w:rPr>
          <w:rFonts w:cs="Times New Roman"/>
          <w:bCs/>
        </w:rPr>
        <w:fldChar w:fldCharType="end"/>
      </w:r>
      <w:r w:rsidRPr="0091560A">
        <w:rPr>
          <w:rFonts w:cs="Times New Roman"/>
          <w:bCs/>
        </w:rPr>
        <w:t xml:space="preserve"> and one recent </w:t>
      </w:r>
      <w:r w:rsidR="0017493B">
        <w:rPr>
          <w:rFonts w:cs="Times New Roman"/>
          <w:bCs/>
        </w:rPr>
        <w:t>study</w:t>
      </w:r>
      <w:r w:rsidRPr="0091560A">
        <w:rPr>
          <w:rFonts w:cs="Times New Roman"/>
          <w:bCs/>
        </w:rPr>
        <w:t xml:space="preserve"> focussed </w:t>
      </w:r>
      <w:r w:rsidR="00161202">
        <w:rPr>
          <w:rFonts w:cs="Times New Roman"/>
          <w:bCs/>
        </w:rPr>
        <w:t>on</w:t>
      </w:r>
      <w:r w:rsidR="00161202" w:rsidRPr="0091560A">
        <w:rPr>
          <w:rFonts w:cs="Times New Roman"/>
          <w:bCs/>
        </w:rPr>
        <w:t xml:space="preserve"> </w:t>
      </w:r>
      <w:r w:rsidRPr="0091560A">
        <w:rPr>
          <w:rFonts w:cs="Times New Roman"/>
          <w:bCs/>
        </w:rPr>
        <w:t>admissions preceding suicide from Victoria, Australia</w:t>
      </w:r>
      <w:r w:rsidR="00DE5F85" w:rsidRPr="0091560A">
        <w:rPr>
          <w:rFonts w:cs="Times New Roman"/>
          <w:bCs/>
        </w:rPr>
        <w:t>.</w:t>
      </w:r>
      <w:r w:rsidRPr="0091560A">
        <w:rPr>
          <w:rFonts w:cs="Times New Roman"/>
          <w:bCs/>
        </w:rPr>
        <w:t xml:space="preserve"> </w:t>
      </w:r>
      <w:r w:rsidR="00DE5F85" w:rsidRPr="0091560A">
        <w:rPr>
          <w:rFonts w:cs="Times New Roman"/>
          <w:bCs/>
        </w:rPr>
        <w:fldChar w:fldCharType="begin"/>
      </w:r>
      <w:r w:rsidR="006E08D8">
        <w:rPr>
          <w:rFonts w:cs="Times New Roman"/>
          <w:bCs/>
        </w:rPr>
        <w:instrText xml:space="preserve"> ADDIN EN.CITE &lt;EndNote&gt;&lt;Cite&gt;&lt;Author&gt;Fernando&lt;/Author&gt;&lt;Year&gt;2022&lt;/Year&gt;&lt;RecNum&gt;945&lt;/RecNum&gt;&lt;DisplayText&gt;(Fernando, Clapperton, &amp;amp; Berecki-Gisolf, 2022)&lt;/DisplayText&gt;&lt;record&gt;&lt;rec-number&gt;945&lt;/rec-number&gt;&lt;foreign-keys&gt;&lt;key app="EN" db-id="90p22wx96ddedpe0r9pxtt9gzz05dd5ev299" timestamp="1658453558"&gt;945&lt;/key&gt;&lt;/foreign-keys&gt;&lt;ref-type name="Journal Article"&gt;17&lt;/ref-type&gt;&lt;contributors&gt;&lt;authors&gt;&lt;author&gt;Fernando, D. T.&lt;/author&gt;&lt;author&gt;Clapperton, A.&lt;/author&gt;&lt;author&gt;Berecki-Gisolf, J.&lt;/author&gt;&lt;/authors&gt;&lt;/contributors&gt;&lt;auth-address&gt;Victorian Injury Surveillance Unit, Monash University Accident Research Centre, Monash University, Clayton, Victoria, Australia.&lt;/auth-address&gt;&lt;titles&gt;&lt;title&gt;Suicide following hospital admission for mental health conditions, physical illness, injury and intentional self-harm in Victoria, Australia&lt;/title&gt;&lt;secondary-title&gt;PLoS One&lt;/secondary-title&gt;&lt;/titles&gt;&lt;periodical&gt;&lt;full-title&gt;PLoS One&lt;/full-title&gt;&lt;/periodical&gt;&lt;pages&gt;e0271341&lt;/pages&gt;&lt;volume&gt;17&lt;/volume&gt;&lt;number&gt;7&lt;/number&gt;&lt;edition&gt;2022/07/12&lt;/edition&gt;&lt;keywords&gt;&lt;keyword&gt;Adult&lt;/keyword&gt;&lt;keyword&gt;Hospitals&lt;/keyword&gt;&lt;keyword&gt;Humans&lt;/keyword&gt;&lt;keyword&gt;Mental Health&lt;/keyword&gt;&lt;keyword&gt;Retrospective Studies&lt;/keyword&gt;&lt;keyword&gt;*Self-Injurious Behavior/psychology&lt;/keyword&gt;&lt;keyword&gt;*Suicide/prevention &amp;amp; control&lt;/keyword&gt;&lt;keyword&gt;Victoria/epidemiology&lt;/keyword&gt;&lt;/keywords&gt;&lt;dates&gt;&lt;year&gt;2022&lt;/year&gt;&lt;/dates&gt;&lt;isbn&gt;1932-6203&lt;/isbn&gt;&lt;accession-num&gt;35816509&lt;/accession-num&gt;&lt;urls&gt;&lt;/urls&gt;&lt;custom2&gt;PMC9273064&lt;/custom2&gt;&lt;electronic-resource-num&gt;10.1371/journal.pone.0271341&lt;/electronic-resource-num&gt;&lt;remote-database-provider&gt;NLM&lt;/remote-database-provider&gt;&lt;language&gt;eng&lt;/language&gt;&lt;/record&gt;&lt;/Cite&gt;&lt;/EndNote&gt;</w:instrText>
      </w:r>
      <w:r w:rsidR="00DE5F85" w:rsidRPr="0091560A">
        <w:rPr>
          <w:rFonts w:cs="Times New Roman"/>
          <w:bCs/>
        </w:rPr>
        <w:fldChar w:fldCharType="separate"/>
      </w:r>
      <w:r w:rsidR="00B33E54">
        <w:rPr>
          <w:rFonts w:cs="Times New Roman"/>
          <w:bCs/>
          <w:noProof/>
        </w:rPr>
        <w:t>(Fernando, Clapperton, &amp; Berecki-Gisolf, 2022)</w:t>
      </w:r>
      <w:r w:rsidR="00DE5F85" w:rsidRPr="0091560A">
        <w:rPr>
          <w:rFonts w:cs="Times New Roman"/>
          <w:bCs/>
        </w:rPr>
        <w:fldChar w:fldCharType="end"/>
      </w:r>
      <w:r w:rsidR="0017493B">
        <w:rPr>
          <w:rFonts w:cs="Times New Roman"/>
          <w:bCs/>
        </w:rPr>
        <w:t>.</w:t>
      </w:r>
      <w:r w:rsidRPr="0091560A">
        <w:rPr>
          <w:rFonts w:cs="Times New Roman"/>
          <w:bCs/>
        </w:rPr>
        <w:t xml:space="preserve"> In this study, the top 2, and 5 of the top 7, admission diagnosis codes associated with subsequent suicide were for various poisonings. Non-opioid analgesic poisoning (T39.*) was in 5</w:t>
      </w:r>
      <w:r w:rsidRPr="0091560A">
        <w:rPr>
          <w:rFonts w:cs="Times New Roman"/>
          <w:bCs/>
          <w:vertAlign w:val="superscript"/>
        </w:rPr>
        <w:t>th</w:t>
      </w:r>
      <w:r w:rsidRPr="0091560A">
        <w:rPr>
          <w:rFonts w:cs="Times New Roman"/>
          <w:bCs/>
        </w:rPr>
        <w:t xml:space="preserve"> place with a standardised mortality ratio for suicide in the year following this poisoning of 66.0 (95% CI: 45.6–92.5).  However, this study was not sufficiently large to explore sub-groups (e.g., children/adolescents), and focussed only on suicide in one year </w:t>
      </w:r>
      <w:r w:rsidR="00D12D2D">
        <w:rPr>
          <w:rFonts w:cs="Times New Roman"/>
          <w:bCs/>
        </w:rPr>
        <w:t xml:space="preserve">period </w:t>
      </w:r>
      <w:r w:rsidRPr="0091560A">
        <w:rPr>
          <w:rFonts w:cs="Times New Roman"/>
          <w:bCs/>
        </w:rPr>
        <w:t>following the admission. Larger, more comprehensive, and longer-term studies utilising linked data are required. For example, the Victorian data might be usefully expanded and combined with the larger similar study that has yet to report on such preceding risk factors</w:t>
      </w:r>
      <w:r w:rsidR="00D12D2D">
        <w:rPr>
          <w:rFonts w:cs="Times New Roman"/>
          <w:bCs/>
        </w:rPr>
        <w:t xml:space="preserve"> </w:t>
      </w:r>
      <w:r w:rsidR="00644BDC" w:rsidRPr="0091560A">
        <w:rPr>
          <w:rFonts w:cs="Times New Roman"/>
          <w:bCs/>
        </w:rPr>
        <w:fldChar w:fldCharType="begin">
          <w:fldData xml:space="preserve">PEVuZE5vdGU+PENpdGU+PEF1dGhvcj5DaGl0dHk8L0F1dGhvcj48WWVhcj4yMDIwPC9ZZWFyPjxS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</w:fldData>
        </w:fldChar>
      </w:r>
      <w:r w:rsidR="006E08D8">
        <w:rPr>
          <w:rFonts w:cs="Times New Roman"/>
          <w:bCs/>
        </w:rPr>
        <w:instrText xml:space="preserve"> ADDIN EN.CITE </w:instrText>
      </w:r>
      <w:r w:rsidR="006E08D8">
        <w:rPr>
          <w:rFonts w:cs="Times New Roman"/>
          <w:bCs/>
        </w:rPr>
        <w:fldChar w:fldCharType="begin">
          <w:fldData xml:space="preserve">PEVuZE5vdGU+PENpdGU+PEF1dGhvcj5DaGl0dHk8L0F1dGhvcj48WWVhcj4yMDIwPC9ZZWFyPjxS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</w:fldData>
        </w:fldChar>
      </w:r>
      <w:r w:rsidR="006E08D8">
        <w:rPr>
          <w:rFonts w:cs="Times New Roman"/>
          <w:bCs/>
        </w:rPr>
        <w:instrText xml:space="preserve"> ADDIN EN.CITE.DATA </w:instrText>
      </w:r>
      <w:r w:rsidR="006E08D8">
        <w:rPr>
          <w:rFonts w:cs="Times New Roman"/>
          <w:bCs/>
        </w:rPr>
      </w:r>
      <w:r w:rsidR="006E08D8">
        <w:rPr>
          <w:rFonts w:cs="Times New Roman"/>
          <w:bCs/>
        </w:rPr>
        <w:fldChar w:fldCharType="end"/>
      </w:r>
      <w:r w:rsidR="00644BDC" w:rsidRPr="0091560A">
        <w:rPr>
          <w:rFonts w:cs="Times New Roman"/>
          <w:bCs/>
        </w:rPr>
      </w:r>
      <w:r w:rsidR="00644BDC" w:rsidRPr="0091560A">
        <w:rPr>
          <w:rFonts w:cs="Times New Roman"/>
          <w:bCs/>
        </w:rPr>
        <w:fldChar w:fldCharType="separate"/>
      </w:r>
      <w:r w:rsidR="00644BDC" w:rsidRPr="0091560A">
        <w:rPr>
          <w:rFonts w:cs="Times New Roman"/>
          <w:bCs/>
          <w:noProof/>
        </w:rPr>
        <w:t>(Chitty et al., 2020)</w:t>
      </w:r>
      <w:r w:rsidR="00644BDC" w:rsidRPr="0091560A">
        <w:rPr>
          <w:rFonts w:cs="Times New Roman"/>
          <w:bCs/>
        </w:rPr>
        <w:fldChar w:fldCharType="end"/>
      </w:r>
      <w:r w:rsidR="00D12D2D">
        <w:rPr>
          <w:rFonts w:cs="Times New Roman"/>
          <w:bCs/>
        </w:rPr>
        <w:t>.</w:t>
      </w:r>
      <w:r w:rsidRPr="0091560A">
        <w:rPr>
          <w:rFonts w:cs="Times New Roman"/>
          <w:bCs/>
        </w:rPr>
        <w:t xml:space="preserve"> There is also a linked NSW poisoning data cohort that has been established yet to report, that might examine outcomes other than suicide (Rose Cairns, personal communication). Facilitated use of the National Integrated Health Services Information (NIHSI) Analysis Asset through the AIHW would allow even more comprehensive studies</w:t>
      </w:r>
      <w:r w:rsidR="00D12D2D">
        <w:rPr>
          <w:rFonts w:cs="Times New Roman"/>
          <w:bCs/>
        </w:rPr>
        <w:t xml:space="preserve"> </w:t>
      </w:r>
      <w:r w:rsidR="00644BDC" w:rsidRPr="0091560A">
        <w:rPr>
          <w:rFonts w:cs="Times New Roman"/>
          <w:bCs/>
        </w:rPr>
        <w:fldChar w:fldCharType="begin"/>
      </w:r>
      <w:r w:rsidR="006E08D8">
        <w:rPr>
          <w:rFonts w:cs="Times New Roman"/>
          <w:bCs/>
        </w:rPr>
        <w:instrText xml:space="preserve"> ADDIN EN.CITE &lt;EndNote&gt;&lt;Cite&gt;&lt;Author&gt;Briffa&lt;/Author&gt;&lt;Year&gt;2019&lt;/Year&gt;&lt;RecNum&gt;938&lt;/RecNum&gt;&lt;DisplayText&gt;(Briffa, Jorm, Jackson, Reid, &amp;amp; Chew, 2019)&lt;/DisplayText&gt;&lt;record&gt;&lt;rec-number&gt;938&lt;/rec-number&gt;&lt;foreign-keys&gt;&lt;key app="EN" db-id="90p22wx96ddedpe0r9pxtt9gzz05dd5ev299" timestamp="1658412116"&gt;938&lt;/key&gt;&lt;/foreign-keys&gt;&lt;ref-type name="Journal Article"&gt;17&lt;/ref-type&gt;&lt;contributors&gt;&lt;authors&gt;&lt;author&gt;Briffa, T. G.&lt;/author&gt;&lt;author&gt;Jorm, L.&lt;/author&gt;&lt;author&gt;Jackson, R. T.&lt;/author&gt;&lt;author&gt;Reid, C.&lt;/author&gt;&lt;author&gt;Chew, D. P.&lt;/author&gt;&lt;/authors&gt;&lt;/contributors&gt;&lt;auth-address&gt;University of Western Australia, Perth, WA.&amp;#xD;Centre for Big Data Research in Health, UNSW Sydney, Sydney, NSW.&amp;#xD;University of Auckland, Auckland, New Zealand.&amp;#xD;Curtin University, Perth, WA.&amp;#xD;Flinders University, Adelaide, SA.&lt;/auth-address&gt;&lt;titles&gt;&lt;title&gt;Nationally linked data to improve health services and policy&lt;/title&gt;&lt;secondary-title&gt;Med J Aust&lt;/secondary-title&gt;&lt;/titles&gt;&lt;periodical&gt;&lt;full-title&gt;Med J Aust&lt;/full-title&gt;&lt;/periodical&gt;&lt;pages&gt;397-398.e1&lt;/pages&gt;&lt;volume&gt;211&lt;/volume&gt;&lt;number&gt;9&lt;/number&gt;&lt;edition&gt;20191017&lt;/edition&gt;&lt;keywords&gt;&lt;keyword&gt;Australia&lt;/keyword&gt;&lt;keyword&gt;Data Collection&lt;/keyword&gt;&lt;keyword&gt;Data Management&lt;/keyword&gt;&lt;keyword&gt;*Datasets as Topic&lt;/keyword&gt;&lt;keyword&gt;*Health Policy&lt;/keyword&gt;&lt;keyword&gt;*Health Services Research&lt;/keyword&gt;&lt;keyword&gt;Humans&lt;/keyword&gt;&lt;keyword&gt;Information Storage and Retrieval&lt;/keyword&gt;&lt;keyword&gt;New Zealand&lt;/keyword&gt;&lt;keyword&gt;Quality Improvement&lt;/keyword&gt;&lt;keyword&gt;*Delivery of healthcare&lt;/keyword&gt;&lt;keyword&gt;*Health planning&lt;/keyword&gt;&lt;/keywords&gt;&lt;dates&gt;&lt;year&gt;2019&lt;/year&gt;&lt;pub-dates&gt;&lt;date&gt;Nov&lt;/date&gt;&lt;/pub-dates&gt;&lt;/dates&gt;&lt;isbn&gt;0025-729x&lt;/isbn&gt;&lt;accession-num&gt;31625139&lt;/accession-num&gt;&lt;urls&gt;&lt;/urls&gt;&lt;electronic-resource-num&gt;10.5694/mja2.50368&lt;/electronic-resource-num&gt;&lt;remote-database-provider&gt;NLM&lt;/remote-database-provider&gt;&lt;language&gt;eng&lt;/language&gt;&lt;/record&gt;&lt;/Cite&gt;&lt;/EndNote&gt;</w:instrText>
      </w:r>
      <w:r w:rsidR="00644BDC" w:rsidRPr="0091560A">
        <w:rPr>
          <w:rFonts w:cs="Times New Roman"/>
          <w:bCs/>
        </w:rPr>
        <w:fldChar w:fldCharType="separate"/>
      </w:r>
      <w:r w:rsidR="00717836">
        <w:rPr>
          <w:rFonts w:cs="Times New Roman"/>
          <w:bCs/>
          <w:noProof/>
        </w:rPr>
        <w:t>(Briffa, Jorm, Jackson, Reid, &amp; Chew, 2019)</w:t>
      </w:r>
      <w:r w:rsidR="00644BDC" w:rsidRPr="0091560A">
        <w:rPr>
          <w:rFonts w:cs="Times New Roman"/>
          <w:bCs/>
        </w:rPr>
        <w:fldChar w:fldCharType="end"/>
      </w:r>
      <w:r w:rsidR="00D12D2D">
        <w:rPr>
          <w:rFonts w:cs="Times New Roman"/>
          <w:bCs/>
        </w:rPr>
        <w:t>.</w:t>
      </w:r>
    </w:p>
    <w:p w14:paraId="766427F0" w14:textId="2CD6CA62" w:rsidR="00D709C3" w:rsidRPr="0061747F" w:rsidRDefault="0061747F" w:rsidP="00186613">
      <w:pPr>
        <w:spacing w:after="120"/>
        <w:rPr>
          <w:rFonts w:cs="Times New Roman"/>
          <w:b/>
          <w:szCs w:val="24"/>
        </w:rPr>
      </w:pPr>
      <w:r>
        <w:rPr>
          <w:rFonts w:cs="Times New Roman"/>
          <w:b/>
          <w:szCs w:val="24"/>
        </w:rPr>
        <w:t>M</w:t>
      </w:r>
      <w:r w:rsidR="00D709C3" w:rsidRPr="0061747F">
        <w:rPr>
          <w:rFonts w:cs="Times New Roman"/>
          <w:b/>
          <w:szCs w:val="24"/>
        </w:rPr>
        <w:t>edical and psychiatric management of paracetamol self-poisoning</w:t>
      </w:r>
    </w:p>
    <w:p w14:paraId="7B5D1400" w14:textId="75563AC8" w:rsidR="00D709C3" w:rsidRPr="0091560A" w:rsidRDefault="00D709C3" w:rsidP="00D709C3">
      <w:pPr>
        <w:spacing w:after="120"/>
        <w:rPr>
          <w:rFonts w:cs="Times New Roman"/>
          <w:bCs/>
        </w:rPr>
      </w:pPr>
      <w:r w:rsidRPr="0091560A">
        <w:rPr>
          <w:rFonts w:cs="Times New Roman"/>
          <w:bCs/>
        </w:rPr>
        <w:t xml:space="preserve">Paracetamol poisoning remains the most common cause of acute liver failure and causes </w:t>
      </w:r>
      <w:r w:rsidR="00B92655">
        <w:rPr>
          <w:rFonts w:cs="Times New Roman"/>
          <w:bCs/>
        </w:rPr>
        <w:t xml:space="preserve">liver injury and </w:t>
      </w:r>
      <w:r w:rsidRPr="0091560A">
        <w:rPr>
          <w:rFonts w:cs="Times New Roman"/>
          <w:bCs/>
        </w:rPr>
        <w:t xml:space="preserve">many deaths after arrival in hospital. This indicates there is still a need to research methods to improve medical management. This could potentially include simply using current treatments more effectively, by ensuring translation of current guidelines into practice. There are also a number of new antidotes in development, of which the most promising is fomepizole. This is an approved treatment for methanol and ethylene glycol poisoning. It </w:t>
      </w:r>
      <w:r w:rsidR="00D12D2D">
        <w:rPr>
          <w:rFonts w:cs="Times New Roman"/>
          <w:bCs/>
        </w:rPr>
        <w:t xml:space="preserve">may </w:t>
      </w:r>
      <w:r w:rsidRPr="0091560A">
        <w:rPr>
          <w:rFonts w:cs="Times New Roman"/>
          <w:bCs/>
        </w:rPr>
        <w:t>also work for paracetamol poisoning by completely blocking production of the toxic metabolite NAPQI. Other mechanisms may be in play, as it appears to be effective even when administered with considerable delay. Current evidence is largely limited to animal models and small uncontrolled series with kinetic data. More rigorous randomised clinical trials will be required to meet regulatory and evidence-based guideline standards.</w:t>
      </w:r>
    </w:p>
    <w:p w14:paraId="3CD540E8" w14:textId="2E3A5FDD" w:rsidR="00D709C3" w:rsidRPr="0091560A" w:rsidRDefault="00D709C3" w:rsidP="00D709C3">
      <w:pPr>
        <w:spacing w:after="120"/>
        <w:rPr>
          <w:rFonts w:cs="Times New Roman"/>
          <w:b/>
          <w:szCs w:val="24"/>
        </w:rPr>
      </w:pPr>
      <w:r w:rsidRPr="0091560A">
        <w:rPr>
          <w:rFonts w:cs="Times New Roman"/>
          <w:bCs/>
        </w:rPr>
        <w:t>There is strong evidence that psycho-social interventions post self-poisoning are likely to help in reducing suicide reattempt. Increased monitoring and better implementation of effective aftercare services is still needed</w:t>
      </w:r>
      <w:r w:rsidR="00D12D2D">
        <w:rPr>
          <w:rFonts w:cs="Times New Roman"/>
          <w:bCs/>
        </w:rPr>
        <w:t xml:space="preserve"> </w:t>
      </w:r>
      <w:r w:rsidR="00644BDC" w:rsidRPr="0091560A">
        <w:rPr>
          <w:rFonts w:cs="Times New Roman"/>
          <w:bCs/>
        </w:rPr>
        <w:fldChar w:fldCharType="begin"/>
      </w:r>
      <w:r w:rsidR="006E08D8">
        <w:rPr>
          <w:rFonts w:cs="Times New Roman"/>
          <w:bCs/>
        </w:rPr>
        <w:instrText xml:space="preserve"> ADDIN EN.CITE &lt;EndNote&gt;&lt;Cite&gt;&lt;Author&gt;Shand&lt;/Author&gt;&lt;Year&gt;2019&lt;/Year&gt;&lt;RecNum&gt;955&lt;/RecNum&gt;&lt;DisplayText&gt;(F.  Shand et al., 2019)&lt;/DisplayText&gt;&lt;record&gt;&lt;rec-number&gt;955&lt;/rec-number&gt;&lt;foreign-keys&gt;&lt;key app="EN" db-id="90p22wx96ddedpe0r9pxtt9gzz05dd5ev299" timestamp="1658462697"&gt;955&lt;/key&gt;&lt;/foreign-keys&gt;&lt;ref-type name="Government Document"&gt;46&lt;/ref-type&gt;&lt;contributors&gt;&lt;authors&gt;&lt;author&gt;Shand, F. &lt;/author&gt;&lt;author&gt;Woodward, A. &lt;/author&gt;&lt;author&gt;McGill, K.A. &lt;/author&gt;&lt;author&gt;Larsen, M.&lt;/author&gt;&lt;author&gt;Torok, M.&lt;/author&gt;&lt;author&gt;Petheridge, A.&lt;/author&gt;&lt;author&gt;Rosebrock, H.&lt;/author&gt;&lt;author&gt;Cotterill, T.&lt;/author&gt;&lt;author&gt;Hains, A. &lt;/author&gt;&lt;/authors&gt;&lt;/contributors&gt;&lt;titles&gt;&lt;title&gt;Suicide aftercare services: an Evidence Check rapid review brokered by the Sax Institute (www.saxinstitute.org.au) for the NSW Ministry of Health&lt;/title&gt;&lt;/titles&gt;&lt;dates&gt;&lt;year&gt;2019&lt;/year&gt;&lt;/dates&gt;&lt;publisher&gt;Sax Institute&lt;/publisher&gt;&lt;urls&gt;&lt;related-urls&gt;&lt;url&gt;https://dev.saxinstitute.org.au/wp-content/uploads/2019_Suicide-Aftercare-Services-Report.pdf&lt;/url&gt;&lt;/related-urls&gt;&lt;/urls&gt;&lt;/record&gt;&lt;/Cite&gt;&lt;/EndNote&gt;</w:instrText>
      </w:r>
      <w:r w:rsidR="00644BDC" w:rsidRPr="0091560A">
        <w:rPr>
          <w:rFonts w:cs="Times New Roman"/>
          <w:bCs/>
        </w:rPr>
        <w:fldChar w:fldCharType="separate"/>
      </w:r>
      <w:r w:rsidR="00644BDC" w:rsidRPr="0091560A">
        <w:rPr>
          <w:rFonts w:cs="Times New Roman"/>
          <w:bCs/>
          <w:noProof/>
        </w:rPr>
        <w:t>(F.  Shand et al., 2019)</w:t>
      </w:r>
      <w:r w:rsidR="00644BDC" w:rsidRPr="0091560A">
        <w:rPr>
          <w:rFonts w:cs="Times New Roman"/>
          <w:bCs/>
        </w:rPr>
        <w:fldChar w:fldCharType="end"/>
      </w:r>
      <w:r w:rsidR="00D12D2D">
        <w:rPr>
          <w:rFonts w:cs="Times New Roman"/>
          <w:bCs/>
        </w:rPr>
        <w:t>.</w:t>
      </w:r>
      <w:r w:rsidRPr="0091560A">
        <w:rPr>
          <w:rFonts w:cs="Times New Roman"/>
          <w:bCs/>
        </w:rPr>
        <w:t xml:space="preserve"> New treatments for suicidality have emerged, such as the use of </w:t>
      </w:r>
      <w:r w:rsidR="006C12FE">
        <w:rPr>
          <w:rFonts w:cs="Times New Roman"/>
          <w:bCs/>
        </w:rPr>
        <w:t>k</w:t>
      </w:r>
      <w:r w:rsidR="006C12FE" w:rsidRPr="0091560A">
        <w:rPr>
          <w:rFonts w:cs="Times New Roman"/>
          <w:bCs/>
        </w:rPr>
        <w:t xml:space="preserve">etamine </w:t>
      </w:r>
      <w:r w:rsidR="00644BDC" w:rsidRPr="0091560A">
        <w:rPr>
          <w:rFonts w:cs="Times New Roman"/>
          <w:bCs/>
        </w:rPr>
        <w:fldChar w:fldCharType="begin">
          <w:fldData xml:space="preserve">PEVuZE5vdGU+PENpdGU+PEF1dGhvcj5XaXR0PC9BdXRob3I+PFllYXI+MjAyMDwvWWVhcj48UmVj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</w:fldData>
        </w:fldChar>
      </w:r>
      <w:r w:rsidR="006E08D8">
        <w:rPr>
          <w:rFonts w:cs="Times New Roman"/>
          <w:bCs/>
        </w:rPr>
        <w:instrText xml:space="preserve"> ADDIN EN.CITE </w:instrText>
      </w:r>
      <w:r w:rsidR="006E08D8">
        <w:rPr>
          <w:rFonts w:cs="Times New Roman"/>
          <w:bCs/>
        </w:rPr>
        <w:fldChar w:fldCharType="begin">
          <w:fldData xml:space="preserve">PEVuZE5vdGU+PENpdGU+PEF1dGhvcj5XaXR0PC9BdXRob3I+PFllYXI+MjAyMDwvWWVhcj48UmVj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</w:fldData>
        </w:fldChar>
      </w:r>
      <w:r w:rsidR="006E08D8">
        <w:rPr>
          <w:rFonts w:cs="Times New Roman"/>
          <w:bCs/>
        </w:rPr>
        <w:instrText xml:space="preserve"> ADDIN EN.CITE.DATA </w:instrText>
      </w:r>
      <w:r w:rsidR="006E08D8">
        <w:rPr>
          <w:rFonts w:cs="Times New Roman"/>
          <w:bCs/>
        </w:rPr>
      </w:r>
      <w:r w:rsidR="006E08D8">
        <w:rPr>
          <w:rFonts w:cs="Times New Roman"/>
          <w:bCs/>
        </w:rPr>
        <w:fldChar w:fldCharType="end"/>
      </w:r>
      <w:r w:rsidR="00644BDC" w:rsidRPr="0091560A">
        <w:rPr>
          <w:rFonts w:cs="Times New Roman"/>
          <w:bCs/>
        </w:rPr>
      </w:r>
      <w:r w:rsidR="00644BDC" w:rsidRPr="0091560A">
        <w:rPr>
          <w:rFonts w:cs="Times New Roman"/>
          <w:bCs/>
        </w:rPr>
        <w:fldChar w:fldCharType="separate"/>
      </w:r>
      <w:r w:rsidR="00644BDC" w:rsidRPr="0091560A">
        <w:rPr>
          <w:rFonts w:cs="Times New Roman"/>
          <w:bCs/>
          <w:noProof/>
        </w:rPr>
        <w:t>(Witt et al., 2020)</w:t>
      </w:r>
      <w:r w:rsidR="00644BDC" w:rsidRPr="0091560A">
        <w:rPr>
          <w:rFonts w:cs="Times New Roman"/>
          <w:bCs/>
        </w:rPr>
        <w:fldChar w:fldCharType="end"/>
      </w:r>
      <w:r w:rsidR="006C12FE">
        <w:rPr>
          <w:rFonts w:cs="Times New Roman"/>
          <w:bCs/>
        </w:rPr>
        <w:t xml:space="preserve"> </w:t>
      </w:r>
      <w:r w:rsidRPr="0091560A">
        <w:rPr>
          <w:rFonts w:cs="Times New Roman"/>
          <w:bCs/>
        </w:rPr>
        <w:t xml:space="preserve">which shows promising outcomes. A focus on </w:t>
      </w:r>
      <w:r w:rsidR="00E24C6A">
        <w:rPr>
          <w:rFonts w:cs="Times New Roman"/>
          <w:bCs/>
        </w:rPr>
        <w:t>reaching</w:t>
      </w:r>
      <w:r w:rsidR="00E24C6A" w:rsidRPr="0091560A">
        <w:rPr>
          <w:rFonts w:cs="Times New Roman"/>
          <w:bCs/>
        </w:rPr>
        <w:t xml:space="preserve"> </w:t>
      </w:r>
      <w:r w:rsidRPr="0091560A">
        <w:rPr>
          <w:rFonts w:cs="Times New Roman"/>
          <w:bCs/>
        </w:rPr>
        <w:t>people preventatively, before they self-harm, may require innovative social media or mobile apps</w:t>
      </w:r>
      <w:r w:rsidR="00D12D2D">
        <w:rPr>
          <w:rFonts w:cs="Times New Roman"/>
          <w:bCs/>
        </w:rPr>
        <w:t xml:space="preserve"> </w:t>
      </w:r>
      <w:r w:rsidR="00644BDC" w:rsidRPr="0091560A">
        <w:rPr>
          <w:rFonts w:cs="Times New Roman"/>
          <w:bCs/>
        </w:rPr>
        <w:fldChar w:fldCharType="begin"/>
      </w:r>
      <w:r w:rsidR="00644BDC" w:rsidRPr="0091560A">
        <w:rPr>
          <w:rFonts w:cs="Times New Roman"/>
          <w:bCs/>
        </w:rPr>
        <w:instrText xml:space="preserve"> ADDIN EN.CITE &lt;EndNote&gt;&lt;Cite&gt;&lt;Author&gt;Torok&lt;/Author&gt;&lt;Year&gt;2022&lt;/Year&gt;&lt;RecNum&gt;941&lt;/RecNum&gt;&lt;DisplayText&gt;(Torok et al., 2022)&lt;/DisplayText&gt;&lt;record&gt;&lt;rec-number&gt;941&lt;/rec-number&gt;&lt;foreign-keys&gt;&lt;key app="EN" db-id="90p22wx96ddedpe0r9pxtt9gzz05dd5ev299" timestamp="1658412296"&gt;941&lt;/key&gt;&lt;/foreign-keys&gt;&lt;ref-type name="Journal Article"&gt;17&lt;/ref-type&gt;&lt;contributors&gt;&lt;authors&gt;&lt;author&gt;Torok, M.&lt;/author&gt;&lt;author&gt;Han, J.&lt;/author&gt;&lt;author&gt;McGillivray, L.&lt;/author&gt;&lt;author&gt;Wong, Q.&lt;/author&gt;&lt;author&gt;Werner-Seidler, A.&lt;/author&gt;&lt;author&gt;O&amp;apos;Dea, B.&lt;/author&gt;&lt;author&gt;Calear, A.&lt;/author&gt;&lt;author&gt;Christensen, H.&lt;/author&gt;&lt;/authors&gt;&lt;/contributors&gt;&lt;auth-address&gt;University of New South Wales, Sydney, Australia.&amp;#xD;Western Sydney University, Sydney, Australia.&amp;#xD;The Australian National University, Canberra, Australia.&lt;/auth-address&gt;&lt;titles&gt;&lt;title&gt;The effect of a therapeutic smartphone application on suicidal ideation in young adults: Findings from a randomized controlled trial in Australia&lt;/title&gt;&lt;secondary-title&gt;PLoS Med&lt;/secondary-title&gt;&lt;/titles&gt;&lt;pages&gt;e1003978&lt;/pages&gt;&lt;volume&gt;19&lt;/volume&gt;&lt;number&gt;5&lt;/number&gt;&lt;edition&gt;20220531&lt;/edition&gt;&lt;keywords&gt;&lt;keyword&gt;Australia&lt;/keyword&gt;&lt;keyword&gt;Humans&lt;/keyword&gt;&lt;keyword&gt;*Smartphone&lt;/keyword&gt;&lt;keyword&gt;*Suicidal Ideation&lt;/keyword&gt;&lt;keyword&gt;Suicide, Attempted&lt;/keyword&gt;&lt;keyword&gt;Surveys and Questionnaires&lt;/keyword&gt;&lt;keyword&gt;Young Adult&lt;/keyword&gt;&lt;/keywords&gt;&lt;dates&gt;&lt;year&gt;2022&lt;/year&gt;&lt;pub-dates&gt;&lt;date&gt;May&lt;/date&gt;&lt;/pub-dates&gt;&lt;/dates&gt;&lt;isbn&gt;1549-1277 (Print)&amp;#xD;1549-1277&lt;/isbn&gt;&lt;accession-num&gt;35639672&lt;/accession-num&gt;&lt;urls&gt;&lt;/urls&gt;&lt;custom1&gt;The authors have declared that no competing interests exist.&lt;/custom1&gt;&lt;custom2&gt;PMC9154190&lt;/custom2&gt;&lt;electronic-resource-num&gt;10.1371/journal.pmed.1003978&lt;/electronic-resource-num&gt;&lt;remote-database-provider&gt;NLM&lt;/remote-database-provider&gt;&lt;language&gt;eng&lt;/language&gt;&lt;/record&gt;&lt;/Cite&gt;&lt;/EndNote&gt;</w:instrText>
      </w:r>
      <w:r w:rsidR="00644BDC" w:rsidRPr="0091560A">
        <w:rPr>
          <w:rFonts w:cs="Times New Roman"/>
          <w:bCs/>
        </w:rPr>
        <w:fldChar w:fldCharType="separate"/>
      </w:r>
      <w:r w:rsidR="00644BDC" w:rsidRPr="0091560A">
        <w:rPr>
          <w:rFonts w:cs="Times New Roman"/>
          <w:bCs/>
          <w:noProof/>
        </w:rPr>
        <w:t>(Torok et al., 2022)</w:t>
      </w:r>
      <w:r w:rsidR="00644BDC" w:rsidRPr="0091560A">
        <w:rPr>
          <w:rFonts w:cs="Times New Roman"/>
          <w:bCs/>
        </w:rPr>
        <w:fldChar w:fldCharType="end"/>
      </w:r>
      <w:r w:rsidR="00D12D2D">
        <w:rPr>
          <w:rFonts w:cs="Times New Roman"/>
          <w:bCs/>
        </w:rPr>
        <w:t>,</w:t>
      </w:r>
      <w:r w:rsidRPr="0091560A">
        <w:rPr>
          <w:rFonts w:cs="Times New Roman"/>
          <w:bCs/>
        </w:rPr>
        <w:t xml:space="preserve"> some of which target young people</w:t>
      </w:r>
      <w:r w:rsidR="00E24C6A">
        <w:rPr>
          <w:rFonts w:cs="Times New Roman"/>
          <w:bCs/>
        </w:rPr>
        <w:t>.</w:t>
      </w:r>
      <w:r w:rsidRPr="0091560A">
        <w:rPr>
          <w:rFonts w:cs="Times New Roman"/>
          <w:bCs/>
        </w:rPr>
        <w:t xml:space="preserve"> </w:t>
      </w:r>
      <w:r w:rsidR="00E24C6A">
        <w:rPr>
          <w:rFonts w:cs="Times New Roman"/>
          <w:bCs/>
        </w:rPr>
        <w:t>E</w:t>
      </w:r>
      <w:r w:rsidRPr="0091560A">
        <w:rPr>
          <w:rFonts w:cs="Times New Roman"/>
          <w:bCs/>
        </w:rPr>
        <w:t>ffective school based programs</w:t>
      </w:r>
      <w:r w:rsidR="00E24C6A">
        <w:rPr>
          <w:rFonts w:cs="Times New Roman"/>
          <w:bCs/>
        </w:rPr>
        <w:t xml:space="preserve"> should</w:t>
      </w:r>
      <w:r w:rsidR="00D12D2D">
        <w:rPr>
          <w:rFonts w:cs="Times New Roman"/>
          <w:bCs/>
        </w:rPr>
        <w:t xml:space="preserve"> also</w:t>
      </w:r>
      <w:r w:rsidR="00E24C6A">
        <w:rPr>
          <w:rFonts w:cs="Times New Roman"/>
          <w:bCs/>
        </w:rPr>
        <w:t xml:space="preserve"> be introduced in all Australian schools as part of the curriculum</w:t>
      </w:r>
      <w:r w:rsidR="00D12D2D">
        <w:rPr>
          <w:rFonts w:cs="Times New Roman"/>
          <w:bCs/>
        </w:rPr>
        <w:t xml:space="preserve"> </w:t>
      </w:r>
      <w:r w:rsidR="00644BDC" w:rsidRPr="0091560A">
        <w:rPr>
          <w:rFonts w:cs="Times New Roman"/>
          <w:bCs/>
        </w:rPr>
        <w:fldChar w:fldCharType="begin"/>
      </w:r>
      <w:r w:rsidR="00644BDC" w:rsidRPr="0091560A">
        <w:rPr>
          <w:rFonts w:cs="Times New Roman"/>
          <w:bCs/>
        </w:rPr>
        <w:instrText xml:space="preserve"> ADDIN EN.CITE &lt;EndNote&gt;&lt;Cite&gt;&lt;Author&gt;McGillivray&lt;/Author&gt;&lt;Year&gt;2021&lt;/Year&gt;&lt;RecNum&gt;940&lt;/RecNum&gt;&lt;DisplayText&gt;(McGillivray et al., 2021)&lt;/DisplayText&gt;&lt;record&gt;&lt;rec-number&gt;940&lt;/rec-number&gt;&lt;foreign-keys&gt;&lt;key app="EN" db-id="90p22wx96ddedpe0r9pxtt9gzz05dd5ev299" timestamp="1658412223"&gt;940&lt;/key&gt;&lt;/foreign-keys&gt;&lt;ref-type name="Journal Article"&gt;17&lt;/ref-type&gt;&lt;contributors&gt;&lt;authors&gt;&lt;author&gt;McGillivray, L.&lt;/author&gt;&lt;author&gt;Shand, F.&lt;/author&gt;&lt;author&gt;Calear, A. L.&lt;/author&gt;&lt;author&gt;Batterham, P. J.&lt;/author&gt;&lt;author&gt;Rheinberger, D.&lt;/author&gt;&lt;author&gt;Chen, N. A.&lt;/author&gt;&lt;author&gt;Burnett, A.&lt;/author&gt;&lt;author&gt;Torok, M.&lt;/author&gt;&lt;/authors&gt;&lt;/contributors&gt;&lt;auth-address&gt;Black Dog Institute, University of New South Wales, Hospital Road, Randwick, NSW, 2031, Australia. l.mcgillivray@unsw.edu.au.&amp;#xD;Black Dog Institute, University of New South Wales, Hospital Road, Randwick, NSW, 2031, Australia.&amp;#xD;Centre for Mental Health Research, Research School of Population Health, Australian National University, Eggleston Road, Acton, ACT, 2601, Australia.&lt;/auth-address&gt;&lt;titles&gt;&lt;title&gt;The Youth Aware of Mental Health program in Australian Secondary Schools: 3- and 6-month outcomes&lt;/title&gt;&lt;secondary-title&gt;Int J Ment Health Syst&lt;/secondary-title&gt;&lt;/titles&gt;&lt;pages&gt;79&lt;/pages&gt;&lt;volume&gt;15&lt;/volume&gt;&lt;number&gt;1&lt;/number&gt;&lt;edition&gt;20211021&lt;/edition&gt;&lt;keywords&gt;&lt;keyword&gt;Adolescence&lt;/keyword&gt;&lt;keyword&gt;Suicidal ideation&lt;/keyword&gt;&lt;keyword&gt;Suicide prevention&lt;/keyword&gt;&lt;keyword&gt;Youth Aware of Mental Health&lt;/keyword&gt;&lt;/keywords&gt;&lt;dates&gt;&lt;year&gt;2021&lt;/year&gt;&lt;pub-dates&gt;&lt;date&gt;Oct 21&lt;/date&gt;&lt;/pub-dates&gt;&lt;/dates&gt;&lt;isbn&gt;1752-4458 (Print)&amp;#xD;1752-4458&lt;/isbn&gt;&lt;accession-num&gt;34674726&lt;/accession-num&gt;&lt;urls&gt;&lt;/urls&gt;&lt;custom1&gt;The authors declare that they have no competing interests.&lt;/custom1&gt;&lt;custom2&gt;PMC8529373&lt;/custom2&gt;&lt;electronic-resource-num&gt;10.1186/s13033-021-00503-w&lt;/electronic-resource-num&gt;&lt;remote-database-provider&gt;NLM&lt;/remote-database-provider&gt;&lt;language&gt;eng&lt;/language&gt;&lt;/record&gt;&lt;/Cite&gt;&lt;/EndNote&gt;</w:instrText>
      </w:r>
      <w:r w:rsidR="00644BDC" w:rsidRPr="0091560A">
        <w:rPr>
          <w:rFonts w:cs="Times New Roman"/>
          <w:bCs/>
        </w:rPr>
        <w:fldChar w:fldCharType="separate"/>
      </w:r>
      <w:r w:rsidR="00644BDC" w:rsidRPr="0091560A">
        <w:rPr>
          <w:rFonts w:cs="Times New Roman"/>
          <w:bCs/>
          <w:noProof/>
        </w:rPr>
        <w:t>(McGillivray et al., 2021)</w:t>
      </w:r>
      <w:r w:rsidR="00644BDC" w:rsidRPr="0091560A">
        <w:rPr>
          <w:rFonts w:cs="Times New Roman"/>
          <w:bCs/>
        </w:rPr>
        <w:fldChar w:fldCharType="end"/>
      </w:r>
      <w:r w:rsidR="00D12D2D">
        <w:rPr>
          <w:rFonts w:cs="Times New Roman"/>
          <w:bCs/>
        </w:rPr>
        <w:t>.</w:t>
      </w:r>
      <w:r w:rsidRPr="0091560A">
        <w:rPr>
          <w:rFonts w:cs="Times New Roman"/>
          <w:bCs/>
        </w:rPr>
        <w:t xml:space="preserve"> </w:t>
      </w:r>
    </w:p>
    <w:p w14:paraId="48CA1CC3" w14:textId="77777777" w:rsidR="003532A5" w:rsidRDefault="003532A5"/>
    <w:p w14:paraId="0DB93646" w14:textId="506ACB72" w:rsidR="006F2501" w:rsidRDefault="0010684C" w:rsidP="00F44D7F">
      <w:pPr>
        <w:pStyle w:val="Heading3"/>
      </w:pPr>
      <w:bookmarkStart w:id="174" w:name="_Toc112843954"/>
      <w:r>
        <w:t xml:space="preserve">6.2.2  </w:t>
      </w:r>
      <w:r w:rsidR="006F2501">
        <w:t>Forward outlook</w:t>
      </w:r>
      <w:bookmarkEnd w:id="174"/>
    </w:p>
    <w:p w14:paraId="3EE80FE8" w14:textId="5FC5124B" w:rsidR="006F2501" w:rsidRPr="00D10E81" w:rsidRDefault="006F2501" w:rsidP="006F2501">
      <w:pPr>
        <w:rPr>
          <w:b/>
          <w:bCs/>
        </w:rPr>
      </w:pPr>
      <w:r w:rsidRPr="00D10E81">
        <w:rPr>
          <w:b/>
          <w:bCs/>
        </w:rPr>
        <w:t xml:space="preserve">Tablet size </w:t>
      </w:r>
    </w:p>
    <w:p w14:paraId="67B71BD5" w14:textId="230C9ACC" w:rsidR="006F2501" w:rsidRDefault="005E29B5" w:rsidP="006F2501">
      <w:r>
        <w:t xml:space="preserve">The TGA may in future be confronted with a question around </w:t>
      </w:r>
      <w:r w:rsidR="00303C0C">
        <w:t xml:space="preserve">permitting </w:t>
      </w:r>
      <w:r w:rsidR="006F2501">
        <w:t>larger tablet sizes (1000 mg)</w:t>
      </w:r>
      <w:r>
        <w:t>, which have been</w:t>
      </w:r>
      <w:r w:rsidR="006F2501">
        <w:t xml:space="preserve"> developed and registered overseas but not to date in Australia. These appear to lead to larger overdoses (Martinez-De la Torre et al., 2020). While it is possible smaller tablet sizes (e.g., 250</w:t>
      </w:r>
      <w:r>
        <w:t xml:space="preserve"> </w:t>
      </w:r>
      <w:r w:rsidR="006F2501">
        <w:t>mg) might lead to smaller overdoses, this would require 4 tablets per 1000</w:t>
      </w:r>
      <w:r w:rsidR="00C573B0">
        <w:t xml:space="preserve"> </w:t>
      </w:r>
      <w:r w:rsidR="006F2501">
        <w:t>mg therapeutic dose and we do not expect this would be acceptable to key stakeholders and patient groups.</w:t>
      </w:r>
    </w:p>
    <w:p w14:paraId="6EE8A02C" w14:textId="4CD0DCF4" w:rsidR="00D64881" w:rsidRPr="00D10E81" w:rsidRDefault="00116A32" w:rsidP="00D64881">
      <w:pPr>
        <w:rPr>
          <w:b/>
          <w:bCs/>
        </w:rPr>
      </w:pPr>
      <w:r w:rsidRPr="00D10E81">
        <w:rPr>
          <w:b/>
          <w:bCs/>
        </w:rPr>
        <w:t>Substitution and</w:t>
      </w:r>
      <w:r w:rsidR="00D64881" w:rsidRPr="00D10E81">
        <w:rPr>
          <w:b/>
          <w:bCs/>
        </w:rPr>
        <w:t xml:space="preserve"> OTC analgesics</w:t>
      </w:r>
    </w:p>
    <w:p w14:paraId="0334EB48" w14:textId="2A1DB98D" w:rsidR="00F20AF8" w:rsidRPr="001B1C21" w:rsidRDefault="00D64881" w:rsidP="00D64881">
      <w:r w:rsidRPr="0091560A">
        <w:t xml:space="preserve">Ibuprofen is much less toxic in overdose but has more adverse drug effects in therapeutic use. Aspirin is roughly equally toxic in overdose to paracetamol but is much less commonly used as an analgesic, and it also has more adverse drug effects with therapeutic use. </w:t>
      </w:r>
      <w:r w:rsidR="007B3551">
        <w:t>Were the access to paracetamol following this report changed,</w:t>
      </w:r>
      <w:r w:rsidR="007B3551" w:rsidRPr="0091560A">
        <w:t xml:space="preserve"> </w:t>
      </w:r>
      <w:r w:rsidR="007B3551">
        <w:t>a</w:t>
      </w:r>
      <w:r w:rsidRPr="0091560A">
        <w:t xml:space="preserve">n overall shift in the preferred over-the-counter analgesic may not be desirable. </w:t>
      </w:r>
      <w:r w:rsidR="007B3551">
        <w:t xml:space="preserve">However, our review of the literature does not </w:t>
      </w:r>
      <w:r w:rsidR="00301833">
        <w:t xml:space="preserve">indicate that method substitution is likely. Nevertheless, </w:t>
      </w:r>
      <w:r w:rsidR="00B46377">
        <w:t xml:space="preserve">if new data becomes available showing substitution of paracetamol with </w:t>
      </w:r>
      <w:r w:rsidR="00B46377" w:rsidRPr="0091560A">
        <w:t>other over</w:t>
      </w:r>
      <w:r w:rsidR="00B46377">
        <w:t>-</w:t>
      </w:r>
      <w:r w:rsidR="00B46377" w:rsidRPr="0091560A">
        <w:t>the</w:t>
      </w:r>
      <w:r w:rsidR="00B46377">
        <w:t>-</w:t>
      </w:r>
      <w:r w:rsidR="00B46377" w:rsidRPr="0091560A">
        <w:t>counter analgesic medications</w:t>
      </w:r>
      <w:r w:rsidR="00B46377">
        <w:t xml:space="preserve">, there may in future be </w:t>
      </w:r>
      <w:r w:rsidR="00B46377" w:rsidRPr="0091560A">
        <w:t>a need to consider analogous pack size restrictions and/or purchasing limits for</w:t>
      </w:r>
      <w:r w:rsidR="00B46377">
        <w:t xml:space="preserve"> these</w:t>
      </w:r>
      <w:r w:rsidR="00B46377" w:rsidRPr="0091560A">
        <w:t xml:space="preserve">. </w:t>
      </w:r>
      <w:r w:rsidR="00A30BC0">
        <w:t>In this context, m</w:t>
      </w:r>
      <w:r w:rsidRPr="0091560A">
        <w:t xml:space="preserve">essaging about appropriate medicine use, and potential harms from stockpiling </w:t>
      </w:r>
      <w:r w:rsidR="009E327B">
        <w:t>are relevant</w:t>
      </w:r>
      <w:r w:rsidRPr="0091560A">
        <w:t xml:space="preserve"> across the class o</w:t>
      </w:r>
      <w:r w:rsidRPr="0091560A">
        <w:rPr>
          <w:rFonts w:eastAsia="Times New Roman"/>
        </w:rPr>
        <w:t>f over-the-counter analgesic medications, such as ibuprofen and aspirin, and also where appropriate other NSAIDS that are S2 (e.g.</w:t>
      </w:r>
      <w:r>
        <w:rPr>
          <w:rFonts w:eastAsia="Times New Roman"/>
        </w:rPr>
        <w:t>,</w:t>
      </w:r>
      <w:r w:rsidRPr="0091560A">
        <w:rPr>
          <w:rFonts w:eastAsia="Times New Roman"/>
        </w:rPr>
        <w:t xml:space="preserve"> naproxen)</w:t>
      </w:r>
      <w:r w:rsidR="009E327B">
        <w:rPr>
          <w:rFonts w:eastAsia="Times New Roman"/>
        </w:rPr>
        <w:t>.</w:t>
      </w:r>
      <w:r w:rsidR="00F20AF8">
        <w:br w:type="page"/>
      </w:r>
    </w:p>
    <w:p w14:paraId="06CDB392" w14:textId="6CD003F6" w:rsidR="00F82843" w:rsidRPr="0091560A" w:rsidRDefault="00CD50FC" w:rsidP="0088521A">
      <w:pPr>
        <w:pStyle w:val="Heading1"/>
      </w:pPr>
      <w:bookmarkStart w:id="175" w:name="_Toc112843955"/>
      <w:r w:rsidRPr="0091560A">
        <w:t>References</w:t>
      </w:r>
      <w:bookmarkEnd w:id="175"/>
    </w:p>
    <w:p w14:paraId="6EBF354D" w14:textId="2A13316F" w:rsidR="00CA01EC" w:rsidRPr="00CA01EC" w:rsidRDefault="005E0B95" w:rsidP="00CA01EC">
      <w:pPr>
        <w:pStyle w:val="EndNoteBibliography"/>
        <w:spacing w:after="0"/>
        <w:ind w:left="720" w:hanging="720"/>
      </w:pPr>
      <w:r w:rsidRPr="0091560A">
        <w:rPr>
          <w:rFonts w:ascii="Times New Roman" w:hAnsi="Times New Roman" w:cs="Times New Roman"/>
          <w:sz w:val="24"/>
        </w:rPr>
        <w:fldChar w:fldCharType="begin"/>
      </w:r>
      <w:r w:rsidRPr="0091560A">
        <w:rPr>
          <w:rFonts w:ascii="Times New Roman" w:hAnsi="Times New Roman" w:cs="Times New Roman"/>
        </w:rPr>
        <w:instrText xml:space="preserve"> ADDIN EN.REFLIST </w:instrText>
      </w:r>
      <w:r w:rsidRPr="0091560A">
        <w:rPr>
          <w:rFonts w:ascii="Times New Roman" w:hAnsi="Times New Roman" w:cs="Times New Roman"/>
          <w:sz w:val="24"/>
        </w:rPr>
        <w:fldChar w:fldCharType="separate"/>
      </w:r>
      <w:r w:rsidR="00CA01EC" w:rsidRPr="00CA01EC">
        <w:t xml:space="preserve">Alander, S. W., Dowd, M. D., Bratton, S. L., &amp; Kearns, G. L. (2000). Pediatric acetaminophen overdose: Risk factors associated with hepatocellular injury. </w:t>
      </w:r>
      <w:r w:rsidR="00CA01EC" w:rsidRPr="00CA01EC">
        <w:rPr>
          <w:i/>
        </w:rPr>
        <w:t>Archives of Pediatrics and Adolescent Medicine, 154</w:t>
      </w:r>
      <w:r w:rsidR="00CA01EC" w:rsidRPr="00CA01EC">
        <w:t>(4), 346-350. doi:</w:t>
      </w:r>
      <w:hyperlink r:id="rId73" w:history="1">
        <w:r w:rsidR="00CA01EC" w:rsidRPr="00CA01EC">
          <w:rPr>
            <w:rStyle w:val="Hyperlink"/>
          </w:rPr>
          <w:t>http://dx.doi.org/10.1001/archpedi.154.4.346</w:t>
        </w:r>
      </w:hyperlink>
    </w:p>
    <w:p w14:paraId="0A5671E5" w14:textId="16D1C88F" w:rsidR="00CA01EC" w:rsidRPr="00CA01EC" w:rsidRDefault="00CA01EC" w:rsidP="00CA01EC">
      <w:pPr>
        <w:pStyle w:val="EndNoteBibliography"/>
        <w:spacing w:after="0"/>
        <w:ind w:left="720" w:hanging="720"/>
      </w:pPr>
      <w:r w:rsidRPr="00CA01EC">
        <w:t xml:space="preserve">Alaniz, C., &amp; Janusz, J. (2007). A retrospective study of the etiologies and outcomes of patients admitted to a university hospital with presumed acetaminophen toxicity. </w:t>
      </w:r>
      <w:r w:rsidRPr="00CA01EC">
        <w:rPr>
          <w:i/>
        </w:rPr>
        <w:t>Hospital Pharmacy, 42</w:t>
      </w:r>
      <w:r w:rsidRPr="00CA01EC">
        <w:t>(2), 126-132. doi:</w:t>
      </w:r>
      <w:hyperlink r:id="rId74" w:history="1">
        <w:r w:rsidRPr="00CA01EC">
          <w:rPr>
            <w:rStyle w:val="Hyperlink"/>
          </w:rPr>
          <w:t>http://dx.doi.org/10.1310/hpj4202-126</w:t>
        </w:r>
      </w:hyperlink>
    </w:p>
    <w:p w14:paraId="337D2B2A" w14:textId="26FA814E" w:rsidR="00CA01EC" w:rsidRPr="00CA01EC" w:rsidRDefault="00CA01EC" w:rsidP="00CA01EC">
      <w:pPr>
        <w:pStyle w:val="EndNoteBibliography"/>
        <w:spacing w:after="0"/>
        <w:ind w:left="720" w:hanging="720"/>
      </w:pPr>
      <w:r w:rsidRPr="00CA01EC">
        <w:t xml:space="preserve">Alsen, M., Ekedahl, A., Lowenhielm, P., Nimeus, A., Regnell, G., &amp; Traskman-Bendz, L. (1994). Medicine self-poisoning and the sources of the drugs in Lund, Sweden. </w:t>
      </w:r>
      <w:r w:rsidRPr="00CA01EC">
        <w:rPr>
          <w:i/>
        </w:rPr>
        <w:t>Acta Psychiatrica Scandinavica, 89</w:t>
      </w:r>
      <w:r w:rsidRPr="00CA01EC">
        <w:t xml:space="preserve">(4), 255-261. Retrieved from </w:t>
      </w:r>
      <w:hyperlink r:id="rId75" w:history="1">
        <w:r w:rsidRPr="00CA01EC">
          <w:rPr>
            <w:rStyle w:val="Hyperlink"/>
          </w:rPr>
          <w:t>http://ovidsp.ovid.com/ovidweb.cgi?T=JS&amp;PAGE=reference&amp;D=emed5&amp;NEWS=N&amp;AN=24134686</w:t>
        </w:r>
      </w:hyperlink>
    </w:p>
    <w:p w14:paraId="7DDB249A" w14:textId="7C148DAC" w:rsidR="00CA01EC" w:rsidRPr="00CA01EC" w:rsidRDefault="00CA01EC" w:rsidP="00CA01EC">
      <w:pPr>
        <w:pStyle w:val="EndNoteBibliography"/>
        <w:spacing w:after="0"/>
        <w:ind w:left="720" w:hanging="720"/>
      </w:pPr>
      <w:r w:rsidRPr="00CA01EC">
        <w:t xml:space="preserve">Angalakuditi, M. V., Coley, K. C., &amp; Krenzelok, E. P. (2006). Children's acetaminophen exposures reported to a regional poison control center. </w:t>
      </w:r>
      <w:r w:rsidRPr="00CA01EC">
        <w:rPr>
          <w:i/>
        </w:rPr>
        <w:t>American Journal of Health-System Pharmacy, 63</w:t>
      </w:r>
      <w:r w:rsidRPr="00CA01EC">
        <w:t>(4), 323-326. doi:</w:t>
      </w:r>
      <w:hyperlink r:id="rId76" w:history="1">
        <w:r w:rsidRPr="00CA01EC">
          <w:rPr>
            <w:rStyle w:val="Hyperlink"/>
          </w:rPr>
          <w:t>http://dx.doi.org/10.2146/ajhp050227</w:t>
        </w:r>
      </w:hyperlink>
    </w:p>
    <w:p w14:paraId="47B517F7" w14:textId="77777777" w:rsidR="00CA01EC" w:rsidRPr="00CA01EC" w:rsidRDefault="00CA01EC" w:rsidP="00CA01EC">
      <w:pPr>
        <w:pStyle w:val="EndNoteBibliography"/>
        <w:spacing w:after="0"/>
        <w:ind w:left="720" w:hanging="720"/>
      </w:pPr>
      <w:r w:rsidRPr="00CA01EC">
        <w:t xml:space="preserve">Arensman, E. C., P. McMahon, E. (2018). The iceberg model of self-harm: New evidence and insights. </w:t>
      </w:r>
      <w:r w:rsidRPr="00CA01EC">
        <w:rPr>
          <w:i/>
        </w:rPr>
        <w:t>Lancet Psychiatry, 5</w:t>
      </w:r>
      <w:r w:rsidRPr="00CA01EC">
        <w:t xml:space="preserve">, 100-101. </w:t>
      </w:r>
    </w:p>
    <w:p w14:paraId="65EFEC80" w14:textId="26319E0D" w:rsidR="00CA01EC" w:rsidRPr="00CA01EC" w:rsidRDefault="00CA01EC" w:rsidP="00CA01EC">
      <w:pPr>
        <w:pStyle w:val="EndNoteBibliography"/>
        <w:spacing w:after="0"/>
        <w:ind w:left="720" w:hanging="720"/>
      </w:pPr>
      <w:r w:rsidRPr="00CA01EC">
        <w:t xml:space="preserve">Bailey, B., Lalkin, A., Kapur, B. M., &amp; Koren, G. (2001). Is chronic poisoning with acetaminophen in children a frequent occurrence in Toronto? </w:t>
      </w:r>
      <w:r w:rsidRPr="00CA01EC">
        <w:rPr>
          <w:i/>
        </w:rPr>
        <w:t>Canadian Journal of Clinical Pharmacology, 8</w:t>
      </w:r>
      <w:r w:rsidRPr="00CA01EC">
        <w:t xml:space="preserve">(2), 96-101. Retrieved from </w:t>
      </w:r>
      <w:hyperlink r:id="rId77" w:history="1">
        <w:r w:rsidRPr="00CA01EC">
          <w:rPr>
            <w:rStyle w:val="Hyperlink"/>
          </w:rPr>
          <w:t>http://www.cjcp.ca/hm/http://ovidsp.ovid.com/ovidweb.cgi?T=JS&amp;PAGE=reference&amp;D=emed7&amp;NEWS=N&amp;AN=32776861</w:t>
        </w:r>
      </w:hyperlink>
    </w:p>
    <w:p w14:paraId="45831A0F" w14:textId="4498E493" w:rsidR="00CA01EC" w:rsidRPr="00CA01EC" w:rsidRDefault="00CA01EC" w:rsidP="00CA01EC">
      <w:pPr>
        <w:pStyle w:val="EndNoteBibliography"/>
        <w:spacing w:after="0"/>
        <w:ind w:left="720" w:hanging="720"/>
      </w:pPr>
      <w:r w:rsidRPr="00CA01EC">
        <w:t xml:space="preserve">Balit, C. R., Isbister, G. K., Peat, J., Dawson, A. H., &amp; Whyte, I. M. (2002). Paracetamol recall: A natural experiment influencing analgesic poisoning. </w:t>
      </w:r>
      <w:r w:rsidRPr="00CA01EC">
        <w:rPr>
          <w:i/>
        </w:rPr>
        <w:t>Medical Journal of Australia, 176</w:t>
      </w:r>
      <w:r w:rsidRPr="00CA01EC">
        <w:t>(4), 162-165. doi:</w:t>
      </w:r>
      <w:hyperlink r:id="rId78" w:history="1">
        <w:r w:rsidRPr="00CA01EC">
          <w:rPr>
            <w:rStyle w:val="Hyperlink"/>
          </w:rPr>
          <w:t>https://dx.doi.org/10.5694/j.1326-5377.2002.tb04346.x</w:t>
        </w:r>
      </w:hyperlink>
    </w:p>
    <w:p w14:paraId="58463DAB" w14:textId="3F482A00" w:rsidR="00CA01EC" w:rsidRPr="00CA01EC" w:rsidRDefault="00CA01EC" w:rsidP="00CA01EC">
      <w:pPr>
        <w:pStyle w:val="EndNoteBibliography"/>
        <w:ind w:left="720" w:hanging="720"/>
      </w:pPr>
      <w:r w:rsidRPr="00CA01EC">
        <w:t xml:space="preserve">Beautrais, A. L., Joyce, P. R., &amp; Mulder, R. T. (1998). Youth suicide attempts: a social and demographic profile. </w:t>
      </w:r>
      <w:r w:rsidRPr="00CA01EC">
        <w:rPr>
          <w:i/>
        </w:rPr>
        <w:t>Australian and New Zealand Journal of Psychiatry, 32</w:t>
      </w:r>
      <w:r w:rsidRPr="00CA01EC">
        <w:t xml:space="preserve">(3), 349-357. Retrieved from </w:t>
      </w:r>
      <w:hyperlink r:id="rId79" w:history="1">
        <w:r w:rsidRPr="00CA01EC">
          <w:rPr>
            <w:rStyle w:val="Hyperlink"/>
          </w:rPr>
          <w:t>https://www.proquest.com/scholarly-journals/youth-suicide-attempts-social-demographic-profile/docview/57384788/se-2?accountid=8330</w:t>
        </w:r>
      </w:hyperlink>
    </w:p>
    <w:p w14:paraId="11B66429" w14:textId="0A1D88A5" w:rsidR="00CA01EC" w:rsidRPr="00CA01EC" w:rsidRDefault="0091734E" w:rsidP="00CA01EC">
      <w:pPr>
        <w:pStyle w:val="EndNoteBibliography"/>
        <w:spacing w:after="0"/>
        <w:ind w:left="720" w:hanging="720"/>
      </w:pPr>
      <w:hyperlink r:id="rId80" w:history="1">
        <w:r w:rsidR="00CA01EC" w:rsidRPr="00CA01EC">
          <w:rPr>
            <w:rStyle w:val="Hyperlink"/>
          </w:rPr>
          <w:t>https://JN8SF5HK5V.search.serialssolutions.com?ctx_ver=Z39.88-2004&amp;ctx_enc=info:ofi/enc:UTF-8&amp;rfr_id=info:sid/ProQ%3Aassia&amp;rft_val_fmt=info:ofi/fmt:kev:mtx:journal&amp;rft.genre=article&amp;rft.jtitle=Australian+and+New+Zealand+Journal+of+Psychiatry&amp;rft.atitle=Youth+suicide+attempts%3A+a+social+and+demographic+profile&amp;rft.au=Beautrais%2C+A+L%3BJoyce%2C+P+R%3BMulder%2C+R+T&amp;rft.aulast=Beautrais&amp;rft.aufirst=A&amp;rft.date=1998-06-01&amp;rft.volume=32&amp;rft.issue=3&amp;rft.spage=349&amp;rft.isbn=&amp;rft.btitle=&amp;rft.title=Australian+and+New+Zealand+Journal+of+Psychiatry&amp;rft.issn=00048674&amp;rft_id=info:doi/</w:t>
        </w:r>
      </w:hyperlink>
    </w:p>
    <w:p w14:paraId="62A28FC6" w14:textId="3223635E" w:rsidR="00CA01EC" w:rsidRPr="00CA01EC" w:rsidRDefault="00CA01EC" w:rsidP="00CA01EC">
      <w:pPr>
        <w:pStyle w:val="EndNoteBibliography"/>
        <w:spacing w:after="0"/>
        <w:ind w:left="720" w:hanging="720"/>
      </w:pPr>
      <w:r w:rsidRPr="00CA01EC">
        <w:t xml:space="preserve">Birchall, E., Perry, I. J., Corcoran, P., Daly, C., &amp; Griffin, E. (2021). The impact of guidance on the supply of codeine-containing products on their use in intentional drug overdose. </w:t>
      </w:r>
      <w:r w:rsidRPr="00CA01EC">
        <w:rPr>
          <w:i/>
        </w:rPr>
        <w:t>European journal of public health, 31</w:t>
      </w:r>
      <w:r w:rsidRPr="00CA01EC">
        <w:t>(4), 853-858. doi:</w:t>
      </w:r>
      <w:hyperlink r:id="rId81" w:history="1">
        <w:r w:rsidRPr="00CA01EC">
          <w:rPr>
            <w:rStyle w:val="Hyperlink"/>
          </w:rPr>
          <w:t>https://dx.doi.org/10.1093/eurpub/ckab082</w:t>
        </w:r>
      </w:hyperlink>
    </w:p>
    <w:p w14:paraId="6F8AAA13" w14:textId="7641B057" w:rsidR="00CA01EC" w:rsidRPr="00CA01EC" w:rsidRDefault="00CA01EC" w:rsidP="00CA01EC">
      <w:pPr>
        <w:pStyle w:val="EndNoteBibliography"/>
        <w:spacing w:after="0"/>
        <w:ind w:left="720" w:hanging="720"/>
      </w:pPr>
      <w:r w:rsidRPr="00CA01EC">
        <w:t xml:space="preserve">Bloch, L. H., Drachmann, G. H., &amp; Pedersen, M. L. (2013). High prevalence of medicine-induced attempted suicides among females in Nuuk, Greenland, 2008-2009. </w:t>
      </w:r>
      <w:r w:rsidRPr="00CA01EC">
        <w:rPr>
          <w:i/>
        </w:rPr>
        <w:t>International journal of circumpolar health, 72</w:t>
      </w:r>
      <w:r w:rsidRPr="00CA01EC">
        <w:t>. doi:</w:t>
      </w:r>
      <w:hyperlink r:id="rId82" w:history="1">
        <w:r w:rsidRPr="00CA01EC">
          <w:rPr>
            <w:rStyle w:val="Hyperlink"/>
          </w:rPr>
          <w:t>http://dx.doi.org/10.3402/ijch.v72i0.21687</w:t>
        </w:r>
      </w:hyperlink>
    </w:p>
    <w:p w14:paraId="0B1FC241" w14:textId="7EA1E410" w:rsidR="00CA01EC" w:rsidRPr="00CA01EC" w:rsidRDefault="00CA01EC" w:rsidP="00CA01EC">
      <w:pPr>
        <w:pStyle w:val="EndNoteBibliography"/>
        <w:spacing w:after="0"/>
        <w:ind w:left="720" w:hanging="720"/>
      </w:pPr>
      <w:r w:rsidRPr="00CA01EC">
        <w:t xml:space="preserve">Bolger, S., O'Connor, P., Malone, K., &amp; Fitzpatrick, C. (2004). Adolescents with suicidal behaviour: Attendance at A&amp;E and six month follow-up. </w:t>
      </w:r>
      <w:r w:rsidRPr="00CA01EC">
        <w:rPr>
          <w:i/>
        </w:rPr>
        <w:t>Irish Journal of Psychological Medicine, 21</w:t>
      </w:r>
      <w:r w:rsidRPr="00CA01EC">
        <w:t>(3), 78-84. doi:</w:t>
      </w:r>
      <w:hyperlink r:id="rId83" w:history="1">
        <w:r w:rsidRPr="00CA01EC">
          <w:rPr>
            <w:rStyle w:val="Hyperlink"/>
          </w:rPr>
          <w:t>http://dx.doi.org/10.1017/s0790966700008405</w:t>
        </w:r>
      </w:hyperlink>
    </w:p>
    <w:p w14:paraId="2F9FE775" w14:textId="77777777" w:rsidR="00CA01EC" w:rsidRPr="00CA01EC" w:rsidRDefault="00CA01EC" w:rsidP="00CA01EC">
      <w:pPr>
        <w:pStyle w:val="EndNoteBibliography"/>
        <w:spacing w:after="0"/>
        <w:ind w:left="720" w:hanging="720"/>
      </w:pPr>
      <w:r w:rsidRPr="00CA01EC">
        <w:t xml:space="preserve">Briffa, T. G., Jorm, L., Jackson, R. T., Reid, C., &amp; Chew, D. P. (2019). Nationally linked data to improve health services and policy. </w:t>
      </w:r>
      <w:r w:rsidRPr="00CA01EC">
        <w:rPr>
          <w:i/>
        </w:rPr>
        <w:t>Med J Aust, 211</w:t>
      </w:r>
      <w:r w:rsidRPr="00CA01EC">
        <w:t>(9), 397-398.e391. doi:10.5694/mja2.50368</w:t>
      </w:r>
    </w:p>
    <w:p w14:paraId="0C41A693" w14:textId="77777777" w:rsidR="00CA01EC" w:rsidRPr="00CA01EC" w:rsidRDefault="00CA01EC" w:rsidP="00CA01EC">
      <w:pPr>
        <w:pStyle w:val="EndNoteBibliography"/>
        <w:spacing w:after="0"/>
        <w:ind w:left="720" w:hanging="720"/>
      </w:pPr>
      <w:r w:rsidRPr="00CA01EC">
        <w:t xml:space="preserve">Buckley, N. A., Ahmadi, K., Alfred, S., Chiew, A. L., Christie, M., Dawson, A. H., . . . Munir, V. (2020). </w:t>
      </w:r>
      <w:r w:rsidRPr="00CA01EC">
        <w:rPr>
          <w:i/>
        </w:rPr>
        <w:t>Therapeutic Guidelines: Toxicology &amp; Toxinology</w:t>
      </w:r>
      <w:r w:rsidRPr="00CA01EC">
        <w:t xml:space="preserve"> (3rd ed.). Melbourne, VIC: Therapeutic Guidelines Ltd.</w:t>
      </w:r>
    </w:p>
    <w:p w14:paraId="05831B8A" w14:textId="058E7485" w:rsidR="00CA01EC" w:rsidRPr="00CA01EC" w:rsidRDefault="00CA01EC" w:rsidP="00CA01EC">
      <w:pPr>
        <w:pStyle w:val="EndNoteBibliography"/>
        <w:spacing w:after="0"/>
        <w:ind w:left="720" w:hanging="720"/>
      </w:pPr>
      <w:r w:rsidRPr="00CA01EC">
        <w:t xml:space="preserve">Budnitz, D. S., Lovegrove, M. C., &amp; Crosby, A. E. (2011). Emergency department visits for overdoses of acetaminophen-containing products. </w:t>
      </w:r>
      <w:r w:rsidRPr="00CA01EC">
        <w:rPr>
          <w:i/>
        </w:rPr>
        <w:t>American journal of preventive medicine, 40</w:t>
      </w:r>
      <w:r w:rsidRPr="00CA01EC">
        <w:t>(6), 585-592. doi:</w:t>
      </w:r>
      <w:hyperlink r:id="rId84" w:history="1">
        <w:r w:rsidRPr="00CA01EC">
          <w:rPr>
            <w:rStyle w:val="Hyperlink"/>
          </w:rPr>
          <w:t>https://dx.doi.org/10.1016/j.amepre.2011.02.026</w:t>
        </w:r>
      </w:hyperlink>
    </w:p>
    <w:p w14:paraId="04882352" w14:textId="77777777" w:rsidR="00CA01EC" w:rsidRPr="00CA01EC" w:rsidRDefault="00CA01EC" w:rsidP="00CA01EC">
      <w:pPr>
        <w:pStyle w:val="EndNoteBibliography"/>
        <w:spacing w:after="0"/>
        <w:ind w:left="720" w:hanging="720"/>
      </w:pPr>
      <w:r w:rsidRPr="00CA01EC">
        <w:t xml:space="preserve">Cairney, D. G., Beckwith, H. K., Al-Hourani, K., Eddleston, M., Bateman, D. N., &amp; Dear, J. W. (2016). Plasma paracetamol concentration at hospital presentation has a dose-dependent relationship with liver injury despite prompt treatment with intravenous acetylcysteine. </w:t>
      </w:r>
      <w:r w:rsidRPr="00CA01EC">
        <w:rPr>
          <w:i/>
        </w:rPr>
        <w:t>Clin Toxicol (Phila), 54</w:t>
      </w:r>
      <w:r w:rsidRPr="00CA01EC">
        <w:t>(5), 405-410. doi:10.3109/15563650.2016.1159309</w:t>
      </w:r>
    </w:p>
    <w:p w14:paraId="33A0A4FE" w14:textId="000A5EFF" w:rsidR="00CA01EC" w:rsidRPr="00CA01EC" w:rsidRDefault="00CA01EC" w:rsidP="00CA01EC">
      <w:pPr>
        <w:pStyle w:val="EndNoteBibliography"/>
        <w:spacing w:after="0"/>
        <w:ind w:left="720" w:hanging="720"/>
      </w:pPr>
      <w:r w:rsidRPr="00CA01EC">
        <w:t xml:space="preserve">Cairns, R., Brown, J. A., Wylie, C. E., Dawson, A. H., Isbister, G. K., &amp; Buckley, N. A. (2019). Paracetamol poisoning-related hospital admissions and deaths in Australia, 2004-2017. </w:t>
      </w:r>
      <w:r w:rsidRPr="00CA01EC">
        <w:rPr>
          <w:i/>
        </w:rPr>
        <w:t>Medical Journal of Australia, 211</w:t>
      </w:r>
      <w:r w:rsidRPr="00CA01EC">
        <w:t>(5), 218-223. doi:</w:t>
      </w:r>
      <w:hyperlink r:id="rId85" w:history="1">
        <w:r w:rsidRPr="00CA01EC">
          <w:rPr>
            <w:rStyle w:val="Hyperlink"/>
          </w:rPr>
          <w:t>http://dx.doi.org/10.5694/mja2.50296</w:t>
        </w:r>
      </w:hyperlink>
    </w:p>
    <w:p w14:paraId="218D132D" w14:textId="64D5C67F" w:rsidR="00CA01EC" w:rsidRPr="00CA01EC" w:rsidRDefault="00CA01EC" w:rsidP="00CA01EC">
      <w:pPr>
        <w:pStyle w:val="EndNoteBibliography"/>
        <w:spacing w:after="0"/>
        <w:ind w:left="720" w:hanging="720"/>
      </w:pPr>
      <w:r w:rsidRPr="00CA01EC">
        <w:t xml:space="preserve">Cairns, R., Schaffer, A. L., Brown, J. A., Pearson, S. A., &amp; Buckley, N. A. (2020a). Codeine use and harms in Australia: evaluating the effects of re-scheduling. </w:t>
      </w:r>
      <w:r w:rsidRPr="00CA01EC">
        <w:rPr>
          <w:i/>
        </w:rPr>
        <w:t>Addiction (Abingdon, England), 115</w:t>
      </w:r>
      <w:r w:rsidRPr="00CA01EC">
        <w:t>(3), 451-459. doi:</w:t>
      </w:r>
      <w:hyperlink r:id="rId86" w:history="1">
        <w:r w:rsidRPr="00CA01EC">
          <w:rPr>
            <w:rStyle w:val="Hyperlink"/>
          </w:rPr>
          <w:t>https://dx.doi.org/10.1111/add.14798</w:t>
        </w:r>
      </w:hyperlink>
    </w:p>
    <w:p w14:paraId="2CAE5740" w14:textId="77777777" w:rsidR="00CA01EC" w:rsidRPr="00CA01EC" w:rsidRDefault="00CA01EC" w:rsidP="00CA01EC">
      <w:pPr>
        <w:pStyle w:val="EndNoteBibliography"/>
        <w:spacing w:after="0"/>
        <w:ind w:left="720" w:hanging="720"/>
      </w:pPr>
      <w:r w:rsidRPr="00CA01EC">
        <w:t xml:space="preserve">Cairns, R., Schaffer, A. L., Brown, J. A., Pearson, S. A., &amp; Buckley, N. A. (2020b). Codeine use and harms in Australia: evaluating the effects of re-scheduling. </w:t>
      </w:r>
      <w:r w:rsidRPr="00CA01EC">
        <w:rPr>
          <w:i/>
        </w:rPr>
        <w:t>Addiction, 115</w:t>
      </w:r>
      <w:r w:rsidRPr="00CA01EC">
        <w:t>(3), 451-459. doi:10.1111/add.14798</w:t>
      </w:r>
    </w:p>
    <w:p w14:paraId="03545D50" w14:textId="4B715B9F" w:rsidR="00CA01EC" w:rsidRPr="00CA01EC" w:rsidRDefault="00CA01EC" w:rsidP="00CA01EC">
      <w:pPr>
        <w:pStyle w:val="EndNoteBibliography"/>
        <w:spacing w:after="0"/>
        <w:ind w:left="720" w:hanging="720"/>
      </w:pPr>
      <w:r w:rsidRPr="00CA01EC">
        <w:t xml:space="preserve">Caroll, R., Benger, J., Bramley, K., Williams, S., Griffin, L., Potokar, J., &amp; Gunnell, D. (2015). Epidemiology, management and outcome of paracetamol poisoning in an inner city emergency department. </w:t>
      </w:r>
      <w:r w:rsidRPr="00CA01EC">
        <w:rPr>
          <w:i/>
        </w:rPr>
        <w:t>Emergency Medicine Journal, 32</w:t>
      </w:r>
      <w:r w:rsidRPr="00CA01EC">
        <w:t>(2), 155-160. doi:</w:t>
      </w:r>
      <w:hyperlink r:id="rId87" w:history="1">
        <w:r w:rsidRPr="00CA01EC">
          <w:rPr>
            <w:rStyle w:val="Hyperlink"/>
          </w:rPr>
          <w:t>http://dx.doi.org/10.1136/emermed-2013-202518</w:t>
        </w:r>
      </w:hyperlink>
    </w:p>
    <w:p w14:paraId="564E7EE8" w14:textId="4D55FF22" w:rsidR="00CA01EC" w:rsidRPr="00CA01EC" w:rsidRDefault="00CA01EC" w:rsidP="00CA01EC">
      <w:pPr>
        <w:pStyle w:val="EndNoteBibliography"/>
        <w:spacing w:after="0"/>
        <w:ind w:left="720" w:hanging="720"/>
      </w:pPr>
      <w:r w:rsidRPr="00CA01EC">
        <w:t xml:space="preserve">Casey, D., Geulayov, G., Bale, E., Brand, F., Clements, C., Kapur, N., . . . Hawton, K. (2020). Paracetamol self-poisoning: Epidemiological study of trends and patient characteristics from the multicentre study of self-harm in England. </w:t>
      </w:r>
      <w:r w:rsidRPr="00CA01EC">
        <w:rPr>
          <w:i/>
        </w:rPr>
        <w:t>Journal of Affective Disorders, 276</w:t>
      </w:r>
      <w:r w:rsidRPr="00CA01EC">
        <w:t>, 699-706. doi:</w:t>
      </w:r>
      <w:hyperlink r:id="rId88" w:history="1">
        <w:r w:rsidRPr="00CA01EC">
          <w:rPr>
            <w:rStyle w:val="Hyperlink"/>
          </w:rPr>
          <w:t>http://dx.doi.org/10.1016/j.jad.2020.07.091</w:t>
        </w:r>
      </w:hyperlink>
    </w:p>
    <w:p w14:paraId="5912F4DA" w14:textId="77777777" w:rsidR="00CA01EC" w:rsidRPr="00CA01EC" w:rsidRDefault="00CA01EC" w:rsidP="00CA01EC">
      <w:pPr>
        <w:pStyle w:val="EndNoteBibliography"/>
        <w:spacing w:after="0"/>
        <w:ind w:left="720" w:hanging="720"/>
      </w:pPr>
      <w:r w:rsidRPr="00CA01EC">
        <w:t xml:space="preserve">Chiew, A. L., &amp; Buckley, N. A. (2021). Acetaminophen Poisoning. </w:t>
      </w:r>
      <w:r w:rsidRPr="00CA01EC">
        <w:rPr>
          <w:i/>
        </w:rPr>
        <w:t>Crit Care Clin, 37</w:t>
      </w:r>
      <w:r w:rsidRPr="00CA01EC">
        <w:t>(3), 543-561. doi:10.1016/j.ccc.2021.03.005</w:t>
      </w:r>
    </w:p>
    <w:p w14:paraId="527A8006" w14:textId="77777777" w:rsidR="00CA01EC" w:rsidRPr="00CA01EC" w:rsidRDefault="00CA01EC" w:rsidP="00CA01EC">
      <w:pPr>
        <w:pStyle w:val="EndNoteBibliography"/>
        <w:spacing w:after="0"/>
        <w:ind w:left="720" w:hanging="720"/>
      </w:pPr>
      <w:r w:rsidRPr="00CA01EC">
        <w:t xml:space="preserve">Chiew, A. L., Gluud, C., Brok, J., &amp; Buckley, N. A. (2018). Interventions for paracetamol (acetaminophen) overdose. </w:t>
      </w:r>
      <w:r w:rsidRPr="00CA01EC">
        <w:rPr>
          <w:i/>
        </w:rPr>
        <w:t>Cochrane. Database. Syst. Rev, 2:CD003328. doi: 10.1002/14651858.CD003328.pub3.</w:t>
      </w:r>
      <w:r w:rsidRPr="00CA01EC">
        <w:t xml:space="preserve">, CD003328. </w:t>
      </w:r>
    </w:p>
    <w:p w14:paraId="59F50B23" w14:textId="77777777" w:rsidR="00CA01EC" w:rsidRPr="00CA01EC" w:rsidRDefault="00CA01EC" w:rsidP="00CA01EC">
      <w:pPr>
        <w:pStyle w:val="EndNoteBibliography"/>
        <w:spacing w:after="0"/>
        <w:ind w:left="720" w:hanging="720"/>
      </w:pPr>
      <w:r w:rsidRPr="00CA01EC">
        <w:t xml:space="preserve">Chiew, A. L., Isbister, G. K., Kirby, K. A., Page, C. B., Chan, B. S. H., &amp; Buckley, N. A. (2017). Massive paracetamol overdose: an observational study of the effect of activated charcoal and increased acetylcysteine dose (ATOM-2). </w:t>
      </w:r>
      <w:r w:rsidRPr="00CA01EC">
        <w:rPr>
          <w:i/>
        </w:rPr>
        <w:t>Clin. Toxicol. , 55</w:t>
      </w:r>
      <w:r w:rsidRPr="00CA01EC">
        <w:t xml:space="preserve">(10), 1055-1065. </w:t>
      </w:r>
    </w:p>
    <w:p w14:paraId="5FBB030C" w14:textId="77777777" w:rsidR="00CA01EC" w:rsidRPr="00CA01EC" w:rsidRDefault="00CA01EC" w:rsidP="00CA01EC">
      <w:pPr>
        <w:pStyle w:val="EndNoteBibliography"/>
        <w:spacing w:after="0"/>
        <w:ind w:left="720" w:hanging="720"/>
      </w:pPr>
      <w:r w:rsidRPr="00CA01EC">
        <w:t xml:space="preserve">Chiew, A. L., Isbister, G. K., Page, C. B., Kirby, K. A., Chan, B. S. H., &amp; Buckley, N. A. (2018). Modified release paracetamol overdose: a prospective observational study (ATOM-3). </w:t>
      </w:r>
      <w:r w:rsidRPr="00CA01EC">
        <w:rPr>
          <w:i/>
        </w:rPr>
        <w:t>Clin. Toxicol., 56</w:t>
      </w:r>
      <w:r w:rsidRPr="00CA01EC">
        <w:t xml:space="preserve">(9), 810-819. </w:t>
      </w:r>
    </w:p>
    <w:p w14:paraId="15649033" w14:textId="77777777" w:rsidR="00CA01EC" w:rsidRPr="00CA01EC" w:rsidRDefault="00CA01EC" w:rsidP="00CA01EC">
      <w:pPr>
        <w:pStyle w:val="EndNoteBibliography"/>
        <w:spacing w:after="0"/>
        <w:ind w:left="720" w:hanging="720"/>
      </w:pPr>
      <w:r w:rsidRPr="00CA01EC">
        <w:t xml:space="preserve">Chiew, A. L., Reith, D., Pomerleau, A., Wong, A., Isoardi, K. Z., Soderstrom, J., &amp; Buckley, N. A. (2020). Updated guidelines for the management of paracetamol poisoning in Australia and New Zealand. </w:t>
      </w:r>
      <w:r w:rsidRPr="00CA01EC">
        <w:rPr>
          <w:i/>
        </w:rPr>
        <w:t>Med J Aust, 212</w:t>
      </w:r>
      <w:r w:rsidRPr="00CA01EC">
        <w:t>(4), 175-183. doi:10.5694/mja2.50428</w:t>
      </w:r>
    </w:p>
    <w:p w14:paraId="453FE123" w14:textId="77777777" w:rsidR="00CA01EC" w:rsidRPr="00CA01EC" w:rsidRDefault="00CA01EC" w:rsidP="00CA01EC">
      <w:pPr>
        <w:pStyle w:val="EndNoteBibliography"/>
        <w:spacing w:after="0"/>
        <w:ind w:left="720" w:hanging="720"/>
      </w:pPr>
      <w:r w:rsidRPr="00CA01EC">
        <w:t xml:space="preserve">Chitty, K. M., Raubenheimer, J., Cairns, R., Kirby, K. A., &amp; Buckley, N. A. (2022). Deliberate self-poisoning in Australian adolescents is increased on school days. </w:t>
      </w:r>
      <w:r w:rsidRPr="00CA01EC">
        <w:rPr>
          <w:i/>
        </w:rPr>
        <w:t>J Psychiatr Res, 148</w:t>
      </w:r>
      <w:r w:rsidRPr="00CA01EC">
        <w:t>, 103-109. doi:10.1016/j.jpsychires.2022.01.045</w:t>
      </w:r>
    </w:p>
    <w:p w14:paraId="79B43A3F" w14:textId="77777777" w:rsidR="00CA01EC" w:rsidRPr="00CA01EC" w:rsidRDefault="00CA01EC" w:rsidP="00CA01EC">
      <w:pPr>
        <w:pStyle w:val="EndNoteBibliography"/>
        <w:spacing w:after="0"/>
        <w:ind w:left="720" w:hanging="720"/>
      </w:pPr>
      <w:r w:rsidRPr="00CA01EC">
        <w:t xml:space="preserve">Chitty, K. M., Schumann, J. L., Schaffer, A., Cairns, R., Gonzaga, N. J., Raubenheimer, J. E., . . . Buckley, N. A. (2020). Australian Suicide Prevention using Health-Linked Data (ASHLi): Protocol for a population-based case series study. </w:t>
      </w:r>
      <w:r w:rsidRPr="00CA01EC">
        <w:rPr>
          <w:i/>
        </w:rPr>
        <w:t>BMJ Open, 10</w:t>
      </w:r>
      <w:r w:rsidRPr="00CA01EC">
        <w:t>(5), e038181. doi:10.1136/bmjopen-2020-038181</w:t>
      </w:r>
    </w:p>
    <w:p w14:paraId="04F13D8E" w14:textId="2B6BB98E" w:rsidR="00CA01EC" w:rsidRPr="00CA01EC" w:rsidRDefault="00CA01EC" w:rsidP="00CA01EC">
      <w:pPr>
        <w:pStyle w:val="EndNoteBibliography"/>
        <w:spacing w:after="0"/>
        <w:ind w:left="720" w:hanging="720"/>
      </w:pPr>
      <w:r w:rsidRPr="00CA01EC">
        <w:t xml:space="preserve">Corcoran, P., Heavey, B., Griffin, E., Perry, I. J., &amp; Arensman, E. (2013). Psychotropic medication involved in intentional drug overdose: Implications for treatment. </w:t>
      </w:r>
      <w:r w:rsidRPr="00CA01EC">
        <w:rPr>
          <w:i/>
        </w:rPr>
        <w:t>Neuropsychiatry, 3</w:t>
      </w:r>
      <w:r w:rsidRPr="00CA01EC">
        <w:t>(3), 285-293. doi:</w:t>
      </w:r>
      <w:hyperlink r:id="rId89" w:history="1">
        <w:r w:rsidRPr="00CA01EC">
          <w:rPr>
            <w:rStyle w:val="Hyperlink"/>
          </w:rPr>
          <w:t>http://dx.doi.org/10.2217/npy.13.23</w:t>
        </w:r>
      </w:hyperlink>
    </w:p>
    <w:p w14:paraId="7B372426" w14:textId="62DCA203" w:rsidR="00CA01EC" w:rsidRPr="00CA01EC" w:rsidRDefault="00CA01EC" w:rsidP="00CA01EC">
      <w:pPr>
        <w:pStyle w:val="EndNoteBibliography"/>
        <w:spacing w:after="0"/>
        <w:ind w:left="720" w:hanging="720"/>
      </w:pPr>
      <w:r w:rsidRPr="00CA01EC">
        <w:t xml:space="preserve">Corcoran, P., Reulbach, U., Keeley, H. S., Perry, I. J., Hawton, K., &amp; Arensman, E. (2010). Use of analgesics in intentional drug overdose presentations to hospital before and after the withdrawal of distalgesic from the Irish market. </w:t>
      </w:r>
      <w:r w:rsidRPr="00CA01EC">
        <w:rPr>
          <w:i/>
        </w:rPr>
        <w:t>BMC Clinical Pharmacology, 10</w:t>
      </w:r>
      <w:r w:rsidRPr="00CA01EC">
        <w:t>, 6. doi:</w:t>
      </w:r>
      <w:hyperlink r:id="rId90" w:history="1">
        <w:r w:rsidRPr="00CA01EC">
          <w:rPr>
            <w:rStyle w:val="Hyperlink"/>
          </w:rPr>
          <w:t>http://dx.doi.org/10.1186/1472-6904-10-6</w:t>
        </w:r>
      </w:hyperlink>
    </w:p>
    <w:p w14:paraId="0A53C4C0" w14:textId="605E9A99" w:rsidR="00CA01EC" w:rsidRPr="00CA01EC" w:rsidRDefault="00CA01EC" w:rsidP="00CA01EC">
      <w:pPr>
        <w:pStyle w:val="EndNoteBibliography"/>
        <w:spacing w:after="0"/>
        <w:ind w:left="720" w:hanging="720"/>
      </w:pPr>
      <w:r w:rsidRPr="00CA01EC">
        <w:t xml:space="preserve">Cowman, J. G., &amp; Bakheet, M. (2017). Student-selected component in the medical curriculum: investigations and psychiatric referral for paracetamol overdose in an accident and emergency department. </w:t>
      </w:r>
      <w:r w:rsidRPr="00CA01EC">
        <w:rPr>
          <w:i/>
        </w:rPr>
        <w:t>Advances in medical education and practice, 8</w:t>
      </w:r>
      <w:r w:rsidRPr="00CA01EC">
        <w:t>, 611-617. doi:</w:t>
      </w:r>
      <w:hyperlink r:id="rId91" w:history="1">
        <w:r w:rsidRPr="00CA01EC">
          <w:rPr>
            <w:rStyle w:val="Hyperlink"/>
          </w:rPr>
          <w:t>https://dx.doi.org/10.2147/AMEP.S143399</w:t>
        </w:r>
      </w:hyperlink>
    </w:p>
    <w:p w14:paraId="63491493" w14:textId="54BDEBC1" w:rsidR="00CA01EC" w:rsidRPr="00CA01EC" w:rsidRDefault="00CA01EC" w:rsidP="00CA01EC">
      <w:pPr>
        <w:pStyle w:val="EndNoteBibliography"/>
        <w:spacing w:after="0"/>
        <w:ind w:left="720" w:hanging="720"/>
      </w:pPr>
      <w:r w:rsidRPr="00CA01EC">
        <w:t xml:space="preserve">Craig, D. G. N., Bates, C. M., Davidson, J. S., Martin, K. G., Hayes, P. C., &amp; Simpson, K. J. (2011). Overdose pattern and outcome in paracetamol-induced acute severe hepatotoxicity. </w:t>
      </w:r>
      <w:r w:rsidRPr="00CA01EC">
        <w:rPr>
          <w:i/>
        </w:rPr>
        <w:t>British Journal of Clinical Pharmacology, 71</w:t>
      </w:r>
      <w:r w:rsidRPr="00CA01EC">
        <w:t>(2), 273-282. doi:</w:t>
      </w:r>
      <w:hyperlink r:id="rId92" w:history="1">
        <w:r w:rsidRPr="00CA01EC">
          <w:rPr>
            <w:rStyle w:val="Hyperlink"/>
          </w:rPr>
          <w:t>http://dx.doi.org/10.1111/j.1365-2125.2010.03819.x</w:t>
        </w:r>
      </w:hyperlink>
    </w:p>
    <w:p w14:paraId="0A262B4C" w14:textId="66103CF2" w:rsidR="00CA01EC" w:rsidRPr="00CA01EC" w:rsidRDefault="00CA01EC" w:rsidP="00CA01EC">
      <w:pPr>
        <w:pStyle w:val="EndNoteBibliography"/>
        <w:spacing w:after="0"/>
        <w:ind w:left="720" w:hanging="720"/>
      </w:pPr>
      <w:r w:rsidRPr="00CA01EC">
        <w:t xml:space="preserve">Daly, C., Griffin, E., Ashcroft, D. M., Webb, R. T., Perry, I. J., &amp; Arensman, E. (2018). Frequently used drug types and alcohol involvement in intentional drug overdoses in Ireland: a national registry study. </w:t>
      </w:r>
      <w:r w:rsidRPr="00CA01EC">
        <w:rPr>
          <w:i/>
        </w:rPr>
        <w:t>European journal of public health, 28</w:t>
      </w:r>
      <w:r w:rsidRPr="00CA01EC">
        <w:t>(4), 681-686. doi:</w:t>
      </w:r>
      <w:hyperlink r:id="rId93" w:history="1">
        <w:r w:rsidRPr="00CA01EC">
          <w:rPr>
            <w:rStyle w:val="Hyperlink"/>
          </w:rPr>
          <w:t>http://dx.doi.org/10.1093/eurpub/cky031</w:t>
        </w:r>
      </w:hyperlink>
    </w:p>
    <w:p w14:paraId="4DFD1AF3" w14:textId="0E1B35D8" w:rsidR="00CA01EC" w:rsidRPr="00CA01EC" w:rsidRDefault="00CA01EC" w:rsidP="00CA01EC">
      <w:pPr>
        <w:pStyle w:val="EndNoteBibliography"/>
        <w:spacing w:after="0"/>
        <w:ind w:left="720" w:hanging="720"/>
      </w:pPr>
      <w:r w:rsidRPr="00CA01EC">
        <w:t xml:space="preserve">Daly, C., Griffin, E., McMahon, E., Corcoran, P., Webb, R. T., Ashcroft, D. M., &amp; Arensman, E. (2021a). Paracetamol-related intentional drug overdose among young people: a national registry study of characteristics, incidence and trends, 2007-2018. </w:t>
      </w:r>
      <w:r w:rsidRPr="00CA01EC">
        <w:rPr>
          <w:i/>
        </w:rPr>
        <w:t>Social psychiatry and psychiatric epidemiology, 56</w:t>
      </w:r>
      <w:r w:rsidRPr="00CA01EC">
        <w:t>(5), 773-781. doi:</w:t>
      </w:r>
      <w:hyperlink r:id="rId94" w:history="1">
        <w:r w:rsidRPr="00CA01EC">
          <w:rPr>
            <w:rStyle w:val="Hyperlink"/>
          </w:rPr>
          <w:t>http://dx.doi.org/10.1007/s00127-020-01981-y</w:t>
        </w:r>
      </w:hyperlink>
    </w:p>
    <w:p w14:paraId="7FB347A7" w14:textId="77777777" w:rsidR="00CA01EC" w:rsidRPr="00CA01EC" w:rsidRDefault="00CA01EC" w:rsidP="00CA01EC">
      <w:pPr>
        <w:pStyle w:val="EndNoteBibliography"/>
        <w:spacing w:after="0"/>
        <w:ind w:left="720" w:hanging="720"/>
      </w:pPr>
      <w:r w:rsidRPr="00CA01EC">
        <w:t xml:space="preserve">Daly, C., Griffin, E., McMahon, E., Corcoran, P., Webb, R. T., Ashcroft, D. M., &amp; Arensman, E. (2021b). Paracetamol-related intentional drug overdose among young people: a national registry study of characteristics, incidence and trends, 2007-2018. </w:t>
      </w:r>
      <w:r w:rsidRPr="00CA01EC">
        <w:rPr>
          <w:i/>
        </w:rPr>
        <w:t>Soc Psychiatry Psychiatr Epidemiol, 56</w:t>
      </w:r>
      <w:r w:rsidRPr="00CA01EC">
        <w:t>(5), 773-781. doi:10.1007/s00127-020-01981-y</w:t>
      </w:r>
    </w:p>
    <w:p w14:paraId="61931B4E" w14:textId="069E797A" w:rsidR="00CA01EC" w:rsidRPr="00CA01EC" w:rsidRDefault="00CA01EC" w:rsidP="00CA01EC">
      <w:pPr>
        <w:pStyle w:val="EndNoteBibliography"/>
        <w:spacing w:after="0"/>
        <w:ind w:left="720" w:hanging="720"/>
      </w:pPr>
      <w:r w:rsidRPr="00CA01EC">
        <w:t xml:space="preserve">Daly, C., Griffin, E., McMahon, E., Corcoran, P., Webb, R. T., Witt, K., . . . Arensman, E. (2020). Repeat self-harm following hospital-presenting intentional drug overdose among young people-a national registry study. </w:t>
      </w:r>
      <w:r w:rsidRPr="00CA01EC">
        <w:rPr>
          <w:i/>
        </w:rPr>
        <w:t>International Journal of Environmental Research and Public Health, 17</w:t>
      </w:r>
      <w:r w:rsidRPr="00CA01EC">
        <w:t>(17), 1-16. doi:</w:t>
      </w:r>
      <w:hyperlink r:id="rId95" w:history="1">
        <w:r w:rsidRPr="00CA01EC">
          <w:rPr>
            <w:rStyle w:val="Hyperlink"/>
          </w:rPr>
          <w:t>http://dx.doi.org/10.3390/ijerph17176159</w:t>
        </w:r>
      </w:hyperlink>
    </w:p>
    <w:p w14:paraId="52293E86" w14:textId="77777777" w:rsidR="00CA01EC" w:rsidRPr="00CA01EC" w:rsidRDefault="00CA01EC" w:rsidP="00CA01EC">
      <w:pPr>
        <w:pStyle w:val="EndNoteBibliography"/>
        <w:spacing w:after="0"/>
        <w:ind w:left="720" w:hanging="720"/>
      </w:pPr>
      <w:r w:rsidRPr="00CA01EC">
        <w:t xml:space="preserve">Donohoe, E., Walsh, N., &amp; Tracey, J. A. (2006). Pack-size legislation reduces severity of paracetamol overdoses in Ireland. </w:t>
      </w:r>
      <w:r w:rsidRPr="00CA01EC">
        <w:rPr>
          <w:i/>
        </w:rPr>
        <w:t>Ir. J Med Sci, 175</w:t>
      </w:r>
      <w:r w:rsidRPr="00CA01EC">
        <w:t xml:space="preserve">(3), 40-42. </w:t>
      </w:r>
    </w:p>
    <w:p w14:paraId="3A9E04B7" w14:textId="3C133ECB" w:rsidR="00CA01EC" w:rsidRPr="00CA01EC" w:rsidRDefault="00CA01EC" w:rsidP="00CA01EC">
      <w:pPr>
        <w:pStyle w:val="EndNoteBibliography"/>
        <w:spacing w:after="0"/>
        <w:ind w:left="720" w:hanging="720"/>
      </w:pPr>
      <w:r w:rsidRPr="00CA01EC">
        <w:t xml:space="preserve">Downes, M. A., Lovett, C. J., &amp; Isbister, G. K. (2021). Paediatric poisoning presentations reported to a regional toxicology service in Australia. </w:t>
      </w:r>
      <w:r w:rsidRPr="00CA01EC">
        <w:rPr>
          <w:i/>
        </w:rPr>
        <w:t>Journal of Paediatrics and Child Health, 57</w:t>
      </w:r>
      <w:r w:rsidRPr="00CA01EC">
        <w:t>(7), 1049-1053. doi:</w:t>
      </w:r>
      <w:hyperlink r:id="rId96" w:history="1">
        <w:r w:rsidRPr="00CA01EC">
          <w:rPr>
            <w:rStyle w:val="Hyperlink"/>
          </w:rPr>
          <w:t>https://doi.org/10.1111/jpc.15387</w:t>
        </w:r>
      </w:hyperlink>
    </w:p>
    <w:p w14:paraId="7948A83D" w14:textId="77777777" w:rsidR="00CA01EC" w:rsidRPr="00CA01EC" w:rsidRDefault="00CA01EC" w:rsidP="00CA01EC">
      <w:pPr>
        <w:pStyle w:val="EndNoteBibliography"/>
        <w:spacing w:after="0"/>
        <w:ind w:left="720" w:hanging="720"/>
      </w:pPr>
      <w:r w:rsidRPr="00CA01EC">
        <w:t xml:space="preserve">Fernando, D. T., Clapperton, A., &amp; Berecki-Gisolf, J. (2022). Suicide following hospital admission for mental health conditions, physical illness, injury and intentional self-harm in Victoria, Australia. </w:t>
      </w:r>
      <w:r w:rsidRPr="00CA01EC">
        <w:rPr>
          <w:i/>
        </w:rPr>
        <w:t>PLoS One, 17</w:t>
      </w:r>
      <w:r w:rsidRPr="00CA01EC">
        <w:t>(7), e0271341. doi:10.1371/journal.pone.0271341</w:t>
      </w:r>
    </w:p>
    <w:p w14:paraId="581E30B5" w14:textId="77777777" w:rsidR="00CA01EC" w:rsidRPr="00CA01EC" w:rsidRDefault="00CA01EC" w:rsidP="00CA01EC">
      <w:pPr>
        <w:pStyle w:val="EndNoteBibliography"/>
        <w:spacing w:after="0"/>
        <w:ind w:left="720" w:hanging="720"/>
      </w:pPr>
      <w:r w:rsidRPr="00CA01EC">
        <w:t xml:space="preserve">Freeman, N., &amp; Quigley, P. (2015). Care versus convenience: Examining paracetamol overdose in New Zealand and harm reduction strategies through sale and supply. </w:t>
      </w:r>
      <w:r w:rsidRPr="00CA01EC">
        <w:rPr>
          <w:i/>
        </w:rPr>
        <w:t>N Z Med J, 128</w:t>
      </w:r>
      <w:r w:rsidRPr="00CA01EC">
        <w:t xml:space="preserve">(1424), 28-34. </w:t>
      </w:r>
    </w:p>
    <w:p w14:paraId="18AD9F47" w14:textId="222C2722" w:rsidR="00CA01EC" w:rsidRPr="00CA01EC" w:rsidRDefault="00CA01EC" w:rsidP="00CA01EC">
      <w:pPr>
        <w:pStyle w:val="EndNoteBibliography"/>
        <w:spacing w:after="0"/>
        <w:ind w:left="720" w:hanging="720"/>
      </w:pPr>
      <w:r w:rsidRPr="00CA01EC">
        <w:t xml:space="preserve">Fridriksdottir Th, A., Jonsdottir, F., Snook, C. P., Lindal, H., &amp; Bjornsson, E. S. (2021). Paracetamol poisoning: a population-based study from Iceland. </w:t>
      </w:r>
      <w:r w:rsidRPr="00CA01EC">
        <w:rPr>
          <w:i/>
        </w:rPr>
        <w:t>Scandinavian Journal of Gastroenterology, 56</w:t>
      </w:r>
      <w:r w:rsidRPr="00CA01EC">
        <w:t>(7), 832-839. doi:</w:t>
      </w:r>
      <w:hyperlink r:id="rId97" w:history="1">
        <w:r w:rsidRPr="00CA01EC">
          <w:rPr>
            <w:rStyle w:val="Hyperlink"/>
          </w:rPr>
          <w:t>http://dx.doi.org/10.1080/00365521.2021.1921254</w:t>
        </w:r>
      </w:hyperlink>
    </w:p>
    <w:p w14:paraId="272C4B55" w14:textId="37A1E3CE" w:rsidR="00CA01EC" w:rsidRPr="00CA01EC" w:rsidRDefault="00CA01EC" w:rsidP="00CA01EC">
      <w:pPr>
        <w:pStyle w:val="EndNoteBibliography"/>
        <w:spacing w:after="0"/>
        <w:ind w:left="720" w:hanging="720"/>
      </w:pPr>
      <w:r w:rsidRPr="00CA01EC">
        <w:t xml:space="preserve">Gedeborg, R., Svennblad, B., Holm, L., Sjogren, H., Bardage, C., Personne, M., . . . Zethelius, B. (2017). Increased availability of paracetamol in Sweden and incidence of paracetamol poisoning: using laboratory data to increase validity of a population-based registry study. </w:t>
      </w:r>
      <w:r w:rsidRPr="00CA01EC">
        <w:rPr>
          <w:i/>
        </w:rPr>
        <w:t>Pharmacoepidemiology and Drug Safety, 26</w:t>
      </w:r>
      <w:r w:rsidRPr="00CA01EC">
        <w:t>(5), 518-527. doi:</w:t>
      </w:r>
      <w:hyperlink r:id="rId98" w:history="1">
        <w:r w:rsidRPr="00CA01EC">
          <w:rPr>
            <w:rStyle w:val="Hyperlink"/>
          </w:rPr>
          <w:t>http://dx.doi.org/10.1002/pds.4166</w:t>
        </w:r>
      </w:hyperlink>
    </w:p>
    <w:p w14:paraId="2C79D79F" w14:textId="2CF29F56" w:rsidR="00CA01EC" w:rsidRPr="00CA01EC" w:rsidRDefault="00CA01EC" w:rsidP="00CA01EC">
      <w:pPr>
        <w:pStyle w:val="EndNoteBibliography"/>
        <w:spacing w:after="0"/>
        <w:ind w:left="720" w:hanging="720"/>
      </w:pPr>
      <w:r w:rsidRPr="00CA01EC">
        <w:t xml:space="preserve">Gilbertson, R. J., Harris, E., Pandey, S. K., Kelly, P., &amp; Myers, W. (1996). Paracetamol use, availability, and knowledge of toxicity among British and American adolescents. </w:t>
      </w:r>
      <w:r w:rsidRPr="00CA01EC">
        <w:rPr>
          <w:i/>
        </w:rPr>
        <w:t>Archives of Disease in Childhood, 75</w:t>
      </w:r>
      <w:r w:rsidRPr="00CA01EC">
        <w:t>(3), 194-198. doi:</w:t>
      </w:r>
      <w:hyperlink r:id="rId99" w:history="1">
        <w:r w:rsidRPr="00CA01EC">
          <w:rPr>
            <w:rStyle w:val="Hyperlink"/>
          </w:rPr>
          <w:t>http://dx.doi.org/10.1136/adc.75.3.194</w:t>
        </w:r>
      </w:hyperlink>
    </w:p>
    <w:p w14:paraId="7FF1A521" w14:textId="77777777" w:rsidR="00CA01EC" w:rsidRPr="00CA01EC" w:rsidRDefault="00CA01EC" w:rsidP="00CA01EC">
      <w:pPr>
        <w:pStyle w:val="EndNoteBibliography"/>
        <w:spacing w:after="0"/>
        <w:ind w:left="720" w:hanging="720"/>
      </w:pPr>
      <w:r w:rsidRPr="00CA01EC">
        <w:t xml:space="preserve">Graudins, A. (2015). Paracetamol poisoning in adolescents in an Australian setting: Not quite adults: Adolescent Paracetamol Poisoning. </w:t>
      </w:r>
      <w:r w:rsidRPr="00CA01EC">
        <w:rPr>
          <w:i/>
        </w:rPr>
        <w:t>Emergency medicine Australasia, 27</w:t>
      </w:r>
      <w:r w:rsidRPr="00CA01EC">
        <w:t>(2), 139-144. doi:10.1111/1742-6723.12373</w:t>
      </w:r>
    </w:p>
    <w:p w14:paraId="1B1B7909" w14:textId="77777777" w:rsidR="00CA01EC" w:rsidRPr="00CA01EC" w:rsidRDefault="00CA01EC" w:rsidP="00CA01EC">
      <w:pPr>
        <w:pStyle w:val="EndNoteBibliography"/>
        <w:spacing w:after="0"/>
        <w:ind w:left="720" w:hanging="720"/>
      </w:pPr>
      <w:r w:rsidRPr="00CA01EC">
        <w:t xml:space="preserve">Gummin, D. D., Mowry, J. B., Beuhler, M. C., Spyker, D. A., Bronstein, A. C., Rivers, L. J., . . . Weber, J. (2021). 2020 Annual Report of the American Association of Poison Control Centers' National Poison Data System (NPDS): 38th Annual Report. </w:t>
      </w:r>
      <w:r w:rsidRPr="00CA01EC">
        <w:rPr>
          <w:i/>
        </w:rPr>
        <w:t>Clin Toxicol (Phila), 59</w:t>
      </w:r>
      <w:r w:rsidRPr="00CA01EC">
        <w:t>(12), 1282-1501. doi:10.1080/15563650.2021.1989785</w:t>
      </w:r>
    </w:p>
    <w:p w14:paraId="54125663" w14:textId="1C09D794" w:rsidR="00CA01EC" w:rsidRPr="00CA01EC" w:rsidRDefault="00CA01EC" w:rsidP="00CA01EC">
      <w:pPr>
        <w:pStyle w:val="EndNoteBibliography"/>
        <w:spacing w:after="0"/>
        <w:ind w:left="720" w:hanging="720"/>
      </w:pPr>
      <w:r w:rsidRPr="00CA01EC">
        <w:t xml:space="preserve">Gyamlani, G. G., &amp; Parikh, C. R. (2002). Acetaminophen toxicity: Suicidal vs accidental. </w:t>
      </w:r>
      <w:r w:rsidRPr="00CA01EC">
        <w:rPr>
          <w:i/>
        </w:rPr>
        <w:t>Critical Care, 6</w:t>
      </w:r>
      <w:r w:rsidRPr="00CA01EC">
        <w:t>(2), 155-159. doi:</w:t>
      </w:r>
      <w:hyperlink r:id="rId100" w:history="1">
        <w:r w:rsidRPr="00CA01EC">
          <w:rPr>
            <w:rStyle w:val="Hyperlink"/>
          </w:rPr>
          <w:t>http://dx.doi.org/10.1186/cc1475</w:t>
        </w:r>
      </w:hyperlink>
    </w:p>
    <w:p w14:paraId="681C424F" w14:textId="77777777" w:rsidR="00CA01EC" w:rsidRPr="00CA01EC" w:rsidRDefault="00CA01EC" w:rsidP="00CA01EC">
      <w:pPr>
        <w:pStyle w:val="EndNoteBibliography"/>
        <w:spacing w:after="0"/>
        <w:ind w:left="720" w:hanging="720"/>
      </w:pPr>
      <w:r w:rsidRPr="00CA01EC">
        <w:t>Harris, K., Jiang, A., Knoeckel, R., &amp; Isoardi, K. Z. (2020). Rescheduling codeine-containing analgesics reduced codeine-related hospital presentations. In (Vol. 212, pp. 328-328). Malden, Massachusetts: Wiley-Blackwell.</w:t>
      </w:r>
    </w:p>
    <w:p w14:paraId="78B3FB9D" w14:textId="349D9BE0" w:rsidR="00CA01EC" w:rsidRPr="00CA01EC" w:rsidRDefault="00CA01EC" w:rsidP="00CA01EC">
      <w:pPr>
        <w:pStyle w:val="EndNoteBibliography"/>
        <w:spacing w:after="0"/>
        <w:ind w:left="720" w:hanging="720"/>
      </w:pPr>
      <w:r w:rsidRPr="00CA01EC">
        <w:t xml:space="preserve">Haw, C., Casey, D., Holmes, J., &amp; Hawton, K. (2015). Suicidal Intent and Method of Self-Harm: A Large-scale Study of Self-Harm Patients Presenting to a General Hospital. </w:t>
      </w:r>
      <w:r w:rsidRPr="00CA01EC">
        <w:rPr>
          <w:i/>
        </w:rPr>
        <w:t>Suicide &amp; life-threatening behavior, 45</w:t>
      </w:r>
      <w:r w:rsidRPr="00CA01EC">
        <w:t>(6), 732-746. doi:</w:t>
      </w:r>
      <w:hyperlink r:id="rId101" w:history="1">
        <w:r w:rsidRPr="00CA01EC">
          <w:rPr>
            <w:rStyle w:val="Hyperlink"/>
          </w:rPr>
          <w:t>http://dx.doi.org/10.1111/sltb.12168</w:t>
        </w:r>
      </w:hyperlink>
    </w:p>
    <w:p w14:paraId="38C98254" w14:textId="35666A54" w:rsidR="00CA01EC" w:rsidRPr="00CA01EC" w:rsidRDefault="00CA01EC" w:rsidP="00CA01EC">
      <w:pPr>
        <w:pStyle w:val="EndNoteBibliography"/>
        <w:spacing w:after="0"/>
        <w:ind w:left="720" w:hanging="720"/>
      </w:pPr>
      <w:r w:rsidRPr="00CA01EC">
        <w:t xml:space="preserve">Hawton, K., Bergen, H., Casey, D., Simkin, S., Palmer, B., Cooper, J., . . . Owens, D. (2007). Self-harm in England: A tale of three cities: Multicentre study of self-harm. </w:t>
      </w:r>
      <w:r w:rsidRPr="00CA01EC">
        <w:rPr>
          <w:i/>
        </w:rPr>
        <w:t>Social Psychiatry and Psychiatric Epidemiology: The International Journal for Research in Social and Genetic Epidemiology and Mental Health Services, 42</w:t>
      </w:r>
      <w:r w:rsidRPr="00CA01EC">
        <w:t>(7), 513-521. doi:</w:t>
      </w:r>
      <w:hyperlink r:id="rId102" w:history="1">
        <w:r w:rsidRPr="00CA01EC">
          <w:rPr>
            <w:rStyle w:val="Hyperlink"/>
          </w:rPr>
          <w:t>https://dx.doi.org/10.1007/s00127-007-0199-7</w:t>
        </w:r>
      </w:hyperlink>
    </w:p>
    <w:p w14:paraId="5D8EA8F6" w14:textId="36DE9864" w:rsidR="00CA01EC" w:rsidRPr="00CA01EC" w:rsidRDefault="00CA01EC" w:rsidP="00CA01EC">
      <w:pPr>
        <w:pStyle w:val="EndNoteBibliography"/>
        <w:spacing w:after="0"/>
        <w:ind w:left="720" w:hanging="720"/>
      </w:pPr>
      <w:r w:rsidRPr="00CA01EC">
        <w:t xml:space="preserve">Hawton, K., Bergen, H., Simkin, S., Brock, A., Griffiths, C., Romeri, E., . . . Gunnell, D. (2009). Effect of withdrawal of co-proxamol on prescribing and deaths from drug poisoning in England and Wales: Time series analysis. </w:t>
      </w:r>
      <w:r w:rsidRPr="00CA01EC">
        <w:rPr>
          <w:i/>
        </w:rPr>
        <w:t>BMJ (Online), 339</w:t>
      </w:r>
      <w:r w:rsidRPr="00CA01EC">
        <w:t>(7718), 435-437. doi:</w:t>
      </w:r>
      <w:hyperlink r:id="rId103" w:history="1">
        <w:r w:rsidRPr="00CA01EC">
          <w:rPr>
            <w:rStyle w:val="Hyperlink"/>
          </w:rPr>
          <w:t>http://dx.doi.org/10.1136/bmj.b2270</w:t>
        </w:r>
      </w:hyperlink>
    </w:p>
    <w:p w14:paraId="195D03F7" w14:textId="798A1CF7" w:rsidR="00CA01EC" w:rsidRPr="00CA01EC" w:rsidRDefault="00CA01EC" w:rsidP="00CA01EC">
      <w:pPr>
        <w:pStyle w:val="EndNoteBibliography"/>
        <w:spacing w:after="0"/>
        <w:ind w:left="720" w:hanging="720"/>
      </w:pPr>
      <w:r w:rsidRPr="00CA01EC">
        <w:t xml:space="preserve">Hawton, K., Bergen, H., Simkin, S., Wells, C., Kapur, N., &amp; Gunnell, D. (2012). Six-year follow-up of impact of co-proxamol withdrawal in england and wales on prescribing and deaths: Time-series study. </w:t>
      </w:r>
      <w:r w:rsidRPr="00CA01EC">
        <w:rPr>
          <w:i/>
        </w:rPr>
        <w:t>PLoS Medicine, 9</w:t>
      </w:r>
      <w:r w:rsidRPr="00CA01EC">
        <w:t>(5), e1001213. doi:</w:t>
      </w:r>
      <w:hyperlink r:id="rId104" w:history="1">
        <w:r w:rsidRPr="00CA01EC">
          <w:rPr>
            <w:rStyle w:val="Hyperlink"/>
          </w:rPr>
          <w:t>http://dx.doi.org/10.1371/journal.pmed.1001213</w:t>
        </w:r>
      </w:hyperlink>
    </w:p>
    <w:p w14:paraId="0BF225B1" w14:textId="569A0F30" w:rsidR="00CA01EC" w:rsidRPr="00CA01EC" w:rsidRDefault="00CA01EC" w:rsidP="00CA01EC">
      <w:pPr>
        <w:pStyle w:val="EndNoteBibliography"/>
        <w:spacing w:after="0"/>
        <w:ind w:left="720" w:hanging="720"/>
      </w:pPr>
      <w:r w:rsidRPr="00CA01EC">
        <w:t xml:space="preserve">Hawton, K., Bergen, H., Waters, K., Murphy, E., Cooper, J., &amp; Kapur, N. (2011). Impact of withdrawal of the analgesic co-proxamol on nonfatal self-poisoning in the UK. </w:t>
      </w:r>
      <w:r w:rsidRPr="00CA01EC">
        <w:rPr>
          <w:i/>
        </w:rPr>
        <w:t>Crisis, 32</w:t>
      </w:r>
      <w:r w:rsidRPr="00CA01EC">
        <w:t>(2), 81-87. doi:</w:t>
      </w:r>
      <w:hyperlink r:id="rId105" w:history="1">
        <w:r w:rsidRPr="00CA01EC">
          <w:rPr>
            <w:rStyle w:val="Hyperlink"/>
          </w:rPr>
          <w:t>http://dx.doi.org/10.1027/0227-5910/a000063</w:t>
        </w:r>
      </w:hyperlink>
    </w:p>
    <w:p w14:paraId="0DC33549" w14:textId="77777777" w:rsidR="00CA01EC" w:rsidRPr="00CA01EC" w:rsidRDefault="00CA01EC" w:rsidP="00CA01EC">
      <w:pPr>
        <w:pStyle w:val="EndNoteBibliography"/>
        <w:spacing w:after="0"/>
        <w:ind w:left="720" w:hanging="720"/>
      </w:pPr>
      <w:r w:rsidRPr="00CA01EC">
        <w:t xml:space="preserve">Hawton, K., Harriss, L. (2008). Deliberate self-harm by under-15-year-olds: characteristics, trends and outcome. </w:t>
      </w:r>
      <w:r w:rsidRPr="00CA01EC">
        <w:rPr>
          <w:i/>
        </w:rPr>
        <w:t>Journal of Child Psychology and Psychiatry, 49</w:t>
      </w:r>
      <w:r w:rsidRPr="00CA01EC">
        <w:t xml:space="preserve">, 441-448. </w:t>
      </w:r>
    </w:p>
    <w:p w14:paraId="375E52C4" w14:textId="1F068E50" w:rsidR="00CA01EC" w:rsidRPr="00CA01EC" w:rsidRDefault="00CA01EC" w:rsidP="00CA01EC">
      <w:pPr>
        <w:pStyle w:val="EndNoteBibliography"/>
        <w:spacing w:after="0"/>
        <w:ind w:left="720" w:hanging="720"/>
      </w:pPr>
      <w:r w:rsidRPr="00CA01EC">
        <w:t xml:space="preserve">Hawton, K., Simkin, S., Decks, J., Cooper, J., Johnston, A., Waters, K., . . . Simpson, K. (2004). UK legislation on analgesic packs: Before and after study of long term effect on poisonings. </w:t>
      </w:r>
      <w:r w:rsidRPr="00CA01EC">
        <w:rPr>
          <w:i/>
        </w:rPr>
        <w:t>British Medical Journal, 329</w:t>
      </w:r>
      <w:r w:rsidRPr="00CA01EC">
        <w:t>(7474), 1076-1079. doi:</w:t>
      </w:r>
      <w:hyperlink r:id="rId106" w:history="1">
        <w:r w:rsidRPr="00CA01EC">
          <w:rPr>
            <w:rStyle w:val="Hyperlink"/>
          </w:rPr>
          <w:t>http://dx.doi.org/10.1136/bmj.38253.572581.7C</w:t>
        </w:r>
      </w:hyperlink>
    </w:p>
    <w:p w14:paraId="73E3BBCF" w14:textId="4D0992AD" w:rsidR="00CA01EC" w:rsidRPr="00CA01EC" w:rsidRDefault="00CA01EC" w:rsidP="00CA01EC">
      <w:pPr>
        <w:pStyle w:val="EndNoteBibliography"/>
        <w:spacing w:after="0"/>
        <w:ind w:left="720" w:hanging="720"/>
      </w:pPr>
      <w:r w:rsidRPr="00CA01EC">
        <w:t xml:space="preserve">Hawton, K., Simkin, S., &amp; Deeks, J. (2003). Co-proxamol and suicide: A study of national mortality statistics and local non-fatal self poisonings. </w:t>
      </w:r>
      <w:r w:rsidRPr="00CA01EC">
        <w:rPr>
          <w:i/>
        </w:rPr>
        <w:t>British Medical Journal, 326</w:t>
      </w:r>
      <w:r w:rsidRPr="00CA01EC">
        <w:t>(7397), 1006-1008. doi:</w:t>
      </w:r>
      <w:hyperlink r:id="rId107" w:history="1">
        <w:r w:rsidRPr="00CA01EC">
          <w:rPr>
            <w:rStyle w:val="Hyperlink"/>
          </w:rPr>
          <w:t>http://dx.doi.org/10.1136/bmj.326.7397.1006</w:t>
        </w:r>
      </w:hyperlink>
    </w:p>
    <w:p w14:paraId="56081540" w14:textId="77777777" w:rsidR="00CA01EC" w:rsidRPr="00CA01EC" w:rsidRDefault="00CA01EC" w:rsidP="00CA01EC">
      <w:pPr>
        <w:pStyle w:val="EndNoteBibliography"/>
        <w:spacing w:after="0"/>
        <w:ind w:left="720" w:hanging="720"/>
      </w:pPr>
      <w:r w:rsidRPr="00CA01EC">
        <w:t xml:space="preserve">Hawton, K., Ware, C., Mistry, H., Hewitt, J., Kingsbury, S., Roberts, D., &amp; Weitzel, H. (1995). Why patients choose paracetamol for self poisoning and their knowledge of its dangers. </w:t>
      </w:r>
      <w:r w:rsidRPr="00CA01EC">
        <w:rPr>
          <w:i/>
        </w:rPr>
        <w:t>BMJ, 310</w:t>
      </w:r>
      <w:r w:rsidRPr="00CA01EC">
        <w:t>(6973), 164. doi:10.1136/bmj.310.6973.164</w:t>
      </w:r>
    </w:p>
    <w:p w14:paraId="0341EDE7" w14:textId="6C259F83" w:rsidR="00CA01EC" w:rsidRPr="00CA01EC" w:rsidRDefault="00CA01EC" w:rsidP="00CA01EC">
      <w:pPr>
        <w:pStyle w:val="EndNoteBibliography"/>
        <w:spacing w:after="0"/>
        <w:ind w:left="720" w:hanging="720"/>
      </w:pPr>
      <w:r w:rsidRPr="00CA01EC">
        <w:t xml:space="preserve">Hawton, K., Ware, C., Mistry, H., Hewitt, J., Kingsbury, S., Roberts, D., &amp; Weitzel, H. (1996). Paracetamol self-poisoning: Characteristics, prevention and harm reduction. </w:t>
      </w:r>
      <w:r w:rsidRPr="00CA01EC">
        <w:rPr>
          <w:i/>
        </w:rPr>
        <w:t>British Journal of Psychiatry, 168</w:t>
      </w:r>
      <w:r w:rsidRPr="00CA01EC">
        <w:t>(JAN.), 43-48. doi:</w:t>
      </w:r>
      <w:hyperlink r:id="rId108" w:history="1">
        <w:r w:rsidRPr="00CA01EC">
          <w:rPr>
            <w:rStyle w:val="Hyperlink"/>
          </w:rPr>
          <w:t>http://dx.doi.org/10.1192/bjp.168.1.43</w:t>
        </w:r>
      </w:hyperlink>
    </w:p>
    <w:p w14:paraId="17C98274" w14:textId="3D0B13D7" w:rsidR="00CA01EC" w:rsidRPr="00CA01EC" w:rsidRDefault="00CA01EC" w:rsidP="00CA01EC">
      <w:pPr>
        <w:pStyle w:val="EndNoteBibliography"/>
        <w:spacing w:after="0"/>
        <w:ind w:left="720" w:hanging="720"/>
      </w:pPr>
      <w:r w:rsidRPr="00CA01EC">
        <w:t xml:space="preserve">Hedeland, R. L., Jorgensen, M. H., Teilmann, G., Thiesen, L. R., Valentiner, M., Iskandar, A., . . . Andersen, J. (2013). Childhood suicide attempts with acetaminophen in Denmark: characteristics, social behaviour, trends and risk factors. </w:t>
      </w:r>
      <w:r w:rsidRPr="00CA01EC">
        <w:rPr>
          <w:i/>
        </w:rPr>
        <w:t>Scandinavian journal of public health, 41</w:t>
      </w:r>
      <w:r w:rsidRPr="00CA01EC">
        <w:t>(3), 240-246. doi:</w:t>
      </w:r>
      <w:hyperlink r:id="rId109" w:history="1">
        <w:r w:rsidRPr="00CA01EC">
          <w:rPr>
            <w:rStyle w:val="Hyperlink"/>
          </w:rPr>
          <w:t>http://dx.doi.org/10.1177/1403494812474122</w:t>
        </w:r>
      </w:hyperlink>
    </w:p>
    <w:p w14:paraId="68529FCA" w14:textId="05CF116A" w:rsidR="00CA01EC" w:rsidRPr="00CA01EC" w:rsidRDefault="00CA01EC" w:rsidP="00CA01EC">
      <w:pPr>
        <w:pStyle w:val="EndNoteBibliography"/>
        <w:spacing w:after="0"/>
        <w:ind w:left="720" w:hanging="720"/>
      </w:pPr>
      <w:r w:rsidRPr="00CA01EC">
        <w:t xml:space="preserve">Hedeland, R. L., Teilmann, G., Jorgensen, M. H., Thiesen, L. R., &amp; Andersen, J. (2016). Risk factors and characteristics of suicide attempts among 381 suicidal adolescents. </w:t>
      </w:r>
      <w:r w:rsidRPr="00CA01EC">
        <w:rPr>
          <w:i/>
        </w:rPr>
        <w:t>Acta Paediatrica, International Journal of Paediatrics, 105</w:t>
      </w:r>
      <w:r w:rsidRPr="00CA01EC">
        <w:t>(10), 1231-1238. doi:</w:t>
      </w:r>
      <w:hyperlink r:id="rId110" w:history="1">
        <w:r w:rsidRPr="00CA01EC">
          <w:rPr>
            <w:rStyle w:val="Hyperlink"/>
          </w:rPr>
          <w:t>http://dx.doi.org/10.1111/apa.13458</w:t>
        </w:r>
      </w:hyperlink>
    </w:p>
    <w:p w14:paraId="5A1EB4E4" w14:textId="74D52959" w:rsidR="00CA01EC" w:rsidRPr="00CA01EC" w:rsidRDefault="00CA01EC" w:rsidP="00CA01EC">
      <w:pPr>
        <w:pStyle w:val="EndNoteBibliography"/>
        <w:spacing w:after="0"/>
        <w:ind w:left="720" w:hanging="720"/>
      </w:pPr>
      <w:r w:rsidRPr="00CA01EC">
        <w:t xml:space="preserve">Hopkins, A. G., Spiller, H. A., Kistamgari, S., Zhu, M., Michaels, N. L., Funk, A. R., &amp; Smith, G. A. (2020). Suicide-related over-the-counter analgesic exposures reported to United States poison control centers, 2000-2018. </w:t>
      </w:r>
      <w:r w:rsidRPr="00CA01EC">
        <w:rPr>
          <w:i/>
        </w:rPr>
        <w:t>Pharmacoepidemiology and Drug Safety, 29</w:t>
      </w:r>
      <w:r w:rsidRPr="00CA01EC">
        <w:t>(9), 1011-1021. doi:</w:t>
      </w:r>
      <w:hyperlink r:id="rId111" w:history="1">
        <w:r w:rsidRPr="00CA01EC">
          <w:rPr>
            <w:rStyle w:val="Hyperlink"/>
          </w:rPr>
          <w:t>http://dx.doi.org/10.1002/pds.4997</w:t>
        </w:r>
      </w:hyperlink>
    </w:p>
    <w:p w14:paraId="5B44343D" w14:textId="77777777" w:rsidR="00CA01EC" w:rsidRPr="00CA01EC" w:rsidRDefault="00CA01EC" w:rsidP="00CA01EC">
      <w:pPr>
        <w:pStyle w:val="EndNoteBibliography"/>
        <w:spacing w:after="0"/>
        <w:ind w:left="720" w:hanging="720"/>
      </w:pPr>
      <w:r w:rsidRPr="00CA01EC">
        <w:t xml:space="preserve">John, A., Okolie, C., Porter, A., Moore, C., Thomas, G., Whitfield, R., . . . Snooks, H. (2016). Non-accidental non-fatal poisonings attended by emergency ambulance crews: an observational study of data sources and epidemiology. </w:t>
      </w:r>
      <w:r w:rsidRPr="00CA01EC">
        <w:rPr>
          <w:i/>
        </w:rPr>
        <w:t>BMJ Open, 6</w:t>
      </w:r>
      <w:r w:rsidRPr="00CA01EC">
        <w:t>(8), e011049-e011049. doi:10.1136/bmjopen-2016-011049</w:t>
      </w:r>
    </w:p>
    <w:p w14:paraId="159F7450" w14:textId="77777777" w:rsidR="00CA01EC" w:rsidRPr="00CA01EC" w:rsidRDefault="00CA01EC" w:rsidP="00CA01EC">
      <w:pPr>
        <w:pStyle w:val="EndNoteBibliography"/>
        <w:spacing w:after="0"/>
        <w:ind w:left="720" w:hanging="720"/>
      </w:pPr>
      <w:r w:rsidRPr="00CA01EC">
        <w:t xml:space="preserve">Jollant, F., Goueslard, K., Hawton, K., &amp; Quantin, C. (2022). Self-harm, somatic disorders and mortality in the 3 years following a hospitalisation in psychiatry in adolescents and young adults. </w:t>
      </w:r>
      <w:r w:rsidRPr="00CA01EC">
        <w:rPr>
          <w:i/>
        </w:rPr>
        <w:t>Evid Based Ment Health</w:t>
      </w:r>
      <w:r w:rsidRPr="00CA01EC">
        <w:t>. doi:10.1136/ebmental-2021-300409</w:t>
      </w:r>
    </w:p>
    <w:p w14:paraId="7F5C254A" w14:textId="31525EF2" w:rsidR="00CA01EC" w:rsidRPr="00CA01EC" w:rsidRDefault="00CA01EC" w:rsidP="00CA01EC">
      <w:pPr>
        <w:pStyle w:val="EndNoteBibliography"/>
        <w:spacing w:after="0"/>
        <w:ind w:left="720" w:hanging="720"/>
      </w:pPr>
      <w:r w:rsidRPr="00CA01EC">
        <w:t xml:space="preserve">Kaur, J., McFaull, S. R., &amp; Bang, F. (2020). Trends in emergency department visits for acetaminophen-related poisonings: 2011-2019. </w:t>
      </w:r>
      <w:r w:rsidRPr="00CA01EC">
        <w:rPr>
          <w:i/>
        </w:rPr>
        <w:t>Tendances des visites aux services des urgences pour des intoxications liees a l'acetaminophene, 2011 a 2019., 40</w:t>
      </w:r>
      <w:r w:rsidRPr="00CA01EC">
        <w:t>(4), 130-133. doi:</w:t>
      </w:r>
      <w:hyperlink r:id="rId112" w:history="1">
        <w:r w:rsidRPr="00CA01EC">
          <w:rPr>
            <w:rStyle w:val="Hyperlink"/>
          </w:rPr>
          <w:t>https://dx.doi.org/10.24095/hpcdp.40.4.05</w:t>
        </w:r>
      </w:hyperlink>
    </w:p>
    <w:p w14:paraId="6CFDED6B" w14:textId="4E162C1C" w:rsidR="00CA01EC" w:rsidRPr="00CA01EC" w:rsidRDefault="00CA01EC" w:rsidP="00CA01EC">
      <w:pPr>
        <w:pStyle w:val="EndNoteBibliography"/>
        <w:spacing w:after="0"/>
        <w:ind w:left="720" w:hanging="720"/>
      </w:pPr>
      <w:r w:rsidRPr="00CA01EC">
        <w:t xml:space="preserve">Kisely, S. R., Lawrence, D., &amp; Preston, N. J. (2003). The effect of recalling paracetamol on hospital admissions for poisoning in Western Australia. </w:t>
      </w:r>
      <w:r w:rsidRPr="00CA01EC">
        <w:rPr>
          <w:i/>
        </w:rPr>
        <w:t>The Medical journal of Australia, 178</w:t>
      </w:r>
      <w:r w:rsidRPr="00CA01EC">
        <w:t xml:space="preserve">(2), 72-74. Retrieved from </w:t>
      </w:r>
      <w:hyperlink r:id="rId113" w:history="1">
        <w:r w:rsidRPr="00CA01EC">
          <w:rPr>
            <w:rStyle w:val="Hyperlink"/>
          </w:rPr>
          <w:t>http://ovidsp.ovid.com/ovidweb.cgi?T=JS&amp;PAGE=reference&amp;D=med5&amp;NEWS=N&amp;AN=12526726</w:t>
        </w:r>
      </w:hyperlink>
    </w:p>
    <w:p w14:paraId="4A0473EB" w14:textId="51B10E9B" w:rsidR="00CA01EC" w:rsidRPr="00CA01EC" w:rsidRDefault="00CA01EC" w:rsidP="00CA01EC">
      <w:pPr>
        <w:pStyle w:val="EndNoteBibliography"/>
        <w:spacing w:after="0"/>
        <w:ind w:left="720" w:hanging="720"/>
      </w:pPr>
      <w:r w:rsidRPr="00CA01EC">
        <w:t xml:space="preserve">Kjartansdottir, I., Bergmann, O. M., Arnadottir, R. S., &amp; Bjornsson, E. S. (2012). Paracetamol intoxications: A retrospective population-based study in Iceland. </w:t>
      </w:r>
      <w:r w:rsidRPr="00CA01EC">
        <w:rPr>
          <w:i/>
        </w:rPr>
        <w:t>Scandinavian Journal of Gastroenterology, 47</w:t>
      </w:r>
      <w:r w:rsidRPr="00CA01EC">
        <w:t>(11), 1344-1352. doi:</w:t>
      </w:r>
      <w:hyperlink r:id="rId114" w:history="1">
        <w:r w:rsidRPr="00CA01EC">
          <w:rPr>
            <w:rStyle w:val="Hyperlink"/>
          </w:rPr>
          <w:t>http://dx.doi.org/10.3109/00365521.2012.703236</w:t>
        </w:r>
      </w:hyperlink>
    </w:p>
    <w:p w14:paraId="4DB64F10" w14:textId="12D7F581" w:rsidR="00CA01EC" w:rsidRPr="00CA01EC" w:rsidRDefault="00CA01EC" w:rsidP="00CA01EC">
      <w:pPr>
        <w:pStyle w:val="EndNoteBibliography"/>
        <w:spacing w:after="0"/>
        <w:ind w:left="720" w:hanging="720"/>
      </w:pPr>
      <w:r w:rsidRPr="00CA01EC">
        <w:t xml:space="preserve">Kominek, K., Pawlowska-Kamieniak, A., Mroczkowska-Juchkiewicz, A., Krawiec, P., &amp; Pac-Kozuchowska, E. (2015). Intentional and accidental paracetamol poisoning in childhood - a retrospective analysis. </w:t>
      </w:r>
      <w:r w:rsidRPr="00CA01EC">
        <w:rPr>
          <w:i/>
        </w:rPr>
        <w:t>Postepy higieny i medycyny doswiadczalnej (Online), 69</w:t>
      </w:r>
      <w:r w:rsidRPr="00CA01EC">
        <w:t xml:space="preserve">, 452-456. Retrieved from </w:t>
      </w:r>
      <w:hyperlink r:id="rId115" w:history="1">
        <w:r w:rsidRPr="00CA01EC">
          <w:rPr>
            <w:rStyle w:val="Hyperlink"/>
          </w:rPr>
          <w:t>http://ovidsp.ovid.com/ovidweb.cgi?T=JS&amp;PAGE=reference&amp;D=emed16&amp;NEWS=N&amp;AN=605612688</w:t>
        </w:r>
      </w:hyperlink>
    </w:p>
    <w:p w14:paraId="24C578EF" w14:textId="5B975577" w:rsidR="00CA01EC" w:rsidRPr="00CA01EC" w:rsidRDefault="00CA01EC" w:rsidP="00CA01EC">
      <w:pPr>
        <w:pStyle w:val="EndNoteBibliography"/>
        <w:spacing w:after="0"/>
        <w:ind w:left="720" w:hanging="720"/>
      </w:pPr>
      <w:r w:rsidRPr="00CA01EC">
        <w:t xml:space="preserve">Kummer, M., Muller, T., Exadaktylos, A. K., Krahenbuhl, S., &amp; Liakoni, E. (2021). Characteristics of presentations to the emergency department following attempted suicide with drugs. </w:t>
      </w:r>
      <w:r w:rsidRPr="00CA01EC">
        <w:rPr>
          <w:i/>
        </w:rPr>
        <w:t>International Journal of Environmental Research and Public Health, 18</w:t>
      </w:r>
      <w:r w:rsidRPr="00CA01EC">
        <w:t>(19), 10232. doi:</w:t>
      </w:r>
      <w:hyperlink r:id="rId116" w:history="1">
        <w:r w:rsidRPr="00CA01EC">
          <w:rPr>
            <w:rStyle w:val="Hyperlink"/>
          </w:rPr>
          <w:t>http://dx.doi.org/10.3390/ijerph181910232</w:t>
        </w:r>
      </w:hyperlink>
    </w:p>
    <w:p w14:paraId="5B56D4FA" w14:textId="77777777" w:rsidR="00CA01EC" w:rsidRPr="00CA01EC" w:rsidRDefault="00CA01EC" w:rsidP="00CA01EC">
      <w:pPr>
        <w:pStyle w:val="EndNoteBibliography"/>
        <w:spacing w:after="0"/>
        <w:ind w:left="720" w:hanging="720"/>
      </w:pPr>
      <w:r w:rsidRPr="00CA01EC">
        <w:t xml:space="preserve">Kumpula, E.-K., Lambie, B., Quigley, P., Nada-Raja, S., &amp; Norris, P. (2020). Prescribers aware: a cross-sectional study from New Zealand emergency departments on the substances used in intentional self-poisoning and their sources. </w:t>
      </w:r>
      <w:r w:rsidRPr="00CA01EC">
        <w:rPr>
          <w:i/>
        </w:rPr>
        <w:t>Journal of Primary Health Care, 12</w:t>
      </w:r>
      <w:r w:rsidRPr="00CA01EC">
        <w:t>(3), 235-243. doi:10.1071/HC20017</w:t>
      </w:r>
    </w:p>
    <w:p w14:paraId="1341F6BC" w14:textId="5CF98BE4" w:rsidR="00CA01EC" w:rsidRPr="00CA01EC" w:rsidRDefault="00CA01EC" w:rsidP="00CA01EC">
      <w:pPr>
        <w:pStyle w:val="EndNoteBibliography"/>
        <w:spacing w:after="0"/>
        <w:ind w:left="720" w:hanging="720"/>
      </w:pPr>
      <w:r w:rsidRPr="00CA01EC">
        <w:t xml:space="preserve">Kumpula, E. K., Norris, P., &amp; Pomerleau, A. C. (2020). Stocks of paracetamol products stored in urban New Zealand households: A cross-sectional study. </w:t>
      </w:r>
      <w:r w:rsidRPr="00CA01EC">
        <w:rPr>
          <w:i/>
        </w:rPr>
        <w:t>PLoS One, 15</w:t>
      </w:r>
      <w:r w:rsidRPr="00CA01EC">
        <w:t>(6), e0233806. doi:</w:t>
      </w:r>
      <w:hyperlink r:id="rId117" w:history="1">
        <w:r w:rsidRPr="00CA01EC">
          <w:rPr>
            <w:rStyle w:val="Hyperlink"/>
          </w:rPr>
          <w:t>http://dx.doi.org/10.1371/journal.pone.0233806</w:t>
        </w:r>
      </w:hyperlink>
    </w:p>
    <w:p w14:paraId="6B20D4F4" w14:textId="51455C05" w:rsidR="00CA01EC" w:rsidRPr="00CA01EC" w:rsidRDefault="00CA01EC" w:rsidP="00CA01EC">
      <w:pPr>
        <w:pStyle w:val="EndNoteBibliography"/>
        <w:spacing w:after="0"/>
        <w:ind w:left="720" w:hanging="720"/>
      </w:pPr>
      <w:r w:rsidRPr="00CA01EC">
        <w:t xml:space="preserve">Larson, E. K., Johnson, K. P., &amp; Sheridan, D. C. (2022). Sources of Medications Used by Children and Adolescents for Intentional Ingestion: A Retrospective Chart Review. </w:t>
      </w:r>
      <w:r w:rsidRPr="00CA01EC">
        <w:rPr>
          <w:i/>
        </w:rPr>
        <w:t>Pediatric emergency care, 38</w:t>
      </w:r>
      <w:r w:rsidRPr="00CA01EC">
        <w:t>(4), e1213-e1216. doi:</w:t>
      </w:r>
      <w:hyperlink r:id="rId118" w:history="1">
        <w:r w:rsidRPr="00CA01EC">
          <w:rPr>
            <w:rStyle w:val="Hyperlink"/>
          </w:rPr>
          <w:t>https://dx.doi.org/10.1097/PEC.0000000000002553</w:t>
        </w:r>
      </w:hyperlink>
    </w:p>
    <w:p w14:paraId="49468D8B" w14:textId="77777777" w:rsidR="00CA01EC" w:rsidRPr="00CA01EC" w:rsidRDefault="00CA01EC" w:rsidP="00CA01EC">
      <w:pPr>
        <w:pStyle w:val="EndNoteBibliography"/>
        <w:spacing w:after="0"/>
        <w:ind w:left="720" w:hanging="720"/>
      </w:pPr>
      <w:r w:rsidRPr="00CA01EC">
        <w:t xml:space="preserve">Lim, J. S., Buckley, N. A., Chitty, K. M., Moles, R. J., &amp; Cairns, R. (2021). Association Between Means Restriction of Poison and Method-Specific Suicide Rates: A Systematic Review. </w:t>
      </w:r>
      <w:r w:rsidRPr="00CA01EC">
        <w:rPr>
          <w:i/>
        </w:rPr>
        <w:t>JAMA Health Forum, 2</w:t>
      </w:r>
      <w:r w:rsidRPr="00CA01EC">
        <w:t>(10), e213042-e213042. doi:10.1001/jamahealthforum.2021.3042</w:t>
      </w:r>
    </w:p>
    <w:p w14:paraId="08BAAFBE" w14:textId="13DFD921" w:rsidR="00CA01EC" w:rsidRPr="00CA01EC" w:rsidRDefault="00CA01EC" w:rsidP="00CA01EC">
      <w:pPr>
        <w:pStyle w:val="EndNoteBibliography"/>
        <w:spacing w:after="0"/>
        <w:ind w:left="720" w:hanging="720"/>
      </w:pPr>
      <w:r w:rsidRPr="00CA01EC">
        <w:t xml:space="preserve">Lo, A., Shalansky, S., Leung, M., Hollander, Y., &amp; Raboud, J. (2003). Patient characteristics associated with nonprescription drug use in intentional overdose. </w:t>
      </w:r>
      <w:r w:rsidRPr="00CA01EC">
        <w:rPr>
          <w:i/>
        </w:rPr>
        <w:t>Canadian Journal of Psychiatry, 48</w:t>
      </w:r>
      <w:r w:rsidRPr="00CA01EC">
        <w:t>(4), 232-236. doi:</w:t>
      </w:r>
      <w:hyperlink r:id="rId119" w:history="1">
        <w:r w:rsidRPr="00CA01EC">
          <w:rPr>
            <w:rStyle w:val="Hyperlink"/>
          </w:rPr>
          <w:t>http://dx.doi.org/10.1177/070674370304800406</w:t>
        </w:r>
      </w:hyperlink>
    </w:p>
    <w:p w14:paraId="604E1F1F" w14:textId="7CA5B101" w:rsidR="00CA01EC" w:rsidRPr="00CA01EC" w:rsidRDefault="00CA01EC" w:rsidP="00CA01EC">
      <w:pPr>
        <w:pStyle w:val="EndNoteBibliography"/>
        <w:spacing w:after="0"/>
        <w:ind w:left="720" w:hanging="720"/>
      </w:pPr>
      <w:r w:rsidRPr="00CA01EC">
        <w:t xml:space="preserve">Makin, A., &amp; Williams, R. (2000). Paracetamol hepatotoxicity and alcohol consumption in deliberate and accidental overdose. </w:t>
      </w:r>
      <w:r w:rsidRPr="00CA01EC">
        <w:rPr>
          <w:i/>
        </w:rPr>
        <w:t>QJM - Monthly Journal of the Association of Physicians, 93</w:t>
      </w:r>
      <w:r w:rsidRPr="00CA01EC">
        <w:t>(6), 341-349. doi:</w:t>
      </w:r>
      <w:hyperlink r:id="rId120" w:history="1">
        <w:r w:rsidRPr="00CA01EC">
          <w:rPr>
            <w:rStyle w:val="Hyperlink"/>
          </w:rPr>
          <w:t>http://dx.doi.org/10.1093/qjmed/93.6.341</w:t>
        </w:r>
      </w:hyperlink>
    </w:p>
    <w:p w14:paraId="67A31170" w14:textId="77777777" w:rsidR="00CA01EC" w:rsidRPr="00CA01EC" w:rsidRDefault="00CA01EC" w:rsidP="00CA01EC">
      <w:pPr>
        <w:pStyle w:val="EndNoteBibliography"/>
        <w:spacing w:after="0"/>
        <w:ind w:left="720" w:hanging="720"/>
      </w:pPr>
      <w:r w:rsidRPr="00CA01EC">
        <w:t xml:space="preserve">Manthripragada, A. D. Z., E. H., Budnitz, D. S., Lovegrove, M. C., Willy, M. E. (2011). Characterization of acetaminophen overdose-related emergency department visits and hospitalizations in the United States. </w:t>
      </w:r>
      <w:r w:rsidRPr="00CA01EC">
        <w:rPr>
          <w:i/>
        </w:rPr>
        <w:t>Pharmacoepidemiology and Drug Safety, 20</w:t>
      </w:r>
      <w:r w:rsidRPr="00CA01EC">
        <w:t xml:space="preserve">, 819-826. </w:t>
      </w:r>
    </w:p>
    <w:p w14:paraId="1208671A" w14:textId="77777777" w:rsidR="00CA01EC" w:rsidRPr="00CA01EC" w:rsidRDefault="00CA01EC" w:rsidP="00CA01EC">
      <w:pPr>
        <w:pStyle w:val="EndNoteBibliography"/>
        <w:spacing w:after="0"/>
        <w:ind w:left="720" w:hanging="720"/>
      </w:pPr>
      <w:r w:rsidRPr="00CA01EC">
        <w:t xml:space="preserve">Martin, C. A., Chapman, R., Rahman, A., &amp; Graudins, A. (2012). A retrospective descriptive study of the characteristics of deliberate self-poisoning patients with single or repeat presentations to an Australian emergency medicine network in a one year period. </w:t>
      </w:r>
      <w:r w:rsidRPr="00CA01EC">
        <w:rPr>
          <w:i/>
        </w:rPr>
        <w:t>BMC Emergency Medicine, 12</w:t>
      </w:r>
      <w:r w:rsidRPr="00CA01EC">
        <w:t>(1), 21-21. doi:10.1186/1471-227X-14-21</w:t>
      </w:r>
    </w:p>
    <w:p w14:paraId="2D06C835" w14:textId="77777777" w:rsidR="00CA01EC" w:rsidRPr="00CA01EC" w:rsidRDefault="00CA01EC" w:rsidP="00CA01EC">
      <w:pPr>
        <w:pStyle w:val="EndNoteBibliography"/>
        <w:spacing w:after="0"/>
        <w:ind w:left="720" w:hanging="720"/>
      </w:pPr>
      <w:r w:rsidRPr="00CA01EC">
        <w:t xml:space="preserve">Martinez-De la Torre, A., Weiler, S., Bräm, D. S., Allemann, S. S., Kupferschmidt, H., &amp; Burden, A. M. (2020). National Poison Center Calls Before vs After Availability of High-Dose Acetaminophen (Paracetamol) Tablets in Switzerland. </w:t>
      </w:r>
      <w:r w:rsidRPr="00CA01EC">
        <w:rPr>
          <w:i/>
        </w:rPr>
        <w:t>JAMA Netw Open, 3</w:t>
      </w:r>
      <w:r w:rsidRPr="00CA01EC">
        <w:t>(10), e2022897. doi:10.1001/jamanetworkopen.2020.22897</w:t>
      </w:r>
    </w:p>
    <w:p w14:paraId="42B254E4" w14:textId="77777777" w:rsidR="00CA01EC" w:rsidRPr="00CA01EC" w:rsidRDefault="00CA01EC" w:rsidP="00CA01EC">
      <w:pPr>
        <w:pStyle w:val="EndNoteBibliography"/>
        <w:spacing w:after="0"/>
        <w:ind w:left="720" w:hanging="720"/>
      </w:pPr>
      <w:r w:rsidRPr="00CA01EC">
        <w:t xml:space="preserve">McGillivray, L., Shand, F., Calear, A. L., Batterham, P. J., Rheinberger, D., Chen, N. A., . . . Torok, M. (2021). The Youth Aware of Mental Health program in Australian Secondary Schools: 3- and 6-month outcomes. </w:t>
      </w:r>
      <w:r w:rsidRPr="00CA01EC">
        <w:rPr>
          <w:i/>
        </w:rPr>
        <w:t>Int J Ment Health Syst, 15</w:t>
      </w:r>
      <w:r w:rsidRPr="00CA01EC">
        <w:t>(1), 79. doi:10.1186/s13033-021-00503-w</w:t>
      </w:r>
    </w:p>
    <w:p w14:paraId="7BDE4778" w14:textId="5C059986" w:rsidR="00CA01EC" w:rsidRPr="00CA01EC" w:rsidRDefault="00CA01EC" w:rsidP="00CA01EC">
      <w:pPr>
        <w:pStyle w:val="EndNoteBibliography"/>
        <w:spacing w:after="0"/>
        <w:ind w:left="720" w:hanging="720"/>
      </w:pPr>
      <w:r w:rsidRPr="00CA01EC">
        <w:t xml:space="preserve">McNicholas, F., Keeley, H., Griffin, E., McMahon, E., Corcoran, P., Perry, I. J., &amp; Arensman, E. (2019). Increasing rates of self-harm among children 10-14 in Ireland: A ten-year national registry study 2007-2016. </w:t>
      </w:r>
      <w:r w:rsidRPr="00CA01EC">
        <w:rPr>
          <w:i/>
        </w:rPr>
        <w:t>Archives of Disease in Childhood, 104</w:t>
      </w:r>
      <w:r w:rsidRPr="00CA01EC">
        <w:t>(Supplement 3), A93-A94. doi:</w:t>
      </w:r>
      <w:hyperlink r:id="rId121" w:history="1">
        <w:r w:rsidRPr="00CA01EC">
          <w:rPr>
            <w:rStyle w:val="Hyperlink"/>
          </w:rPr>
          <w:t>http://dx.doi.org/10.1136/archdischild-2019-epa.220</w:t>
        </w:r>
      </w:hyperlink>
    </w:p>
    <w:p w14:paraId="25B75481" w14:textId="77777777" w:rsidR="00CA01EC" w:rsidRPr="00CA01EC" w:rsidRDefault="00CA01EC" w:rsidP="00CA01EC">
      <w:pPr>
        <w:pStyle w:val="EndNoteBibliography"/>
        <w:spacing w:after="0"/>
        <w:ind w:left="720" w:hanging="720"/>
      </w:pPr>
      <w:r w:rsidRPr="00CA01EC">
        <w:t xml:space="preserve">McNulty, R., Lim, J. M. E., Chandru, P., &amp; Gunja, N. (2018). Fewer adverse effects with a modified two-bag acetylcysteine protocol in paracetamol overdose. </w:t>
      </w:r>
      <w:r w:rsidRPr="00CA01EC">
        <w:rPr>
          <w:i/>
        </w:rPr>
        <w:t>Clin Toxicol (Phila), 56</w:t>
      </w:r>
      <w:r w:rsidRPr="00CA01EC">
        <w:t>(7), 618-621. doi:10.1080/15563650.2017.1408812</w:t>
      </w:r>
    </w:p>
    <w:p w14:paraId="19297F21" w14:textId="44BFD5FB" w:rsidR="00CA01EC" w:rsidRPr="00CA01EC" w:rsidRDefault="00CA01EC" w:rsidP="00CA01EC">
      <w:pPr>
        <w:pStyle w:val="EndNoteBibliography"/>
        <w:spacing w:after="0"/>
        <w:ind w:left="720" w:hanging="720"/>
      </w:pPr>
      <w:r w:rsidRPr="00CA01EC">
        <w:t xml:space="preserve">Midtervoll, M., Allen, M. T., Eriksen, C. D., Bakken, V., &amp; Skjerdal, J. W. (2020). A worrying trend: Poisonings with pharmaceuticals in young girls in Norway. </w:t>
      </w:r>
      <w:r w:rsidRPr="00CA01EC">
        <w:rPr>
          <w:i/>
        </w:rPr>
        <w:t>Clinical Toxicology, 58</w:t>
      </w:r>
      <w:r w:rsidRPr="00CA01EC">
        <w:t>(6), 513. doi:</w:t>
      </w:r>
      <w:hyperlink r:id="rId122" w:history="1">
        <w:r w:rsidRPr="00CA01EC">
          <w:rPr>
            <w:rStyle w:val="Hyperlink"/>
          </w:rPr>
          <w:t>http://dx.doi.org/10.1080/15563650.2020.1741981</w:t>
        </w:r>
      </w:hyperlink>
    </w:p>
    <w:p w14:paraId="27BD8AF4" w14:textId="77777777" w:rsidR="00CA01EC" w:rsidRPr="00CA01EC" w:rsidRDefault="00CA01EC" w:rsidP="00CA01EC">
      <w:pPr>
        <w:pStyle w:val="EndNoteBibliography"/>
        <w:spacing w:after="0"/>
        <w:ind w:left="720" w:hanging="720"/>
      </w:pPr>
      <w:r w:rsidRPr="00CA01EC">
        <w:t xml:space="preserve">Mikhail, A., Tanoli, O., Légaré, G., Dubé, P.-A., Habel, Y., Lesage, A., . . . Rahme, E. (2018). Over-the-Counter Drugs and Other Substances Used in Attempted Suicide Presented to Emergency Departments in Montreal, Canada. </w:t>
      </w:r>
      <w:r w:rsidRPr="00CA01EC">
        <w:rPr>
          <w:i/>
        </w:rPr>
        <w:t>Crisis: The Journal of Crisis Intervention &amp; Suicide Prevention</w:t>
      </w:r>
      <w:r w:rsidRPr="00CA01EC">
        <w:t>, 1-10. doi:10.1027/0227-5910/a000545</w:t>
      </w:r>
    </w:p>
    <w:p w14:paraId="2C78779A" w14:textId="4171FAF0" w:rsidR="00CA01EC" w:rsidRPr="00CA01EC" w:rsidRDefault="00CA01EC" w:rsidP="00CA01EC">
      <w:pPr>
        <w:pStyle w:val="EndNoteBibliography"/>
        <w:spacing w:after="0"/>
        <w:ind w:left="720" w:hanging="720"/>
      </w:pPr>
      <w:r w:rsidRPr="00CA01EC">
        <w:t xml:space="preserve">Mindframe Media Advisory Group. (2020). Mindframe guidelines. Retrieved from </w:t>
      </w:r>
      <w:hyperlink r:id="rId123" w:history="1">
        <w:r w:rsidRPr="00CA01EC">
          <w:rPr>
            <w:rStyle w:val="Hyperlink"/>
          </w:rPr>
          <w:t>https://mindframe.org.au/suicide/communicating-about-suicide/mindframe-guidelines</w:t>
        </w:r>
      </w:hyperlink>
    </w:p>
    <w:p w14:paraId="29CBAE6C" w14:textId="2ACE76E6" w:rsidR="00CA01EC" w:rsidRPr="00CA01EC" w:rsidRDefault="00CA01EC" w:rsidP="00CA01EC">
      <w:pPr>
        <w:pStyle w:val="EndNoteBibliography"/>
        <w:spacing w:after="0"/>
        <w:ind w:left="720" w:hanging="720"/>
      </w:pPr>
      <w:r w:rsidRPr="00CA01EC">
        <w:t xml:space="preserve">Morgan, O., Griffiths, C., &amp; Majeed, A. (2005). Impact of paracetamol pack size restrictions on poisoning from paracetamol in England and Wales: an observational study. </w:t>
      </w:r>
      <w:r w:rsidRPr="00CA01EC">
        <w:rPr>
          <w:i/>
        </w:rPr>
        <w:t>Journal of public health (Oxford, England), 27</w:t>
      </w:r>
      <w:r w:rsidRPr="00CA01EC">
        <w:t xml:space="preserve">(1), 19-24. Retrieved from </w:t>
      </w:r>
      <w:hyperlink r:id="rId124" w:history="1">
        <w:r w:rsidRPr="00CA01EC">
          <w:rPr>
            <w:rStyle w:val="Hyperlink"/>
          </w:rPr>
          <w:t>http://ovidsp.ovid.com/ovidweb.cgi?T=JS&amp;PAGE=reference&amp;D=med6&amp;NEWS=N&amp;AN=15637104</w:t>
        </w:r>
      </w:hyperlink>
    </w:p>
    <w:p w14:paraId="4E325667" w14:textId="3E59E82E" w:rsidR="00CA01EC" w:rsidRPr="00CA01EC" w:rsidRDefault="00CA01EC" w:rsidP="00CA01EC">
      <w:pPr>
        <w:pStyle w:val="EndNoteBibliography"/>
        <w:spacing w:after="0"/>
        <w:ind w:left="720" w:hanging="720"/>
      </w:pPr>
      <w:r w:rsidRPr="00CA01EC">
        <w:t xml:space="preserve">Morgan, O. W., Griffiths, C., &amp; Majeed, A. (2007). Interrupted time-series analysis of regulations to reduce paracetamol (acetaminophen) poisoning. </w:t>
      </w:r>
      <w:r w:rsidRPr="00CA01EC">
        <w:rPr>
          <w:i/>
        </w:rPr>
        <w:t>PLoS Medicine, 4</w:t>
      </w:r>
      <w:r w:rsidRPr="00CA01EC">
        <w:t>(4), 654-659. doi:</w:t>
      </w:r>
      <w:hyperlink r:id="rId125" w:history="1">
        <w:r w:rsidRPr="00CA01EC">
          <w:rPr>
            <w:rStyle w:val="Hyperlink"/>
          </w:rPr>
          <w:t>http://dx.doi.org/10.1371/journal.pmed.0040105</w:t>
        </w:r>
      </w:hyperlink>
    </w:p>
    <w:p w14:paraId="5D1AABD7" w14:textId="6E068B2C" w:rsidR="00CA01EC" w:rsidRPr="00CA01EC" w:rsidRDefault="00CA01EC" w:rsidP="00CA01EC">
      <w:pPr>
        <w:pStyle w:val="EndNoteBibliography"/>
        <w:spacing w:after="0"/>
        <w:ind w:left="720" w:hanging="720"/>
      </w:pPr>
      <w:r w:rsidRPr="00CA01EC">
        <w:t xml:space="preserve">Morthorst, B. R., Erlangsen, A., Chaine, M., Eriksson, F., Hawton, K., Dalhoff, K., &amp; Nordentoft, M. (2020). Restriction of non-opioid analgesics sold over-the-counter in Denmark: A national study of impact on poisonings. </w:t>
      </w:r>
      <w:r w:rsidRPr="00CA01EC">
        <w:rPr>
          <w:i/>
        </w:rPr>
        <w:t>Journal of Affective Disorders, 268</w:t>
      </w:r>
      <w:r w:rsidRPr="00CA01EC">
        <w:t>, 61-68. doi:</w:t>
      </w:r>
      <w:hyperlink r:id="rId126" w:history="1">
        <w:r w:rsidRPr="00CA01EC">
          <w:rPr>
            <w:rStyle w:val="Hyperlink"/>
          </w:rPr>
          <w:t>http://dx.doi.org/10.1016/j.jad.2020.02.043</w:t>
        </w:r>
      </w:hyperlink>
    </w:p>
    <w:p w14:paraId="70928A0F" w14:textId="3A6EA38D" w:rsidR="00CA01EC" w:rsidRPr="00CA01EC" w:rsidRDefault="00CA01EC" w:rsidP="00CA01EC">
      <w:pPr>
        <w:pStyle w:val="EndNoteBibliography"/>
        <w:spacing w:after="0"/>
        <w:ind w:left="720" w:hanging="720"/>
      </w:pPr>
      <w:r w:rsidRPr="00CA01EC">
        <w:t xml:space="preserve">Myers, R. P., Li, B., Fong, A., Shaheen, A. A. M., &amp; Quan, H. (2007). Hospitalizations for acetaminophen overdose: A Canadian population-based study from 1995 to 2004. </w:t>
      </w:r>
      <w:r w:rsidRPr="00CA01EC">
        <w:rPr>
          <w:i/>
        </w:rPr>
        <w:t>BMC Public Health, 7</w:t>
      </w:r>
      <w:r w:rsidRPr="00CA01EC">
        <w:t>, 143. doi:</w:t>
      </w:r>
      <w:hyperlink r:id="rId127" w:history="1">
        <w:r w:rsidRPr="00CA01EC">
          <w:rPr>
            <w:rStyle w:val="Hyperlink"/>
          </w:rPr>
          <w:t>http://dx.doi.org/10.1186/1471-2458-7-143</w:t>
        </w:r>
      </w:hyperlink>
    </w:p>
    <w:p w14:paraId="0FFA30AE" w14:textId="0FF65D22" w:rsidR="00CA01EC" w:rsidRPr="00CA01EC" w:rsidRDefault="00CA01EC" w:rsidP="00CA01EC">
      <w:pPr>
        <w:pStyle w:val="EndNoteBibliography"/>
        <w:spacing w:after="0"/>
        <w:ind w:left="720" w:hanging="720"/>
      </w:pPr>
      <w:r w:rsidRPr="00CA01EC">
        <w:t xml:space="preserve">Myers, R. P., Li, B., &amp; Shaheen, A. A. M. (2007). Emergency department visits for acetaminophen overdose: A Canadian population-based epidemiology study (1997-2002). </w:t>
      </w:r>
      <w:r w:rsidRPr="00CA01EC">
        <w:rPr>
          <w:i/>
        </w:rPr>
        <w:t>Canadian Journal of Emergency Medicine, 9</w:t>
      </w:r>
      <w:r w:rsidRPr="00CA01EC">
        <w:t>(4), 267-274. doi:</w:t>
      </w:r>
      <w:hyperlink r:id="rId128" w:history="1">
        <w:r w:rsidRPr="00CA01EC">
          <w:rPr>
            <w:rStyle w:val="Hyperlink"/>
          </w:rPr>
          <w:t>http://dx.doi.org/10.1017/s1481803500015153</w:t>
        </w:r>
      </w:hyperlink>
    </w:p>
    <w:p w14:paraId="1D375819" w14:textId="77777777" w:rsidR="00CA01EC" w:rsidRPr="00CA01EC" w:rsidRDefault="00CA01EC" w:rsidP="00CA01EC">
      <w:pPr>
        <w:pStyle w:val="EndNoteBibliography"/>
        <w:spacing w:after="0"/>
        <w:ind w:left="720" w:hanging="720"/>
      </w:pPr>
      <w:r w:rsidRPr="00CA01EC">
        <w:t xml:space="preserve">Neilson, Z. E., &amp; Morrison, W. (2012). Childhood self-poisoning: a one-year review. </w:t>
      </w:r>
      <w:r w:rsidRPr="00CA01EC">
        <w:rPr>
          <w:i/>
        </w:rPr>
        <w:t>Scottish medical journal, 57</w:t>
      </w:r>
      <w:r w:rsidRPr="00CA01EC">
        <w:t>(4), 196-199. doi:10.1258/smj.2012.012116</w:t>
      </w:r>
    </w:p>
    <w:p w14:paraId="2CFB4459" w14:textId="77503966" w:rsidR="00CA01EC" w:rsidRPr="00CA01EC" w:rsidRDefault="00CA01EC" w:rsidP="00CA01EC">
      <w:pPr>
        <w:pStyle w:val="EndNoteBibliography"/>
        <w:spacing w:after="0"/>
        <w:ind w:left="720" w:hanging="720"/>
      </w:pPr>
      <w:r w:rsidRPr="00CA01EC">
        <w:t xml:space="preserve">Nourjah, P., Ahmad, S. R., Karwoski, C., &amp; Willy, M. (2006). Estimates of acetaminophen (paracetamol)-associated overdoses in the United States. </w:t>
      </w:r>
      <w:r w:rsidRPr="00CA01EC">
        <w:rPr>
          <w:i/>
        </w:rPr>
        <w:t>Pharmacoepidemiology and Drug Safety, 15</w:t>
      </w:r>
      <w:r w:rsidRPr="00CA01EC">
        <w:t>(6), 398-405. doi:</w:t>
      </w:r>
      <w:hyperlink r:id="rId129" w:history="1">
        <w:r w:rsidRPr="00CA01EC">
          <w:rPr>
            <w:rStyle w:val="Hyperlink"/>
          </w:rPr>
          <w:t>http://dx.doi.org/10.1002/pds.1191</w:t>
        </w:r>
      </w:hyperlink>
    </w:p>
    <w:p w14:paraId="56F994BC" w14:textId="68245CA3" w:rsidR="00CA01EC" w:rsidRPr="00CA01EC" w:rsidRDefault="00CA01EC" w:rsidP="00CA01EC">
      <w:pPr>
        <w:pStyle w:val="EndNoteBibliography"/>
        <w:spacing w:after="0"/>
        <w:ind w:left="720" w:hanging="720"/>
      </w:pPr>
      <w:r w:rsidRPr="00CA01EC">
        <w:t xml:space="preserve">Payne, R. A., Oliver, J. J., Bain, M., Elders, A., &amp; Bateman, D. N. (2009). Patterns and predictors of re-admission to hospital with self-poisoning in Scotland. </w:t>
      </w:r>
      <w:r w:rsidRPr="00CA01EC">
        <w:rPr>
          <w:i/>
        </w:rPr>
        <w:t>Public Health, 123</w:t>
      </w:r>
      <w:r w:rsidRPr="00CA01EC">
        <w:t>(2), 134-137. doi:</w:t>
      </w:r>
      <w:hyperlink r:id="rId130" w:history="1">
        <w:r w:rsidRPr="00CA01EC">
          <w:rPr>
            <w:rStyle w:val="Hyperlink"/>
          </w:rPr>
          <w:t>http://dx.doi.org/10.1016/j.puhe.2008.12.002</w:t>
        </w:r>
      </w:hyperlink>
    </w:p>
    <w:p w14:paraId="20A616F6" w14:textId="77777777" w:rsidR="00CA01EC" w:rsidRPr="00CA01EC" w:rsidRDefault="00CA01EC" w:rsidP="00CA01EC">
      <w:pPr>
        <w:pStyle w:val="EndNoteBibliography"/>
        <w:spacing w:after="0"/>
        <w:ind w:left="720" w:hanging="720"/>
      </w:pPr>
      <w:r w:rsidRPr="00CA01EC">
        <w:t xml:space="preserve">Persson, H. E., Sjoberg, G. K., Haines, J. A., &amp; Pronczuk, d. G. (1998). Poisoning severity score. Grading of acute poisoning. </w:t>
      </w:r>
      <w:r w:rsidRPr="00CA01EC">
        <w:rPr>
          <w:i/>
        </w:rPr>
        <w:t>Journal of Toxicology - Clinical Toxicology, 36</w:t>
      </w:r>
      <w:r w:rsidRPr="00CA01EC">
        <w:t xml:space="preserve">(3), 205-213. </w:t>
      </w:r>
    </w:p>
    <w:p w14:paraId="7B4E7365" w14:textId="77777777" w:rsidR="00CA01EC" w:rsidRPr="00CA01EC" w:rsidRDefault="00CA01EC" w:rsidP="00CA01EC">
      <w:pPr>
        <w:pStyle w:val="EndNoteBibliography"/>
        <w:spacing w:after="0"/>
        <w:ind w:left="720" w:hanging="720"/>
      </w:pPr>
      <w:r w:rsidRPr="00CA01EC">
        <w:t xml:space="preserve">Pettie, J. M., Caparrotta, T. M., Hunter, R. W., Morrison, E. E., Wood, D. M., Dargan, P. I., . . . Dear, J. W. (2019). Safety and Efficacy of the SNAP 12-hour Acetylcysteine Regimen for the Treatment of Paracetamol Overdose. </w:t>
      </w:r>
      <w:r w:rsidRPr="00CA01EC">
        <w:rPr>
          <w:i/>
        </w:rPr>
        <w:t>EClinicalMedicine, 11</w:t>
      </w:r>
      <w:r w:rsidRPr="00CA01EC">
        <w:t>, 11-17. doi:10.1016/j.eclinm.2019.04.005</w:t>
      </w:r>
    </w:p>
    <w:p w14:paraId="77D1D81A" w14:textId="5C86D617" w:rsidR="00CA01EC" w:rsidRPr="00CA01EC" w:rsidRDefault="00CA01EC" w:rsidP="00CA01EC">
      <w:pPr>
        <w:pStyle w:val="EndNoteBibliography"/>
        <w:spacing w:after="0"/>
        <w:ind w:left="720" w:hanging="720"/>
      </w:pPr>
      <w:r w:rsidRPr="00CA01EC">
        <w:t xml:space="preserve">Pezzia, C., Sanders, C., Welch, S., Bowling, A., &amp; Lee, W. M. (2017). Psychosocial and behavioral factors in acetaminophen-related acute liver failure and liver injury. </w:t>
      </w:r>
      <w:r w:rsidRPr="00CA01EC">
        <w:rPr>
          <w:i/>
        </w:rPr>
        <w:t>Journal of Psychosomatic Research, 101</w:t>
      </w:r>
      <w:r w:rsidRPr="00CA01EC">
        <w:t>, 51-57. doi:</w:t>
      </w:r>
      <w:hyperlink r:id="rId131" w:history="1">
        <w:r w:rsidRPr="00CA01EC">
          <w:rPr>
            <w:rStyle w:val="Hyperlink"/>
          </w:rPr>
          <w:t>http://dx.doi.org/10.1016/j.jpsychores.2017.08.006</w:t>
        </w:r>
      </w:hyperlink>
    </w:p>
    <w:p w14:paraId="78E2F8D9" w14:textId="3AD28D68" w:rsidR="00CA01EC" w:rsidRPr="00CA01EC" w:rsidRDefault="00CA01EC" w:rsidP="00CA01EC">
      <w:pPr>
        <w:pStyle w:val="EndNoteBibliography"/>
        <w:spacing w:after="0"/>
        <w:ind w:left="720" w:hanging="720"/>
      </w:pPr>
      <w:r w:rsidRPr="00CA01EC">
        <w:t xml:space="preserve">Piotrowska, N., Klukowska-Rotzler, J., Lehmann, B., Krummrey, G., Haschke, M., Exadaktylos, A. K., &amp; Liakoni, E. (2019). Presentations Related to Acute Paracetamol Intoxication in an Urban Emergency Department in Switzerland. </w:t>
      </w:r>
      <w:r w:rsidRPr="00CA01EC">
        <w:rPr>
          <w:i/>
        </w:rPr>
        <w:t>Emergency Medicine International, 2019</w:t>
      </w:r>
      <w:r w:rsidRPr="00CA01EC">
        <w:t>, 3130843. doi:</w:t>
      </w:r>
      <w:hyperlink r:id="rId132" w:history="1">
        <w:r w:rsidRPr="00CA01EC">
          <w:rPr>
            <w:rStyle w:val="Hyperlink"/>
          </w:rPr>
          <w:t>http://dx.doi.org/10.1155/2019/3130843</w:t>
        </w:r>
      </w:hyperlink>
    </w:p>
    <w:p w14:paraId="14152AAE" w14:textId="1C25D5AB" w:rsidR="00CA01EC" w:rsidRPr="00CA01EC" w:rsidRDefault="00CA01EC" w:rsidP="00CA01EC">
      <w:pPr>
        <w:pStyle w:val="EndNoteBibliography"/>
        <w:spacing w:after="0"/>
        <w:ind w:left="720" w:hanging="720"/>
      </w:pPr>
      <w:r w:rsidRPr="00CA01EC">
        <w:t xml:space="preserve">Raising Children Network. (2021). Medicines that can poison children. Retrieved from </w:t>
      </w:r>
      <w:hyperlink r:id="rId133" w:history="1">
        <w:r w:rsidRPr="00CA01EC">
          <w:rPr>
            <w:rStyle w:val="Hyperlink"/>
          </w:rPr>
          <w:t>https://raisingchildren.net.au/babies/safety/poisons/medicines-that-can-poison</w:t>
        </w:r>
      </w:hyperlink>
    </w:p>
    <w:p w14:paraId="1626CA68" w14:textId="169CEE3A" w:rsidR="00CA01EC" w:rsidRPr="00CA01EC" w:rsidRDefault="00CA01EC" w:rsidP="00CA01EC">
      <w:pPr>
        <w:pStyle w:val="EndNoteBibliography"/>
        <w:spacing w:after="0"/>
        <w:ind w:left="720" w:hanging="720"/>
      </w:pPr>
      <w:r w:rsidRPr="00CA01EC">
        <w:t xml:space="preserve">Rhodes, A., Bethell, J., Jaakkimainen, R. L., Thurlow, J., Spence, J., Links, P. S., &amp; Streiner, D. L. (2008). The impact of rural residence on medically serious medicinal self-poisonings. </w:t>
      </w:r>
      <w:r w:rsidRPr="00CA01EC">
        <w:rPr>
          <w:i/>
        </w:rPr>
        <w:t>General hospital psychiatry, 30</w:t>
      </w:r>
      <w:r w:rsidRPr="00CA01EC">
        <w:t>(6), 552-560. doi:</w:t>
      </w:r>
      <w:hyperlink r:id="rId134" w:history="1">
        <w:r w:rsidRPr="00CA01EC">
          <w:rPr>
            <w:rStyle w:val="Hyperlink"/>
          </w:rPr>
          <w:t>https://dx.doi.org/10.1016/j.genhosppsych.2008.06.012</w:t>
        </w:r>
      </w:hyperlink>
    </w:p>
    <w:p w14:paraId="60F6B290" w14:textId="4F44EB5D" w:rsidR="00CA01EC" w:rsidRPr="00CA01EC" w:rsidRDefault="00CA01EC" w:rsidP="00CA01EC">
      <w:pPr>
        <w:pStyle w:val="EndNoteBibliography"/>
        <w:spacing w:after="0"/>
        <w:ind w:left="720" w:hanging="720"/>
      </w:pPr>
      <w:r w:rsidRPr="00CA01EC">
        <w:t xml:space="preserve">Rhodes, A. E., Bethell, J., Spence, J., Links, P. S., Streiner, D. L., &amp; Jaakkimainen, R. L. (2008). Age-sex differences in medicinal self-poisonings: A population-based study of deliberate intent and medical severity. </w:t>
      </w:r>
      <w:r w:rsidRPr="00CA01EC">
        <w:rPr>
          <w:i/>
        </w:rPr>
        <w:t>Social Psychiatry and Psychiatric Epidemiology: The International Journal for Research in Social and Genetic Epidemiology and Mental Health Services, 43</w:t>
      </w:r>
      <w:r w:rsidRPr="00CA01EC">
        <w:t>(8), 642-652. doi:</w:t>
      </w:r>
      <w:hyperlink r:id="rId135" w:history="1">
        <w:r w:rsidRPr="00CA01EC">
          <w:rPr>
            <w:rStyle w:val="Hyperlink"/>
          </w:rPr>
          <w:t>https://dx.doi.org/10.1007/s00127-008-0349-6</w:t>
        </w:r>
      </w:hyperlink>
    </w:p>
    <w:p w14:paraId="241B60CF" w14:textId="4E274501" w:rsidR="00CA01EC" w:rsidRPr="00CA01EC" w:rsidRDefault="00CA01EC" w:rsidP="00CA01EC">
      <w:pPr>
        <w:pStyle w:val="EndNoteBibliography"/>
        <w:spacing w:after="0"/>
        <w:ind w:left="720" w:hanging="720"/>
      </w:pPr>
      <w:r w:rsidRPr="00CA01EC">
        <w:t xml:space="preserve">Sandilands, E. A., &amp; Bateman, D. N. (2008). Co-proxamol withdrawal has reduced suicide from drugs in Scotland. </w:t>
      </w:r>
      <w:r w:rsidRPr="00CA01EC">
        <w:rPr>
          <w:i/>
        </w:rPr>
        <w:t>British Journal of Clinical Pharmacology, 66</w:t>
      </w:r>
      <w:r w:rsidRPr="00CA01EC">
        <w:t>(2), 290-293. doi:</w:t>
      </w:r>
      <w:hyperlink r:id="rId136" w:history="1">
        <w:r w:rsidRPr="00CA01EC">
          <w:rPr>
            <w:rStyle w:val="Hyperlink"/>
          </w:rPr>
          <w:t>http://dx.doi.org/10.1111/j.1365-2125.2008.03206.x</w:t>
        </w:r>
      </w:hyperlink>
    </w:p>
    <w:p w14:paraId="1ED04646" w14:textId="3FAC97FD" w:rsidR="00CA01EC" w:rsidRPr="00CA01EC" w:rsidRDefault="00CA01EC" w:rsidP="00CA01EC">
      <w:pPr>
        <w:pStyle w:val="EndNoteBibliography"/>
        <w:spacing w:after="0"/>
        <w:ind w:left="720" w:hanging="720"/>
      </w:pPr>
      <w:r w:rsidRPr="00CA01EC">
        <w:t xml:space="preserve">Schiodt, F. V., Rochling, F. A., Casey, D. L., &amp; Lee, W. M. (1997). Acetaminophen toxicity in an urban county hospital. </w:t>
      </w:r>
      <w:r w:rsidRPr="00CA01EC">
        <w:rPr>
          <w:i/>
        </w:rPr>
        <w:t>New England Journal of Medicine, 337</w:t>
      </w:r>
      <w:r w:rsidRPr="00CA01EC">
        <w:t>(16), 1112-1117. doi:</w:t>
      </w:r>
      <w:hyperlink r:id="rId137" w:history="1">
        <w:r w:rsidRPr="00CA01EC">
          <w:rPr>
            <w:rStyle w:val="Hyperlink"/>
          </w:rPr>
          <w:t>http://dx.doi.org/10.1056/NEJM199710163371602</w:t>
        </w:r>
      </w:hyperlink>
    </w:p>
    <w:p w14:paraId="72E11ECD" w14:textId="29C04152" w:rsidR="00CA01EC" w:rsidRPr="00CA01EC" w:rsidRDefault="00CA01EC" w:rsidP="00CA01EC">
      <w:pPr>
        <w:pStyle w:val="EndNoteBibliography"/>
        <w:spacing w:after="0"/>
        <w:ind w:left="720" w:hanging="720"/>
      </w:pPr>
      <w:r w:rsidRPr="00CA01EC">
        <w:t xml:space="preserve">Schmidt, L. E. (2001). Paracetamol self-poisoning among adolescents in a department of hepatology. </w:t>
      </w:r>
      <w:r w:rsidRPr="00CA01EC">
        <w:rPr>
          <w:i/>
        </w:rPr>
        <w:t>International Journal of Adolescent Medicine and Health, 13</w:t>
      </w:r>
      <w:r w:rsidRPr="00CA01EC">
        <w:t>(4), 327-334. doi:</w:t>
      </w:r>
      <w:hyperlink r:id="rId138" w:history="1">
        <w:r w:rsidRPr="00CA01EC">
          <w:rPr>
            <w:rStyle w:val="Hyperlink"/>
          </w:rPr>
          <w:t>http://dx.doi.org/10.1515/IJAMH.2001.13.4.327</w:t>
        </w:r>
      </w:hyperlink>
    </w:p>
    <w:p w14:paraId="1E50535F" w14:textId="77777777" w:rsidR="00CA01EC" w:rsidRPr="00CA01EC" w:rsidRDefault="00CA01EC" w:rsidP="00CA01EC">
      <w:pPr>
        <w:pStyle w:val="EndNoteBibliography"/>
        <w:spacing w:after="0"/>
        <w:ind w:left="720" w:hanging="720"/>
      </w:pPr>
      <w:r w:rsidRPr="00CA01EC">
        <w:t xml:space="preserve">Schmidt, L. E., Rasmussen, D. N., Petersen, T. S., Macias-Perez, I. M., Pavliv, L., Kaelin, B., . . . Dalhoff, K. (2018). Fewer adverse effects associated with a modified two-bag intravenous acetylcysteine protocol compared to traditional three-bag regimen in paracetamol overdose. </w:t>
      </w:r>
      <w:r w:rsidRPr="00CA01EC">
        <w:rPr>
          <w:i/>
        </w:rPr>
        <w:t>Clin Toxicol (Phila), 56</w:t>
      </w:r>
      <w:r w:rsidRPr="00CA01EC">
        <w:t>(11), 1128-1134. doi:10.1080/15563650.2018.1475672</w:t>
      </w:r>
    </w:p>
    <w:p w14:paraId="7A915C4B" w14:textId="77777777" w:rsidR="00CA01EC" w:rsidRPr="00CA01EC" w:rsidRDefault="00CA01EC" w:rsidP="00CA01EC">
      <w:pPr>
        <w:pStyle w:val="EndNoteBibliography"/>
        <w:spacing w:after="0"/>
        <w:ind w:left="720" w:hanging="720"/>
      </w:pPr>
      <w:r w:rsidRPr="00CA01EC">
        <w:t xml:space="preserve">Shah, R., Uren, Z., Baker, A., &amp; Majeed, A. (2002). Trends in suicide from drug overdose in the elderly in England and Wales, 1993-1999. </w:t>
      </w:r>
      <w:r w:rsidRPr="00CA01EC">
        <w:rPr>
          <w:i/>
        </w:rPr>
        <w:t>International Journal of Geriatric Psychiatry, 17</w:t>
      </w:r>
      <w:r w:rsidRPr="00CA01EC">
        <w:t>(5), 416-421. doi:10.1002/gps.625</w:t>
      </w:r>
    </w:p>
    <w:p w14:paraId="00648C32" w14:textId="77777777" w:rsidR="00CA01EC" w:rsidRPr="00CA01EC" w:rsidRDefault="00CA01EC" w:rsidP="00CA01EC">
      <w:pPr>
        <w:pStyle w:val="EndNoteBibliography"/>
        <w:spacing w:after="0"/>
        <w:ind w:left="720" w:hanging="720"/>
      </w:pPr>
      <w:r w:rsidRPr="00CA01EC">
        <w:t xml:space="preserve">Shand, F., Torok, M., Cockayne, N., Batterham, P. J., Calear, A. L., Mackinnon, A., . . . Christensen, H. (2020). Protocol for a stepped-wedge, cluster randomized controlled trial of the LifeSpan suicide prevention trial in four communities in New South Wales, Australia. </w:t>
      </w:r>
      <w:r w:rsidRPr="00CA01EC">
        <w:rPr>
          <w:i/>
        </w:rPr>
        <w:t>Trials, 21</w:t>
      </w:r>
      <w:r w:rsidRPr="00CA01EC">
        <w:t>(1), 332. doi:10.1186/s13063-020-04262-w</w:t>
      </w:r>
    </w:p>
    <w:p w14:paraId="6FF7F3C6" w14:textId="77777777" w:rsidR="00CA01EC" w:rsidRPr="00CA01EC" w:rsidRDefault="00CA01EC" w:rsidP="00CA01EC">
      <w:pPr>
        <w:pStyle w:val="EndNoteBibliography"/>
        <w:spacing w:after="0"/>
        <w:ind w:left="720" w:hanging="720"/>
      </w:pPr>
      <w:r w:rsidRPr="00CA01EC">
        <w:t xml:space="preserve">Shand, F., Vogl, L., &amp; Robinson, J. (2018). Improving patient care after a suicide attempt. </w:t>
      </w:r>
      <w:r w:rsidRPr="00CA01EC">
        <w:rPr>
          <w:i/>
        </w:rPr>
        <w:t>Australas Psychiatry, 26</w:t>
      </w:r>
      <w:r w:rsidRPr="00CA01EC">
        <w:t>(2), 145-148. doi:10.1177/1039856218758560</w:t>
      </w:r>
    </w:p>
    <w:p w14:paraId="5AB02BF7" w14:textId="516419E2" w:rsidR="00CA01EC" w:rsidRPr="00CA01EC" w:rsidRDefault="00CA01EC" w:rsidP="00CA01EC">
      <w:pPr>
        <w:pStyle w:val="EndNoteBibliography"/>
        <w:spacing w:after="0"/>
        <w:ind w:left="720" w:hanging="720"/>
      </w:pPr>
      <w:r w:rsidRPr="00CA01EC">
        <w:t xml:space="preserve">Shand, F., Woodward, A., McGill, K. A., Larsen, M., Torok, M., Petheridge, A., . . . Hains, A. (2019). </w:t>
      </w:r>
      <w:r w:rsidRPr="00CA01EC">
        <w:rPr>
          <w:i/>
        </w:rPr>
        <w:t>Suicide aftercare services: an Evidence Check rapid review brokered by the Sax Institute (</w:t>
      </w:r>
      <w:hyperlink r:id="rId139" w:history="1">
        <w:r w:rsidRPr="00CA01EC">
          <w:rPr>
            <w:rStyle w:val="Hyperlink"/>
            <w:i/>
          </w:rPr>
          <w:t>www.saxinstitute.org.au</w:t>
        </w:r>
      </w:hyperlink>
      <w:r w:rsidRPr="00CA01EC">
        <w:rPr>
          <w:i/>
        </w:rPr>
        <w:t>) for the NSW Ministry of Health</w:t>
      </w:r>
      <w:r w:rsidRPr="00CA01EC">
        <w:t xml:space="preserve">. Sax Institute Retrieved from </w:t>
      </w:r>
      <w:hyperlink r:id="rId140" w:history="1">
        <w:r w:rsidRPr="00CA01EC">
          <w:rPr>
            <w:rStyle w:val="Hyperlink"/>
          </w:rPr>
          <w:t>https://dev.saxinstitute.org.au/wp-content/uploads/2019_Suicide-Aftercare-Services-Report.pdf</w:t>
        </w:r>
      </w:hyperlink>
    </w:p>
    <w:p w14:paraId="09E47B8D" w14:textId="33CD4573" w:rsidR="00CA01EC" w:rsidRPr="00CA01EC" w:rsidRDefault="00CA01EC" w:rsidP="00CA01EC">
      <w:pPr>
        <w:pStyle w:val="EndNoteBibliography"/>
        <w:spacing w:after="0"/>
        <w:ind w:left="720" w:hanging="720"/>
      </w:pPr>
      <w:r w:rsidRPr="00CA01EC">
        <w:t xml:space="preserve">Shekunov, J., Lewis, C. P., Vande Voort, J. L., Bostwick, J. M., &amp; Romanowicz, M. (2021). Clinical Characteristics, Outcomes, Disposition, and Acute Care of Children and Adolescents Treated for Acetaminophen Toxicity. </w:t>
      </w:r>
      <w:r w:rsidRPr="00CA01EC">
        <w:rPr>
          <w:i/>
        </w:rPr>
        <w:t>Psychiatric services (Washington, D.C.), 72</w:t>
      </w:r>
      <w:r w:rsidRPr="00CA01EC">
        <w:t>(7), 758-765. doi:</w:t>
      </w:r>
      <w:hyperlink r:id="rId141" w:history="1">
        <w:r w:rsidRPr="00CA01EC">
          <w:rPr>
            <w:rStyle w:val="Hyperlink"/>
          </w:rPr>
          <w:t>http://dx.doi.org/10.1176/appi.ps.202000081</w:t>
        </w:r>
      </w:hyperlink>
    </w:p>
    <w:p w14:paraId="27111C89" w14:textId="1C56E540" w:rsidR="00CA01EC" w:rsidRPr="00CA01EC" w:rsidRDefault="00CA01EC" w:rsidP="00CA01EC">
      <w:pPr>
        <w:pStyle w:val="EndNoteBibliography"/>
        <w:spacing w:after="0"/>
        <w:ind w:left="720" w:hanging="720"/>
      </w:pPr>
      <w:r w:rsidRPr="00CA01EC">
        <w:t xml:space="preserve">Simkin, S., Hawton, K., Kapur, N., &amp; Gunnell, D. (2012). What can be done to reduce mortality from paracetamol overdoses? A patient interview study. </w:t>
      </w:r>
      <w:r w:rsidRPr="00CA01EC">
        <w:rPr>
          <w:i/>
        </w:rPr>
        <w:t>QJM, 105</w:t>
      </w:r>
      <w:r w:rsidRPr="00CA01EC">
        <w:t>(1), 41-51. doi:</w:t>
      </w:r>
      <w:hyperlink r:id="rId142" w:history="1">
        <w:r w:rsidRPr="00CA01EC">
          <w:rPr>
            <w:rStyle w:val="Hyperlink"/>
          </w:rPr>
          <w:t>http://dx.doi.org/10.1093/qjmed/hcr135</w:t>
        </w:r>
      </w:hyperlink>
    </w:p>
    <w:p w14:paraId="5F1740D9" w14:textId="6A929F58" w:rsidR="00CA01EC" w:rsidRPr="00CA01EC" w:rsidRDefault="00CA01EC" w:rsidP="00CA01EC">
      <w:pPr>
        <w:pStyle w:val="EndNoteBibliography"/>
        <w:spacing w:after="0"/>
        <w:ind w:left="720" w:hanging="720"/>
      </w:pPr>
      <w:r w:rsidRPr="00CA01EC">
        <w:t xml:space="preserve">Smith, T. (1995). Differences between general practices in hospital admission rates for self-inflicted injury and self-poisoning: influence of socioeconomic factors. </w:t>
      </w:r>
      <w:r w:rsidRPr="00CA01EC">
        <w:rPr>
          <w:i/>
        </w:rPr>
        <w:t>British Journal of General Practice, 45</w:t>
      </w:r>
      <w:r w:rsidRPr="00CA01EC">
        <w:t xml:space="preserve">(398), 458-462. Retrieved from </w:t>
      </w:r>
      <w:hyperlink r:id="rId143" w:history="1">
        <w:r w:rsidRPr="00CA01EC">
          <w:rPr>
            <w:rStyle w:val="Hyperlink"/>
          </w:rPr>
          <w:t>https://go.exlibris.link/Nd72G0GN</w:t>
        </w:r>
      </w:hyperlink>
    </w:p>
    <w:p w14:paraId="5CEB1362" w14:textId="77777777" w:rsidR="00CA01EC" w:rsidRPr="00CA01EC" w:rsidRDefault="00CA01EC" w:rsidP="00CA01EC">
      <w:pPr>
        <w:pStyle w:val="EndNoteBibliography"/>
        <w:spacing w:after="0"/>
        <w:ind w:left="720" w:hanging="720"/>
      </w:pPr>
      <w:r w:rsidRPr="00CA01EC">
        <w:t xml:space="preserve">Taylor, D. M., Cameron, P. A., &amp; Eddey, D. (1998). Recurrent overdose: patient characteristics, habits, and outcomes. </w:t>
      </w:r>
      <w:r w:rsidRPr="00CA01EC">
        <w:rPr>
          <w:i/>
        </w:rPr>
        <w:t>Emergency medicine journal : EMJ, 15</w:t>
      </w:r>
      <w:r w:rsidRPr="00CA01EC">
        <w:t>(4), 257-261. doi:10.1136/emj.15.4.257</w:t>
      </w:r>
    </w:p>
    <w:p w14:paraId="3A77A06E" w14:textId="5D5F6720" w:rsidR="00CA01EC" w:rsidRPr="00CA01EC" w:rsidRDefault="00CA01EC" w:rsidP="00CA01EC">
      <w:pPr>
        <w:pStyle w:val="EndNoteBibliography"/>
        <w:spacing w:after="0"/>
        <w:ind w:left="720" w:hanging="720"/>
      </w:pPr>
      <w:r w:rsidRPr="00CA01EC">
        <w:t xml:space="preserve">Taylor, L. G., Xie, S., Meyer, T. E., &amp; Coster, T. S. (2012). Acetaminophen overdose in the Military Health System. </w:t>
      </w:r>
      <w:r w:rsidRPr="00CA01EC">
        <w:rPr>
          <w:i/>
        </w:rPr>
        <w:t>Pharmacoepidemiology and Drug Safety, 21</w:t>
      </w:r>
      <w:r w:rsidRPr="00CA01EC">
        <w:t>(4), 375-383. doi:</w:t>
      </w:r>
      <w:hyperlink r:id="rId144" w:history="1">
        <w:r w:rsidRPr="00CA01EC">
          <w:rPr>
            <w:rStyle w:val="Hyperlink"/>
          </w:rPr>
          <w:t>http://dx.doi.org/10.1002/pds.3206</w:t>
        </w:r>
      </w:hyperlink>
    </w:p>
    <w:p w14:paraId="5E50F7D4" w14:textId="07CE6C0F" w:rsidR="00CA01EC" w:rsidRPr="00CA01EC" w:rsidRDefault="00CA01EC" w:rsidP="00CA01EC">
      <w:pPr>
        <w:pStyle w:val="EndNoteBibliography"/>
        <w:spacing w:after="0"/>
        <w:ind w:left="720" w:hanging="720"/>
      </w:pPr>
      <w:r w:rsidRPr="00CA01EC">
        <w:t xml:space="preserve">Ticehurst, S., Carter, G. L., Clover, K. A., Whyte, I. M., Raymond, J., &amp; Fryer, J. (2002). Elderly patients with deliberate self-poisoning treated in an Australian General Hospital. </w:t>
      </w:r>
      <w:r w:rsidRPr="00CA01EC">
        <w:rPr>
          <w:i/>
        </w:rPr>
        <w:t>International Psychogeriatrics, 14</w:t>
      </w:r>
      <w:r w:rsidRPr="00CA01EC">
        <w:t>(1), 97-105. doi:</w:t>
      </w:r>
      <w:hyperlink r:id="rId145" w:history="1">
        <w:r w:rsidRPr="00CA01EC">
          <w:rPr>
            <w:rStyle w:val="Hyperlink"/>
          </w:rPr>
          <w:t>http://dx.doi.org/10.1017/S1041610202008311</w:t>
        </w:r>
      </w:hyperlink>
    </w:p>
    <w:p w14:paraId="2E65EE05" w14:textId="77777777" w:rsidR="00CA01EC" w:rsidRPr="00CA01EC" w:rsidRDefault="00CA01EC" w:rsidP="00CA01EC">
      <w:pPr>
        <w:pStyle w:val="EndNoteBibliography"/>
        <w:spacing w:after="0"/>
        <w:ind w:left="720" w:hanging="720"/>
      </w:pPr>
      <w:r w:rsidRPr="00CA01EC">
        <w:t xml:space="preserve">Torok, M., Han, J., Baker, S., Werner-Seidler, A., Wong, I., Larsen, M. E., &amp; Christensen, H. (2020). Suicide prevention using self-guided digital interventions: a systematic review and meta-analysis of randomised controlled trials. </w:t>
      </w:r>
      <w:r w:rsidRPr="00CA01EC">
        <w:rPr>
          <w:i/>
        </w:rPr>
        <w:t>Lancet Digit Health, 2</w:t>
      </w:r>
      <w:r w:rsidRPr="00CA01EC">
        <w:t>(1), e25-e36. doi:10.1016/s2589-7500(19)30199-2</w:t>
      </w:r>
    </w:p>
    <w:p w14:paraId="547AECA8" w14:textId="77777777" w:rsidR="00CA01EC" w:rsidRPr="00CA01EC" w:rsidRDefault="00CA01EC" w:rsidP="00CA01EC">
      <w:pPr>
        <w:pStyle w:val="EndNoteBibliography"/>
        <w:spacing w:after="0"/>
        <w:ind w:left="720" w:hanging="720"/>
      </w:pPr>
      <w:r w:rsidRPr="00CA01EC">
        <w:t xml:space="preserve">Torok, M., Han, J., McGillivray, L., Wong, Q., Werner-Seidler, A., O'Dea, B., . . . Christensen, H. (2022). The effect of a therapeutic smartphone application on suicidal ideation in young adults: Findings from a randomized controlled trial in Australia. </w:t>
      </w:r>
      <w:r w:rsidRPr="00CA01EC">
        <w:rPr>
          <w:i/>
        </w:rPr>
        <w:t>PLoS Med, 19</w:t>
      </w:r>
      <w:r w:rsidRPr="00CA01EC">
        <w:t>(5), e1003978. doi:10.1371/journal.pmed.1003978</w:t>
      </w:r>
    </w:p>
    <w:p w14:paraId="45E17462" w14:textId="51F1E53B" w:rsidR="00CA01EC" w:rsidRPr="00CA01EC" w:rsidRDefault="00CA01EC" w:rsidP="00CA01EC">
      <w:pPr>
        <w:pStyle w:val="EndNoteBibliography"/>
        <w:spacing w:after="0"/>
        <w:ind w:left="720" w:hanging="720"/>
      </w:pPr>
      <w:r w:rsidRPr="00CA01EC">
        <w:t xml:space="preserve">Townsend, E., Hawton, K., Harriss, L., Bale, E., &amp; Bond, A. (2001). Substances used in deliberate self-poisoning 1985-1997: Trends and associations with age, gender, repetition and suicide intent. </w:t>
      </w:r>
      <w:r w:rsidRPr="00CA01EC">
        <w:rPr>
          <w:i/>
        </w:rPr>
        <w:t>Social Psychiatry and Psychiatric Epidemiology, 36</w:t>
      </w:r>
      <w:r w:rsidRPr="00CA01EC">
        <w:t>(5), 228-234. doi:</w:t>
      </w:r>
      <w:hyperlink r:id="rId146" w:history="1">
        <w:r w:rsidRPr="00CA01EC">
          <w:rPr>
            <w:rStyle w:val="Hyperlink"/>
          </w:rPr>
          <w:t>http://dx.doi.org/10.1007/s001270170053</w:t>
        </w:r>
      </w:hyperlink>
    </w:p>
    <w:p w14:paraId="39F903A6" w14:textId="55BA6267" w:rsidR="00CA01EC" w:rsidRPr="00CA01EC" w:rsidRDefault="00CA01EC" w:rsidP="00CA01EC">
      <w:pPr>
        <w:pStyle w:val="EndNoteBibliography"/>
        <w:spacing w:after="0"/>
        <w:ind w:left="720" w:hanging="720"/>
      </w:pPr>
      <w:r w:rsidRPr="00CA01EC">
        <w:t xml:space="preserve">Turvill, J. L., Burroughs, A. K., &amp; Moore, K. P. (2000). Change in occurrence of paracetamol overdose in UK after introduction of blister packs. </w:t>
      </w:r>
      <w:r w:rsidRPr="00CA01EC">
        <w:rPr>
          <w:i/>
        </w:rPr>
        <w:t>Lancet (London, England), 355</w:t>
      </w:r>
      <w:r w:rsidRPr="00CA01EC">
        <w:t xml:space="preserve">(9220), 2048-2049. Retrieved from </w:t>
      </w:r>
      <w:hyperlink r:id="rId147" w:history="1">
        <w:r w:rsidRPr="00CA01EC">
          <w:rPr>
            <w:rStyle w:val="Hyperlink"/>
          </w:rPr>
          <w:t>http://ovidsp.ovid.com/ovidweb.cgi?T=JS&amp;PAGE=reference&amp;D=med4&amp;NEWS=N&amp;AN=10905911</w:t>
        </w:r>
      </w:hyperlink>
    </w:p>
    <w:p w14:paraId="3ADD4AA0" w14:textId="37BB85A5" w:rsidR="00CA01EC" w:rsidRPr="00CA01EC" w:rsidRDefault="00CA01EC" w:rsidP="00CA01EC">
      <w:pPr>
        <w:pStyle w:val="EndNoteBibliography"/>
        <w:spacing w:after="0"/>
        <w:ind w:left="720" w:hanging="720"/>
      </w:pPr>
      <w:r w:rsidRPr="00CA01EC">
        <w:t xml:space="preserve">Tyrrell, E. G., Kendrick, D., Sayal, K., &amp; Orton, E. (2018). Poisoning substances taken by young people: A population-based cohort study. </w:t>
      </w:r>
      <w:r w:rsidRPr="00CA01EC">
        <w:rPr>
          <w:i/>
        </w:rPr>
        <w:t>British Journal of General Practice, 68</w:t>
      </w:r>
      <w:r w:rsidRPr="00CA01EC">
        <w:t>(675), e703-e710. doi:</w:t>
      </w:r>
      <w:hyperlink r:id="rId148" w:history="1">
        <w:r w:rsidRPr="00CA01EC">
          <w:rPr>
            <w:rStyle w:val="Hyperlink"/>
          </w:rPr>
          <w:t>http://dx.doi.org/10.3399/bjgp18X698897</w:t>
        </w:r>
      </w:hyperlink>
    </w:p>
    <w:p w14:paraId="7FB68347" w14:textId="5CC313BA" w:rsidR="00CA01EC" w:rsidRPr="00CA01EC" w:rsidRDefault="00CA01EC" w:rsidP="00CA01EC">
      <w:pPr>
        <w:pStyle w:val="EndNoteBibliography"/>
        <w:spacing w:after="0"/>
        <w:ind w:left="720" w:hanging="720"/>
      </w:pPr>
      <w:r w:rsidRPr="00CA01EC">
        <w:t xml:space="preserve">Vancayseele, N., Rotsaert, I., Portzky, G., &amp; Van Heeringen, K. (2019). Medication used in intentional drug overdose in Flanders 2008-2013. </w:t>
      </w:r>
      <w:r w:rsidRPr="00CA01EC">
        <w:rPr>
          <w:i/>
        </w:rPr>
        <w:t>PLoS One, 14</w:t>
      </w:r>
      <w:r w:rsidRPr="00CA01EC">
        <w:t>(5), e0216317. doi:</w:t>
      </w:r>
      <w:hyperlink r:id="rId149" w:history="1">
        <w:r w:rsidRPr="00CA01EC">
          <w:rPr>
            <w:rStyle w:val="Hyperlink"/>
          </w:rPr>
          <w:t>http://dx.doi.org/10.1371/journal.pone.0216317</w:t>
        </w:r>
      </w:hyperlink>
    </w:p>
    <w:p w14:paraId="797AAB20" w14:textId="14BD1476" w:rsidR="00CA01EC" w:rsidRPr="00CA01EC" w:rsidRDefault="00CA01EC" w:rsidP="00CA01EC">
      <w:pPr>
        <w:pStyle w:val="EndNoteBibliography"/>
        <w:spacing w:after="0"/>
        <w:ind w:left="720" w:hanging="720"/>
      </w:pPr>
      <w:r w:rsidRPr="00CA01EC">
        <w:t xml:space="preserve">Weir, P., &amp; Ardagh, M. (1998). The epidemiology of deliberate self poisoning presenting to Christchurch Hospital Emergency Department. </w:t>
      </w:r>
      <w:r w:rsidRPr="00CA01EC">
        <w:rPr>
          <w:i/>
        </w:rPr>
        <w:t>The New Zealand medical journal, 111</w:t>
      </w:r>
      <w:r w:rsidRPr="00CA01EC">
        <w:t xml:space="preserve">(1063), 127-129. Retrieved from </w:t>
      </w:r>
      <w:hyperlink r:id="rId150" w:history="1">
        <w:r w:rsidRPr="00CA01EC">
          <w:rPr>
            <w:rStyle w:val="Hyperlink"/>
          </w:rPr>
          <w:t>http://europepmc.org/abstract/MED/9594971</w:t>
        </w:r>
      </w:hyperlink>
    </w:p>
    <w:p w14:paraId="0DB4A2BE" w14:textId="77777777" w:rsidR="00CA01EC" w:rsidRPr="00CA01EC" w:rsidRDefault="00CA01EC" w:rsidP="00CA01EC">
      <w:pPr>
        <w:pStyle w:val="EndNoteBibliography"/>
        <w:spacing w:after="0"/>
        <w:ind w:left="720" w:hanging="720"/>
      </w:pPr>
      <w:r w:rsidRPr="00CA01EC">
        <w:t xml:space="preserve">Witt, K., Potts, J., Hubers, A., Grunebaum, M. F., Murrough, J. W., Loo, C., . . . Hawton, K. (2020). Ketamine for suicidal ideation in adults with psychiatric disorders: A systematic review and meta-analysis of treatment trials. </w:t>
      </w:r>
      <w:r w:rsidRPr="00CA01EC">
        <w:rPr>
          <w:i/>
        </w:rPr>
        <w:t>Aust N Z J Psychiatry, 54</w:t>
      </w:r>
      <w:r w:rsidRPr="00CA01EC">
        <w:t>(1), 29-45. doi:10.1177/0004867419883341</w:t>
      </w:r>
    </w:p>
    <w:p w14:paraId="217C2186" w14:textId="77777777" w:rsidR="00CA01EC" w:rsidRPr="00CA01EC" w:rsidRDefault="00CA01EC" w:rsidP="00CA01EC">
      <w:pPr>
        <w:pStyle w:val="EndNoteBibliography"/>
        <w:spacing w:after="0"/>
        <w:ind w:left="720" w:hanging="720"/>
      </w:pPr>
      <w:r w:rsidRPr="00CA01EC">
        <w:t xml:space="preserve">Wong, A., Isbister, G., McNulty, R., Isoardi, K., Harris, K., Chiew, A., . . . Graudins, A. (2020). Efficacy of a two bag acetylcysteine regimen to treat paracetamol overdose (2NAC study). </w:t>
      </w:r>
      <w:r w:rsidRPr="00CA01EC">
        <w:rPr>
          <w:i/>
        </w:rPr>
        <w:t>EClinicalMedicine, 20</w:t>
      </w:r>
      <w:r w:rsidRPr="00CA01EC">
        <w:t>, 100288. doi:10.1016/j.eclinm.2020.100288</w:t>
      </w:r>
    </w:p>
    <w:p w14:paraId="4457DEF0" w14:textId="77777777" w:rsidR="00CA01EC" w:rsidRPr="00CA01EC" w:rsidRDefault="00CA01EC" w:rsidP="00CA01EC">
      <w:pPr>
        <w:pStyle w:val="EndNoteBibliography"/>
        <w:spacing w:after="0"/>
        <w:ind w:left="720" w:hanging="720"/>
      </w:pPr>
      <w:r w:rsidRPr="00CA01EC">
        <w:t xml:space="preserve">Yarema, M., Chopra, P., Sivilotti, M. L. A., Johnson, D., Nettel-Aguirre, A., Bailey, B., . . . Rumack, B. (2018). Anaphylactoid Reactions to Intravenous N-Acetylcysteine during Treatment for Acetaminophen Poisoning. </w:t>
      </w:r>
      <w:r w:rsidRPr="00CA01EC">
        <w:rPr>
          <w:i/>
        </w:rPr>
        <w:t>J Med Toxicol, 14</w:t>
      </w:r>
      <w:r w:rsidRPr="00CA01EC">
        <w:t>(2), 120-127. doi:10.1007/s13181-018-0653-9</w:t>
      </w:r>
    </w:p>
    <w:p w14:paraId="6CFD03AF" w14:textId="77777777" w:rsidR="00CA01EC" w:rsidRPr="00CA01EC" w:rsidRDefault="00CA01EC" w:rsidP="00CA01EC">
      <w:pPr>
        <w:pStyle w:val="EndNoteBibliography"/>
        <w:ind w:left="720" w:hanging="720"/>
      </w:pPr>
      <w:r w:rsidRPr="00CA01EC">
        <w:t xml:space="preserve">Zalsman, G., Hawton, K., Wasserman, D., van Heeringen, K., Arensman, E., Sarchiapone, M., . . . Zohar, J. (2016). Suicide prevention strategies revisited: 10-year systematic review. </w:t>
      </w:r>
      <w:r w:rsidRPr="00CA01EC">
        <w:rPr>
          <w:i/>
        </w:rPr>
        <w:t>Lancet Psychiatry, 3</w:t>
      </w:r>
      <w:r w:rsidRPr="00CA01EC">
        <w:t>(7), 646-659. doi:10.1016/s2215-0366(16)30030-x</w:t>
      </w:r>
    </w:p>
    <w:p w14:paraId="5BCDF2F0" w14:textId="77777777" w:rsidR="00F20AF8" w:rsidRDefault="00F20AF8">
      <w:pPr>
        <w:rPr>
          <w:rFonts w:asciiTheme="majorHAnsi" w:eastAsiaTheme="majorEastAsia" w:hAnsiTheme="majorHAnsi" w:cstheme="majorBidi"/>
          <w:color w:val="2F5496" w:themeColor="accent1" w:themeShade="BF"/>
          <w:sz w:val="32"/>
          <w:szCs w:val="32"/>
        </w:rPr>
      </w:pPr>
      <w:r>
        <w:br w:type="page"/>
      </w:r>
    </w:p>
    <w:p w14:paraId="1752BD88" w14:textId="71363A5C" w:rsidR="00CD50FC" w:rsidRPr="0091560A" w:rsidRDefault="005E0B95" w:rsidP="0088521A">
      <w:pPr>
        <w:pStyle w:val="Heading1"/>
      </w:pPr>
      <w:r w:rsidRPr="0091560A">
        <w:fldChar w:fldCharType="end"/>
      </w:r>
      <w:bookmarkStart w:id="176" w:name="_Toc112843956"/>
      <w:r w:rsidR="00CD50FC" w:rsidRPr="0091560A">
        <w:t>Appendices</w:t>
      </w:r>
      <w:bookmarkEnd w:id="176"/>
    </w:p>
    <w:p w14:paraId="4ADE1B6C" w14:textId="27130ED0" w:rsidR="00706FC3" w:rsidRPr="00A70969" w:rsidRDefault="00706FC3" w:rsidP="004A0BC8">
      <w:pPr>
        <w:pStyle w:val="Heading2"/>
        <w:rPr>
          <w:rStyle w:val="BookTitle"/>
          <w:rFonts w:ascii="Calibri" w:eastAsiaTheme="minorHAnsi" w:hAnsi="Calibri" w:cs="Calibri"/>
          <w:b w:val="0"/>
          <w:bCs w:val="0"/>
          <w:i w:val="0"/>
          <w:iCs w:val="0"/>
          <w:color w:val="auto"/>
          <w:spacing w:val="0"/>
          <w:sz w:val="22"/>
          <w:szCs w:val="22"/>
          <w:lang w:val="en-US"/>
        </w:rPr>
      </w:pPr>
      <w:bookmarkStart w:id="177" w:name="_Toc112843957"/>
      <w:r w:rsidRPr="00B30A2E">
        <w:rPr>
          <w:rStyle w:val="BookTitle"/>
          <w:b w:val="0"/>
          <w:bCs w:val="0"/>
          <w:i w:val="0"/>
          <w:iCs w:val="0"/>
          <w:spacing w:val="0"/>
        </w:rPr>
        <w:t>Appendix A</w:t>
      </w:r>
      <w:r w:rsidR="001B5D11">
        <w:rPr>
          <w:rStyle w:val="BookTitle"/>
          <w:b w:val="0"/>
          <w:bCs w:val="0"/>
          <w:i w:val="0"/>
          <w:iCs w:val="0"/>
          <w:spacing w:val="0"/>
        </w:rPr>
        <w:t>:</w:t>
      </w:r>
      <w:r w:rsidRPr="00B30A2E">
        <w:rPr>
          <w:rStyle w:val="BookTitle"/>
          <w:b w:val="0"/>
          <w:bCs w:val="0"/>
          <w:i w:val="0"/>
          <w:iCs w:val="0"/>
          <w:spacing w:val="0"/>
        </w:rPr>
        <w:t xml:space="preserve"> Detailed longitudinal AIHW data in Tables</w:t>
      </w:r>
      <w:bookmarkEnd w:id="177"/>
      <w:r w:rsidRPr="00B30A2E">
        <w:rPr>
          <w:rStyle w:val="BookTitle"/>
          <w:b w:val="0"/>
          <w:bCs w:val="0"/>
          <w:i w:val="0"/>
          <w:iCs w:val="0"/>
          <w:spacing w:val="0"/>
        </w:rPr>
        <w:t xml:space="preserve"> </w:t>
      </w:r>
    </w:p>
    <w:p w14:paraId="104E5244" w14:textId="77777777" w:rsidR="002A13EF" w:rsidRDefault="002A13EF" w:rsidP="002A13EF">
      <w:pPr>
        <w:spacing w:after="0"/>
      </w:pPr>
      <w:r>
        <w:t xml:space="preserve">Data sub-groups of data that includes: Hospital separations with reported ICD-10-AM principal diagnosis codes or any external cause codes as per Table S.1. </w:t>
      </w:r>
    </w:p>
    <w:p w14:paraId="7E4EFB65" w14:textId="77777777" w:rsidR="00F93F68" w:rsidRDefault="00F93F68" w:rsidP="002A13EF">
      <w:pPr>
        <w:spacing w:after="0"/>
        <w:rPr>
          <w:sz w:val="22"/>
        </w:rPr>
      </w:pPr>
    </w:p>
    <w:p w14:paraId="27B6A7D0" w14:textId="77777777" w:rsidR="002A13EF" w:rsidRDefault="002A13EF" w:rsidP="002A13EF">
      <w:pPr>
        <w:spacing w:after="0"/>
      </w:pPr>
      <w:r>
        <w:t xml:space="preserve">Principal diagnosis and external causes as per the ICD-10-AM edition relevant for reference years (financial years). </w:t>
      </w:r>
    </w:p>
    <w:p w14:paraId="4D3626FE" w14:textId="77777777" w:rsidR="00183EF3" w:rsidRDefault="00183EF3">
      <w:pPr>
        <w:rPr>
          <w:rStyle w:val="BookTitle"/>
          <w:b w:val="0"/>
          <w:bCs w:val="0"/>
          <w:i w:val="0"/>
          <w:iCs w:val="0"/>
          <w:spacing w:val="0"/>
        </w:rPr>
      </w:pPr>
    </w:p>
    <w:p w14:paraId="3182BF3B" w14:textId="77777777" w:rsidR="00183EF3" w:rsidRDefault="00183EF3" w:rsidP="00183EF3">
      <w:pPr>
        <w:spacing w:after="0"/>
      </w:pPr>
      <w:r>
        <w:t xml:space="preserve">Excludes: </w:t>
      </w:r>
    </w:p>
    <w:p w14:paraId="16444D3B" w14:textId="77777777" w:rsidR="00183EF3" w:rsidRDefault="00183EF3" w:rsidP="00183EF3">
      <w:pPr>
        <w:pStyle w:val="ListParagraph"/>
        <w:numPr>
          <w:ilvl w:val="0"/>
          <w:numId w:val="87"/>
        </w:numPr>
        <w:spacing w:after="0"/>
      </w:pPr>
      <w:r>
        <w:t>Separations for which the care type was reported as Newborn (without qualified days), and records for Hospital boarders or Posthumous organ procurement.</w:t>
      </w:r>
    </w:p>
    <w:p w14:paraId="5856020A" w14:textId="77777777" w:rsidR="00183EF3" w:rsidRDefault="00183EF3" w:rsidP="00183EF3">
      <w:pPr>
        <w:pStyle w:val="ListParagraph"/>
        <w:numPr>
          <w:ilvl w:val="0"/>
          <w:numId w:val="87"/>
        </w:numPr>
        <w:spacing w:after="0"/>
      </w:pPr>
      <w:r>
        <w:t>Hospitalisations in WA with a contracted patient status of 'Inter-hospital contracted patient to private sector hospital', to adjust for separations recorded on both sides of contractual care arrangements.</w:t>
      </w:r>
    </w:p>
    <w:p w14:paraId="42CA3F6E" w14:textId="630BD778" w:rsidR="00183EF3" w:rsidRDefault="00183EF3" w:rsidP="0034427C">
      <w:pPr>
        <w:pStyle w:val="ListParagraph"/>
        <w:numPr>
          <w:ilvl w:val="0"/>
          <w:numId w:val="88"/>
        </w:numPr>
        <w:spacing w:after="0"/>
      </w:pPr>
      <w:r>
        <w:t>ICD-10-AM codes relevant for reference years:</w:t>
      </w:r>
    </w:p>
    <w:p w14:paraId="63F0356D" w14:textId="77777777" w:rsidR="00183EF3" w:rsidRDefault="00183EF3" w:rsidP="0034427C">
      <w:pPr>
        <w:pStyle w:val="ListParagraph"/>
        <w:numPr>
          <w:ilvl w:val="0"/>
          <w:numId w:val="88"/>
        </w:numPr>
        <w:spacing w:after="0"/>
      </w:pPr>
      <w:r>
        <w:t xml:space="preserve">2009-10: ICD-10-AM 6th edition </w:t>
      </w:r>
    </w:p>
    <w:p w14:paraId="113E87F8" w14:textId="77777777" w:rsidR="00183EF3" w:rsidRDefault="00183EF3" w:rsidP="0034427C">
      <w:pPr>
        <w:pStyle w:val="ListParagraph"/>
        <w:numPr>
          <w:ilvl w:val="0"/>
          <w:numId w:val="88"/>
        </w:numPr>
        <w:spacing w:after="0"/>
      </w:pPr>
      <w:r>
        <w:t>2010-11 to 2012-13: ICD-10-AM 7th edition</w:t>
      </w:r>
    </w:p>
    <w:p w14:paraId="26F2E1C1" w14:textId="77777777" w:rsidR="00183EF3" w:rsidRDefault="00183EF3" w:rsidP="0034427C">
      <w:pPr>
        <w:pStyle w:val="ListParagraph"/>
        <w:numPr>
          <w:ilvl w:val="0"/>
          <w:numId w:val="88"/>
        </w:numPr>
        <w:spacing w:after="0"/>
      </w:pPr>
      <w:r>
        <w:t>2013-14 to 2014-15: ICD-10-AM 8th edition</w:t>
      </w:r>
    </w:p>
    <w:p w14:paraId="4ECB667B" w14:textId="77777777" w:rsidR="00183EF3" w:rsidRDefault="00183EF3" w:rsidP="0034427C">
      <w:pPr>
        <w:pStyle w:val="ListParagraph"/>
        <w:numPr>
          <w:ilvl w:val="0"/>
          <w:numId w:val="88"/>
        </w:numPr>
        <w:spacing w:after="0"/>
      </w:pPr>
      <w:r>
        <w:t>2015-16 to 2016-17: ICD-10-AM 9th edition</w:t>
      </w:r>
    </w:p>
    <w:p w14:paraId="6C274D74" w14:textId="77777777" w:rsidR="00183EF3" w:rsidRDefault="00183EF3" w:rsidP="0034427C">
      <w:pPr>
        <w:pStyle w:val="ListParagraph"/>
        <w:numPr>
          <w:ilvl w:val="0"/>
          <w:numId w:val="88"/>
        </w:numPr>
        <w:spacing w:after="0"/>
      </w:pPr>
      <w:r>
        <w:t>2017-18 to 2018-19: ICD-10-AM 10th edition</w:t>
      </w:r>
    </w:p>
    <w:p w14:paraId="3AD35400" w14:textId="77777777" w:rsidR="009D0166" w:rsidRDefault="00183EF3" w:rsidP="0034427C">
      <w:pPr>
        <w:pStyle w:val="ListParagraph"/>
        <w:numPr>
          <w:ilvl w:val="0"/>
          <w:numId w:val="88"/>
        </w:numPr>
        <w:spacing w:after="0"/>
      </w:pPr>
      <w:r>
        <w:t>2019-20: ICD-10-AM 11th edition.</w:t>
      </w:r>
    </w:p>
    <w:p w14:paraId="584A5D63" w14:textId="4FE94019" w:rsidR="00183EF3" w:rsidRDefault="00183EF3" w:rsidP="0034427C">
      <w:pPr>
        <w:pStyle w:val="ListParagraph"/>
        <w:numPr>
          <w:ilvl w:val="0"/>
          <w:numId w:val="85"/>
        </w:numPr>
        <w:spacing w:after="0"/>
      </w:pPr>
      <w:r>
        <w:t>For analysis of injury or poisoning related separations, a record with an injury or poisoning principal diagnosis/external causes of injury from Table S1 is usually excluded (i.e. is out of scope) where</w:t>
      </w:r>
      <w:r w:rsidR="009D0166">
        <w:t>:</w:t>
      </w:r>
      <w:r>
        <w:t xml:space="preserve"> </w:t>
      </w:r>
    </w:p>
    <w:p w14:paraId="37ED938E" w14:textId="77777777" w:rsidR="00183EF3" w:rsidRDefault="00183EF3" w:rsidP="0034427C">
      <w:pPr>
        <w:pStyle w:val="ListParagraph"/>
        <w:numPr>
          <w:ilvl w:val="1"/>
          <w:numId w:val="85"/>
        </w:numPr>
        <w:spacing w:after="0"/>
      </w:pPr>
      <w:r>
        <w:t xml:space="preserve">Transfer_flag=1 (admitted patient transferred from another hospital). This adjusts for overstatement of injury separations arising from some episodes being treated in more than one hospital ; or </w:t>
      </w:r>
    </w:p>
    <w:p w14:paraId="30427A57" w14:textId="77777777" w:rsidR="00183EF3" w:rsidRDefault="00183EF3" w:rsidP="0034427C">
      <w:pPr>
        <w:pStyle w:val="ListParagraph"/>
        <w:numPr>
          <w:ilvl w:val="1"/>
          <w:numId w:val="85"/>
        </w:numPr>
        <w:spacing w:after="0"/>
      </w:pPr>
      <w:r>
        <w:t xml:space="preserve">Rehabilitation_Flag =1 (ICD-10-AM code Z50 - Care involving the use of rehabilitation procedures reported in additional diagnosis). This adjusts for changes to rehabilitation coding and to reflect the number of injury separations where the primary clinical intent is acute care and not rehabilitation. </w:t>
      </w:r>
    </w:p>
    <w:p w14:paraId="015C2796" w14:textId="5633289A" w:rsidR="00183EF3" w:rsidRDefault="00183EF3" w:rsidP="00A87055">
      <w:pPr>
        <w:pStyle w:val="ListParagraph"/>
        <w:numPr>
          <w:ilvl w:val="0"/>
          <w:numId w:val="85"/>
        </w:numPr>
        <w:spacing w:after="0"/>
      </w:pPr>
      <w:r>
        <w:t>Caution should be used in comparing diagnosis, procedure and external cause data over time, as the classifications and coding standards for those data can change over time. Please refer to the Chronicle of the ICD-10-AM First edition to Eleventh edition (ICD-10-AM/ACHI/ACS Chronicle) for information on changes in classifications and coding standards over time and ICD-10-AM editions.</w:t>
      </w:r>
    </w:p>
    <w:p w14:paraId="204A4BA3" w14:textId="48F4ADC9" w:rsidR="001570BA" w:rsidRDefault="001570BA">
      <w:r>
        <w:br w:type="page"/>
      </w:r>
    </w:p>
    <w:p w14:paraId="7B235DFC" w14:textId="77777777" w:rsidR="00D304B1" w:rsidRDefault="00D304B1" w:rsidP="00D304B1">
      <w:pPr>
        <w:pStyle w:val="Caption"/>
        <w:keepNext/>
      </w:pPr>
      <w:r>
        <w:t>Table S1</w:t>
      </w:r>
      <w:r w:rsidRPr="0091560A">
        <w:t xml:space="preserve">. </w:t>
      </w:r>
      <w:r>
        <w:t>List of ICD-10-Am codes for scoping of the extract (provided by client).</w:t>
      </w:r>
    </w:p>
    <w:tbl>
      <w:tblPr>
        <w:tblStyle w:val="TableGrid"/>
        <w:tblW w:w="0" w:type="auto"/>
        <w:tblLook w:val="04A0" w:firstRow="1" w:lastRow="0" w:firstColumn="1" w:lastColumn="0" w:noHBand="0" w:noVBand="1"/>
      </w:tblPr>
      <w:tblGrid>
        <w:gridCol w:w="9016"/>
      </w:tblGrid>
      <w:tr w:rsidR="00D304B1" w:rsidRPr="00D304B1" w14:paraId="35A5B18B" w14:textId="77777777" w:rsidTr="00D304B1">
        <w:tc>
          <w:tcPr>
            <w:tcW w:w="9016" w:type="dxa"/>
          </w:tcPr>
          <w:p w14:paraId="2FF4FA9F" w14:textId="77777777" w:rsidR="00D304B1" w:rsidRDefault="00D304B1" w:rsidP="00D304B1">
            <w:r>
              <w:t xml:space="preserve">Principle </w:t>
            </w:r>
            <w:r w:rsidR="001570BA">
              <w:t>diagnoses:</w:t>
            </w:r>
          </w:p>
          <w:p w14:paraId="68B4910E" w14:textId="5159F991" w:rsidR="001570BA" w:rsidRDefault="001570BA" w:rsidP="00D304B1"/>
          <w:p w14:paraId="2174291C" w14:textId="5159F991" w:rsidR="00823408" w:rsidRPr="00823408" w:rsidRDefault="00823408" w:rsidP="00823408">
            <w:pPr>
              <w:rPr>
                <w:lang w:val="en"/>
              </w:rPr>
            </w:pPr>
            <w:r w:rsidRPr="00823408">
              <w:rPr>
                <w:lang w:val="en"/>
              </w:rPr>
              <w:t>T36-T50: Poisoning by drugs, medicaments and biological substances</w:t>
            </w:r>
          </w:p>
          <w:p w14:paraId="0059D06C" w14:textId="5159F991" w:rsidR="00823408" w:rsidRPr="00823408" w:rsidRDefault="00823408" w:rsidP="00823408">
            <w:pPr>
              <w:rPr>
                <w:lang w:val="en"/>
              </w:rPr>
            </w:pPr>
            <w:r w:rsidRPr="00823408">
              <w:rPr>
                <w:lang w:val="en"/>
              </w:rPr>
              <w:t>T51-T65: Toxic effects of substances chiefly nonmedical as to source</w:t>
            </w:r>
          </w:p>
          <w:p w14:paraId="109D6A06" w14:textId="5159F991" w:rsidR="00823408" w:rsidRPr="00823408" w:rsidRDefault="00823408" w:rsidP="00823408">
            <w:pPr>
              <w:rPr>
                <w:lang w:val="en"/>
              </w:rPr>
            </w:pPr>
            <w:r w:rsidRPr="00823408">
              <w:rPr>
                <w:lang w:val="en"/>
              </w:rPr>
              <w:t>T88.7: Unspecified adverse effect of drug or medicament</w:t>
            </w:r>
          </w:p>
          <w:p w14:paraId="01F910CC" w14:textId="5159F991" w:rsidR="00823408" w:rsidRPr="00823408" w:rsidRDefault="00823408" w:rsidP="00823408">
            <w:pPr>
              <w:rPr>
                <w:lang w:val="en"/>
              </w:rPr>
            </w:pPr>
            <w:r w:rsidRPr="00823408">
              <w:rPr>
                <w:lang w:val="en"/>
              </w:rPr>
              <w:t>T96: Sequelae of poisoning by drugs, medicaments and biological substances</w:t>
            </w:r>
          </w:p>
          <w:p w14:paraId="4B060ED3" w14:textId="5159F991" w:rsidR="00823408" w:rsidRPr="00823408" w:rsidRDefault="00823408" w:rsidP="00823408">
            <w:pPr>
              <w:rPr>
                <w:lang w:val="en"/>
              </w:rPr>
            </w:pPr>
            <w:r w:rsidRPr="00823408">
              <w:rPr>
                <w:lang w:val="en"/>
              </w:rPr>
              <w:t>T97: Sequelae of toxic effects of substances chiefly nonmedical as to source.</w:t>
            </w:r>
          </w:p>
          <w:p w14:paraId="427380D7" w14:textId="5159F991" w:rsidR="00823408" w:rsidRPr="00823408" w:rsidRDefault="00823408" w:rsidP="00823408">
            <w:pPr>
              <w:rPr>
                <w:lang w:val="en"/>
              </w:rPr>
            </w:pPr>
            <w:r w:rsidRPr="00823408">
              <w:rPr>
                <w:lang w:val="en"/>
              </w:rPr>
              <w:t>F10-F19: Mental and behavioural disorders due to psychoactive substance use</w:t>
            </w:r>
          </w:p>
          <w:p w14:paraId="64228009" w14:textId="5159F991" w:rsidR="00823408" w:rsidRPr="00823408" w:rsidRDefault="00823408" w:rsidP="00823408">
            <w:pPr>
              <w:rPr>
                <w:lang w:val="en"/>
              </w:rPr>
            </w:pPr>
            <w:r w:rsidRPr="00823408">
              <w:rPr>
                <w:lang w:val="en"/>
              </w:rPr>
              <w:t>J68: Respiratory conditions due to inhalation of chemicals, gases, fumes and vapours.</w:t>
            </w:r>
          </w:p>
          <w:p w14:paraId="1A96C17F" w14:textId="5159F991" w:rsidR="00823408" w:rsidRPr="00823408" w:rsidRDefault="00823408" w:rsidP="00823408">
            <w:pPr>
              <w:rPr>
                <w:lang w:val="en"/>
              </w:rPr>
            </w:pPr>
            <w:r w:rsidRPr="00823408">
              <w:rPr>
                <w:lang w:val="en"/>
              </w:rPr>
              <w:t>J69.1: Pneumonitis due to oils and essences</w:t>
            </w:r>
          </w:p>
          <w:p w14:paraId="2489F204" w14:textId="5159F991" w:rsidR="00823408" w:rsidRPr="00823408" w:rsidRDefault="00823408" w:rsidP="00823408">
            <w:pPr>
              <w:rPr>
                <w:lang w:val="en"/>
              </w:rPr>
            </w:pPr>
            <w:r w:rsidRPr="00823408">
              <w:rPr>
                <w:lang w:val="en"/>
              </w:rPr>
              <w:t>N14: Drug and heavy-metal-induced tubule-interstitial and tubular conditions</w:t>
            </w:r>
          </w:p>
          <w:p w14:paraId="5B1644DD" w14:textId="5159F991" w:rsidR="00823408" w:rsidRPr="00823408" w:rsidRDefault="00823408" w:rsidP="00823408">
            <w:pPr>
              <w:rPr>
                <w:lang w:val="en"/>
              </w:rPr>
            </w:pPr>
            <w:r w:rsidRPr="00823408">
              <w:rPr>
                <w:lang w:val="en"/>
              </w:rPr>
              <w:t>L27: Dermatitis due to substances taken internally</w:t>
            </w:r>
          </w:p>
          <w:p w14:paraId="5BC1B43E" w14:textId="49AF4D51" w:rsidR="001570BA" w:rsidRPr="0034427C" w:rsidRDefault="00823408" w:rsidP="00D304B1">
            <w:pPr>
              <w:rPr>
                <w:lang w:val="en"/>
              </w:rPr>
            </w:pPr>
            <w:r w:rsidRPr="00823408">
              <w:rPr>
                <w:lang w:val="en"/>
              </w:rPr>
              <w:t>F55: Harmful use of nondependence-producing substances</w:t>
            </w:r>
          </w:p>
          <w:p w14:paraId="4146011E" w14:textId="767635A5" w:rsidR="001570BA" w:rsidRPr="00217242" w:rsidRDefault="001570BA" w:rsidP="0034427C"/>
        </w:tc>
      </w:tr>
      <w:tr w:rsidR="00D304B1" w:rsidRPr="00D304B1" w14:paraId="75B89D63" w14:textId="77777777" w:rsidTr="00D304B1">
        <w:tc>
          <w:tcPr>
            <w:tcW w:w="9016" w:type="dxa"/>
          </w:tcPr>
          <w:p w14:paraId="7C7A5DA3" w14:textId="77777777" w:rsidR="00D304B1" w:rsidRDefault="001570BA" w:rsidP="00D304B1">
            <w:r>
              <w:t>External causes:</w:t>
            </w:r>
          </w:p>
          <w:p w14:paraId="26798450" w14:textId="77777777" w:rsidR="001570BA" w:rsidRDefault="001570BA" w:rsidP="00D304B1"/>
          <w:p w14:paraId="28B40398" w14:textId="77777777" w:rsidR="00217242" w:rsidRPr="00217242" w:rsidRDefault="00217242" w:rsidP="00217242">
            <w:pPr>
              <w:rPr>
                <w:lang w:val="en"/>
              </w:rPr>
            </w:pPr>
            <w:r w:rsidRPr="00217242">
              <w:rPr>
                <w:lang w:val="en"/>
              </w:rPr>
              <w:t>X20-X29: Contact with venomous animals and plants</w:t>
            </w:r>
          </w:p>
          <w:p w14:paraId="1CFAB0CB" w14:textId="77777777" w:rsidR="00217242" w:rsidRPr="00217242" w:rsidRDefault="00217242" w:rsidP="00217242">
            <w:pPr>
              <w:rPr>
                <w:lang w:val="en"/>
              </w:rPr>
            </w:pPr>
            <w:r w:rsidRPr="00217242">
              <w:rPr>
                <w:lang w:val="en"/>
              </w:rPr>
              <w:t>X40-X49: Accidental poisoning by and exposure to noxious substances</w:t>
            </w:r>
          </w:p>
          <w:p w14:paraId="585D15AA" w14:textId="77777777" w:rsidR="00217242" w:rsidRPr="00217242" w:rsidRDefault="00217242" w:rsidP="00217242">
            <w:pPr>
              <w:rPr>
                <w:lang w:val="en"/>
              </w:rPr>
            </w:pPr>
            <w:r w:rsidRPr="00217242">
              <w:rPr>
                <w:lang w:val="en"/>
              </w:rPr>
              <w:t>X60-X69: Intentional self-harm (poisoning codes only)</w:t>
            </w:r>
          </w:p>
          <w:p w14:paraId="06150443" w14:textId="77777777" w:rsidR="00217242" w:rsidRPr="00217242" w:rsidRDefault="00217242" w:rsidP="00217242">
            <w:pPr>
              <w:rPr>
                <w:lang w:val="en"/>
              </w:rPr>
            </w:pPr>
            <w:r w:rsidRPr="00217242">
              <w:rPr>
                <w:lang w:val="en"/>
              </w:rPr>
              <w:t>X85-X90: Assault (poisoning codes only)</w:t>
            </w:r>
          </w:p>
          <w:p w14:paraId="6F512839" w14:textId="77777777" w:rsidR="00217242" w:rsidRPr="00217242" w:rsidRDefault="00217242" w:rsidP="00217242">
            <w:pPr>
              <w:rPr>
                <w:lang w:val="en"/>
              </w:rPr>
            </w:pPr>
            <w:r w:rsidRPr="00217242">
              <w:rPr>
                <w:lang w:val="en"/>
              </w:rPr>
              <w:t>Y10-Y19: Event of undetermined intent (poisoning codes only)</w:t>
            </w:r>
          </w:p>
          <w:p w14:paraId="17810127" w14:textId="77777777" w:rsidR="00217242" w:rsidRPr="00217242" w:rsidRDefault="00217242" w:rsidP="00217242">
            <w:pPr>
              <w:rPr>
                <w:lang w:val="en"/>
              </w:rPr>
            </w:pPr>
            <w:r w:rsidRPr="00217242">
              <w:rPr>
                <w:lang w:val="en"/>
              </w:rPr>
              <w:t>Y40-Y59: Drugs, medicaments and biological substances causing adverse effects in therapeutic use</w:t>
            </w:r>
          </w:p>
          <w:p w14:paraId="36E39707" w14:textId="77777777" w:rsidR="001570BA" w:rsidRDefault="00217242" w:rsidP="00217242">
            <w:pPr>
              <w:rPr>
                <w:lang w:val="en"/>
              </w:rPr>
            </w:pPr>
            <w:r w:rsidRPr="00217242">
              <w:rPr>
                <w:lang w:val="en"/>
              </w:rPr>
              <w:t>Y90-Y91: Evidence of alcohol involvement</w:t>
            </w:r>
          </w:p>
          <w:p w14:paraId="3098EC93" w14:textId="77777777" w:rsidR="00217242" w:rsidRPr="00217242" w:rsidRDefault="00217242" w:rsidP="0034427C"/>
        </w:tc>
      </w:tr>
    </w:tbl>
    <w:p w14:paraId="4B1DB783" w14:textId="77777777" w:rsidR="00217242" w:rsidRDefault="00217242" w:rsidP="00D304B1">
      <w:pPr>
        <w:pStyle w:val="Caption"/>
        <w:keepNext/>
        <w:rPr>
          <w:b w:val="0"/>
          <w:bCs w:val="0"/>
          <w:i w:val="0"/>
          <w:iCs w:val="0"/>
        </w:rPr>
      </w:pPr>
    </w:p>
    <w:p w14:paraId="3A84D82E" w14:textId="77777777" w:rsidR="00217242" w:rsidRDefault="00217242">
      <w:pPr>
        <w:rPr>
          <w:color w:val="44546A" w:themeColor="text2"/>
        </w:rPr>
      </w:pPr>
      <w:r>
        <w:rPr>
          <w:b/>
          <w:bCs/>
          <w:i/>
          <w:iCs/>
        </w:rPr>
        <w:br w:type="page"/>
      </w:r>
    </w:p>
    <w:p w14:paraId="192B6977" w14:textId="3E3D6A67" w:rsidR="00FC4963" w:rsidRPr="004A0BC8" w:rsidRDefault="00FC4963" w:rsidP="00186613">
      <w:pPr>
        <w:pStyle w:val="Caption"/>
        <w:keepNext/>
        <w:rPr>
          <w:b w:val="0"/>
          <w:i w:val="0"/>
        </w:rPr>
        <w:sectPr w:rsidR="00FC4963" w:rsidRPr="004A0BC8" w:rsidSect="00D51C9A">
          <w:headerReference w:type="default" r:id="rId151"/>
          <w:footerReference w:type="default" r:id="rId152"/>
          <w:pgSz w:w="11906" w:h="16838"/>
          <w:pgMar w:top="1440" w:right="1440" w:bottom="1440" w:left="1440" w:header="709" w:footer="709" w:gutter="0"/>
          <w:cols w:space="708"/>
          <w:docGrid w:linePitch="360"/>
        </w:sectPr>
      </w:pPr>
    </w:p>
    <w:p w14:paraId="714941D4" w14:textId="77D97EC5" w:rsidR="00580CD0" w:rsidRPr="00D01132" w:rsidRDefault="00217242" w:rsidP="00D01132">
      <w:pPr>
        <w:pStyle w:val="Heading5"/>
      </w:pPr>
      <w:r w:rsidRPr="00D01132">
        <w:t>Paracetamol poisoning admissions in Australia (AIHW NHMD 2009-2020</w:t>
      </w:r>
    </w:p>
    <w:tbl>
      <w:tblPr>
        <w:tblStyle w:val="ListTable21"/>
        <w:tblW w:w="5000" w:type="pct"/>
        <w:tblLook w:val="04A0" w:firstRow="1" w:lastRow="0" w:firstColumn="1" w:lastColumn="0" w:noHBand="0" w:noVBand="1"/>
      </w:tblPr>
      <w:tblGrid>
        <w:gridCol w:w="731"/>
        <w:gridCol w:w="119"/>
        <w:gridCol w:w="612"/>
        <w:gridCol w:w="731"/>
        <w:gridCol w:w="732"/>
        <w:gridCol w:w="732"/>
        <w:gridCol w:w="732"/>
        <w:gridCol w:w="732"/>
        <w:gridCol w:w="733"/>
        <w:gridCol w:w="733"/>
        <w:gridCol w:w="732"/>
        <w:gridCol w:w="732"/>
        <w:gridCol w:w="732"/>
        <w:gridCol w:w="732"/>
        <w:gridCol w:w="732"/>
        <w:gridCol w:w="732"/>
        <w:gridCol w:w="732"/>
        <w:gridCol w:w="732"/>
        <w:gridCol w:w="732"/>
        <w:gridCol w:w="783"/>
      </w:tblGrid>
      <w:tr w:rsidR="00711528" w:rsidRPr="00151B48" w14:paraId="6A4AA3CC" w14:textId="77777777" w:rsidTr="00C91EDD">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732" w:type="dxa"/>
            <w:noWrap/>
            <w:hideMark/>
          </w:tcPr>
          <w:p w14:paraId="536CFDD2" w14:textId="77777777" w:rsidR="00711528" w:rsidRPr="00151B48" w:rsidRDefault="00711528" w:rsidP="00617949">
            <w:pPr>
              <w:jc w:val="right"/>
              <w:rPr>
                <w:rFonts w:eastAsia="Times New Roman" w:cs="Times New Roman"/>
                <w:color w:val="000000"/>
                <w:sz w:val="20"/>
                <w:szCs w:val="20"/>
                <w:lang w:eastAsia="en-AU"/>
              </w:rPr>
            </w:pPr>
            <w:r w:rsidRPr="00151B48">
              <w:rPr>
                <w:rFonts w:eastAsia="Times New Roman" w:cs="Times New Roman"/>
                <w:color w:val="000000"/>
                <w:sz w:val="20"/>
                <w:szCs w:val="20"/>
                <w:lang w:eastAsia="en-AU"/>
              </w:rPr>
              <w:t>Ref year</w:t>
            </w:r>
          </w:p>
        </w:tc>
        <w:tc>
          <w:tcPr>
            <w:tcW w:w="732" w:type="dxa"/>
            <w:gridSpan w:val="2"/>
            <w:noWrap/>
            <w:hideMark/>
          </w:tcPr>
          <w:p w14:paraId="1752519C"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00-04</w:t>
            </w:r>
          </w:p>
        </w:tc>
        <w:tc>
          <w:tcPr>
            <w:tcW w:w="732" w:type="dxa"/>
            <w:noWrap/>
            <w:hideMark/>
          </w:tcPr>
          <w:p w14:paraId="4C118BDD"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05--09</w:t>
            </w:r>
          </w:p>
        </w:tc>
        <w:tc>
          <w:tcPr>
            <w:tcW w:w="732" w:type="dxa"/>
            <w:noWrap/>
            <w:hideMark/>
          </w:tcPr>
          <w:p w14:paraId="582F6DFB"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10--14</w:t>
            </w:r>
          </w:p>
        </w:tc>
        <w:tc>
          <w:tcPr>
            <w:tcW w:w="732" w:type="dxa"/>
            <w:noWrap/>
            <w:hideMark/>
          </w:tcPr>
          <w:p w14:paraId="2E9B2813"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15-19</w:t>
            </w:r>
          </w:p>
        </w:tc>
        <w:tc>
          <w:tcPr>
            <w:tcW w:w="732" w:type="dxa"/>
            <w:noWrap/>
            <w:hideMark/>
          </w:tcPr>
          <w:p w14:paraId="115D3E57"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20-24</w:t>
            </w:r>
          </w:p>
        </w:tc>
        <w:tc>
          <w:tcPr>
            <w:tcW w:w="732" w:type="dxa"/>
            <w:noWrap/>
            <w:hideMark/>
          </w:tcPr>
          <w:p w14:paraId="412D567D"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25-29</w:t>
            </w:r>
          </w:p>
        </w:tc>
        <w:tc>
          <w:tcPr>
            <w:tcW w:w="733" w:type="dxa"/>
            <w:noWrap/>
            <w:hideMark/>
          </w:tcPr>
          <w:p w14:paraId="035BCCCF"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30-34</w:t>
            </w:r>
          </w:p>
        </w:tc>
        <w:tc>
          <w:tcPr>
            <w:tcW w:w="733" w:type="dxa"/>
            <w:noWrap/>
            <w:hideMark/>
          </w:tcPr>
          <w:p w14:paraId="73CCDB0B"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35-39</w:t>
            </w:r>
          </w:p>
        </w:tc>
        <w:tc>
          <w:tcPr>
            <w:tcW w:w="732" w:type="dxa"/>
            <w:noWrap/>
            <w:hideMark/>
          </w:tcPr>
          <w:p w14:paraId="14FC1788"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40-44</w:t>
            </w:r>
          </w:p>
        </w:tc>
        <w:tc>
          <w:tcPr>
            <w:tcW w:w="732" w:type="dxa"/>
            <w:noWrap/>
            <w:hideMark/>
          </w:tcPr>
          <w:p w14:paraId="261F6A7D"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45-49</w:t>
            </w:r>
          </w:p>
        </w:tc>
        <w:tc>
          <w:tcPr>
            <w:tcW w:w="732" w:type="dxa"/>
            <w:noWrap/>
            <w:hideMark/>
          </w:tcPr>
          <w:p w14:paraId="1E450C16"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50-54</w:t>
            </w:r>
          </w:p>
        </w:tc>
        <w:tc>
          <w:tcPr>
            <w:tcW w:w="732" w:type="dxa"/>
            <w:noWrap/>
            <w:hideMark/>
          </w:tcPr>
          <w:p w14:paraId="59ED7731"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55-59</w:t>
            </w:r>
          </w:p>
        </w:tc>
        <w:tc>
          <w:tcPr>
            <w:tcW w:w="732" w:type="dxa"/>
            <w:noWrap/>
            <w:hideMark/>
          </w:tcPr>
          <w:p w14:paraId="06026C6B"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60-64</w:t>
            </w:r>
          </w:p>
        </w:tc>
        <w:tc>
          <w:tcPr>
            <w:tcW w:w="732" w:type="dxa"/>
            <w:noWrap/>
            <w:hideMark/>
          </w:tcPr>
          <w:p w14:paraId="260601A4"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65-69</w:t>
            </w:r>
          </w:p>
        </w:tc>
        <w:tc>
          <w:tcPr>
            <w:tcW w:w="732" w:type="dxa"/>
            <w:noWrap/>
            <w:hideMark/>
          </w:tcPr>
          <w:p w14:paraId="4F79AFF8"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70-74</w:t>
            </w:r>
          </w:p>
        </w:tc>
        <w:tc>
          <w:tcPr>
            <w:tcW w:w="732" w:type="dxa"/>
            <w:noWrap/>
            <w:hideMark/>
          </w:tcPr>
          <w:p w14:paraId="0A608A33"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75-79</w:t>
            </w:r>
          </w:p>
        </w:tc>
        <w:tc>
          <w:tcPr>
            <w:tcW w:w="732" w:type="dxa"/>
            <w:noWrap/>
            <w:hideMark/>
          </w:tcPr>
          <w:p w14:paraId="34A2767C"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w:t>
            </w:r>
          </w:p>
        </w:tc>
        <w:tc>
          <w:tcPr>
            <w:tcW w:w="780" w:type="dxa"/>
            <w:noWrap/>
            <w:hideMark/>
          </w:tcPr>
          <w:p w14:paraId="57A8301D" w14:textId="77777777" w:rsidR="00711528" w:rsidRPr="00151B48" w:rsidRDefault="00711528"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Grand Total</w:t>
            </w:r>
          </w:p>
        </w:tc>
      </w:tr>
      <w:tr w:rsidR="00C91EDD" w:rsidRPr="00151B48" w14:paraId="079505D1" w14:textId="77777777" w:rsidTr="00C91ED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4C7AAC17" w14:textId="3D1E8162"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613" w:type="dxa"/>
            <w:noWrap/>
            <w:hideMark/>
          </w:tcPr>
          <w:p w14:paraId="1928C62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145</w:t>
            </w:r>
          </w:p>
        </w:tc>
        <w:tc>
          <w:tcPr>
            <w:tcW w:w="732" w:type="dxa"/>
            <w:noWrap/>
            <w:hideMark/>
          </w:tcPr>
          <w:p w14:paraId="4C475B5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w:t>
            </w:r>
          </w:p>
        </w:tc>
        <w:tc>
          <w:tcPr>
            <w:tcW w:w="732" w:type="dxa"/>
            <w:noWrap/>
            <w:hideMark/>
          </w:tcPr>
          <w:p w14:paraId="68877B1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302</w:t>
            </w:r>
          </w:p>
        </w:tc>
        <w:tc>
          <w:tcPr>
            <w:tcW w:w="732" w:type="dxa"/>
            <w:noWrap/>
            <w:hideMark/>
          </w:tcPr>
          <w:p w14:paraId="3089BF1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1759</w:t>
            </w:r>
          </w:p>
        </w:tc>
        <w:tc>
          <w:tcPr>
            <w:tcW w:w="732" w:type="dxa"/>
            <w:noWrap/>
            <w:hideMark/>
          </w:tcPr>
          <w:p w14:paraId="2F75268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1265</w:t>
            </w:r>
          </w:p>
        </w:tc>
        <w:tc>
          <w:tcPr>
            <w:tcW w:w="732" w:type="dxa"/>
            <w:noWrap/>
            <w:hideMark/>
          </w:tcPr>
          <w:p w14:paraId="3C54F4D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845</w:t>
            </w:r>
          </w:p>
        </w:tc>
        <w:tc>
          <w:tcPr>
            <w:tcW w:w="733" w:type="dxa"/>
            <w:noWrap/>
            <w:hideMark/>
          </w:tcPr>
          <w:p w14:paraId="2240F0F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766</w:t>
            </w:r>
          </w:p>
        </w:tc>
        <w:tc>
          <w:tcPr>
            <w:tcW w:w="733" w:type="dxa"/>
            <w:noWrap/>
            <w:hideMark/>
          </w:tcPr>
          <w:p w14:paraId="3068CA9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806</w:t>
            </w:r>
          </w:p>
        </w:tc>
        <w:tc>
          <w:tcPr>
            <w:tcW w:w="732" w:type="dxa"/>
            <w:noWrap/>
            <w:hideMark/>
          </w:tcPr>
          <w:p w14:paraId="3F309F5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723</w:t>
            </w:r>
          </w:p>
        </w:tc>
        <w:tc>
          <w:tcPr>
            <w:tcW w:w="732" w:type="dxa"/>
            <w:noWrap/>
            <w:hideMark/>
          </w:tcPr>
          <w:p w14:paraId="475D344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694</w:t>
            </w:r>
          </w:p>
        </w:tc>
        <w:tc>
          <w:tcPr>
            <w:tcW w:w="732" w:type="dxa"/>
            <w:noWrap/>
            <w:hideMark/>
          </w:tcPr>
          <w:p w14:paraId="5DAA7A2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448</w:t>
            </w:r>
          </w:p>
        </w:tc>
        <w:tc>
          <w:tcPr>
            <w:tcW w:w="732" w:type="dxa"/>
            <w:noWrap/>
            <w:hideMark/>
          </w:tcPr>
          <w:p w14:paraId="701E050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296</w:t>
            </w:r>
          </w:p>
        </w:tc>
        <w:tc>
          <w:tcPr>
            <w:tcW w:w="732" w:type="dxa"/>
            <w:noWrap/>
            <w:hideMark/>
          </w:tcPr>
          <w:p w14:paraId="4AB316C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206</w:t>
            </w:r>
          </w:p>
        </w:tc>
        <w:tc>
          <w:tcPr>
            <w:tcW w:w="732" w:type="dxa"/>
            <w:noWrap/>
            <w:hideMark/>
          </w:tcPr>
          <w:p w14:paraId="537EF16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100</w:t>
            </w:r>
          </w:p>
        </w:tc>
        <w:tc>
          <w:tcPr>
            <w:tcW w:w="732" w:type="dxa"/>
            <w:noWrap/>
            <w:hideMark/>
          </w:tcPr>
          <w:p w14:paraId="4800772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82</w:t>
            </w:r>
          </w:p>
        </w:tc>
        <w:tc>
          <w:tcPr>
            <w:tcW w:w="732" w:type="dxa"/>
            <w:noWrap/>
            <w:hideMark/>
          </w:tcPr>
          <w:p w14:paraId="54E6FDF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58</w:t>
            </w:r>
          </w:p>
        </w:tc>
        <w:tc>
          <w:tcPr>
            <w:tcW w:w="732" w:type="dxa"/>
            <w:noWrap/>
            <w:hideMark/>
          </w:tcPr>
          <w:p w14:paraId="3CAA93F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104</w:t>
            </w:r>
          </w:p>
        </w:tc>
        <w:tc>
          <w:tcPr>
            <w:tcW w:w="780" w:type="dxa"/>
            <w:noWrap/>
            <w:hideMark/>
          </w:tcPr>
          <w:p w14:paraId="76FA9E3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8617</w:t>
            </w:r>
          </w:p>
        </w:tc>
      </w:tr>
      <w:tr w:rsidR="00C91EDD" w:rsidRPr="00151B48" w14:paraId="7106F7F1" w14:textId="77777777" w:rsidTr="00C91EDD">
        <w:trPr>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7B0CE862" w14:textId="48DECEAA"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613" w:type="dxa"/>
            <w:noWrap/>
            <w:hideMark/>
          </w:tcPr>
          <w:p w14:paraId="393BE00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163</w:t>
            </w:r>
          </w:p>
        </w:tc>
        <w:tc>
          <w:tcPr>
            <w:tcW w:w="732" w:type="dxa"/>
            <w:noWrap/>
            <w:hideMark/>
          </w:tcPr>
          <w:p w14:paraId="490F34A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w:t>
            </w:r>
          </w:p>
        </w:tc>
        <w:tc>
          <w:tcPr>
            <w:tcW w:w="732" w:type="dxa"/>
            <w:noWrap/>
            <w:hideMark/>
          </w:tcPr>
          <w:p w14:paraId="6763D40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322</w:t>
            </w:r>
          </w:p>
        </w:tc>
        <w:tc>
          <w:tcPr>
            <w:tcW w:w="732" w:type="dxa"/>
            <w:noWrap/>
            <w:hideMark/>
          </w:tcPr>
          <w:p w14:paraId="7BC9862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1955</w:t>
            </w:r>
          </w:p>
        </w:tc>
        <w:tc>
          <w:tcPr>
            <w:tcW w:w="732" w:type="dxa"/>
            <w:noWrap/>
            <w:hideMark/>
          </w:tcPr>
          <w:p w14:paraId="7D2B704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1209</w:t>
            </w:r>
          </w:p>
        </w:tc>
        <w:tc>
          <w:tcPr>
            <w:tcW w:w="732" w:type="dxa"/>
            <w:noWrap/>
            <w:hideMark/>
          </w:tcPr>
          <w:p w14:paraId="06807C1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818</w:t>
            </w:r>
          </w:p>
        </w:tc>
        <w:tc>
          <w:tcPr>
            <w:tcW w:w="733" w:type="dxa"/>
            <w:noWrap/>
            <w:hideMark/>
          </w:tcPr>
          <w:p w14:paraId="0A26304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728</w:t>
            </w:r>
          </w:p>
        </w:tc>
        <w:tc>
          <w:tcPr>
            <w:tcW w:w="733" w:type="dxa"/>
            <w:noWrap/>
            <w:hideMark/>
          </w:tcPr>
          <w:p w14:paraId="761752D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776</w:t>
            </w:r>
          </w:p>
        </w:tc>
        <w:tc>
          <w:tcPr>
            <w:tcW w:w="732" w:type="dxa"/>
            <w:noWrap/>
            <w:hideMark/>
          </w:tcPr>
          <w:p w14:paraId="77D2A2C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694</w:t>
            </w:r>
          </w:p>
        </w:tc>
        <w:tc>
          <w:tcPr>
            <w:tcW w:w="732" w:type="dxa"/>
            <w:noWrap/>
            <w:hideMark/>
          </w:tcPr>
          <w:p w14:paraId="66BC8D6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606</w:t>
            </w:r>
          </w:p>
        </w:tc>
        <w:tc>
          <w:tcPr>
            <w:tcW w:w="732" w:type="dxa"/>
            <w:noWrap/>
            <w:hideMark/>
          </w:tcPr>
          <w:p w14:paraId="6A8A91A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445</w:t>
            </w:r>
          </w:p>
        </w:tc>
        <w:tc>
          <w:tcPr>
            <w:tcW w:w="732" w:type="dxa"/>
            <w:noWrap/>
            <w:hideMark/>
          </w:tcPr>
          <w:p w14:paraId="61025B3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307</w:t>
            </w:r>
          </w:p>
        </w:tc>
        <w:tc>
          <w:tcPr>
            <w:tcW w:w="732" w:type="dxa"/>
            <w:noWrap/>
            <w:hideMark/>
          </w:tcPr>
          <w:p w14:paraId="3272BCA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196</w:t>
            </w:r>
          </w:p>
        </w:tc>
        <w:tc>
          <w:tcPr>
            <w:tcW w:w="732" w:type="dxa"/>
            <w:noWrap/>
            <w:hideMark/>
          </w:tcPr>
          <w:p w14:paraId="76BD154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119</w:t>
            </w:r>
          </w:p>
        </w:tc>
        <w:tc>
          <w:tcPr>
            <w:tcW w:w="732" w:type="dxa"/>
            <w:noWrap/>
            <w:hideMark/>
          </w:tcPr>
          <w:p w14:paraId="4EE7571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w:t>
            </w:r>
          </w:p>
        </w:tc>
        <w:tc>
          <w:tcPr>
            <w:tcW w:w="732" w:type="dxa"/>
            <w:noWrap/>
            <w:hideMark/>
          </w:tcPr>
          <w:p w14:paraId="1C04A35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w:t>
            </w:r>
          </w:p>
        </w:tc>
        <w:tc>
          <w:tcPr>
            <w:tcW w:w="732" w:type="dxa"/>
            <w:noWrap/>
            <w:hideMark/>
          </w:tcPr>
          <w:p w14:paraId="78F9F00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126</w:t>
            </w:r>
          </w:p>
        </w:tc>
        <w:tc>
          <w:tcPr>
            <w:tcW w:w="780" w:type="dxa"/>
            <w:noWrap/>
            <w:hideMark/>
          </w:tcPr>
          <w:p w14:paraId="27793C3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8604</w:t>
            </w:r>
          </w:p>
        </w:tc>
      </w:tr>
      <w:tr w:rsidR="00C91EDD" w:rsidRPr="00151B48" w14:paraId="4948ECCF" w14:textId="77777777" w:rsidTr="00C91ED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3362D814" w14:textId="126721BA"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613" w:type="dxa"/>
            <w:noWrap/>
            <w:hideMark/>
          </w:tcPr>
          <w:p w14:paraId="7208571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146</w:t>
            </w:r>
          </w:p>
        </w:tc>
        <w:tc>
          <w:tcPr>
            <w:tcW w:w="732" w:type="dxa"/>
            <w:noWrap/>
            <w:hideMark/>
          </w:tcPr>
          <w:p w14:paraId="4502402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w:t>
            </w:r>
          </w:p>
        </w:tc>
        <w:tc>
          <w:tcPr>
            <w:tcW w:w="732" w:type="dxa"/>
            <w:noWrap/>
            <w:hideMark/>
          </w:tcPr>
          <w:p w14:paraId="0263417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374</w:t>
            </w:r>
          </w:p>
        </w:tc>
        <w:tc>
          <w:tcPr>
            <w:tcW w:w="732" w:type="dxa"/>
            <w:noWrap/>
            <w:hideMark/>
          </w:tcPr>
          <w:p w14:paraId="34D3B91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2221</w:t>
            </w:r>
          </w:p>
        </w:tc>
        <w:tc>
          <w:tcPr>
            <w:tcW w:w="732" w:type="dxa"/>
            <w:noWrap/>
            <w:hideMark/>
          </w:tcPr>
          <w:p w14:paraId="3970840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1325</w:t>
            </w:r>
          </w:p>
        </w:tc>
        <w:tc>
          <w:tcPr>
            <w:tcW w:w="732" w:type="dxa"/>
            <w:noWrap/>
            <w:hideMark/>
          </w:tcPr>
          <w:p w14:paraId="2C867EE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866</w:t>
            </w:r>
          </w:p>
        </w:tc>
        <w:tc>
          <w:tcPr>
            <w:tcW w:w="733" w:type="dxa"/>
            <w:noWrap/>
            <w:hideMark/>
          </w:tcPr>
          <w:p w14:paraId="3EC0174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740</w:t>
            </w:r>
          </w:p>
        </w:tc>
        <w:tc>
          <w:tcPr>
            <w:tcW w:w="733" w:type="dxa"/>
            <w:noWrap/>
            <w:hideMark/>
          </w:tcPr>
          <w:p w14:paraId="6A49B5B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833</w:t>
            </w:r>
          </w:p>
        </w:tc>
        <w:tc>
          <w:tcPr>
            <w:tcW w:w="732" w:type="dxa"/>
            <w:noWrap/>
            <w:hideMark/>
          </w:tcPr>
          <w:p w14:paraId="28CD0CC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730</w:t>
            </w:r>
          </w:p>
        </w:tc>
        <w:tc>
          <w:tcPr>
            <w:tcW w:w="732" w:type="dxa"/>
            <w:noWrap/>
            <w:hideMark/>
          </w:tcPr>
          <w:p w14:paraId="5D707D0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599</w:t>
            </w:r>
          </w:p>
        </w:tc>
        <w:tc>
          <w:tcPr>
            <w:tcW w:w="732" w:type="dxa"/>
            <w:noWrap/>
            <w:hideMark/>
          </w:tcPr>
          <w:p w14:paraId="3F79084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410</w:t>
            </w:r>
          </w:p>
        </w:tc>
        <w:tc>
          <w:tcPr>
            <w:tcW w:w="732" w:type="dxa"/>
            <w:noWrap/>
            <w:hideMark/>
          </w:tcPr>
          <w:p w14:paraId="213F4F0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308</w:t>
            </w:r>
          </w:p>
        </w:tc>
        <w:tc>
          <w:tcPr>
            <w:tcW w:w="732" w:type="dxa"/>
            <w:noWrap/>
            <w:hideMark/>
          </w:tcPr>
          <w:p w14:paraId="14C6B09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198</w:t>
            </w:r>
          </w:p>
        </w:tc>
        <w:tc>
          <w:tcPr>
            <w:tcW w:w="732" w:type="dxa"/>
            <w:noWrap/>
            <w:hideMark/>
          </w:tcPr>
          <w:p w14:paraId="2571081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113</w:t>
            </w:r>
          </w:p>
        </w:tc>
        <w:tc>
          <w:tcPr>
            <w:tcW w:w="732" w:type="dxa"/>
            <w:noWrap/>
            <w:hideMark/>
          </w:tcPr>
          <w:p w14:paraId="7C502A8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93</w:t>
            </w:r>
          </w:p>
        </w:tc>
        <w:tc>
          <w:tcPr>
            <w:tcW w:w="732" w:type="dxa"/>
            <w:noWrap/>
            <w:hideMark/>
          </w:tcPr>
          <w:p w14:paraId="2A7C648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w:t>
            </w:r>
          </w:p>
        </w:tc>
        <w:tc>
          <w:tcPr>
            <w:tcW w:w="732" w:type="dxa"/>
            <w:noWrap/>
            <w:hideMark/>
          </w:tcPr>
          <w:p w14:paraId="0129165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125</w:t>
            </w:r>
          </w:p>
        </w:tc>
        <w:tc>
          <w:tcPr>
            <w:tcW w:w="780" w:type="dxa"/>
            <w:noWrap/>
            <w:hideMark/>
          </w:tcPr>
          <w:p w14:paraId="2049C64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9158</w:t>
            </w:r>
          </w:p>
        </w:tc>
      </w:tr>
      <w:tr w:rsidR="00C91EDD" w:rsidRPr="00151B48" w14:paraId="26340F48" w14:textId="77777777" w:rsidTr="00C91EDD">
        <w:trPr>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0DB1A412" w14:textId="35B739BA"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613" w:type="dxa"/>
            <w:noWrap/>
            <w:hideMark/>
          </w:tcPr>
          <w:p w14:paraId="72F000A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146</w:t>
            </w:r>
          </w:p>
        </w:tc>
        <w:tc>
          <w:tcPr>
            <w:tcW w:w="732" w:type="dxa"/>
            <w:noWrap/>
            <w:hideMark/>
          </w:tcPr>
          <w:p w14:paraId="7C57119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w:t>
            </w:r>
          </w:p>
        </w:tc>
        <w:tc>
          <w:tcPr>
            <w:tcW w:w="732" w:type="dxa"/>
            <w:noWrap/>
            <w:hideMark/>
          </w:tcPr>
          <w:p w14:paraId="334B9E5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650</w:t>
            </w:r>
          </w:p>
        </w:tc>
        <w:tc>
          <w:tcPr>
            <w:tcW w:w="732" w:type="dxa"/>
            <w:noWrap/>
            <w:hideMark/>
          </w:tcPr>
          <w:p w14:paraId="7706FFA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2469</w:t>
            </w:r>
          </w:p>
        </w:tc>
        <w:tc>
          <w:tcPr>
            <w:tcW w:w="732" w:type="dxa"/>
            <w:noWrap/>
            <w:hideMark/>
          </w:tcPr>
          <w:p w14:paraId="628B319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1230</w:t>
            </w:r>
          </w:p>
        </w:tc>
        <w:tc>
          <w:tcPr>
            <w:tcW w:w="732" w:type="dxa"/>
            <w:noWrap/>
            <w:hideMark/>
          </w:tcPr>
          <w:p w14:paraId="10F957A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824</w:t>
            </w:r>
          </w:p>
        </w:tc>
        <w:tc>
          <w:tcPr>
            <w:tcW w:w="733" w:type="dxa"/>
            <w:noWrap/>
            <w:hideMark/>
          </w:tcPr>
          <w:p w14:paraId="48A367B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762</w:t>
            </w:r>
          </w:p>
        </w:tc>
        <w:tc>
          <w:tcPr>
            <w:tcW w:w="733" w:type="dxa"/>
            <w:noWrap/>
            <w:hideMark/>
          </w:tcPr>
          <w:p w14:paraId="3FCDF7F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780</w:t>
            </w:r>
          </w:p>
        </w:tc>
        <w:tc>
          <w:tcPr>
            <w:tcW w:w="732" w:type="dxa"/>
            <w:noWrap/>
            <w:hideMark/>
          </w:tcPr>
          <w:p w14:paraId="5BADE86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675</w:t>
            </w:r>
          </w:p>
        </w:tc>
        <w:tc>
          <w:tcPr>
            <w:tcW w:w="732" w:type="dxa"/>
            <w:noWrap/>
            <w:hideMark/>
          </w:tcPr>
          <w:p w14:paraId="39B9FAC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678</w:t>
            </w:r>
          </w:p>
        </w:tc>
        <w:tc>
          <w:tcPr>
            <w:tcW w:w="732" w:type="dxa"/>
            <w:noWrap/>
            <w:hideMark/>
          </w:tcPr>
          <w:p w14:paraId="2ED5AC8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497</w:t>
            </w:r>
          </w:p>
        </w:tc>
        <w:tc>
          <w:tcPr>
            <w:tcW w:w="732" w:type="dxa"/>
            <w:noWrap/>
            <w:hideMark/>
          </w:tcPr>
          <w:p w14:paraId="5649B9B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321</w:t>
            </w:r>
          </w:p>
        </w:tc>
        <w:tc>
          <w:tcPr>
            <w:tcW w:w="732" w:type="dxa"/>
            <w:noWrap/>
            <w:hideMark/>
          </w:tcPr>
          <w:p w14:paraId="6567BF6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213</w:t>
            </w:r>
          </w:p>
        </w:tc>
        <w:tc>
          <w:tcPr>
            <w:tcW w:w="732" w:type="dxa"/>
            <w:noWrap/>
            <w:hideMark/>
          </w:tcPr>
          <w:p w14:paraId="5825FB2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131</w:t>
            </w:r>
          </w:p>
        </w:tc>
        <w:tc>
          <w:tcPr>
            <w:tcW w:w="732" w:type="dxa"/>
            <w:noWrap/>
            <w:hideMark/>
          </w:tcPr>
          <w:p w14:paraId="441FE36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103</w:t>
            </w:r>
          </w:p>
        </w:tc>
        <w:tc>
          <w:tcPr>
            <w:tcW w:w="732" w:type="dxa"/>
            <w:noWrap/>
            <w:hideMark/>
          </w:tcPr>
          <w:p w14:paraId="1662B12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62</w:t>
            </w:r>
          </w:p>
        </w:tc>
        <w:tc>
          <w:tcPr>
            <w:tcW w:w="732" w:type="dxa"/>
            <w:noWrap/>
            <w:hideMark/>
          </w:tcPr>
          <w:p w14:paraId="6333898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157</w:t>
            </w:r>
          </w:p>
        </w:tc>
        <w:tc>
          <w:tcPr>
            <w:tcW w:w="780" w:type="dxa"/>
            <w:noWrap/>
            <w:hideMark/>
          </w:tcPr>
          <w:p w14:paraId="4B30B24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9712</w:t>
            </w:r>
          </w:p>
        </w:tc>
      </w:tr>
      <w:tr w:rsidR="00C91EDD" w:rsidRPr="00151B48" w14:paraId="672A3F89" w14:textId="77777777" w:rsidTr="00C91ED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363B0D8E" w14:textId="7E039BAA"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613" w:type="dxa"/>
            <w:noWrap/>
            <w:hideMark/>
          </w:tcPr>
          <w:p w14:paraId="1283D69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182</w:t>
            </w:r>
          </w:p>
        </w:tc>
        <w:tc>
          <w:tcPr>
            <w:tcW w:w="732" w:type="dxa"/>
            <w:noWrap/>
            <w:hideMark/>
          </w:tcPr>
          <w:p w14:paraId="66CCBFD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w:t>
            </w:r>
          </w:p>
        </w:tc>
        <w:tc>
          <w:tcPr>
            <w:tcW w:w="732" w:type="dxa"/>
            <w:noWrap/>
            <w:hideMark/>
          </w:tcPr>
          <w:p w14:paraId="57E96D0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511</w:t>
            </w:r>
          </w:p>
        </w:tc>
        <w:tc>
          <w:tcPr>
            <w:tcW w:w="732" w:type="dxa"/>
            <w:noWrap/>
            <w:hideMark/>
          </w:tcPr>
          <w:p w14:paraId="3108AD6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2310</w:t>
            </w:r>
          </w:p>
        </w:tc>
        <w:tc>
          <w:tcPr>
            <w:tcW w:w="732" w:type="dxa"/>
            <w:noWrap/>
            <w:hideMark/>
          </w:tcPr>
          <w:p w14:paraId="34F094D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1227</w:t>
            </w:r>
          </w:p>
        </w:tc>
        <w:tc>
          <w:tcPr>
            <w:tcW w:w="732" w:type="dxa"/>
            <w:noWrap/>
            <w:hideMark/>
          </w:tcPr>
          <w:p w14:paraId="0C8BE3B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849</w:t>
            </w:r>
          </w:p>
        </w:tc>
        <w:tc>
          <w:tcPr>
            <w:tcW w:w="733" w:type="dxa"/>
            <w:noWrap/>
            <w:hideMark/>
          </w:tcPr>
          <w:p w14:paraId="6DAAA50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744</w:t>
            </w:r>
          </w:p>
        </w:tc>
        <w:tc>
          <w:tcPr>
            <w:tcW w:w="733" w:type="dxa"/>
            <w:noWrap/>
            <w:hideMark/>
          </w:tcPr>
          <w:p w14:paraId="4689484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750</w:t>
            </w:r>
          </w:p>
        </w:tc>
        <w:tc>
          <w:tcPr>
            <w:tcW w:w="732" w:type="dxa"/>
            <w:noWrap/>
            <w:hideMark/>
          </w:tcPr>
          <w:p w14:paraId="1BA6535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654</w:t>
            </w:r>
          </w:p>
        </w:tc>
        <w:tc>
          <w:tcPr>
            <w:tcW w:w="732" w:type="dxa"/>
            <w:noWrap/>
            <w:hideMark/>
          </w:tcPr>
          <w:p w14:paraId="56D8D78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676</w:t>
            </w:r>
          </w:p>
        </w:tc>
        <w:tc>
          <w:tcPr>
            <w:tcW w:w="732" w:type="dxa"/>
            <w:noWrap/>
            <w:hideMark/>
          </w:tcPr>
          <w:p w14:paraId="57D1071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540</w:t>
            </w:r>
          </w:p>
        </w:tc>
        <w:tc>
          <w:tcPr>
            <w:tcW w:w="732" w:type="dxa"/>
            <w:noWrap/>
            <w:hideMark/>
          </w:tcPr>
          <w:p w14:paraId="090B092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340</w:t>
            </w:r>
          </w:p>
        </w:tc>
        <w:tc>
          <w:tcPr>
            <w:tcW w:w="732" w:type="dxa"/>
            <w:noWrap/>
            <w:hideMark/>
          </w:tcPr>
          <w:p w14:paraId="0769FAC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242</w:t>
            </w:r>
          </w:p>
        </w:tc>
        <w:tc>
          <w:tcPr>
            <w:tcW w:w="732" w:type="dxa"/>
            <w:noWrap/>
            <w:hideMark/>
          </w:tcPr>
          <w:p w14:paraId="07C74CB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161</w:t>
            </w:r>
          </w:p>
        </w:tc>
        <w:tc>
          <w:tcPr>
            <w:tcW w:w="732" w:type="dxa"/>
            <w:noWrap/>
            <w:hideMark/>
          </w:tcPr>
          <w:p w14:paraId="03D6AB7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113</w:t>
            </w:r>
          </w:p>
        </w:tc>
        <w:tc>
          <w:tcPr>
            <w:tcW w:w="732" w:type="dxa"/>
            <w:noWrap/>
            <w:hideMark/>
          </w:tcPr>
          <w:p w14:paraId="5D7D142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74</w:t>
            </w:r>
          </w:p>
        </w:tc>
        <w:tc>
          <w:tcPr>
            <w:tcW w:w="732" w:type="dxa"/>
            <w:noWrap/>
            <w:hideMark/>
          </w:tcPr>
          <w:p w14:paraId="227A014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196</w:t>
            </w:r>
          </w:p>
        </w:tc>
        <w:tc>
          <w:tcPr>
            <w:tcW w:w="780" w:type="dxa"/>
            <w:noWrap/>
            <w:hideMark/>
          </w:tcPr>
          <w:p w14:paraId="3D9062C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9584</w:t>
            </w:r>
          </w:p>
        </w:tc>
      </w:tr>
      <w:tr w:rsidR="00C91EDD" w:rsidRPr="00151B48" w14:paraId="532B8739" w14:textId="77777777" w:rsidTr="00C91EDD">
        <w:trPr>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5AD46367" w14:textId="6EAA286C"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613" w:type="dxa"/>
            <w:noWrap/>
            <w:hideMark/>
          </w:tcPr>
          <w:p w14:paraId="20F6513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164</w:t>
            </w:r>
          </w:p>
        </w:tc>
        <w:tc>
          <w:tcPr>
            <w:tcW w:w="732" w:type="dxa"/>
            <w:noWrap/>
            <w:hideMark/>
          </w:tcPr>
          <w:p w14:paraId="2495986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w:t>
            </w:r>
          </w:p>
        </w:tc>
        <w:tc>
          <w:tcPr>
            <w:tcW w:w="732" w:type="dxa"/>
            <w:noWrap/>
            <w:hideMark/>
          </w:tcPr>
          <w:p w14:paraId="1A0535F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482</w:t>
            </w:r>
          </w:p>
        </w:tc>
        <w:tc>
          <w:tcPr>
            <w:tcW w:w="732" w:type="dxa"/>
            <w:noWrap/>
            <w:hideMark/>
          </w:tcPr>
          <w:p w14:paraId="54F4DAB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2181</w:t>
            </w:r>
          </w:p>
        </w:tc>
        <w:tc>
          <w:tcPr>
            <w:tcW w:w="732" w:type="dxa"/>
            <w:noWrap/>
            <w:hideMark/>
          </w:tcPr>
          <w:p w14:paraId="507773F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1379</w:t>
            </w:r>
          </w:p>
        </w:tc>
        <w:tc>
          <w:tcPr>
            <w:tcW w:w="732" w:type="dxa"/>
            <w:noWrap/>
            <w:hideMark/>
          </w:tcPr>
          <w:p w14:paraId="11A8FAF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950</w:t>
            </w:r>
          </w:p>
        </w:tc>
        <w:tc>
          <w:tcPr>
            <w:tcW w:w="733" w:type="dxa"/>
            <w:noWrap/>
            <w:hideMark/>
          </w:tcPr>
          <w:p w14:paraId="1AB0919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872</w:t>
            </w:r>
          </w:p>
        </w:tc>
        <w:tc>
          <w:tcPr>
            <w:tcW w:w="733" w:type="dxa"/>
            <w:noWrap/>
            <w:hideMark/>
          </w:tcPr>
          <w:p w14:paraId="02CE797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797</w:t>
            </w:r>
          </w:p>
        </w:tc>
        <w:tc>
          <w:tcPr>
            <w:tcW w:w="732" w:type="dxa"/>
            <w:noWrap/>
            <w:hideMark/>
          </w:tcPr>
          <w:p w14:paraId="4615BC3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804</w:t>
            </w:r>
          </w:p>
        </w:tc>
        <w:tc>
          <w:tcPr>
            <w:tcW w:w="732" w:type="dxa"/>
            <w:noWrap/>
            <w:hideMark/>
          </w:tcPr>
          <w:p w14:paraId="4AE3685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656</w:t>
            </w:r>
          </w:p>
        </w:tc>
        <w:tc>
          <w:tcPr>
            <w:tcW w:w="732" w:type="dxa"/>
            <w:noWrap/>
            <w:hideMark/>
          </w:tcPr>
          <w:p w14:paraId="1126F64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586</w:t>
            </w:r>
          </w:p>
        </w:tc>
        <w:tc>
          <w:tcPr>
            <w:tcW w:w="732" w:type="dxa"/>
            <w:noWrap/>
            <w:hideMark/>
          </w:tcPr>
          <w:p w14:paraId="1EC3A4E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394</w:t>
            </w:r>
          </w:p>
        </w:tc>
        <w:tc>
          <w:tcPr>
            <w:tcW w:w="732" w:type="dxa"/>
            <w:noWrap/>
            <w:hideMark/>
          </w:tcPr>
          <w:p w14:paraId="52998C2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260</w:t>
            </w:r>
          </w:p>
        </w:tc>
        <w:tc>
          <w:tcPr>
            <w:tcW w:w="732" w:type="dxa"/>
            <w:noWrap/>
            <w:hideMark/>
          </w:tcPr>
          <w:p w14:paraId="67A29F6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174</w:t>
            </w:r>
          </w:p>
        </w:tc>
        <w:tc>
          <w:tcPr>
            <w:tcW w:w="732" w:type="dxa"/>
            <w:noWrap/>
            <w:hideMark/>
          </w:tcPr>
          <w:p w14:paraId="64C9966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100</w:t>
            </w:r>
          </w:p>
        </w:tc>
        <w:tc>
          <w:tcPr>
            <w:tcW w:w="732" w:type="dxa"/>
            <w:noWrap/>
            <w:hideMark/>
          </w:tcPr>
          <w:p w14:paraId="249B7D1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83</w:t>
            </w:r>
          </w:p>
        </w:tc>
        <w:tc>
          <w:tcPr>
            <w:tcW w:w="732" w:type="dxa"/>
            <w:noWrap/>
            <w:hideMark/>
          </w:tcPr>
          <w:p w14:paraId="7C1A40A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177</w:t>
            </w:r>
          </w:p>
        </w:tc>
        <w:tc>
          <w:tcPr>
            <w:tcW w:w="780" w:type="dxa"/>
            <w:noWrap/>
            <w:hideMark/>
          </w:tcPr>
          <w:p w14:paraId="163039F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10085</w:t>
            </w:r>
          </w:p>
        </w:tc>
      </w:tr>
      <w:tr w:rsidR="00C91EDD" w:rsidRPr="00151B48" w14:paraId="3DDBD1D7" w14:textId="77777777" w:rsidTr="00C91ED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47EF8A25" w14:textId="23F89F44"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613" w:type="dxa"/>
            <w:noWrap/>
            <w:hideMark/>
          </w:tcPr>
          <w:p w14:paraId="4B93919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180</w:t>
            </w:r>
          </w:p>
        </w:tc>
        <w:tc>
          <w:tcPr>
            <w:tcW w:w="732" w:type="dxa"/>
            <w:noWrap/>
            <w:hideMark/>
          </w:tcPr>
          <w:p w14:paraId="774654F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w:t>
            </w:r>
          </w:p>
        </w:tc>
        <w:tc>
          <w:tcPr>
            <w:tcW w:w="732" w:type="dxa"/>
            <w:noWrap/>
            <w:hideMark/>
          </w:tcPr>
          <w:p w14:paraId="6037015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537</w:t>
            </w:r>
          </w:p>
        </w:tc>
        <w:tc>
          <w:tcPr>
            <w:tcW w:w="732" w:type="dxa"/>
            <w:noWrap/>
            <w:hideMark/>
          </w:tcPr>
          <w:p w14:paraId="393A5C1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2509</w:t>
            </w:r>
          </w:p>
        </w:tc>
        <w:tc>
          <w:tcPr>
            <w:tcW w:w="732" w:type="dxa"/>
            <w:noWrap/>
            <w:hideMark/>
          </w:tcPr>
          <w:p w14:paraId="0EEAB14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1482</w:t>
            </w:r>
          </w:p>
        </w:tc>
        <w:tc>
          <w:tcPr>
            <w:tcW w:w="732" w:type="dxa"/>
            <w:noWrap/>
            <w:hideMark/>
          </w:tcPr>
          <w:p w14:paraId="5C9F8DA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1107</w:t>
            </w:r>
          </w:p>
        </w:tc>
        <w:tc>
          <w:tcPr>
            <w:tcW w:w="733" w:type="dxa"/>
            <w:noWrap/>
            <w:hideMark/>
          </w:tcPr>
          <w:p w14:paraId="7009A3C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907</w:t>
            </w:r>
          </w:p>
        </w:tc>
        <w:tc>
          <w:tcPr>
            <w:tcW w:w="733" w:type="dxa"/>
            <w:noWrap/>
            <w:hideMark/>
          </w:tcPr>
          <w:p w14:paraId="3CDD8D1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828</w:t>
            </w:r>
          </w:p>
        </w:tc>
        <w:tc>
          <w:tcPr>
            <w:tcW w:w="732" w:type="dxa"/>
            <w:noWrap/>
            <w:hideMark/>
          </w:tcPr>
          <w:p w14:paraId="1A79BBC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805</w:t>
            </w:r>
          </w:p>
        </w:tc>
        <w:tc>
          <w:tcPr>
            <w:tcW w:w="732" w:type="dxa"/>
            <w:noWrap/>
            <w:hideMark/>
          </w:tcPr>
          <w:p w14:paraId="4B25FC7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784</w:t>
            </w:r>
          </w:p>
        </w:tc>
        <w:tc>
          <w:tcPr>
            <w:tcW w:w="732" w:type="dxa"/>
            <w:noWrap/>
            <w:hideMark/>
          </w:tcPr>
          <w:p w14:paraId="0B53310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690</w:t>
            </w:r>
          </w:p>
        </w:tc>
        <w:tc>
          <w:tcPr>
            <w:tcW w:w="732" w:type="dxa"/>
            <w:noWrap/>
            <w:hideMark/>
          </w:tcPr>
          <w:p w14:paraId="118CC48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380</w:t>
            </w:r>
          </w:p>
        </w:tc>
        <w:tc>
          <w:tcPr>
            <w:tcW w:w="732" w:type="dxa"/>
            <w:noWrap/>
            <w:hideMark/>
          </w:tcPr>
          <w:p w14:paraId="605CCAA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265</w:t>
            </w:r>
          </w:p>
        </w:tc>
        <w:tc>
          <w:tcPr>
            <w:tcW w:w="732" w:type="dxa"/>
            <w:noWrap/>
            <w:hideMark/>
          </w:tcPr>
          <w:p w14:paraId="62D777C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181</w:t>
            </w:r>
          </w:p>
        </w:tc>
        <w:tc>
          <w:tcPr>
            <w:tcW w:w="732" w:type="dxa"/>
            <w:noWrap/>
            <w:hideMark/>
          </w:tcPr>
          <w:p w14:paraId="7F1B0AF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118</w:t>
            </w:r>
          </w:p>
        </w:tc>
        <w:tc>
          <w:tcPr>
            <w:tcW w:w="732" w:type="dxa"/>
            <w:noWrap/>
            <w:hideMark/>
          </w:tcPr>
          <w:p w14:paraId="4B7FD73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107</w:t>
            </w:r>
          </w:p>
        </w:tc>
        <w:tc>
          <w:tcPr>
            <w:tcW w:w="732" w:type="dxa"/>
            <w:noWrap/>
            <w:hideMark/>
          </w:tcPr>
          <w:p w14:paraId="026FD84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224</w:t>
            </w:r>
          </w:p>
        </w:tc>
        <w:tc>
          <w:tcPr>
            <w:tcW w:w="780" w:type="dxa"/>
            <w:noWrap/>
            <w:hideMark/>
          </w:tcPr>
          <w:p w14:paraId="17CA103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11122</w:t>
            </w:r>
          </w:p>
        </w:tc>
      </w:tr>
      <w:tr w:rsidR="00C91EDD" w:rsidRPr="00151B48" w14:paraId="4F578225" w14:textId="77777777" w:rsidTr="00C91EDD">
        <w:trPr>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350DEBC4" w14:textId="46BFEB45"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613" w:type="dxa"/>
            <w:noWrap/>
            <w:hideMark/>
          </w:tcPr>
          <w:p w14:paraId="721A7CB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179</w:t>
            </w:r>
          </w:p>
        </w:tc>
        <w:tc>
          <w:tcPr>
            <w:tcW w:w="732" w:type="dxa"/>
            <w:noWrap/>
            <w:hideMark/>
          </w:tcPr>
          <w:p w14:paraId="7D2E7ED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w:t>
            </w:r>
          </w:p>
        </w:tc>
        <w:tc>
          <w:tcPr>
            <w:tcW w:w="732" w:type="dxa"/>
            <w:noWrap/>
            <w:hideMark/>
          </w:tcPr>
          <w:p w14:paraId="7BC6127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656</w:t>
            </w:r>
          </w:p>
        </w:tc>
        <w:tc>
          <w:tcPr>
            <w:tcW w:w="732" w:type="dxa"/>
            <w:noWrap/>
            <w:hideMark/>
          </w:tcPr>
          <w:p w14:paraId="78C051B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2971</w:t>
            </w:r>
          </w:p>
        </w:tc>
        <w:tc>
          <w:tcPr>
            <w:tcW w:w="732" w:type="dxa"/>
            <w:noWrap/>
            <w:hideMark/>
          </w:tcPr>
          <w:p w14:paraId="050D14D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1605</w:t>
            </w:r>
          </w:p>
        </w:tc>
        <w:tc>
          <w:tcPr>
            <w:tcW w:w="732" w:type="dxa"/>
            <w:noWrap/>
            <w:hideMark/>
          </w:tcPr>
          <w:p w14:paraId="61E5006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1088</w:t>
            </w:r>
          </w:p>
        </w:tc>
        <w:tc>
          <w:tcPr>
            <w:tcW w:w="733" w:type="dxa"/>
            <w:noWrap/>
            <w:hideMark/>
          </w:tcPr>
          <w:p w14:paraId="294C4A4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836</w:t>
            </w:r>
          </w:p>
        </w:tc>
        <w:tc>
          <w:tcPr>
            <w:tcW w:w="733" w:type="dxa"/>
            <w:noWrap/>
            <w:hideMark/>
          </w:tcPr>
          <w:p w14:paraId="6ECA52B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818</w:t>
            </w:r>
          </w:p>
        </w:tc>
        <w:tc>
          <w:tcPr>
            <w:tcW w:w="732" w:type="dxa"/>
            <w:noWrap/>
            <w:hideMark/>
          </w:tcPr>
          <w:p w14:paraId="62D531C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751</w:t>
            </w:r>
          </w:p>
        </w:tc>
        <w:tc>
          <w:tcPr>
            <w:tcW w:w="732" w:type="dxa"/>
            <w:noWrap/>
            <w:hideMark/>
          </w:tcPr>
          <w:p w14:paraId="27E3180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798</w:t>
            </w:r>
          </w:p>
        </w:tc>
        <w:tc>
          <w:tcPr>
            <w:tcW w:w="732" w:type="dxa"/>
            <w:noWrap/>
            <w:hideMark/>
          </w:tcPr>
          <w:p w14:paraId="4E1D86A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651</w:t>
            </w:r>
          </w:p>
        </w:tc>
        <w:tc>
          <w:tcPr>
            <w:tcW w:w="732" w:type="dxa"/>
            <w:noWrap/>
            <w:hideMark/>
          </w:tcPr>
          <w:p w14:paraId="5DC2B04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394</w:t>
            </w:r>
          </w:p>
        </w:tc>
        <w:tc>
          <w:tcPr>
            <w:tcW w:w="732" w:type="dxa"/>
            <w:noWrap/>
            <w:hideMark/>
          </w:tcPr>
          <w:p w14:paraId="10F1227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290</w:t>
            </w:r>
          </w:p>
        </w:tc>
        <w:tc>
          <w:tcPr>
            <w:tcW w:w="732" w:type="dxa"/>
            <w:noWrap/>
            <w:hideMark/>
          </w:tcPr>
          <w:p w14:paraId="0DC4933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218</w:t>
            </w:r>
          </w:p>
        </w:tc>
        <w:tc>
          <w:tcPr>
            <w:tcW w:w="732" w:type="dxa"/>
            <w:noWrap/>
            <w:hideMark/>
          </w:tcPr>
          <w:p w14:paraId="49515AB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129</w:t>
            </w:r>
          </w:p>
        </w:tc>
        <w:tc>
          <w:tcPr>
            <w:tcW w:w="732" w:type="dxa"/>
            <w:noWrap/>
            <w:hideMark/>
          </w:tcPr>
          <w:p w14:paraId="5112B46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100</w:t>
            </w:r>
          </w:p>
        </w:tc>
        <w:tc>
          <w:tcPr>
            <w:tcW w:w="732" w:type="dxa"/>
            <w:noWrap/>
            <w:hideMark/>
          </w:tcPr>
          <w:p w14:paraId="559F2ED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201</w:t>
            </w:r>
          </w:p>
        </w:tc>
        <w:tc>
          <w:tcPr>
            <w:tcW w:w="780" w:type="dxa"/>
            <w:noWrap/>
            <w:hideMark/>
          </w:tcPr>
          <w:p w14:paraId="56D548D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11697</w:t>
            </w:r>
          </w:p>
        </w:tc>
      </w:tr>
      <w:tr w:rsidR="00C91EDD" w:rsidRPr="00151B48" w14:paraId="5EAF0681" w14:textId="77777777" w:rsidTr="00C91EDD">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6B28A7D2" w14:textId="73BA022B"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613" w:type="dxa"/>
            <w:noWrap/>
            <w:hideMark/>
          </w:tcPr>
          <w:p w14:paraId="11BB101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179</w:t>
            </w:r>
          </w:p>
        </w:tc>
        <w:tc>
          <w:tcPr>
            <w:tcW w:w="732" w:type="dxa"/>
            <w:noWrap/>
            <w:hideMark/>
          </w:tcPr>
          <w:p w14:paraId="5064EBF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w:t>
            </w:r>
          </w:p>
        </w:tc>
        <w:tc>
          <w:tcPr>
            <w:tcW w:w="732" w:type="dxa"/>
            <w:noWrap/>
            <w:hideMark/>
          </w:tcPr>
          <w:p w14:paraId="4ABC4F1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526</w:t>
            </w:r>
          </w:p>
        </w:tc>
        <w:tc>
          <w:tcPr>
            <w:tcW w:w="732" w:type="dxa"/>
            <w:noWrap/>
            <w:hideMark/>
          </w:tcPr>
          <w:p w14:paraId="3534388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2498</w:t>
            </w:r>
          </w:p>
        </w:tc>
        <w:tc>
          <w:tcPr>
            <w:tcW w:w="732" w:type="dxa"/>
            <w:noWrap/>
            <w:hideMark/>
          </w:tcPr>
          <w:p w14:paraId="2F6A15F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1456</w:t>
            </w:r>
          </w:p>
        </w:tc>
        <w:tc>
          <w:tcPr>
            <w:tcW w:w="732" w:type="dxa"/>
            <w:noWrap/>
            <w:hideMark/>
          </w:tcPr>
          <w:p w14:paraId="13DAA7E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1047</w:t>
            </w:r>
          </w:p>
        </w:tc>
        <w:tc>
          <w:tcPr>
            <w:tcW w:w="733" w:type="dxa"/>
            <w:noWrap/>
            <w:hideMark/>
          </w:tcPr>
          <w:p w14:paraId="4667778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732</w:t>
            </w:r>
          </w:p>
        </w:tc>
        <w:tc>
          <w:tcPr>
            <w:tcW w:w="733" w:type="dxa"/>
            <w:noWrap/>
            <w:hideMark/>
          </w:tcPr>
          <w:p w14:paraId="0A6205A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673</w:t>
            </w:r>
          </w:p>
        </w:tc>
        <w:tc>
          <w:tcPr>
            <w:tcW w:w="732" w:type="dxa"/>
            <w:noWrap/>
            <w:hideMark/>
          </w:tcPr>
          <w:p w14:paraId="6D7FE90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634</w:t>
            </w:r>
          </w:p>
        </w:tc>
        <w:tc>
          <w:tcPr>
            <w:tcW w:w="732" w:type="dxa"/>
            <w:noWrap/>
            <w:hideMark/>
          </w:tcPr>
          <w:p w14:paraId="5F1B9A1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650</w:t>
            </w:r>
          </w:p>
        </w:tc>
        <w:tc>
          <w:tcPr>
            <w:tcW w:w="732" w:type="dxa"/>
            <w:noWrap/>
            <w:hideMark/>
          </w:tcPr>
          <w:p w14:paraId="40F2670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572</w:t>
            </w:r>
          </w:p>
        </w:tc>
        <w:tc>
          <w:tcPr>
            <w:tcW w:w="732" w:type="dxa"/>
            <w:noWrap/>
            <w:hideMark/>
          </w:tcPr>
          <w:p w14:paraId="2E66494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346</w:t>
            </w:r>
          </w:p>
        </w:tc>
        <w:tc>
          <w:tcPr>
            <w:tcW w:w="732" w:type="dxa"/>
            <w:noWrap/>
            <w:hideMark/>
          </w:tcPr>
          <w:p w14:paraId="2515562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269</w:t>
            </w:r>
          </w:p>
        </w:tc>
        <w:tc>
          <w:tcPr>
            <w:tcW w:w="732" w:type="dxa"/>
            <w:noWrap/>
            <w:hideMark/>
          </w:tcPr>
          <w:p w14:paraId="3E96BC3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149</w:t>
            </w:r>
          </w:p>
        </w:tc>
        <w:tc>
          <w:tcPr>
            <w:tcW w:w="732" w:type="dxa"/>
            <w:noWrap/>
            <w:hideMark/>
          </w:tcPr>
          <w:p w14:paraId="37C007C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125</w:t>
            </w:r>
          </w:p>
        </w:tc>
        <w:tc>
          <w:tcPr>
            <w:tcW w:w="732" w:type="dxa"/>
            <w:noWrap/>
            <w:hideMark/>
          </w:tcPr>
          <w:p w14:paraId="5CF6A5F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106</w:t>
            </w:r>
          </w:p>
        </w:tc>
        <w:tc>
          <w:tcPr>
            <w:tcW w:w="732" w:type="dxa"/>
            <w:noWrap/>
            <w:hideMark/>
          </w:tcPr>
          <w:p w14:paraId="7D4AFF8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212</w:t>
            </w:r>
          </w:p>
        </w:tc>
        <w:tc>
          <w:tcPr>
            <w:tcW w:w="780" w:type="dxa"/>
            <w:noWrap/>
            <w:hideMark/>
          </w:tcPr>
          <w:p w14:paraId="4139BA5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10186</w:t>
            </w:r>
          </w:p>
        </w:tc>
      </w:tr>
      <w:tr w:rsidR="00C91EDD" w:rsidRPr="00151B48" w14:paraId="5AE2D402" w14:textId="77777777" w:rsidTr="00C91EDD">
        <w:trPr>
          <w:trHeight w:val="278"/>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7B996DB5" w14:textId="022933BF"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613" w:type="dxa"/>
            <w:noWrap/>
            <w:hideMark/>
          </w:tcPr>
          <w:p w14:paraId="4812B9B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170</w:t>
            </w:r>
          </w:p>
        </w:tc>
        <w:tc>
          <w:tcPr>
            <w:tcW w:w="732" w:type="dxa"/>
            <w:noWrap/>
            <w:hideMark/>
          </w:tcPr>
          <w:p w14:paraId="116B1F7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w:t>
            </w:r>
          </w:p>
        </w:tc>
        <w:tc>
          <w:tcPr>
            <w:tcW w:w="732" w:type="dxa"/>
            <w:noWrap/>
            <w:hideMark/>
          </w:tcPr>
          <w:p w14:paraId="55A2A90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496</w:t>
            </w:r>
          </w:p>
        </w:tc>
        <w:tc>
          <w:tcPr>
            <w:tcW w:w="732" w:type="dxa"/>
            <w:noWrap/>
            <w:hideMark/>
          </w:tcPr>
          <w:p w14:paraId="5C3ACC4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2199</w:t>
            </w:r>
          </w:p>
        </w:tc>
        <w:tc>
          <w:tcPr>
            <w:tcW w:w="732" w:type="dxa"/>
            <w:noWrap/>
            <w:hideMark/>
          </w:tcPr>
          <w:p w14:paraId="56BC9B9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1358</w:t>
            </w:r>
          </w:p>
        </w:tc>
        <w:tc>
          <w:tcPr>
            <w:tcW w:w="732" w:type="dxa"/>
            <w:noWrap/>
            <w:hideMark/>
          </w:tcPr>
          <w:p w14:paraId="1CAA904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915</w:t>
            </w:r>
          </w:p>
        </w:tc>
        <w:tc>
          <w:tcPr>
            <w:tcW w:w="733" w:type="dxa"/>
            <w:noWrap/>
            <w:hideMark/>
          </w:tcPr>
          <w:p w14:paraId="566CEC9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709</w:t>
            </w:r>
          </w:p>
        </w:tc>
        <w:tc>
          <w:tcPr>
            <w:tcW w:w="733" w:type="dxa"/>
            <w:noWrap/>
            <w:hideMark/>
          </w:tcPr>
          <w:p w14:paraId="2BBE75E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561</w:t>
            </w:r>
          </w:p>
        </w:tc>
        <w:tc>
          <w:tcPr>
            <w:tcW w:w="732" w:type="dxa"/>
            <w:noWrap/>
            <w:hideMark/>
          </w:tcPr>
          <w:p w14:paraId="44BD756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550</w:t>
            </w:r>
          </w:p>
        </w:tc>
        <w:tc>
          <w:tcPr>
            <w:tcW w:w="732" w:type="dxa"/>
            <w:noWrap/>
            <w:hideMark/>
          </w:tcPr>
          <w:p w14:paraId="334DFED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572</w:t>
            </w:r>
          </w:p>
        </w:tc>
        <w:tc>
          <w:tcPr>
            <w:tcW w:w="732" w:type="dxa"/>
            <w:noWrap/>
            <w:hideMark/>
          </w:tcPr>
          <w:p w14:paraId="5236FCD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531</w:t>
            </w:r>
          </w:p>
        </w:tc>
        <w:tc>
          <w:tcPr>
            <w:tcW w:w="732" w:type="dxa"/>
            <w:noWrap/>
            <w:hideMark/>
          </w:tcPr>
          <w:p w14:paraId="228F73F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357</w:t>
            </w:r>
          </w:p>
        </w:tc>
        <w:tc>
          <w:tcPr>
            <w:tcW w:w="732" w:type="dxa"/>
            <w:noWrap/>
            <w:hideMark/>
          </w:tcPr>
          <w:p w14:paraId="745FAD3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240</w:t>
            </w:r>
          </w:p>
        </w:tc>
        <w:tc>
          <w:tcPr>
            <w:tcW w:w="732" w:type="dxa"/>
            <w:noWrap/>
            <w:hideMark/>
          </w:tcPr>
          <w:p w14:paraId="1585919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169</w:t>
            </w:r>
          </w:p>
        </w:tc>
        <w:tc>
          <w:tcPr>
            <w:tcW w:w="732" w:type="dxa"/>
            <w:noWrap/>
            <w:hideMark/>
          </w:tcPr>
          <w:p w14:paraId="4030248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156</w:t>
            </w:r>
          </w:p>
        </w:tc>
        <w:tc>
          <w:tcPr>
            <w:tcW w:w="732" w:type="dxa"/>
            <w:noWrap/>
            <w:hideMark/>
          </w:tcPr>
          <w:p w14:paraId="11F534F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97</w:t>
            </w:r>
          </w:p>
        </w:tc>
        <w:tc>
          <w:tcPr>
            <w:tcW w:w="732" w:type="dxa"/>
            <w:noWrap/>
            <w:hideMark/>
          </w:tcPr>
          <w:p w14:paraId="06FEBCB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231</w:t>
            </w:r>
          </w:p>
        </w:tc>
        <w:tc>
          <w:tcPr>
            <w:tcW w:w="780" w:type="dxa"/>
            <w:noWrap/>
            <w:hideMark/>
          </w:tcPr>
          <w:p w14:paraId="759B1E3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9327</w:t>
            </w:r>
          </w:p>
        </w:tc>
      </w:tr>
      <w:tr w:rsidR="00C91EDD" w:rsidRPr="00151B48" w14:paraId="65A2A1EC" w14:textId="77777777" w:rsidTr="00C91EDD">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51" w:type="dxa"/>
            <w:gridSpan w:val="2"/>
            <w:noWrap/>
            <w:hideMark/>
          </w:tcPr>
          <w:p w14:paraId="4AEC3B33" w14:textId="44C46BD0"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613" w:type="dxa"/>
            <w:noWrap/>
            <w:hideMark/>
          </w:tcPr>
          <w:p w14:paraId="63A7F1A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156</w:t>
            </w:r>
          </w:p>
        </w:tc>
        <w:tc>
          <w:tcPr>
            <w:tcW w:w="732" w:type="dxa"/>
            <w:noWrap/>
            <w:hideMark/>
          </w:tcPr>
          <w:p w14:paraId="3CEDD97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w:t>
            </w:r>
          </w:p>
        </w:tc>
        <w:tc>
          <w:tcPr>
            <w:tcW w:w="732" w:type="dxa"/>
            <w:noWrap/>
            <w:hideMark/>
          </w:tcPr>
          <w:p w14:paraId="0BBBE57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494</w:t>
            </w:r>
          </w:p>
        </w:tc>
        <w:tc>
          <w:tcPr>
            <w:tcW w:w="732" w:type="dxa"/>
            <w:noWrap/>
            <w:hideMark/>
          </w:tcPr>
          <w:p w14:paraId="425E29F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1988</w:t>
            </w:r>
          </w:p>
        </w:tc>
        <w:tc>
          <w:tcPr>
            <w:tcW w:w="732" w:type="dxa"/>
            <w:noWrap/>
            <w:hideMark/>
          </w:tcPr>
          <w:p w14:paraId="317DDE7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1274</w:t>
            </w:r>
          </w:p>
        </w:tc>
        <w:tc>
          <w:tcPr>
            <w:tcW w:w="732" w:type="dxa"/>
            <w:noWrap/>
            <w:hideMark/>
          </w:tcPr>
          <w:p w14:paraId="44CCA2B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874</w:t>
            </w:r>
          </w:p>
        </w:tc>
        <w:tc>
          <w:tcPr>
            <w:tcW w:w="733" w:type="dxa"/>
            <w:noWrap/>
            <w:hideMark/>
          </w:tcPr>
          <w:p w14:paraId="798A5F3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635</w:t>
            </w:r>
          </w:p>
        </w:tc>
        <w:tc>
          <w:tcPr>
            <w:tcW w:w="733" w:type="dxa"/>
            <w:noWrap/>
            <w:hideMark/>
          </w:tcPr>
          <w:p w14:paraId="4C7428B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554</w:t>
            </w:r>
          </w:p>
        </w:tc>
        <w:tc>
          <w:tcPr>
            <w:tcW w:w="732" w:type="dxa"/>
            <w:noWrap/>
            <w:hideMark/>
          </w:tcPr>
          <w:p w14:paraId="1F4B871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476</w:t>
            </w:r>
          </w:p>
        </w:tc>
        <w:tc>
          <w:tcPr>
            <w:tcW w:w="732" w:type="dxa"/>
            <w:noWrap/>
            <w:hideMark/>
          </w:tcPr>
          <w:p w14:paraId="2F8A728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581</w:t>
            </w:r>
          </w:p>
        </w:tc>
        <w:tc>
          <w:tcPr>
            <w:tcW w:w="732" w:type="dxa"/>
            <w:noWrap/>
            <w:hideMark/>
          </w:tcPr>
          <w:p w14:paraId="6D591BA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366</w:t>
            </w:r>
          </w:p>
        </w:tc>
        <w:tc>
          <w:tcPr>
            <w:tcW w:w="732" w:type="dxa"/>
            <w:noWrap/>
            <w:hideMark/>
          </w:tcPr>
          <w:p w14:paraId="0E85E73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373</w:t>
            </w:r>
          </w:p>
        </w:tc>
        <w:tc>
          <w:tcPr>
            <w:tcW w:w="732" w:type="dxa"/>
            <w:noWrap/>
            <w:hideMark/>
          </w:tcPr>
          <w:p w14:paraId="420459B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262</w:t>
            </w:r>
          </w:p>
        </w:tc>
        <w:tc>
          <w:tcPr>
            <w:tcW w:w="732" w:type="dxa"/>
            <w:noWrap/>
            <w:hideMark/>
          </w:tcPr>
          <w:p w14:paraId="3BF36DF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192</w:t>
            </w:r>
          </w:p>
        </w:tc>
        <w:tc>
          <w:tcPr>
            <w:tcW w:w="732" w:type="dxa"/>
            <w:noWrap/>
            <w:hideMark/>
          </w:tcPr>
          <w:p w14:paraId="04CD9EE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120</w:t>
            </w:r>
          </w:p>
        </w:tc>
        <w:tc>
          <w:tcPr>
            <w:tcW w:w="732" w:type="dxa"/>
            <w:noWrap/>
            <w:hideMark/>
          </w:tcPr>
          <w:p w14:paraId="5F56C4E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134</w:t>
            </w:r>
          </w:p>
        </w:tc>
        <w:tc>
          <w:tcPr>
            <w:tcW w:w="732" w:type="dxa"/>
            <w:noWrap/>
            <w:hideMark/>
          </w:tcPr>
          <w:p w14:paraId="1ECCFE2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224</w:t>
            </w:r>
          </w:p>
        </w:tc>
        <w:tc>
          <w:tcPr>
            <w:tcW w:w="780" w:type="dxa"/>
            <w:noWrap/>
            <w:hideMark/>
          </w:tcPr>
          <w:p w14:paraId="393FF4E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8723</w:t>
            </w:r>
          </w:p>
        </w:tc>
      </w:tr>
    </w:tbl>
    <w:p w14:paraId="47208FE7" w14:textId="77777777" w:rsidR="00711528" w:rsidRDefault="00711528">
      <w:pPr>
        <w:rPr>
          <w:rStyle w:val="BookTitle"/>
          <w:b w:val="0"/>
          <w:bCs w:val="0"/>
          <w:i w:val="0"/>
          <w:iCs w:val="0"/>
          <w:spacing w:val="0"/>
        </w:rPr>
      </w:pPr>
    </w:p>
    <w:p w14:paraId="56EEB3DA" w14:textId="77777777" w:rsidR="00711528" w:rsidRPr="00D01132" w:rsidRDefault="00711528" w:rsidP="00D01132">
      <w:pPr>
        <w:pStyle w:val="Heading5"/>
        <w:rPr>
          <w:rStyle w:val="BookTitle"/>
          <w:b w:val="0"/>
          <w:bCs w:val="0"/>
          <w:i w:val="0"/>
          <w:iCs w:val="0"/>
          <w:spacing w:val="0"/>
        </w:rPr>
      </w:pPr>
      <w:r w:rsidRPr="00D01132">
        <w:rPr>
          <w:rStyle w:val="BookTitle"/>
          <w:b w:val="0"/>
          <w:bCs w:val="0"/>
          <w:i w:val="0"/>
          <w:iCs w:val="0"/>
          <w:spacing w:val="0"/>
        </w:rPr>
        <w:t>Paracetamol deliberate self-poisoning admissions in Australia (AIHW NHMD 2009-2020)</w:t>
      </w:r>
    </w:p>
    <w:tbl>
      <w:tblPr>
        <w:tblStyle w:val="ListTable6Colorful"/>
        <w:tblpPr w:leftFromText="180" w:rightFromText="180" w:vertAnchor="text" w:horzAnchor="margin" w:tblpXSpec="right" w:tblpY="34"/>
        <w:tblW w:w="5000" w:type="pct"/>
        <w:tblLook w:val="04A0" w:firstRow="1" w:lastRow="0" w:firstColumn="1" w:lastColumn="0" w:noHBand="0" w:noVBand="1"/>
      </w:tblPr>
      <w:tblGrid>
        <w:gridCol w:w="1018"/>
        <w:gridCol w:w="571"/>
        <w:gridCol w:w="810"/>
        <w:gridCol w:w="738"/>
        <w:gridCol w:w="738"/>
        <w:gridCol w:w="738"/>
        <w:gridCol w:w="738"/>
        <w:gridCol w:w="738"/>
        <w:gridCol w:w="738"/>
        <w:gridCol w:w="738"/>
        <w:gridCol w:w="738"/>
        <w:gridCol w:w="738"/>
        <w:gridCol w:w="738"/>
        <w:gridCol w:w="738"/>
        <w:gridCol w:w="738"/>
        <w:gridCol w:w="738"/>
        <w:gridCol w:w="573"/>
        <w:gridCol w:w="1392"/>
      </w:tblGrid>
      <w:tr w:rsidR="00344F4C" w:rsidRPr="00151B48" w14:paraId="4A49CABE" w14:textId="77777777" w:rsidTr="00AB403C">
        <w:trPr>
          <w:cnfStyle w:val="100000000000" w:firstRow="1" w:lastRow="0" w:firstColumn="0" w:lastColumn="0" w:oddVBand="0" w:evenVBand="0" w:oddHBand="0" w:evenHBand="0" w:firstRowFirstColumn="0" w:firstRowLastColumn="0" w:lastRowFirstColumn="0" w:lastRowLastColumn="0"/>
          <w:cantSplit/>
          <w:trHeight w:val="330"/>
        </w:trPr>
        <w:tc>
          <w:tcPr>
            <w:cnfStyle w:val="001000000000" w:firstRow="0" w:lastRow="0" w:firstColumn="1" w:lastColumn="0" w:oddVBand="0" w:evenVBand="0" w:oddHBand="0" w:evenHBand="0" w:firstRowFirstColumn="0" w:firstRowLastColumn="0" w:lastRowFirstColumn="0" w:lastRowLastColumn="0"/>
            <w:tcW w:w="365" w:type="pct"/>
            <w:noWrap/>
            <w:hideMark/>
          </w:tcPr>
          <w:p w14:paraId="21DC8415" w14:textId="77777777" w:rsidR="00344F4C" w:rsidRPr="00151B48" w:rsidRDefault="00344F4C" w:rsidP="00617949">
            <w:pPr>
              <w:jc w:val="right"/>
              <w:rPr>
                <w:rFonts w:eastAsia="Times New Roman" w:cs="Times New Roman"/>
                <w:color w:val="000000"/>
                <w:sz w:val="20"/>
                <w:szCs w:val="20"/>
                <w:lang w:eastAsia="en-AU"/>
              </w:rPr>
            </w:pPr>
            <w:r w:rsidRPr="00151B48">
              <w:rPr>
                <w:rFonts w:eastAsia="Times New Roman" w:cs="Times New Roman"/>
                <w:color w:val="000000"/>
                <w:sz w:val="20"/>
                <w:szCs w:val="20"/>
                <w:lang w:eastAsia="en-AU"/>
              </w:rPr>
              <w:t>Ref year</w:t>
            </w:r>
          </w:p>
        </w:tc>
        <w:tc>
          <w:tcPr>
            <w:tcW w:w="205" w:type="pct"/>
            <w:noWrap/>
            <w:hideMark/>
          </w:tcPr>
          <w:p w14:paraId="23C3E5E8"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&lt;10</w:t>
            </w:r>
          </w:p>
        </w:tc>
        <w:tc>
          <w:tcPr>
            <w:tcW w:w="0" w:type="auto"/>
            <w:noWrap/>
            <w:hideMark/>
          </w:tcPr>
          <w:p w14:paraId="2D57CBAD"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10--14</w:t>
            </w:r>
          </w:p>
        </w:tc>
        <w:tc>
          <w:tcPr>
            <w:tcW w:w="0" w:type="auto"/>
            <w:noWrap/>
            <w:hideMark/>
          </w:tcPr>
          <w:p w14:paraId="1C2D6FE3"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15-19</w:t>
            </w:r>
          </w:p>
        </w:tc>
        <w:tc>
          <w:tcPr>
            <w:tcW w:w="0" w:type="auto"/>
            <w:noWrap/>
            <w:hideMark/>
          </w:tcPr>
          <w:p w14:paraId="162A083F"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20-24</w:t>
            </w:r>
          </w:p>
        </w:tc>
        <w:tc>
          <w:tcPr>
            <w:tcW w:w="0" w:type="auto"/>
            <w:noWrap/>
            <w:hideMark/>
          </w:tcPr>
          <w:p w14:paraId="658B15E0"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25-29</w:t>
            </w:r>
          </w:p>
        </w:tc>
        <w:tc>
          <w:tcPr>
            <w:tcW w:w="0" w:type="auto"/>
            <w:noWrap/>
            <w:hideMark/>
          </w:tcPr>
          <w:p w14:paraId="23D32D09"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30-34</w:t>
            </w:r>
          </w:p>
        </w:tc>
        <w:tc>
          <w:tcPr>
            <w:tcW w:w="0" w:type="auto"/>
            <w:noWrap/>
            <w:hideMark/>
          </w:tcPr>
          <w:p w14:paraId="77737301"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35-39</w:t>
            </w:r>
          </w:p>
        </w:tc>
        <w:tc>
          <w:tcPr>
            <w:tcW w:w="0" w:type="auto"/>
            <w:noWrap/>
            <w:hideMark/>
          </w:tcPr>
          <w:p w14:paraId="230FEB2C"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40-44</w:t>
            </w:r>
          </w:p>
        </w:tc>
        <w:tc>
          <w:tcPr>
            <w:tcW w:w="0" w:type="auto"/>
            <w:noWrap/>
            <w:hideMark/>
          </w:tcPr>
          <w:p w14:paraId="34BDA990"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45-49</w:t>
            </w:r>
          </w:p>
        </w:tc>
        <w:tc>
          <w:tcPr>
            <w:tcW w:w="0" w:type="auto"/>
            <w:noWrap/>
            <w:hideMark/>
          </w:tcPr>
          <w:p w14:paraId="6B1EC417"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50-54</w:t>
            </w:r>
          </w:p>
        </w:tc>
        <w:tc>
          <w:tcPr>
            <w:tcW w:w="0" w:type="auto"/>
            <w:noWrap/>
            <w:hideMark/>
          </w:tcPr>
          <w:p w14:paraId="16558AD6"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55-59</w:t>
            </w:r>
          </w:p>
        </w:tc>
        <w:tc>
          <w:tcPr>
            <w:tcW w:w="0" w:type="auto"/>
            <w:noWrap/>
            <w:hideMark/>
          </w:tcPr>
          <w:p w14:paraId="6ABBFD8B"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60-64</w:t>
            </w:r>
          </w:p>
        </w:tc>
        <w:tc>
          <w:tcPr>
            <w:tcW w:w="0" w:type="auto"/>
            <w:noWrap/>
            <w:hideMark/>
          </w:tcPr>
          <w:p w14:paraId="48FABA7A"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65-69</w:t>
            </w:r>
          </w:p>
        </w:tc>
        <w:tc>
          <w:tcPr>
            <w:tcW w:w="0" w:type="auto"/>
            <w:noWrap/>
            <w:hideMark/>
          </w:tcPr>
          <w:p w14:paraId="55D0B342"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70-74</w:t>
            </w:r>
          </w:p>
        </w:tc>
        <w:tc>
          <w:tcPr>
            <w:tcW w:w="0" w:type="auto"/>
            <w:noWrap/>
            <w:hideMark/>
          </w:tcPr>
          <w:p w14:paraId="4279DC1E"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75-79</w:t>
            </w:r>
          </w:p>
        </w:tc>
        <w:tc>
          <w:tcPr>
            <w:tcW w:w="0" w:type="auto"/>
            <w:noWrap/>
            <w:hideMark/>
          </w:tcPr>
          <w:p w14:paraId="57FE4F60"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w:t>
            </w:r>
          </w:p>
        </w:tc>
        <w:tc>
          <w:tcPr>
            <w:tcW w:w="0" w:type="auto"/>
            <w:noWrap/>
            <w:hideMark/>
          </w:tcPr>
          <w:p w14:paraId="523805F8" w14:textId="77777777" w:rsidR="00344F4C" w:rsidRPr="00151B48" w:rsidRDefault="00344F4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Grand Total</w:t>
            </w:r>
          </w:p>
        </w:tc>
      </w:tr>
      <w:tr w:rsidR="00C91EDD" w:rsidRPr="00151B48" w14:paraId="69D4E8E8" w14:textId="77777777" w:rsidTr="00AB403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0BF3B816" w14:textId="74CC7624"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205" w:type="pct"/>
            <w:noWrap/>
            <w:hideMark/>
          </w:tcPr>
          <w:p w14:paraId="1FE9EE6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6C6B80B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259</w:t>
            </w:r>
          </w:p>
        </w:tc>
        <w:tc>
          <w:tcPr>
            <w:tcW w:w="0" w:type="auto"/>
            <w:noWrap/>
            <w:hideMark/>
          </w:tcPr>
          <w:p w14:paraId="7334E4A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1474</w:t>
            </w:r>
          </w:p>
        </w:tc>
        <w:tc>
          <w:tcPr>
            <w:tcW w:w="0" w:type="auto"/>
            <w:noWrap/>
            <w:hideMark/>
          </w:tcPr>
          <w:p w14:paraId="4F340F1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1031</w:t>
            </w:r>
          </w:p>
        </w:tc>
        <w:tc>
          <w:tcPr>
            <w:tcW w:w="0" w:type="auto"/>
            <w:noWrap/>
            <w:hideMark/>
          </w:tcPr>
          <w:p w14:paraId="1B32CE8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661</w:t>
            </w:r>
          </w:p>
        </w:tc>
        <w:tc>
          <w:tcPr>
            <w:tcW w:w="0" w:type="auto"/>
            <w:noWrap/>
            <w:hideMark/>
          </w:tcPr>
          <w:p w14:paraId="0729D23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630</w:t>
            </w:r>
          </w:p>
        </w:tc>
        <w:tc>
          <w:tcPr>
            <w:tcW w:w="0" w:type="auto"/>
            <w:noWrap/>
            <w:hideMark/>
          </w:tcPr>
          <w:p w14:paraId="6A72FC5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625</w:t>
            </w:r>
          </w:p>
        </w:tc>
        <w:tc>
          <w:tcPr>
            <w:tcW w:w="0" w:type="auto"/>
            <w:noWrap/>
            <w:hideMark/>
          </w:tcPr>
          <w:p w14:paraId="5846BC4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585</w:t>
            </w:r>
          </w:p>
        </w:tc>
        <w:tc>
          <w:tcPr>
            <w:tcW w:w="0" w:type="auto"/>
            <w:noWrap/>
            <w:hideMark/>
          </w:tcPr>
          <w:p w14:paraId="2CB24F4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565</w:t>
            </w:r>
          </w:p>
        </w:tc>
        <w:tc>
          <w:tcPr>
            <w:tcW w:w="0" w:type="auto"/>
            <w:noWrap/>
            <w:hideMark/>
          </w:tcPr>
          <w:p w14:paraId="4F9936C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346</w:t>
            </w:r>
          </w:p>
        </w:tc>
        <w:tc>
          <w:tcPr>
            <w:tcW w:w="0" w:type="auto"/>
            <w:noWrap/>
            <w:hideMark/>
          </w:tcPr>
          <w:p w14:paraId="43D8640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217</w:t>
            </w:r>
          </w:p>
        </w:tc>
        <w:tc>
          <w:tcPr>
            <w:tcW w:w="0" w:type="auto"/>
            <w:noWrap/>
            <w:hideMark/>
          </w:tcPr>
          <w:p w14:paraId="5F81A57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153</w:t>
            </w:r>
          </w:p>
        </w:tc>
        <w:tc>
          <w:tcPr>
            <w:tcW w:w="0" w:type="auto"/>
            <w:noWrap/>
            <w:hideMark/>
          </w:tcPr>
          <w:p w14:paraId="0BB6F43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w:t>
            </w:r>
          </w:p>
        </w:tc>
        <w:tc>
          <w:tcPr>
            <w:tcW w:w="0" w:type="auto"/>
            <w:noWrap/>
            <w:hideMark/>
          </w:tcPr>
          <w:p w14:paraId="04C4D91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w:t>
            </w:r>
          </w:p>
        </w:tc>
        <w:tc>
          <w:tcPr>
            <w:tcW w:w="0" w:type="auto"/>
            <w:noWrap/>
            <w:hideMark/>
          </w:tcPr>
          <w:p w14:paraId="0EC86C9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w:t>
            </w:r>
          </w:p>
        </w:tc>
        <w:tc>
          <w:tcPr>
            <w:tcW w:w="0" w:type="auto"/>
            <w:noWrap/>
            <w:hideMark/>
          </w:tcPr>
          <w:p w14:paraId="39FBC48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47</w:t>
            </w:r>
          </w:p>
        </w:tc>
        <w:tc>
          <w:tcPr>
            <w:tcW w:w="0" w:type="auto"/>
            <w:noWrap/>
            <w:hideMark/>
          </w:tcPr>
          <w:p w14:paraId="0AAEAAA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6730</w:t>
            </w:r>
          </w:p>
        </w:tc>
      </w:tr>
      <w:tr w:rsidR="00C91EDD" w:rsidRPr="00151B48" w14:paraId="1CCFA3F8" w14:textId="77777777" w:rsidTr="00AB403C">
        <w:trPr>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27F8073E" w14:textId="5E428947"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205" w:type="pct"/>
            <w:noWrap/>
            <w:hideMark/>
          </w:tcPr>
          <w:p w14:paraId="713A8BC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6E10F1E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277</w:t>
            </w:r>
          </w:p>
        </w:tc>
        <w:tc>
          <w:tcPr>
            <w:tcW w:w="0" w:type="auto"/>
            <w:noWrap/>
            <w:hideMark/>
          </w:tcPr>
          <w:p w14:paraId="1B1C6BE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1679</w:t>
            </w:r>
          </w:p>
        </w:tc>
        <w:tc>
          <w:tcPr>
            <w:tcW w:w="0" w:type="auto"/>
            <w:noWrap/>
            <w:hideMark/>
          </w:tcPr>
          <w:p w14:paraId="2C64600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969</w:t>
            </w:r>
          </w:p>
        </w:tc>
        <w:tc>
          <w:tcPr>
            <w:tcW w:w="0" w:type="auto"/>
            <w:noWrap/>
            <w:hideMark/>
          </w:tcPr>
          <w:p w14:paraId="21C5921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624</w:t>
            </w:r>
          </w:p>
        </w:tc>
        <w:tc>
          <w:tcPr>
            <w:tcW w:w="0" w:type="auto"/>
            <w:noWrap/>
            <w:hideMark/>
          </w:tcPr>
          <w:p w14:paraId="33832FA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562</w:t>
            </w:r>
          </w:p>
        </w:tc>
        <w:tc>
          <w:tcPr>
            <w:tcW w:w="0" w:type="auto"/>
            <w:noWrap/>
            <w:hideMark/>
          </w:tcPr>
          <w:p w14:paraId="4AC7568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613</w:t>
            </w:r>
          </w:p>
        </w:tc>
        <w:tc>
          <w:tcPr>
            <w:tcW w:w="0" w:type="auto"/>
            <w:noWrap/>
            <w:hideMark/>
          </w:tcPr>
          <w:p w14:paraId="5C4F82D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559</w:t>
            </w:r>
          </w:p>
        </w:tc>
        <w:tc>
          <w:tcPr>
            <w:tcW w:w="0" w:type="auto"/>
            <w:noWrap/>
            <w:hideMark/>
          </w:tcPr>
          <w:p w14:paraId="715B270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488</w:t>
            </w:r>
          </w:p>
        </w:tc>
        <w:tc>
          <w:tcPr>
            <w:tcW w:w="0" w:type="auto"/>
            <w:noWrap/>
            <w:hideMark/>
          </w:tcPr>
          <w:p w14:paraId="50F4345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353</w:t>
            </w:r>
          </w:p>
        </w:tc>
        <w:tc>
          <w:tcPr>
            <w:tcW w:w="0" w:type="auto"/>
            <w:noWrap/>
            <w:hideMark/>
          </w:tcPr>
          <w:p w14:paraId="4388EBD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235</w:t>
            </w:r>
          </w:p>
        </w:tc>
        <w:tc>
          <w:tcPr>
            <w:tcW w:w="0" w:type="auto"/>
            <w:noWrap/>
            <w:hideMark/>
          </w:tcPr>
          <w:p w14:paraId="76CD333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130</w:t>
            </w:r>
          </w:p>
        </w:tc>
        <w:tc>
          <w:tcPr>
            <w:tcW w:w="0" w:type="auto"/>
            <w:noWrap/>
            <w:hideMark/>
          </w:tcPr>
          <w:p w14:paraId="3933563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83</w:t>
            </w:r>
          </w:p>
        </w:tc>
        <w:tc>
          <w:tcPr>
            <w:tcW w:w="0" w:type="auto"/>
            <w:noWrap/>
            <w:hideMark/>
          </w:tcPr>
          <w:p w14:paraId="0180737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44</w:t>
            </w:r>
          </w:p>
        </w:tc>
        <w:tc>
          <w:tcPr>
            <w:tcW w:w="0" w:type="auto"/>
            <w:noWrap/>
            <w:hideMark/>
          </w:tcPr>
          <w:p w14:paraId="37D9BDF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w:t>
            </w:r>
          </w:p>
        </w:tc>
        <w:tc>
          <w:tcPr>
            <w:tcW w:w="0" w:type="auto"/>
            <w:noWrap/>
            <w:hideMark/>
          </w:tcPr>
          <w:p w14:paraId="3759BFF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w:t>
            </w:r>
          </w:p>
        </w:tc>
        <w:tc>
          <w:tcPr>
            <w:tcW w:w="0" w:type="auto"/>
            <w:noWrap/>
            <w:hideMark/>
          </w:tcPr>
          <w:p w14:paraId="0926491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6700</w:t>
            </w:r>
          </w:p>
        </w:tc>
      </w:tr>
      <w:tr w:rsidR="00C91EDD" w:rsidRPr="00151B48" w14:paraId="4A9D19A0" w14:textId="77777777" w:rsidTr="00AB403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64D2310A" w14:textId="49501EFF"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205" w:type="pct"/>
            <w:noWrap/>
            <w:hideMark/>
          </w:tcPr>
          <w:p w14:paraId="6EB0459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7B69ABF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316</w:t>
            </w:r>
          </w:p>
        </w:tc>
        <w:tc>
          <w:tcPr>
            <w:tcW w:w="0" w:type="auto"/>
            <w:noWrap/>
            <w:hideMark/>
          </w:tcPr>
          <w:p w14:paraId="1FF6BF9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1922</w:t>
            </w:r>
          </w:p>
        </w:tc>
        <w:tc>
          <w:tcPr>
            <w:tcW w:w="0" w:type="auto"/>
            <w:noWrap/>
            <w:hideMark/>
          </w:tcPr>
          <w:p w14:paraId="5820680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1094</w:t>
            </w:r>
          </w:p>
        </w:tc>
        <w:tc>
          <w:tcPr>
            <w:tcW w:w="0" w:type="auto"/>
            <w:noWrap/>
            <w:hideMark/>
          </w:tcPr>
          <w:p w14:paraId="6E44D26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693</w:t>
            </w:r>
          </w:p>
        </w:tc>
        <w:tc>
          <w:tcPr>
            <w:tcW w:w="0" w:type="auto"/>
            <w:noWrap/>
            <w:hideMark/>
          </w:tcPr>
          <w:p w14:paraId="61479F4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559</w:t>
            </w:r>
          </w:p>
        </w:tc>
        <w:tc>
          <w:tcPr>
            <w:tcW w:w="0" w:type="auto"/>
            <w:noWrap/>
            <w:hideMark/>
          </w:tcPr>
          <w:p w14:paraId="13B6C1D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658</w:t>
            </w:r>
          </w:p>
        </w:tc>
        <w:tc>
          <w:tcPr>
            <w:tcW w:w="0" w:type="auto"/>
            <w:noWrap/>
            <w:hideMark/>
          </w:tcPr>
          <w:p w14:paraId="6535F99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568</w:t>
            </w:r>
          </w:p>
        </w:tc>
        <w:tc>
          <w:tcPr>
            <w:tcW w:w="0" w:type="auto"/>
            <w:noWrap/>
            <w:hideMark/>
          </w:tcPr>
          <w:p w14:paraId="62B4019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456</w:t>
            </w:r>
          </w:p>
        </w:tc>
        <w:tc>
          <w:tcPr>
            <w:tcW w:w="0" w:type="auto"/>
            <w:noWrap/>
            <w:hideMark/>
          </w:tcPr>
          <w:p w14:paraId="2EAD2C5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316</w:t>
            </w:r>
          </w:p>
        </w:tc>
        <w:tc>
          <w:tcPr>
            <w:tcW w:w="0" w:type="auto"/>
            <w:noWrap/>
            <w:hideMark/>
          </w:tcPr>
          <w:p w14:paraId="448AA11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231</w:t>
            </w:r>
          </w:p>
        </w:tc>
        <w:tc>
          <w:tcPr>
            <w:tcW w:w="0" w:type="auto"/>
            <w:noWrap/>
            <w:hideMark/>
          </w:tcPr>
          <w:p w14:paraId="155355B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139</w:t>
            </w:r>
          </w:p>
        </w:tc>
        <w:tc>
          <w:tcPr>
            <w:tcW w:w="0" w:type="auto"/>
            <w:noWrap/>
            <w:hideMark/>
          </w:tcPr>
          <w:p w14:paraId="390B025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w:t>
            </w:r>
          </w:p>
        </w:tc>
        <w:tc>
          <w:tcPr>
            <w:tcW w:w="0" w:type="auto"/>
            <w:noWrap/>
            <w:hideMark/>
          </w:tcPr>
          <w:p w14:paraId="7666001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54</w:t>
            </w:r>
          </w:p>
        </w:tc>
        <w:tc>
          <w:tcPr>
            <w:tcW w:w="0" w:type="auto"/>
            <w:noWrap/>
            <w:hideMark/>
          </w:tcPr>
          <w:p w14:paraId="421FA5C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w:t>
            </w:r>
          </w:p>
        </w:tc>
        <w:tc>
          <w:tcPr>
            <w:tcW w:w="0" w:type="auto"/>
            <w:noWrap/>
            <w:hideMark/>
          </w:tcPr>
          <w:p w14:paraId="5327177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57</w:t>
            </w:r>
          </w:p>
        </w:tc>
        <w:tc>
          <w:tcPr>
            <w:tcW w:w="0" w:type="auto"/>
            <w:noWrap/>
            <w:hideMark/>
          </w:tcPr>
          <w:p w14:paraId="1DBBD9B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7164</w:t>
            </w:r>
          </w:p>
        </w:tc>
      </w:tr>
      <w:tr w:rsidR="00C91EDD" w:rsidRPr="00151B48" w14:paraId="78F7C14B" w14:textId="77777777" w:rsidTr="00AB403C">
        <w:trPr>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07ECF388" w14:textId="27C36762"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205" w:type="pct"/>
            <w:noWrap/>
            <w:hideMark/>
          </w:tcPr>
          <w:p w14:paraId="28476B2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56E7246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592</w:t>
            </w:r>
          </w:p>
        </w:tc>
        <w:tc>
          <w:tcPr>
            <w:tcW w:w="0" w:type="auto"/>
            <w:noWrap/>
            <w:hideMark/>
          </w:tcPr>
          <w:p w14:paraId="7C6BED0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2217</w:t>
            </w:r>
          </w:p>
        </w:tc>
        <w:tc>
          <w:tcPr>
            <w:tcW w:w="0" w:type="auto"/>
            <w:noWrap/>
            <w:hideMark/>
          </w:tcPr>
          <w:p w14:paraId="5370806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1029</w:t>
            </w:r>
          </w:p>
        </w:tc>
        <w:tc>
          <w:tcPr>
            <w:tcW w:w="0" w:type="auto"/>
            <w:noWrap/>
            <w:hideMark/>
          </w:tcPr>
          <w:p w14:paraId="1DF9DF7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670</w:t>
            </w:r>
          </w:p>
        </w:tc>
        <w:tc>
          <w:tcPr>
            <w:tcW w:w="0" w:type="auto"/>
            <w:noWrap/>
            <w:hideMark/>
          </w:tcPr>
          <w:p w14:paraId="15FF4E2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568</w:t>
            </w:r>
          </w:p>
        </w:tc>
        <w:tc>
          <w:tcPr>
            <w:tcW w:w="0" w:type="auto"/>
            <w:noWrap/>
            <w:hideMark/>
          </w:tcPr>
          <w:p w14:paraId="7E65C0D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616</w:t>
            </w:r>
          </w:p>
        </w:tc>
        <w:tc>
          <w:tcPr>
            <w:tcW w:w="0" w:type="auto"/>
            <w:noWrap/>
            <w:hideMark/>
          </w:tcPr>
          <w:p w14:paraId="20A3414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541</w:t>
            </w:r>
          </w:p>
        </w:tc>
        <w:tc>
          <w:tcPr>
            <w:tcW w:w="0" w:type="auto"/>
            <w:noWrap/>
            <w:hideMark/>
          </w:tcPr>
          <w:p w14:paraId="320B5C5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521</w:t>
            </w:r>
          </w:p>
        </w:tc>
        <w:tc>
          <w:tcPr>
            <w:tcW w:w="0" w:type="auto"/>
            <w:noWrap/>
            <w:hideMark/>
          </w:tcPr>
          <w:p w14:paraId="78E1530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367</w:t>
            </w:r>
          </w:p>
        </w:tc>
        <w:tc>
          <w:tcPr>
            <w:tcW w:w="0" w:type="auto"/>
            <w:noWrap/>
            <w:hideMark/>
          </w:tcPr>
          <w:p w14:paraId="773A6DC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242</w:t>
            </w:r>
          </w:p>
        </w:tc>
        <w:tc>
          <w:tcPr>
            <w:tcW w:w="0" w:type="auto"/>
            <w:noWrap/>
            <w:hideMark/>
          </w:tcPr>
          <w:p w14:paraId="17928DD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145</w:t>
            </w:r>
          </w:p>
        </w:tc>
        <w:tc>
          <w:tcPr>
            <w:tcW w:w="0" w:type="auto"/>
            <w:noWrap/>
            <w:hideMark/>
          </w:tcPr>
          <w:p w14:paraId="6C573DA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78</w:t>
            </w:r>
          </w:p>
        </w:tc>
        <w:tc>
          <w:tcPr>
            <w:tcW w:w="0" w:type="auto"/>
            <w:noWrap/>
            <w:hideMark/>
          </w:tcPr>
          <w:p w14:paraId="69E5086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64</w:t>
            </w:r>
          </w:p>
        </w:tc>
        <w:tc>
          <w:tcPr>
            <w:tcW w:w="0" w:type="auto"/>
            <w:noWrap/>
            <w:hideMark/>
          </w:tcPr>
          <w:p w14:paraId="127F73D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34</w:t>
            </w:r>
          </w:p>
        </w:tc>
        <w:tc>
          <w:tcPr>
            <w:tcW w:w="0" w:type="auto"/>
            <w:noWrap/>
            <w:hideMark/>
          </w:tcPr>
          <w:p w14:paraId="3E8BC99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w:t>
            </w:r>
          </w:p>
        </w:tc>
        <w:tc>
          <w:tcPr>
            <w:tcW w:w="0" w:type="auto"/>
            <w:noWrap/>
            <w:hideMark/>
          </w:tcPr>
          <w:p w14:paraId="13C1481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7731</w:t>
            </w:r>
          </w:p>
        </w:tc>
      </w:tr>
      <w:tr w:rsidR="00C91EDD" w:rsidRPr="00151B48" w14:paraId="4FA84FDB" w14:textId="77777777" w:rsidTr="00AB403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53BF4EC2" w14:textId="5D9B13DA"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205" w:type="pct"/>
            <w:noWrap/>
            <w:hideMark/>
          </w:tcPr>
          <w:p w14:paraId="6D3D53B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64C0D11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469</w:t>
            </w:r>
          </w:p>
        </w:tc>
        <w:tc>
          <w:tcPr>
            <w:tcW w:w="0" w:type="auto"/>
            <w:noWrap/>
            <w:hideMark/>
          </w:tcPr>
          <w:p w14:paraId="5422624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2062</w:t>
            </w:r>
          </w:p>
        </w:tc>
        <w:tc>
          <w:tcPr>
            <w:tcW w:w="0" w:type="auto"/>
            <w:noWrap/>
            <w:hideMark/>
          </w:tcPr>
          <w:p w14:paraId="46203DF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994</w:t>
            </w:r>
          </w:p>
        </w:tc>
        <w:tc>
          <w:tcPr>
            <w:tcW w:w="0" w:type="auto"/>
            <w:noWrap/>
            <w:hideMark/>
          </w:tcPr>
          <w:p w14:paraId="5DF60B3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679</w:t>
            </w:r>
          </w:p>
        </w:tc>
        <w:tc>
          <w:tcPr>
            <w:tcW w:w="0" w:type="auto"/>
            <w:noWrap/>
            <w:hideMark/>
          </w:tcPr>
          <w:p w14:paraId="431918B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563</w:t>
            </w:r>
          </w:p>
        </w:tc>
        <w:tc>
          <w:tcPr>
            <w:tcW w:w="0" w:type="auto"/>
            <w:noWrap/>
            <w:hideMark/>
          </w:tcPr>
          <w:p w14:paraId="34D524B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598</w:t>
            </w:r>
          </w:p>
        </w:tc>
        <w:tc>
          <w:tcPr>
            <w:tcW w:w="0" w:type="auto"/>
            <w:noWrap/>
            <w:hideMark/>
          </w:tcPr>
          <w:p w14:paraId="6FEED90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514</w:t>
            </w:r>
          </w:p>
        </w:tc>
        <w:tc>
          <w:tcPr>
            <w:tcW w:w="0" w:type="auto"/>
            <w:noWrap/>
            <w:hideMark/>
          </w:tcPr>
          <w:p w14:paraId="390892C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526</w:t>
            </w:r>
          </w:p>
        </w:tc>
        <w:tc>
          <w:tcPr>
            <w:tcW w:w="0" w:type="auto"/>
            <w:noWrap/>
            <w:hideMark/>
          </w:tcPr>
          <w:p w14:paraId="18F3767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423</w:t>
            </w:r>
          </w:p>
        </w:tc>
        <w:tc>
          <w:tcPr>
            <w:tcW w:w="0" w:type="auto"/>
            <w:noWrap/>
            <w:hideMark/>
          </w:tcPr>
          <w:p w14:paraId="4F13B5F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242</w:t>
            </w:r>
          </w:p>
        </w:tc>
        <w:tc>
          <w:tcPr>
            <w:tcW w:w="0" w:type="auto"/>
            <w:noWrap/>
            <w:hideMark/>
          </w:tcPr>
          <w:p w14:paraId="4238108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174</w:t>
            </w:r>
          </w:p>
        </w:tc>
        <w:tc>
          <w:tcPr>
            <w:tcW w:w="0" w:type="auto"/>
            <w:noWrap/>
            <w:hideMark/>
          </w:tcPr>
          <w:p w14:paraId="7BDE0DE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104</w:t>
            </w:r>
          </w:p>
        </w:tc>
        <w:tc>
          <w:tcPr>
            <w:tcW w:w="0" w:type="auto"/>
            <w:noWrap/>
            <w:hideMark/>
          </w:tcPr>
          <w:p w14:paraId="10C896D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59</w:t>
            </w:r>
          </w:p>
        </w:tc>
        <w:tc>
          <w:tcPr>
            <w:tcW w:w="0" w:type="auto"/>
            <w:noWrap/>
            <w:hideMark/>
          </w:tcPr>
          <w:p w14:paraId="7A4E641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36</w:t>
            </w:r>
          </w:p>
        </w:tc>
        <w:tc>
          <w:tcPr>
            <w:tcW w:w="0" w:type="auto"/>
            <w:noWrap/>
            <w:hideMark/>
          </w:tcPr>
          <w:p w14:paraId="2C624E2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w:t>
            </w:r>
          </w:p>
        </w:tc>
        <w:tc>
          <w:tcPr>
            <w:tcW w:w="0" w:type="auto"/>
            <w:noWrap/>
            <w:hideMark/>
          </w:tcPr>
          <w:p w14:paraId="525CDD7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7524</w:t>
            </w:r>
          </w:p>
        </w:tc>
      </w:tr>
      <w:tr w:rsidR="00C91EDD" w:rsidRPr="00151B48" w14:paraId="5AF0371F" w14:textId="77777777" w:rsidTr="00AB403C">
        <w:trPr>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070C5E8D" w14:textId="6851A215"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205" w:type="pct"/>
            <w:noWrap/>
            <w:hideMark/>
          </w:tcPr>
          <w:p w14:paraId="0094007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w:t>
            </w:r>
          </w:p>
        </w:tc>
        <w:tc>
          <w:tcPr>
            <w:tcW w:w="0" w:type="auto"/>
            <w:noWrap/>
            <w:hideMark/>
          </w:tcPr>
          <w:p w14:paraId="48E2CCB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437</w:t>
            </w:r>
          </w:p>
        </w:tc>
        <w:tc>
          <w:tcPr>
            <w:tcW w:w="0" w:type="auto"/>
            <w:noWrap/>
            <w:hideMark/>
          </w:tcPr>
          <w:p w14:paraId="3FD5640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1951</w:t>
            </w:r>
          </w:p>
        </w:tc>
        <w:tc>
          <w:tcPr>
            <w:tcW w:w="0" w:type="auto"/>
            <w:noWrap/>
            <w:hideMark/>
          </w:tcPr>
          <w:p w14:paraId="786A242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1160</w:t>
            </w:r>
          </w:p>
        </w:tc>
        <w:tc>
          <w:tcPr>
            <w:tcW w:w="0" w:type="auto"/>
            <w:noWrap/>
            <w:hideMark/>
          </w:tcPr>
          <w:p w14:paraId="1AFA937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774</w:t>
            </w:r>
          </w:p>
        </w:tc>
        <w:tc>
          <w:tcPr>
            <w:tcW w:w="0" w:type="auto"/>
            <w:noWrap/>
            <w:hideMark/>
          </w:tcPr>
          <w:p w14:paraId="19F7E9D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651</w:t>
            </w:r>
          </w:p>
        </w:tc>
        <w:tc>
          <w:tcPr>
            <w:tcW w:w="0" w:type="auto"/>
            <w:noWrap/>
            <w:hideMark/>
          </w:tcPr>
          <w:p w14:paraId="56D38E8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606</w:t>
            </w:r>
          </w:p>
        </w:tc>
        <w:tc>
          <w:tcPr>
            <w:tcW w:w="0" w:type="auto"/>
            <w:noWrap/>
            <w:hideMark/>
          </w:tcPr>
          <w:p w14:paraId="0D0F1F8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634</w:t>
            </w:r>
          </w:p>
        </w:tc>
        <w:tc>
          <w:tcPr>
            <w:tcW w:w="0" w:type="auto"/>
            <w:noWrap/>
            <w:hideMark/>
          </w:tcPr>
          <w:p w14:paraId="1838E25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480</w:t>
            </w:r>
          </w:p>
        </w:tc>
        <w:tc>
          <w:tcPr>
            <w:tcW w:w="0" w:type="auto"/>
            <w:noWrap/>
            <w:hideMark/>
          </w:tcPr>
          <w:p w14:paraId="594F35A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469</w:t>
            </w:r>
          </w:p>
        </w:tc>
        <w:tc>
          <w:tcPr>
            <w:tcW w:w="0" w:type="auto"/>
            <w:noWrap/>
            <w:hideMark/>
          </w:tcPr>
          <w:p w14:paraId="4ECB68D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274</w:t>
            </w:r>
          </w:p>
        </w:tc>
        <w:tc>
          <w:tcPr>
            <w:tcW w:w="0" w:type="auto"/>
            <w:noWrap/>
            <w:hideMark/>
          </w:tcPr>
          <w:p w14:paraId="6C82F4D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163</w:t>
            </w:r>
          </w:p>
        </w:tc>
        <w:tc>
          <w:tcPr>
            <w:tcW w:w="0" w:type="auto"/>
            <w:noWrap/>
            <w:hideMark/>
          </w:tcPr>
          <w:p w14:paraId="76F9024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98</w:t>
            </w:r>
          </w:p>
        </w:tc>
        <w:tc>
          <w:tcPr>
            <w:tcW w:w="0" w:type="auto"/>
            <w:noWrap/>
            <w:hideMark/>
          </w:tcPr>
          <w:p w14:paraId="49D8392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w:t>
            </w:r>
          </w:p>
        </w:tc>
        <w:tc>
          <w:tcPr>
            <w:tcW w:w="0" w:type="auto"/>
            <w:noWrap/>
            <w:hideMark/>
          </w:tcPr>
          <w:p w14:paraId="07164AC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37</w:t>
            </w:r>
          </w:p>
        </w:tc>
        <w:tc>
          <w:tcPr>
            <w:tcW w:w="0" w:type="auto"/>
            <w:noWrap/>
            <w:hideMark/>
          </w:tcPr>
          <w:p w14:paraId="7D40003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w:t>
            </w:r>
          </w:p>
        </w:tc>
        <w:tc>
          <w:tcPr>
            <w:tcW w:w="0" w:type="auto"/>
            <w:noWrap/>
            <w:hideMark/>
          </w:tcPr>
          <w:p w14:paraId="1B565B1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7845</w:t>
            </w:r>
          </w:p>
        </w:tc>
      </w:tr>
      <w:tr w:rsidR="00C91EDD" w:rsidRPr="00151B48" w14:paraId="3A78A3A6" w14:textId="77777777" w:rsidTr="00AB403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4C7F96F3" w14:textId="5C9FA990"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205" w:type="pct"/>
            <w:noWrap/>
            <w:hideMark/>
          </w:tcPr>
          <w:p w14:paraId="55CEB75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w:t>
            </w:r>
          </w:p>
        </w:tc>
        <w:tc>
          <w:tcPr>
            <w:tcW w:w="0" w:type="auto"/>
            <w:noWrap/>
            <w:hideMark/>
          </w:tcPr>
          <w:p w14:paraId="765BDD3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492</w:t>
            </w:r>
          </w:p>
        </w:tc>
        <w:tc>
          <w:tcPr>
            <w:tcW w:w="0" w:type="auto"/>
            <w:noWrap/>
            <w:hideMark/>
          </w:tcPr>
          <w:p w14:paraId="3D418C2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2277</w:t>
            </w:r>
          </w:p>
        </w:tc>
        <w:tc>
          <w:tcPr>
            <w:tcW w:w="0" w:type="auto"/>
            <w:noWrap/>
            <w:hideMark/>
          </w:tcPr>
          <w:p w14:paraId="16AB591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1239</w:t>
            </w:r>
          </w:p>
        </w:tc>
        <w:tc>
          <w:tcPr>
            <w:tcW w:w="0" w:type="auto"/>
            <w:noWrap/>
            <w:hideMark/>
          </w:tcPr>
          <w:p w14:paraId="468495E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890</w:t>
            </w:r>
          </w:p>
        </w:tc>
        <w:tc>
          <w:tcPr>
            <w:tcW w:w="0" w:type="auto"/>
            <w:noWrap/>
            <w:hideMark/>
          </w:tcPr>
          <w:p w14:paraId="67787A2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696</w:t>
            </w:r>
          </w:p>
        </w:tc>
        <w:tc>
          <w:tcPr>
            <w:tcW w:w="0" w:type="auto"/>
            <w:noWrap/>
            <w:hideMark/>
          </w:tcPr>
          <w:p w14:paraId="13F2972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619</w:t>
            </w:r>
          </w:p>
        </w:tc>
        <w:tc>
          <w:tcPr>
            <w:tcW w:w="0" w:type="auto"/>
            <w:noWrap/>
            <w:hideMark/>
          </w:tcPr>
          <w:p w14:paraId="5C9CEE4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626</w:t>
            </w:r>
          </w:p>
        </w:tc>
        <w:tc>
          <w:tcPr>
            <w:tcW w:w="0" w:type="auto"/>
            <w:noWrap/>
            <w:hideMark/>
          </w:tcPr>
          <w:p w14:paraId="0B6F295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612</w:t>
            </w:r>
          </w:p>
        </w:tc>
        <w:tc>
          <w:tcPr>
            <w:tcW w:w="0" w:type="auto"/>
            <w:noWrap/>
            <w:hideMark/>
          </w:tcPr>
          <w:p w14:paraId="4290A90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534</w:t>
            </w:r>
          </w:p>
        </w:tc>
        <w:tc>
          <w:tcPr>
            <w:tcW w:w="0" w:type="auto"/>
            <w:noWrap/>
            <w:hideMark/>
          </w:tcPr>
          <w:p w14:paraId="42B0FF2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290</w:t>
            </w:r>
          </w:p>
        </w:tc>
        <w:tc>
          <w:tcPr>
            <w:tcW w:w="0" w:type="auto"/>
            <w:noWrap/>
            <w:hideMark/>
          </w:tcPr>
          <w:p w14:paraId="1B3A63C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181</w:t>
            </w:r>
          </w:p>
        </w:tc>
        <w:tc>
          <w:tcPr>
            <w:tcW w:w="0" w:type="auto"/>
            <w:noWrap/>
            <w:hideMark/>
          </w:tcPr>
          <w:p w14:paraId="2A136C0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105</w:t>
            </w:r>
          </w:p>
        </w:tc>
        <w:tc>
          <w:tcPr>
            <w:tcW w:w="0" w:type="auto"/>
            <w:noWrap/>
            <w:hideMark/>
          </w:tcPr>
          <w:p w14:paraId="4623A64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w:t>
            </w:r>
          </w:p>
        </w:tc>
        <w:tc>
          <w:tcPr>
            <w:tcW w:w="0" w:type="auto"/>
            <w:noWrap/>
            <w:hideMark/>
          </w:tcPr>
          <w:p w14:paraId="60AFB16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43</w:t>
            </w:r>
          </w:p>
        </w:tc>
        <w:tc>
          <w:tcPr>
            <w:tcW w:w="0" w:type="auto"/>
            <w:noWrap/>
            <w:hideMark/>
          </w:tcPr>
          <w:p w14:paraId="4F36EAE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81</w:t>
            </w:r>
          </w:p>
        </w:tc>
        <w:tc>
          <w:tcPr>
            <w:tcW w:w="0" w:type="auto"/>
            <w:noWrap/>
            <w:hideMark/>
          </w:tcPr>
          <w:p w14:paraId="08DDA7B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8748</w:t>
            </w:r>
          </w:p>
        </w:tc>
      </w:tr>
      <w:tr w:rsidR="00C91EDD" w:rsidRPr="00151B48" w14:paraId="75585105" w14:textId="77777777" w:rsidTr="00AB403C">
        <w:trPr>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412AF4AA" w14:textId="45BE11AC"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205" w:type="pct"/>
            <w:noWrap/>
            <w:hideMark/>
          </w:tcPr>
          <w:p w14:paraId="27F9040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w:t>
            </w:r>
          </w:p>
        </w:tc>
        <w:tc>
          <w:tcPr>
            <w:tcW w:w="0" w:type="auto"/>
            <w:noWrap/>
            <w:hideMark/>
          </w:tcPr>
          <w:p w14:paraId="171CA4C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613</w:t>
            </w:r>
          </w:p>
        </w:tc>
        <w:tc>
          <w:tcPr>
            <w:tcW w:w="0" w:type="auto"/>
            <w:noWrap/>
            <w:hideMark/>
          </w:tcPr>
          <w:p w14:paraId="40EA92D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2756</w:t>
            </w:r>
          </w:p>
        </w:tc>
        <w:tc>
          <w:tcPr>
            <w:tcW w:w="0" w:type="auto"/>
            <w:noWrap/>
            <w:hideMark/>
          </w:tcPr>
          <w:p w14:paraId="02109B4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1373</w:t>
            </w:r>
          </w:p>
        </w:tc>
        <w:tc>
          <w:tcPr>
            <w:tcW w:w="0" w:type="auto"/>
            <w:noWrap/>
            <w:hideMark/>
          </w:tcPr>
          <w:p w14:paraId="5220A8D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889</w:t>
            </w:r>
          </w:p>
        </w:tc>
        <w:tc>
          <w:tcPr>
            <w:tcW w:w="0" w:type="auto"/>
            <w:noWrap/>
            <w:hideMark/>
          </w:tcPr>
          <w:p w14:paraId="49FAEC1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640</w:t>
            </w:r>
          </w:p>
        </w:tc>
        <w:tc>
          <w:tcPr>
            <w:tcW w:w="0" w:type="auto"/>
            <w:noWrap/>
            <w:hideMark/>
          </w:tcPr>
          <w:p w14:paraId="3A4136D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631</w:t>
            </w:r>
          </w:p>
        </w:tc>
        <w:tc>
          <w:tcPr>
            <w:tcW w:w="0" w:type="auto"/>
            <w:noWrap/>
            <w:hideMark/>
          </w:tcPr>
          <w:p w14:paraId="72E14D7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565</w:t>
            </w:r>
          </w:p>
        </w:tc>
        <w:tc>
          <w:tcPr>
            <w:tcW w:w="0" w:type="auto"/>
            <w:noWrap/>
            <w:hideMark/>
          </w:tcPr>
          <w:p w14:paraId="4866928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619</w:t>
            </w:r>
          </w:p>
        </w:tc>
        <w:tc>
          <w:tcPr>
            <w:tcW w:w="0" w:type="auto"/>
            <w:noWrap/>
            <w:hideMark/>
          </w:tcPr>
          <w:p w14:paraId="220FD78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481</w:t>
            </w:r>
          </w:p>
        </w:tc>
        <w:tc>
          <w:tcPr>
            <w:tcW w:w="0" w:type="auto"/>
            <w:noWrap/>
            <w:hideMark/>
          </w:tcPr>
          <w:p w14:paraId="54CD10E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299</w:t>
            </w:r>
          </w:p>
        </w:tc>
        <w:tc>
          <w:tcPr>
            <w:tcW w:w="0" w:type="auto"/>
            <w:noWrap/>
            <w:hideMark/>
          </w:tcPr>
          <w:p w14:paraId="5A0DDE6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192</w:t>
            </w:r>
          </w:p>
        </w:tc>
        <w:tc>
          <w:tcPr>
            <w:tcW w:w="0" w:type="auto"/>
            <w:noWrap/>
            <w:hideMark/>
          </w:tcPr>
          <w:p w14:paraId="611A24F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127</w:t>
            </w:r>
          </w:p>
        </w:tc>
        <w:tc>
          <w:tcPr>
            <w:tcW w:w="0" w:type="auto"/>
            <w:noWrap/>
            <w:hideMark/>
          </w:tcPr>
          <w:p w14:paraId="43098BE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w:t>
            </w:r>
          </w:p>
        </w:tc>
        <w:tc>
          <w:tcPr>
            <w:tcW w:w="0" w:type="auto"/>
            <w:noWrap/>
            <w:hideMark/>
          </w:tcPr>
          <w:p w14:paraId="6049B54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w:t>
            </w:r>
          </w:p>
        </w:tc>
        <w:tc>
          <w:tcPr>
            <w:tcW w:w="0" w:type="auto"/>
            <w:noWrap/>
            <w:hideMark/>
          </w:tcPr>
          <w:p w14:paraId="06BD194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81</w:t>
            </w:r>
          </w:p>
        </w:tc>
        <w:tc>
          <w:tcPr>
            <w:tcW w:w="0" w:type="auto"/>
            <w:noWrap/>
            <w:hideMark/>
          </w:tcPr>
          <w:p w14:paraId="1F7F652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9381</w:t>
            </w:r>
          </w:p>
        </w:tc>
      </w:tr>
      <w:tr w:rsidR="00C91EDD" w:rsidRPr="00151B48" w14:paraId="39EECF48" w14:textId="77777777" w:rsidTr="00AB403C">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5829346F" w14:textId="783F3419"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205" w:type="pct"/>
            <w:noWrap/>
            <w:hideMark/>
          </w:tcPr>
          <w:p w14:paraId="3FCD7DD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496149B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495</w:t>
            </w:r>
          </w:p>
        </w:tc>
        <w:tc>
          <w:tcPr>
            <w:tcW w:w="0" w:type="auto"/>
            <w:noWrap/>
            <w:hideMark/>
          </w:tcPr>
          <w:p w14:paraId="3455DC8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2291</w:t>
            </w:r>
          </w:p>
        </w:tc>
        <w:tc>
          <w:tcPr>
            <w:tcW w:w="0" w:type="auto"/>
            <w:noWrap/>
            <w:hideMark/>
          </w:tcPr>
          <w:p w14:paraId="5CFAFCB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1261</w:t>
            </w:r>
          </w:p>
        </w:tc>
        <w:tc>
          <w:tcPr>
            <w:tcW w:w="0" w:type="auto"/>
            <w:noWrap/>
            <w:hideMark/>
          </w:tcPr>
          <w:p w14:paraId="23BDDD1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856</w:t>
            </w:r>
          </w:p>
        </w:tc>
        <w:tc>
          <w:tcPr>
            <w:tcW w:w="0" w:type="auto"/>
            <w:noWrap/>
            <w:hideMark/>
          </w:tcPr>
          <w:p w14:paraId="45D852D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578</w:t>
            </w:r>
          </w:p>
        </w:tc>
        <w:tc>
          <w:tcPr>
            <w:tcW w:w="0" w:type="auto"/>
            <w:noWrap/>
            <w:hideMark/>
          </w:tcPr>
          <w:p w14:paraId="16EEC98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513</w:t>
            </w:r>
          </w:p>
        </w:tc>
        <w:tc>
          <w:tcPr>
            <w:tcW w:w="0" w:type="auto"/>
            <w:noWrap/>
            <w:hideMark/>
          </w:tcPr>
          <w:p w14:paraId="61B5846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484</w:t>
            </w:r>
          </w:p>
        </w:tc>
        <w:tc>
          <w:tcPr>
            <w:tcW w:w="0" w:type="auto"/>
            <w:noWrap/>
            <w:hideMark/>
          </w:tcPr>
          <w:p w14:paraId="0BA526C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490</w:t>
            </w:r>
          </w:p>
        </w:tc>
        <w:tc>
          <w:tcPr>
            <w:tcW w:w="0" w:type="auto"/>
            <w:noWrap/>
            <w:hideMark/>
          </w:tcPr>
          <w:p w14:paraId="59CD857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426</w:t>
            </w:r>
          </w:p>
        </w:tc>
        <w:tc>
          <w:tcPr>
            <w:tcW w:w="0" w:type="auto"/>
            <w:noWrap/>
            <w:hideMark/>
          </w:tcPr>
          <w:p w14:paraId="3C85487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257</w:t>
            </w:r>
          </w:p>
        </w:tc>
        <w:tc>
          <w:tcPr>
            <w:tcW w:w="0" w:type="auto"/>
            <w:noWrap/>
            <w:hideMark/>
          </w:tcPr>
          <w:p w14:paraId="603B010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168</w:t>
            </w:r>
          </w:p>
        </w:tc>
        <w:tc>
          <w:tcPr>
            <w:tcW w:w="0" w:type="auto"/>
            <w:noWrap/>
            <w:hideMark/>
          </w:tcPr>
          <w:p w14:paraId="52A47CE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86</w:t>
            </w:r>
          </w:p>
        </w:tc>
        <w:tc>
          <w:tcPr>
            <w:tcW w:w="0" w:type="auto"/>
            <w:noWrap/>
            <w:hideMark/>
          </w:tcPr>
          <w:p w14:paraId="0B57BB2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52</w:t>
            </w:r>
          </w:p>
        </w:tc>
        <w:tc>
          <w:tcPr>
            <w:tcW w:w="0" w:type="auto"/>
            <w:noWrap/>
            <w:hideMark/>
          </w:tcPr>
          <w:p w14:paraId="3FB4755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w:t>
            </w:r>
          </w:p>
        </w:tc>
        <w:tc>
          <w:tcPr>
            <w:tcW w:w="0" w:type="auto"/>
            <w:noWrap/>
            <w:hideMark/>
          </w:tcPr>
          <w:p w14:paraId="0906ECE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w:t>
            </w:r>
          </w:p>
        </w:tc>
        <w:tc>
          <w:tcPr>
            <w:tcW w:w="0" w:type="auto"/>
            <w:noWrap/>
            <w:hideMark/>
          </w:tcPr>
          <w:p w14:paraId="69BAAF9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8078</w:t>
            </w:r>
          </w:p>
        </w:tc>
      </w:tr>
      <w:tr w:rsidR="00C91EDD" w:rsidRPr="00151B48" w14:paraId="7D2FD94D"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1992C311" w14:textId="481B60D7"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205" w:type="pct"/>
            <w:noWrap/>
            <w:hideMark/>
          </w:tcPr>
          <w:p w14:paraId="2E5228B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0" w:type="auto"/>
            <w:noWrap/>
            <w:hideMark/>
          </w:tcPr>
          <w:p w14:paraId="20F0972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466</w:t>
            </w:r>
          </w:p>
        </w:tc>
        <w:tc>
          <w:tcPr>
            <w:tcW w:w="0" w:type="auto"/>
            <w:noWrap/>
            <w:hideMark/>
          </w:tcPr>
          <w:p w14:paraId="48E450A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2050</w:t>
            </w:r>
          </w:p>
        </w:tc>
        <w:tc>
          <w:tcPr>
            <w:tcW w:w="0" w:type="auto"/>
            <w:noWrap/>
            <w:hideMark/>
          </w:tcPr>
          <w:p w14:paraId="79F6A5B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1188</w:t>
            </w:r>
          </w:p>
        </w:tc>
        <w:tc>
          <w:tcPr>
            <w:tcW w:w="0" w:type="auto"/>
            <w:noWrap/>
            <w:hideMark/>
          </w:tcPr>
          <w:p w14:paraId="0640BDF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737</w:t>
            </w:r>
          </w:p>
        </w:tc>
        <w:tc>
          <w:tcPr>
            <w:tcW w:w="0" w:type="auto"/>
            <w:noWrap/>
            <w:hideMark/>
          </w:tcPr>
          <w:p w14:paraId="7CC48E0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570</w:t>
            </w:r>
          </w:p>
        </w:tc>
        <w:tc>
          <w:tcPr>
            <w:tcW w:w="0" w:type="auto"/>
            <w:noWrap/>
            <w:hideMark/>
          </w:tcPr>
          <w:p w14:paraId="1B8AD3C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408</w:t>
            </w:r>
          </w:p>
        </w:tc>
        <w:tc>
          <w:tcPr>
            <w:tcW w:w="0" w:type="auto"/>
            <w:noWrap/>
            <w:hideMark/>
          </w:tcPr>
          <w:p w14:paraId="37EB5CB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427</w:t>
            </w:r>
          </w:p>
        </w:tc>
        <w:tc>
          <w:tcPr>
            <w:tcW w:w="0" w:type="auto"/>
            <w:noWrap/>
            <w:hideMark/>
          </w:tcPr>
          <w:p w14:paraId="5B51007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448</w:t>
            </w:r>
          </w:p>
        </w:tc>
        <w:tc>
          <w:tcPr>
            <w:tcW w:w="0" w:type="auto"/>
            <w:noWrap/>
            <w:hideMark/>
          </w:tcPr>
          <w:p w14:paraId="4D8BDE9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395</w:t>
            </w:r>
          </w:p>
        </w:tc>
        <w:tc>
          <w:tcPr>
            <w:tcW w:w="0" w:type="auto"/>
            <w:noWrap/>
            <w:hideMark/>
          </w:tcPr>
          <w:p w14:paraId="09E6853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264</w:t>
            </w:r>
          </w:p>
        </w:tc>
        <w:tc>
          <w:tcPr>
            <w:tcW w:w="0" w:type="auto"/>
            <w:noWrap/>
            <w:hideMark/>
          </w:tcPr>
          <w:p w14:paraId="6B918AA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173</w:t>
            </w:r>
          </w:p>
        </w:tc>
        <w:tc>
          <w:tcPr>
            <w:tcW w:w="0" w:type="auto"/>
            <w:noWrap/>
            <w:hideMark/>
          </w:tcPr>
          <w:p w14:paraId="49825781"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98</w:t>
            </w:r>
          </w:p>
        </w:tc>
        <w:tc>
          <w:tcPr>
            <w:tcW w:w="0" w:type="auto"/>
            <w:noWrap/>
            <w:hideMark/>
          </w:tcPr>
          <w:p w14:paraId="2863DA7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64</w:t>
            </w:r>
          </w:p>
        </w:tc>
        <w:tc>
          <w:tcPr>
            <w:tcW w:w="0" w:type="auto"/>
            <w:noWrap/>
            <w:hideMark/>
          </w:tcPr>
          <w:p w14:paraId="19C1B31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w:t>
            </w:r>
          </w:p>
        </w:tc>
        <w:tc>
          <w:tcPr>
            <w:tcW w:w="0" w:type="auto"/>
            <w:noWrap/>
            <w:hideMark/>
          </w:tcPr>
          <w:p w14:paraId="370076B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w:t>
            </w:r>
          </w:p>
        </w:tc>
        <w:tc>
          <w:tcPr>
            <w:tcW w:w="0" w:type="auto"/>
            <w:noWrap/>
            <w:hideMark/>
          </w:tcPr>
          <w:p w14:paraId="27D6F98A"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7404</w:t>
            </w:r>
          </w:p>
        </w:tc>
      </w:tr>
      <w:tr w:rsidR="00C91EDD" w:rsidRPr="00151B48" w14:paraId="1510AF0A"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5" w:type="pct"/>
            <w:noWrap/>
            <w:hideMark/>
          </w:tcPr>
          <w:p w14:paraId="2FB06BB0" w14:textId="1EB0FFDF"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205" w:type="pct"/>
            <w:noWrap/>
            <w:hideMark/>
          </w:tcPr>
          <w:p w14:paraId="1E201D9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51B48">
              <w:rPr>
                <w:rFonts w:eastAsia="Times New Roman" w:cs="Times New Roman"/>
                <w:sz w:val="20"/>
                <w:szCs w:val="20"/>
                <w:lang w:eastAsia="en-AU"/>
              </w:rPr>
              <w:t>0</w:t>
            </w:r>
          </w:p>
        </w:tc>
        <w:tc>
          <w:tcPr>
            <w:tcW w:w="0" w:type="auto"/>
            <w:noWrap/>
            <w:hideMark/>
          </w:tcPr>
          <w:p w14:paraId="511B53B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464</w:t>
            </w:r>
          </w:p>
        </w:tc>
        <w:tc>
          <w:tcPr>
            <w:tcW w:w="0" w:type="auto"/>
            <w:noWrap/>
            <w:hideMark/>
          </w:tcPr>
          <w:p w14:paraId="20666520"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1852</w:t>
            </w:r>
          </w:p>
        </w:tc>
        <w:tc>
          <w:tcPr>
            <w:tcW w:w="0" w:type="auto"/>
            <w:noWrap/>
            <w:hideMark/>
          </w:tcPr>
          <w:p w14:paraId="13423C7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1126</w:t>
            </w:r>
          </w:p>
        </w:tc>
        <w:tc>
          <w:tcPr>
            <w:tcW w:w="0" w:type="auto"/>
            <w:noWrap/>
            <w:hideMark/>
          </w:tcPr>
          <w:p w14:paraId="6F1671C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726</w:t>
            </w:r>
          </w:p>
        </w:tc>
        <w:tc>
          <w:tcPr>
            <w:tcW w:w="0" w:type="auto"/>
            <w:noWrap/>
            <w:hideMark/>
          </w:tcPr>
          <w:p w14:paraId="4B17C33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498</w:t>
            </w:r>
          </w:p>
        </w:tc>
        <w:tc>
          <w:tcPr>
            <w:tcW w:w="0" w:type="auto"/>
            <w:noWrap/>
            <w:hideMark/>
          </w:tcPr>
          <w:p w14:paraId="69AA2DB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402</w:t>
            </w:r>
          </w:p>
        </w:tc>
        <w:tc>
          <w:tcPr>
            <w:tcW w:w="0" w:type="auto"/>
            <w:noWrap/>
            <w:hideMark/>
          </w:tcPr>
          <w:p w14:paraId="40A8998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367</w:t>
            </w:r>
          </w:p>
        </w:tc>
        <w:tc>
          <w:tcPr>
            <w:tcW w:w="0" w:type="auto"/>
            <w:noWrap/>
            <w:hideMark/>
          </w:tcPr>
          <w:p w14:paraId="1F17886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440</w:t>
            </w:r>
          </w:p>
        </w:tc>
        <w:tc>
          <w:tcPr>
            <w:tcW w:w="0" w:type="auto"/>
            <w:noWrap/>
            <w:hideMark/>
          </w:tcPr>
          <w:p w14:paraId="64D954A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284</w:t>
            </w:r>
          </w:p>
        </w:tc>
        <w:tc>
          <w:tcPr>
            <w:tcW w:w="0" w:type="auto"/>
            <w:noWrap/>
            <w:hideMark/>
          </w:tcPr>
          <w:p w14:paraId="0092489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265</w:t>
            </w:r>
          </w:p>
        </w:tc>
        <w:tc>
          <w:tcPr>
            <w:tcW w:w="0" w:type="auto"/>
            <w:noWrap/>
            <w:hideMark/>
          </w:tcPr>
          <w:p w14:paraId="06F7973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164</w:t>
            </w:r>
          </w:p>
        </w:tc>
        <w:tc>
          <w:tcPr>
            <w:tcW w:w="0" w:type="auto"/>
            <w:noWrap/>
            <w:hideMark/>
          </w:tcPr>
          <w:p w14:paraId="63718C1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112</w:t>
            </w:r>
          </w:p>
        </w:tc>
        <w:tc>
          <w:tcPr>
            <w:tcW w:w="0" w:type="auto"/>
            <w:noWrap/>
            <w:hideMark/>
          </w:tcPr>
          <w:p w14:paraId="161976D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64</w:t>
            </w:r>
          </w:p>
        </w:tc>
        <w:tc>
          <w:tcPr>
            <w:tcW w:w="0" w:type="auto"/>
            <w:noWrap/>
            <w:hideMark/>
          </w:tcPr>
          <w:p w14:paraId="69F1C62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59</w:t>
            </w:r>
          </w:p>
        </w:tc>
        <w:tc>
          <w:tcPr>
            <w:tcW w:w="0" w:type="auto"/>
            <w:noWrap/>
            <w:hideMark/>
          </w:tcPr>
          <w:p w14:paraId="7B4C16D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95</w:t>
            </w:r>
          </w:p>
        </w:tc>
        <w:tc>
          <w:tcPr>
            <w:tcW w:w="0" w:type="auto"/>
            <w:noWrap/>
            <w:hideMark/>
          </w:tcPr>
          <w:p w14:paraId="3115314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6918</w:t>
            </w:r>
          </w:p>
        </w:tc>
      </w:tr>
    </w:tbl>
    <w:p w14:paraId="356126DB" w14:textId="3CD7A1D5" w:rsidR="00344F4C" w:rsidRPr="00D01132" w:rsidRDefault="00344F4C" w:rsidP="00D01132">
      <w:pPr>
        <w:pStyle w:val="Heading5"/>
        <w:rPr>
          <w:rStyle w:val="BookTitle"/>
          <w:b w:val="0"/>
          <w:bCs w:val="0"/>
          <w:i w:val="0"/>
          <w:iCs w:val="0"/>
          <w:spacing w:val="0"/>
        </w:rPr>
      </w:pPr>
      <w:r w:rsidRPr="00D01132">
        <w:rPr>
          <w:rStyle w:val="BookTitle"/>
          <w:b w:val="0"/>
          <w:bCs w:val="0"/>
          <w:i w:val="0"/>
          <w:iCs w:val="0"/>
          <w:spacing w:val="0"/>
        </w:rPr>
        <w:t>Paracetamol poisoning admissions in Australia – Females</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39"/>
        <w:gridCol w:w="728"/>
        <w:gridCol w:w="728"/>
        <w:gridCol w:w="734"/>
        <w:gridCol w:w="741"/>
        <w:gridCol w:w="741"/>
        <w:gridCol w:w="734"/>
        <w:gridCol w:w="734"/>
        <w:gridCol w:w="734"/>
        <w:gridCol w:w="734"/>
        <w:gridCol w:w="734"/>
        <w:gridCol w:w="734"/>
        <w:gridCol w:w="734"/>
        <w:gridCol w:w="734"/>
        <w:gridCol w:w="734"/>
        <w:gridCol w:w="728"/>
        <w:gridCol w:w="728"/>
        <w:gridCol w:w="735"/>
        <w:gridCol w:w="750"/>
      </w:tblGrid>
      <w:tr w:rsidR="005C74AB" w:rsidRPr="005C74AB" w14:paraId="5375F663"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1A8FCBA8"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Ref year </w:t>
            </w:r>
          </w:p>
        </w:tc>
        <w:tc>
          <w:tcPr>
            <w:tcW w:w="765" w:type="dxa"/>
            <w:tcBorders>
              <w:top w:val="single" w:sz="6" w:space="0" w:color="666666"/>
              <w:left w:val="nil"/>
              <w:bottom w:val="single" w:sz="6" w:space="0" w:color="666666"/>
              <w:right w:val="nil"/>
            </w:tcBorders>
            <w:shd w:val="clear" w:color="auto" w:fill="auto"/>
            <w:hideMark/>
          </w:tcPr>
          <w:p w14:paraId="1984BED4"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00-04 </w:t>
            </w:r>
          </w:p>
        </w:tc>
        <w:tc>
          <w:tcPr>
            <w:tcW w:w="765" w:type="dxa"/>
            <w:tcBorders>
              <w:top w:val="single" w:sz="6" w:space="0" w:color="666666"/>
              <w:left w:val="nil"/>
              <w:bottom w:val="single" w:sz="6" w:space="0" w:color="666666"/>
              <w:right w:val="nil"/>
            </w:tcBorders>
            <w:shd w:val="clear" w:color="auto" w:fill="auto"/>
            <w:hideMark/>
          </w:tcPr>
          <w:p w14:paraId="149999D8"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05--09 </w:t>
            </w:r>
          </w:p>
        </w:tc>
        <w:tc>
          <w:tcPr>
            <w:tcW w:w="765" w:type="dxa"/>
            <w:tcBorders>
              <w:top w:val="single" w:sz="6" w:space="0" w:color="666666"/>
              <w:left w:val="nil"/>
              <w:bottom w:val="single" w:sz="6" w:space="0" w:color="666666"/>
              <w:right w:val="nil"/>
            </w:tcBorders>
            <w:shd w:val="clear" w:color="auto" w:fill="auto"/>
            <w:hideMark/>
          </w:tcPr>
          <w:p w14:paraId="63AFAA3D"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10--14 </w:t>
            </w:r>
          </w:p>
        </w:tc>
        <w:tc>
          <w:tcPr>
            <w:tcW w:w="765" w:type="dxa"/>
            <w:tcBorders>
              <w:top w:val="single" w:sz="6" w:space="0" w:color="666666"/>
              <w:left w:val="nil"/>
              <w:bottom w:val="single" w:sz="6" w:space="0" w:color="666666"/>
              <w:right w:val="nil"/>
            </w:tcBorders>
            <w:shd w:val="clear" w:color="auto" w:fill="auto"/>
            <w:hideMark/>
          </w:tcPr>
          <w:p w14:paraId="6522DDE5"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15-19 </w:t>
            </w:r>
          </w:p>
        </w:tc>
        <w:tc>
          <w:tcPr>
            <w:tcW w:w="765" w:type="dxa"/>
            <w:tcBorders>
              <w:top w:val="single" w:sz="6" w:space="0" w:color="666666"/>
              <w:left w:val="nil"/>
              <w:bottom w:val="single" w:sz="6" w:space="0" w:color="666666"/>
              <w:right w:val="nil"/>
            </w:tcBorders>
            <w:shd w:val="clear" w:color="auto" w:fill="auto"/>
            <w:hideMark/>
          </w:tcPr>
          <w:p w14:paraId="05A77E13"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20-24 </w:t>
            </w:r>
          </w:p>
        </w:tc>
        <w:tc>
          <w:tcPr>
            <w:tcW w:w="765" w:type="dxa"/>
            <w:tcBorders>
              <w:top w:val="single" w:sz="6" w:space="0" w:color="666666"/>
              <w:left w:val="nil"/>
              <w:bottom w:val="single" w:sz="6" w:space="0" w:color="666666"/>
              <w:right w:val="nil"/>
            </w:tcBorders>
            <w:shd w:val="clear" w:color="auto" w:fill="auto"/>
            <w:hideMark/>
          </w:tcPr>
          <w:p w14:paraId="059C5741"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25-29 </w:t>
            </w:r>
          </w:p>
        </w:tc>
        <w:tc>
          <w:tcPr>
            <w:tcW w:w="765" w:type="dxa"/>
            <w:tcBorders>
              <w:top w:val="single" w:sz="6" w:space="0" w:color="666666"/>
              <w:left w:val="nil"/>
              <w:bottom w:val="single" w:sz="6" w:space="0" w:color="666666"/>
              <w:right w:val="nil"/>
            </w:tcBorders>
            <w:shd w:val="clear" w:color="auto" w:fill="auto"/>
            <w:hideMark/>
          </w:tcPr>
          <w:p w14:paraId="59CBFC81"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30-34 </w:t>
            </w:r>
          </w:p>
        </w:tc>
        <w:tc>
          <w:tcPr>
            <w:tcW w:w="765" w:type="dxa"/>
            <w:tcBorders>
              <w:top w:val="single" w:sz="6" w:space="0" w:color="666666"/>
              <w:left w:val="nil"/>
              <w:bottom w:val="single" w:sz="6" w:space="0" w:color="666666"/>
              <w:right w:val="nil"/>
            </w:tcBorders>
            <w:shd w:val="clear" w:color="auto" w:fill="auto"/>
            <w:hideMark/>
          </w:tcPr>
          <w:p w14:paraId="01A2BAEE"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35-39 </w:t>
            </w:r>
          </w:p>
        </w:tc>
        <w:tc>
          <w:tcPr>
            <w:tcW w:w="765" w:type="dxa"/>
            <w:tcBorders>
              <w:top w:val="single" w:sz="6" w:space="0" w:color="666666"/>
              <w:left w:val="nil"/>
              <w:bottom w:val="single" w:sz="6" w:space="0" w:color="666666"/>
              <w:right w:val="nil"/>
            </w:tcBorders>
            <w:shd w:val="clear" w:color="auto" w:fill="auto"/>
            <w:hideMark/>
          </w:tcPr>
          <w:p w14:paraId="5AE9FCAC"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40-44 </w:t>
            </w:r>
          </w:p>
        </w:tc>
        <w:tc>
          <w:tcPr>
            <w:tcW w:w="765" w:type="dxa"/>
            <w:tcBorders>
              <w:top w:val="single" w:sz="6" w:space="0" w:color="666666"/>
              <w:left w:val="nil"/>
              <w:bottom w:val="single" w:sz="6" w:space="0" w:color="666666"/>
              <w:right w:val="nil"/>
            </w:tcBorders>
            <w:shd w:val="clear" w:color="auto" w:fill="auto"/>
            <w:hideMark/>
          </w:tcPr>
          <w:p w14:paraId="5D8F45E0"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45-49 </w:t>
            </w:r>
          </w:p>
        </w:tc>
        <w:tc>
          <w:tcPr>
            <w:tcW w:w="765" w:type="dxa"/>
            <w:tcBorders>
              <w:top w:val="single" w:sz="6" w:space="0" w:color="666666"/>
              <w:left w:val="nil"/>
              <w:bottom w:val="single" w:sz="6" w:space="0" w:color="666666"/>
              <w:right w:val="nil"/>
            </w:tcBorders>
            <w:shd w:val="clear" w:color="auto" w:fill="auto"/>
            <w:hideMark/>
          </w:tcPr>
          <w:p w14:paraId="5C787D30"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50-54 </w:t>
            </w:r>
          </w:p>
        </w:tc>
        <w:tc>
          <w:tcPr>
            <w:tcW w:w="765" w:type="dxa"/>
            <w:tcBorders>
              <w:top w:val="single" w:sz="6" w:space="0" w:color="666666"/>
              <w:left w:val="nil"/>
              <w:bottom w:val="single" w:sz="6" w:space="0" w:color="666666"/>
              <w:right w:val="nil"/>
            </w:tcBorders>
            <w:shd w:val="clear" w:color="auto" w:fill="auto"/>
            <w:hideMark/>
          </w:tcPr>
          <w:p w14:paraId="156779F9"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55-59 </w:t>
            </w:r>
          </w:p>
        </w:tc>
        <w:tc>
          <w:tcPr>
            <w:tcW w:w="765" w:type="dxa"/>
            <w:tcBorders>
              <w:top w:val="single" w:sz="6" w:space="0" w:color="666666"/>
              <w:left w:val="nil"/>
              <w:bottom w:val="single" w:sz="6" w:space="0" w:color="666666"/>
              <w:right w:val="nil"/>
            </w:tcBorders>
            <w:shd w:val="clear" w:color="auto" w:fill="auto"/>
            <w:hideMark/>
          </w:tcPr>
          <w:p w14:paraId="3DBF0FA3"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60-64 </w:t>
            </w:r>
          </w:p>
        </w:tc>
        <w:tc>
          <w:tcPr>
            <w:tcW w:w="765" w:type="dxa"/>
            <w:tcBorders>
              <w:top w:val="single" w:sz="6" w:space="0" w:color="666666"/>
              <w:left w:val="nil"/>
              <w:bottom w:val="single" w:sz="6" w:space="0" w:color="666666"/>
              <w:right w:val="nil"/>
            </w:tcBorders>
            <w:shd w:val="clear" w:color="auto" w:fill="auto"/>
            <w:hideMark/>
          </w:tcPr>
          <w:p w14:paraId="65C7B34F"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65-69 </w:t>
            </w:r>
          </w:p>
        </w:tc>
        <w:tc>
          <w:tcPr>
            <w:tcW w:w="765" w:type="dxa"/>
            <w:tcBorders>
              <w:top w:val="single" w:sz="6" w:space="0" w:color="666666"/>
              <w:left w:val="nil"/>
              <w:bottom w:val="single" w:sz="6" w:space="0" w:color="666666"/>
              <w:right w:val="nil"/>
            </w:tcBorders>
            <w:shd w:val="clear" w:color="auto" w:fill="auto"/>
            <w:hideMark/>
          </w:tcPr>
          <w:p w14:paraId="3936C866"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70-74 </w:t>
            </w:r>
          </w:p>
        </w:tc>
        <w:tc>
          <w:tcPr>
            <w:tcW w:w="765" w:type="dxa"/>
            <w:tcBorders>
              <w:top w:val="single" w:sz="6" w:space="0" w:color="666666"/>
              <w:left w:val="nil"/>
              <w:bottom w:val="single" w:sz="6" w:space="0" w:color="666666"/>
              <w:right w:val="nil"/>
            </w:tcBorders>
            <w:shd w:val="clear" w:color="auto" w:fill="auto"/>
            <w:hideMark/>
          </w:tcPr>
          <w:p w14:paraId="05B2BDB6"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75-79 </w:t>
            </w:r>
          </w:p>
        </w:tc>
        <w:tc>
          <w:tcPr>
            <w:tcW w:w="765" w:type="dxa"/>
            <w:tcBorders>
              <w:top w:val="single" w:sz="6" w:space="0" w:color="666666"/>
              <w:left w:val="nil"/>
              <w:bottom w:val="single" w:sz="6" w:space="0" w:color="666666"/>
              <w:right w:val="nil"/>
            </w:tcBorders>
            <w:shd w:val="clear" w:color="auto" w:fill="auto"/>
            <w:hideMark/>
          </w:tcPr>
          <w:p w14:paraId="35249BA0"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80+ </w:t>
            </w:r>
          </w:p>
        </w:tc>
        <w:tc>
          <w:tcPr>
            <w:tcW w:w="765" w:type="dxa"/>
            <w:tcBorders>
              <w:top w:val="single" w:sz="6" w:space="0" w:color="666666"/>
              <w:left w:val="nil"/>
              <w:bottom w:val="single" w:sz="6" w:space="0" w:color="666666"/>
              <w:right w:val="nil"/>
            </w:tcBorders>
            <w:shd w:val="clear" w:color="auto" w:fill="auto"/>
            <w:hideMark/>
          </w:tcPr>
          <w:p w14:paraId="58731EEB" w14:textId="77777777"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Grand Total </w:t>
            </w:r>
          </w:p>
        </w:tc>
      </w:tr>
      <w:tr w:rsidR="005C74AB" w:rsidRPr="005C74AB" w14:paraId="5396CEE7" w14:textId="77777777" w:rsidTr="005C74AB">
        <w:trPr>
          <w:trHeight w:val="270"/>
        </w:trPr>
        <w:tc>
          <w:tcPr>
            <w:tcW w:w="765" w:type="dxa"/>
            <w:tcBorders>
              <w:top w:val="single" w:sz="6" w:space="0" w:color="666666"/>
              <w:left w:val="nil"/>
              <w:bottom w:val="single" w:sz="6" w:space="0" w:color="666666"/>
              <w:right w:val="nil"/>
            </w:tcBorders>
            <w:shd w:val="clear" w:color="auto" w:fill="CCCCCC"/>
            <w:hideMark/>
          </w:tcPr>
          <w:p w14:paraId="6F7A05B6" w14:textId="2F5B1C13"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9</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10 </w:t>
            </w:r>
          </w:p>
        </w:tc>
        <w:tc>
          <w:tcPr>
            <w:tcW w:w="765" w:type="dxa"/>
            <w:tcBorders>
              <w:top w:val="single" w:sz="6" w:space="0" w:color="666666"/>
              <w:left w:val="nil"/>
              <w:bottom w:val="single" w:sz="6" w:space="0" w:color="666666"/>
              <w:right w:val="nil"/>
            </w:tcBorders>
            <w:shd w:val="clear" w:color="auto" w:fill="CCCCCC"/>
            <w:hideMark/>
          </w:tcPr>
          <w:p w14:paraId="3739F77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60 </w:t>
            </w:r>
          </w:p>
        </w:tc>
        <w:tc>
          <w:tcPr>
            <w:tcW w:w="765" w:type="dxa"/>
            <w:tcBorders>
              <w:top w:val="single" w:sz="6" w:space="0" w:color="666666"/>
              <w:left w:val="nil"/>
              <w:bottom w:val="single" w:sz="6" w:space="0" w:color="666666"/>
              <w:right w:val="nil"/>
            </w:tcBorders>
            <w:shd w:val="clear" w:color="auto" w:fill="CCCCCC"/>
            <w:hideMark/>
          </w:tcPr>
          <w:p w14:paraId="45D7CD9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9 </w:t>
            </w:r>
          </w:p>
        </w:tc>
        <w:tc>
          <w:tcPr>
            <w:tcW w:w="765" w:type="dxa"/>
            <w:tcBorders>
              <w:top w:val="single" w:sz="6" w:space="0" w:color="666666"/>
              <w:left w:val="nil"/>
              <w:bottom w:val="single" w:sz="6" w:space="0" w:color="666666"/>
              <w:right w:val="nil"/>
            </w:tcBorders>
            <w:shd w:val="clear" w:color="auto" w:fill="CCCCCC"/>
            <w:hideMark/>
          </w:tcPr>
          <w:p w14:paraId="02F65A7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269 </w:t>
            </w:r>
          </w:p>
        </w:tc>
        <w:tc>
          <w:tcPr>
            <w:tcW w:w="765" w:type="dxa"/>
            <w:tcBorders>
              <w:top w:val="single" w:sz="6" w:space="0" w:color="666666"/>
              <w:left w:val="nil"/>
              <w:bottom w:val="single" w:sz="6" w:space="0" w:color="666666"/>
              <w:right w:val="nil"/>
            </w:tcBorders>
            <w:shd w:val="clear" w:color="auto" w:fill="CCCCCC"/>
            <w:hideMark/>
          </w:tcPr>
          <w:p w14:paraId="3FF96DC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1382 </w:t>
            </w:r>
          </w:p>
        </w:tc>
        <w:tc>
          <w:tcPr>
            <w:tcW w:w="765" w:type="dxa"/>
            <w:tcBorders>
              <w:top w:val="single" w:sz="6" w:space="0" w:color="666666"/>
              <w:left w:val="nil"/>
              <w:bottom w:val="single" w:sz="6" w:space="0" w:color="666666"/>
              <w:right w:val="nil"/>
            </w:tcBorders>
            <w:shd w:val="clear" w:color="auto" w:fill="CCCCCC"/>
            <w:hideMark/>
          </w:tcPr>
          <w:p w14:paraId="5EF66B3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908 </w:t>
            </w:r>
          </w:p>
        </w:tc>
        <w:tc>
          <w:tcPr>
            <w:tcW w:w="765" w:type="dxa"/>
            <w:tcBorders>
              <w:top w:val="single" w:sz="6" w:space="0" w:color="666666"/>
              <w:left w:val="nil"/>
              <w:bottom w:val="single" w:sz="6" w:space="0" w:color="666666"/>
              <w:right w:val="nil"/>
            </w:tcBorders>
            <w:shd w:val="clear" w:color="auto" w:fill="CCCCCC"/>
            <w:hideMark/>
          </w:tcPr>
          <w:p w14:paraId="2E7C766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560 </w:t>
            </w:r>
          </w:p>
        </w:tc>
        <w:tc>
          <w:tcPr>
            <w:tcW w:w="765" w:type="dxa"/>
            <w:tcBorders>
              <w:top w:val="single" w:sz="6" w:space="0" w:color="666666"/>
              <w:left w:val="nil"/>
              <w:bottom w:val="single" w:sz="6" w:space="0" w:color="666666"/>
              <w:right w:val="nil"/>
            </w:tcBorders>
            <w:shd w:val="clear" w:color="auto" w:fill="CCCCCC"/>
            <w:hideMark/>
          </w:tcPr>
          <w:p w14:paraId="77D7EBB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518 </w:t>
            </w:r>
          </w:p>
        </w:tc>
        <w:tc>
          <w:tcPr>
            <w:tcW w:w="765" w:type="dxa"/>
            <w:tcBorders>
              <w:top w:val="single" w:sz="6" w:space="0" w:color="666666"/>
              <w:left w:val="nil"/>
              <w:bottom w:val="single" w:sz="6" w:space="0" w:color="666666"/>
              <w:right w:val="nil"/>
            </w:tcBorders>
            <w:shd w:val="clear" w:color="auto" w:fill="CCCCCC"/>
            <w:hideMark/>
          </w:tcPr>
          <w:p w14:paraId="317ACD8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536 </w:t>
            </w:r>
          </w:p>
        </w:tc>
        <w:tc>
          <w:tcPr>
            <w:tcW w:w="765" w:type="dxa"/>
            <w:tcBorders>
              <w:top w:val="single" w:sz="6" w:space="0" w:color="666666"/>
              <w:left w:val="nil"/>
              <w:bottom w:val="single" w:sz="6" w:space="0" w:color="666666"/>
              <w:right w:val="nil"/>
            </w:tcBorders>
            <w:shd w:val="clear" w:color="auto" w:fill="CCCCCC"/>
            <w:hideMark/>
          </w:tcPr>
          <w:p w14:paraId="4F2CA70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507 </w:t>
            </w:r>
          </w:p>
        </w:tc>
        <w:tc>
          <w:tcPr>
            <w:tcW w:w="765" w:type="dxa"/>
            <w:tcBorders>
              <w:top w:val="single" w:sz="6" w:space="0" w:color="666666"/>
              <w:left w:val="nil"/>
              <w:bottom w:val="single" w:sz="6" w:space="0" w:color="666666"/>
              <w:right w:val="nil"/>
            </w:tcBorders>
            <w:shd w:val="clear" w:color="auto" w:fill="CCCCCC"/>
            <w:hideMark/>
          </w:tcPr>
          <w:p w14:paraId="7F10038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505 </w:t>
            </w:r>
          </w:p>
        </w:tc>
        <w:tc>
          <w:tcPr>
            <w:tcW w:w="765" w:type="dxa"/>
            <w:tcBorders>
              <w:top w:val="single" w:sz="6" w:space="0" w:color="666666"/>
              <w:left w:val="nil"/>
              <w:bottom w:val="single" w:sz="6" w:space="0" w:color="666666"/>
              <w:right w:val="nil"/>
            </w:tcBorders>
            <w:shd w:val="clear" w:color="auto" w:fill="CCCCCC"/>
            <w:hideMark/>
          </w:tcPr>
          <w:p w14:paraId="2464C31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302 </w:t>
            </w:r>
          </w:p>
        </w:tc>
        <w:tc>
          <w:tcPr>
            <w:tcW w:w="765" w:type="dxa"/>
            <w:tcBorders>
              <w:top w:val="single" w:sz="6" w:space="0" w:color="666666"/>
              <w:left w:val="nil"/>
              <w:bottom w:val="single" w:sz="6" w:space="0" w:color="666666"/>
              <w:right w:val="nil"/>
            </w:tcBorders>
            <w:shd w:val="clear" w:color="auto" w:fill="CCCCCC"/>
            <w:hideMark/>
          </w:tcPr>
          <w:p w14:paraId="489D09D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209 </w:t>
            </w:r>
          </w:p>
        </w:tc>
        <w:tc>
          <w:tcPr>
            <w:tcW w:w="765" w:type="dxa"/>
            <w:tcBorders>
              <w:top w:val="single" w:sz="6" w:space="0" w:color="666666"/>
              <w:left w:val="nil"/>
              <w:bottom w:val="single" w:sz="6" w:space="0" w:color="666666"/>
              <w:right w:val="nil"/>
            </w:tcBorders>
            <w:shd w:val="clear" w:color="auto" w:fill="CCCCCC"/>
            <w:hideMark/>
          </w:tcPr>
          <w:p w14:paraId="4B90728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118 </w:t>
            </w:r>
          </w:p>
        </w:tc>
        <w:tc>
          <w:tcPr>
            <w:tcW w:w="765" w:type="dxa"/>
            <w:tcBorders>
              <w:top w:val="single" w:sz="6" w:space="0" w:color="666666"/>
              <w:left w:val="nil"/>
              <w:bottom w:val="single" w:sz="6" w:space="0" w:color="666666"/>
              <w:right w:val="nil"/>
            </w:tcBorders>
            <w:shd w:val="clear" w:color="auto" w:fill="CCCCCC"/>
            <w:hideMark/>
          </w:tcPr>
          <w:p w14:paraId="7F874A1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54 </w:t>
            </w:r>
          </w:p>
        </w:tc>
        <w:tc>
          <w:tcPr>
            <w:tcW w:w="765" w:type="dxa"/>
            <w:tcBorders>
              <w:top w:val="single" w:sz="6" w:space="0" w:color="666666"/>
              <w:left w:val="nil"/>
              <w:bottom w:val="single" w:sz="6" w:space="0" w:color="666666"/>
              <w:right w:val="nil"/>
            </w:tcBorders>
            <w:shd w:val="clear" w:color="auto" w:fill="CCCCCC"/>
            <w:hideMark/>
          </w:tcPr>
          <w:p w14:paraId="0432170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44 </w:t>
            </w:r>
          </w:p>
        </w:tc>
        <w:tc>
          <w:tcPr>
            <w:tcW w:w="765" w:type="dxa"/>
            <w:tcBorders>
              <w:top w:val="single" w:sz="6" w:space="0" w:color="666666"/>
              <w:left w:val="nil"/>
              <w:bottom w:val="single" w:sz="6" w:space="0" w:color="666666"/>
              <w:right w:val="nil"/>
            </w:tcBorders>
            <w:shd w:val="clear" w:color="auto" w:fill="CCCCCC"/>
            <w:hideMark/>
          </w:tcPr>
          <w:p w14:paraId="10AACDF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26 </w:t>
            </w:r>
          </w:p>
        </w:tc>
        <w:tc>
          <w:tcPr>
            <w:tcW w:w="765" w:type="dxa"/>
            <w:tcBorders>
              <w:top w:val="single" w:sz="6" w:space="0" w:color="666666"/>
              <w:left w:val="nil"/>
              <w:bottom w:val="single" w:sz="6" w:space="0" w:color="666666"/>
              <w:right w:val="nil"/>
            </w:tcBorders>
            <w:shd w:val="clear" w:color="auto" w:fill="CCCCCC"/>
            <w:hideMark/>
          </w:tcPr>
          <w:p w14:paraId="03ABABA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62 </w:t>
            </w:r>
          </w:p>
        </w:tc>
        <w:tc>
          <w:tcPr>
            <w:tcW w:w="765" w:type="dxa"/>
            <w:tcBorders>
              <w:top w:val="single" w:sz="6" w:space="0" w:color="666666"/>
              <w:left w:val="nil"/>
              <w:bottom w:val="single" w:sz="6" w:space="0" w:color="666666"/>
              <w:right w:val="nil"/>
            </w:tcBorders>
            <w:shd w:val="clear" w:color="auto" w:fill="CCCCCC"/>
            <w:hideMark/>
          </w:tcPr>
          <w:p w14:paraId="6BE537B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6069 </w:t>
            </w:r>
          </w:p>
        </w:tc>
      </w:tr>
      <w:tr w:rsidR="005C74AB" w:rsidRPr="005C74AB" w14:paraId="5F1F9AC8"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5B8C5DF1" w14:textId="5550DDEB"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10</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11 </w:t>
            </w:r>
          </w:p>
        </w:tc>
        <w:tc>
          <w:tcPr>
            <w:tcW w:w="765" w:type="dxa"/>
            <w:tcBorders>
              <w:top w:val="single" w:sz="6" w:space="0" w:color="666666"/>
              <w:left w:val="nil"/>
              <w:bottom w:val="single" w:sz="6" w:space="0" w:color="666666"/>
              <w:right w:val="nil"/>
            </w:tcBorders>
            <w:shd w:val="clear" w:color="auto" w:fill="auto"/>
            <w:hideMark/>
          </w:tcPr>
          <w:p w14:paraId="32FCC13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71 </w:t>
            </w:r>
          </w:p>
        </w:tc>
        <w:tc>
          <w:tcPr>
            <w:tcW w:w="765" w:type="dxa"/>
            <w:tcBorders>
              <w:top w:val="single" w:sz="6" w:space="0" w:color="666666"/>
              <w:left w:val="nil"/>
              <w:bottom w:val="single" w:sz="6" w:space="0" w:color="666666"/>
              <w:right w:val="nil"/>
            </w:tcBorders>
            <w:shd w:val="clear" w:color="auto" w:fill="auto"/>
            <w:hideMark/>
          </w:tcPr>
          <w:p w14:paraId="258D2C9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3 </w:t>
            </w:r>
          </w:p>
        </w:tc>
        <w:tc>
          <w:tcPr>
            <w:tcW w:w="765" w:type="dxa"/>
            <w:tcBorders>
              <w:top w:val="single" w:sz="6" w:space="0" w:color="666666"/>
              <w:left w:val="nil"/>
              <w:bottom w:val="single" w:sz="6" w:space="0" w:color="666666"/>
              <w:right w:val="nil"/>
            </w:tcBorders>
            <w:shd w:val="clear" w:color="auto" w:fill="auto"/>
            <w:hideMark/>
          </w:tcPr>
          <w:p w14:paraId="33F3FC3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293 </w:t>
            </w:r>
          </w:p>
        </w:tc>
        <w:tc>
          <w:tcPr>
            <w:tcW w:w="765" w:type="dxa"/>
            <w:tcBorders>
              <w:top w:val="single" w:sz="6" w:space="0" w:color="666666"/>
              <w:left w:val="nil"/>
              <w:bottom w:val="single" w:sz="6" w:space="0" w:color="666666"/>
              <w:right w:val="nil"/>
            </w:tcBorders>
            <w:shd w:val="clear" w:color="auto" w:fill="auto"/>
            <w:hideMark/>
          </w:tcPr>
          <w:p w14:paraId="321E8FC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1594 </w:t>
            </w:r>
          </w:p>
        </w:tc>
        <w:tc>
          <w:tcPr>
            <w:tcW w:w="765" w:type="dxa"/>
            <w:tcBorders>
              <w:top w:val="single" w:sz="6" w:space="0" w:color="666666"/>
              <w:left w:val="nil"/>
              <w:bottom w:val="single" w:sz="6" w:space="0" w:color="666666"/>
              <w:right w:val="nil"/>
            </w:tcBorders>
            <w:shd w:val="clear" w:color="auto" w:fill="auto"/>
            <w:hideMark/>
          </w:tcPr>
          <w:p w14:paraId="597EDD6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884 </w:t>
            </w:r>
          </w:p>
        </w:tc>
        <w:tc>
          <w:tcPr>
            <w:tcW w:w="765" w:type="dxa"/>
            <w:tcBorders>
              <w:top w:val="single" w:sz="6" w:space="0" w:color="666666"/>
              <w:left w:val="nil"/>
              <w:bottom w:val="single" w:sz="6" w:space="0" w:color="666666"/>
              <w:right w:val="nil"/>
            </w:tcBorders>
            <w:shd w:val="clear" w:color="auto" w:fill="auto"/>
            <w:hideMark/>
          </w:tcPr>
          <w:p w14:paraId="7300618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541 </w:t>
            </w:r>
          </w:p>
        </w:tc>
        <w:tc>
          <w:tcPr>
            <w:tcW w:w="765" w:type="dxa"/>
            <w:tcBorders>
              <w:top w:val="single" w:sz="6" w:space="0" w:color="666666"/>
              <w:left w:val="nil"/>
              <w:bottom w:val="single" w:sz="6" w:space="0" w:color="666666"/>
              <w:right w:val="nil"/>
            </w:tcBorders>
            <w:shd w:val="clear" w:color="auto" w:fill="auto"/>
            <w:hideMark/>
          </w:tcPr>
          <w:p w14:paraId="70AB53B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485 </w:t>
            </w:r>
          </w:p>
        </w:tc>
        <w:tc>
          <w:tcPr>
            <w:tcW w:w="765" w:type="dxa"/>
            <w:tcBorders>
              <w:top w:val="single" w:sz="6" w:space="0" w:color="666666"/>
              <w:left w:val="nil"/>
              <w:bottom w:val="single" w:sz="6" w:space="0" w:color="666666"/>
              <w:right w:val="nil"/>
            </w:tcBorders>
            <w:shd w:val="clear" w:color="auto" w:fill="auto"/>
            <w:hideMark/>
          </w:tcPr>
          <w:p w14:paraId="77B73FC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507 </w:t>
            </w:r>
          </w:p>
        </w:tc>
        <w:tc>
          <w:tcPr>
            <w:tcW w:w="765" w:type="dxa"/>
            <w:tcBorders>
              <w:top w:val="single" w:sz="6" w:space="0" w:color="666666"/>
              <w:left w:val="nil"/>
              <w:bottom w:val="single" w:sz="6" w:space="0" w:color="666666"/>
              <w:right w:val="nil"/>
            </w:tcBorders>
            <w:shd w:val="clear" w:color="auto" w:fill="auto"/>
            <w:hideMark/>
          </w:tcPr>
          <w:p w14:paraId="4C16032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474 </w:t>
            </w:r>
          </w:p>
        </w:tc>
        <w:tc>
          <w:tcPr>
            <w:tcW w:w="765" w:type="dxa"/>
            <w:tcBorders>
              <w:top w:val="single" w:sz="6" w:space="0" w:color="666666"/>
              <w:left w:val="nil"/>
              <w:bottom w:val="single" w:sz="6" w:space="0" w:color="666666"/>
              <w:right w:val="nil"/>
            </w:tcBorders>
            <w:shd w:val="clear" w:color="auto" w:fill="auto"/>
            <w:hideMark/>
          </w:tcPr>
          <w:p w14:paraId="03844EA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418 </w:t>
            </w:r>
          </w:p>
        </w:tc>
        <w:tc>
          <w:tcPr>
            <w:tcW w:w="765" w:type="dxa"/>
            <w:tcBorders>
              <w:top w:val="single" w:sz="6" w:space="0" w:color="666666"/>
              <w:left w:val="nil"/>
              <w:bottom w:val="single" w:sz="6" w:space="0" w:color="666666"/>
              <w:right w:val="nil"/>
            </w:tcBorders>
            <w:shd w:val="clear" w:color="auto" w:fill="auto"/>
            <w:hideMark/>
          </w:tcPr>
          <w:p w14:paraId="05CB3CA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286 </w:t>
            </w:r>
          </w:p>
        </w:tc>
        <w:tc>
          <w:tcPr>
            <w:tcW w:w="765" w:type="dxa"/>
            <w:tcBorders>
              <w:top w:val="single" w:sz="6" w:space="0" w:color="666666"/>
              <w:left w:val="nil"/>
              <w:bottom w:val="single" w:sz="6" w:space="0" w:color="666666"/>
              <w:right w:val="nil"/>
            </w:tcBorders>
            <w:shd w:val="clear" w:color="auto" w:fill="auto"/>
            <w:hideMark/>
          </w:tcPr>
          <w:p w14:paraId="60E3C66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199 </w:t>
            </w:r>
          </w:p>
        </w:tc>
        <w:tc>
          <w:tcPr>
            <w:tcW w:w="765" w:type="dxa"/>
            <w:tcBorders>
              <w:top w:val="single" w:sz="6" w:space="0" w:color="666666"/>
              <w:left w:val="nil"/>
              <w:bottom w:val="single" w:sz="6" w:space="0" w:color="666666"/>
              <w:right w:val="nil"/>
            </w:tcBorders>
            <w:shd w:val="clear" w:color="auto" w:fill="auto"/>
            <w:hideMark/>
          </w:tcPr>
          <w:p w14:paraId="1D3EA26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109 </w:t>
            </w:r>
          </w:p>
        </w:tc>
        <w:tc>
          <w:tcPr>
            <w:tcW w:w="765" w:type="dxa"/>
            <w:tcBorders>
              <w:top w:val="single" w:sz="6" w:space="0" w:color="666666"/>
              <w:left w:val="nil"/>
              <w:bottom w:val="single" w:sz="6" w:space="0" w:color="666666"/>
              <w:right w:val="nil"/>
            </w:tcBorders>
            <w:shd w:val="clear" w:color="auto" w:fill="auto"/>
            <w:hideMark/>
          </w:tcPr>
          <w:p w14:paraId="06E8119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70 </w:t>
            </w:r>
          </w:p>
        </w:tc>
        <w:tc>
          <w:tcPr>
            <w:tcW w:w="765" w:type="dxa"/>
            <w:tcBorders>
              <w:top w:val="single" w:sz="6" w:space="0" w:color="666666"/>
              <w:left w:val="nil"/>
              <w:bottom w:val="single" w:sz="6" w:space="0" w:color="666666"/>
              <w:right w:val="nil"/>
            </w:tcBorders>
            <w:shd w:val="clear" w:color="auto" w:fill="auto"/>
            <w:hideMark/>
          </w:tcPr>
          <w:p w14:paraId="0FF8C4F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35 </w:t>
            </w:r>
          </w:p>
        </w:tc>
        <w:tc>
          <w:tcPr>
            <w:tcW w:w="765" w:type="dxa"/>
            <w:tcBorders>
              <w:top w:val="single" w:sz="6" w:space="0" w:color="666666"/>
              <w:left w:val="nil"/>
              <w:bottom w:val="single" w:sz="6" w:space="0" w:color="666666"/>
              <w:right w:val="nil"/>
            </w:tcBorders>
            <w:shd w:val="clear" w:color="auto" w:fill="auto"/>
            <w:hideMark/>
          </w:tcPr>
          <w:p w14:paraId="55A85CF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34 </w:t>
            </w:r>
          </w:p>
        </w:tc>
        <w:tc>
          <w:tcPr>
            <w:tcW w:w="765" w:type="dxa"/>
            <w:tcBorders>
              <w:top w:val="single" w:sz="6" w:space="0" w:color="666666"/>
              <w:left w:val="nil"/>
              <w:bottom w:val="single" w:sz="6" w:space="0" w:color="666666"/>
              <w:right w:val="nil"/>
            </w:tcBorders>
            <w:shd w:val="clear" w:color="auto" w:fill="auto"/>
            <w:hideMark/>
          </w:tcPr>
          <w:p w14:paraId="3704576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76 </w:t>
            </w:r>
          </w:p>
        </w:tc>
        <w:tc>
          <w:tcPr>
            <w:tcW w:w="765" w:type="dxa"/>
            <w:tcBorders>
              <w:top w:val="single" w:sz="6" w:space="0" w:color="666666"/>
              <w:left w:val="nil"/>
              <w:bottom w:val="single" w:sz="6" w:space="0" w:color="666666"/>
              <w:right w:val="nil"/>
            </w:tcBorders>
            <w:shd w:val="clear" w:color="auto" w:fill="auto"/>
            <w:hideMark/>
          </w:tcPr>
          <w:p w14:paraId="3C99460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6079 </w:t>
            </w:r>
          </w:p>
        </w:tc>
      </w:tr>
      <w:tr w:rsidR="005C74AB" w:rsidRPr="005C74AB" w14:paraId="62D6E902" w14:textId="77777777" w:rsidTr="005C74AB">
        <w:trPr>
          <w:trHeight w:val="270"/>
        </w:trPr>
        <w:tc>
          <w:tcPr>
            <w:tcW w:w="765" w:type="dxa"/>
            <w:tcBorders>
              <w:top w:val="single" w:sz="6" w:space="0" w:color="666666"/>
              <w:left w:val="nil"/>
              <w:bottom w:val="single" w:sz="6" w:space="0" w:color="666666"/>
              <w:right w:val="nil"/>
            </w:tcBorders>
            <w:shd w:val="clear" w:color="auto" w:fill="CCCCCC"/>
            <w:hideMark/>
          </w:tcPr>
          <w:p w14:paraId="5A81E59D" w14:textId="1A5E521F"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11</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12 </w:t>
            </w:r>
          </w:p>
        </w:tc>
        <w:tc>
          <w:tcPr>
            <w:tcW w:w="765" w:type="dxa"/>
            <w:tcBorders>
              <w:top w:val="single" w:sz="6" w:space="0" w:color="666666"/>
              <w:left w:val="nil"/>
              <w:bottom w:val="single" w:sz="6" w:space="0" w:color="666666"/>
              <w:right w:val="nil"/>
            </w:tcBorders>
            <w:shd w:val="clear" w:color="auto" w:fill="CCCCCC"/>
            <w:hideMark/>
          </w:tcPr>
          <w:p w14:paraId="445294A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76 </w:t>
            </w:r>
          </w:p>
        </w:tc>
        <w:tc>
          <w:tcPr>
            <w:tcW w:w="765" w:type="dxa"/>
            <w:tcBorders>
              <w:top w:val="single" w:sz="6" w:space="0" w:color="666666"/>
              <w:left w:val="nil"/>
              <w:bottom w:val="single" w:sz="6" w:space="0" w:color="666666"/>
              <w:right w:val="nil"/>
            </w:tcBorders>
            <w:shd w:val="clear" w:color="auto" w:fill="CCCCCC"/>
            <w:hideMark/>
          </w:tcPr>
          <w:p w14:paraId="2F1D6B4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9 </w:t>
            </w:r>
          </w:p>
        </w:tc>
        <w:tc>
          <w:tcPr>
            <w:tcW w:w="765" w:type="dxa"/>
            <w:tcBorders>
              <w:top w:val="single" w:sz="6" w:space="0" w:color="666666"/>
              <w:left w:val="nil"/>
              <w:bottom w:val="single" w:sz="6" w:space="0" w:color="666666"/>
              <w:right w:val="nil"/>
            </w:tcBorders>
            <w:shd w:val="clear" w:color="auto" w:fill="CCCCCC"/>
            <w:hideMark/>
          </w:tcPr>
          <w:p w14:paraId="16A8C3B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343 </w:t>
            </w:r>
          </w:p>
        </w:tc>
        <w:tc>
          <w:tcPr>
            <w:tcW w:w="765" w:type="dxa"/>
            <w:tcBorders>
              <w:top w:val="single" w:sz="6" w:space="0" w:color="666666"/>
              <w:left w:val="nil"/>
              <w:bottom w:val="single" w:sz="6" w:space="0" w:color="666666"/>
              <w:right w:val="nil"/>
            </w:tcBorders>
            <w:shd w:val="clear" w:color="auto" w:fill="CCCCCC"/>
            <w:hideMark/>
          </w:tcPr>
          <w:p w14:paraId="6368AC7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1864 </w:t>
            </w:r>
          </w:p>
        </w:tc>
        <w:tc>
          <w:tcPr>
            <w:tcW w:w="765" w:type="dxa"/>
            <w:tcBorders>
              <w:top w:val="single" w:sz="6" w:space="0" w:color="666666"/>
              <w:left w:val="nil"/>
              <w:bottom w:val="single" w:sz="6" w:space="0" w:color="666666"/>
              <w:right w:val="nil"/>
            </w:tcBorders>
            <w:shd w:val="clear" w:color="auto" w:fill="CCCCCC"/>
            <w:hideMark/>
          </w:tcPr>
          <w:p w14:paraId="41ADA73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932 </w:t>
            </w:r>
          </w:p>
        </w:tc>
        <w:tc>
          <w:tcPr>
            <w:tcW w:w="765" w:type="dxa"/>
            <w:tcBorders>
              <w:top w:val="single" w:sz="6" w:space="0" w:color="666666"/>
              <w:left w:val="nil"/>
              <w:bottom w:val="single" w:sz="6" w:space="0" w:color="666666"/>
              <w:right w:val="nil"/>
            </w:tcBorders>
            <w:shd w:val="clear" w:color="auto" w:fill="CCCCCC"/>
            <w:hideMark/>
          </w:tcPr>
          <w:p w14:paraId="3DF52CE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636 </w:t>
            </w:r>
          </w:p>
        </w:tc>
        <w:tc>
          <w:tcPr>
            <w:tcW w:w="765" w:type="dxa"/>
            <w:tcBorders>
              <w:top w:val="single" w:sz="6" w:space="0" w:color="666666"/>
              <w:left w:val="nil"/>
              <w:bottom w:val="single" w:sz="6" w:space="0" w:color="666666"/>
              <w:right w:val="nil"/>
            </w:tcBorders>
            <w:shd w:val="clear" w:color="auto" w:fill="CCCCCC"/>
            <w:hideMark/>
          </w:tcPr>
          <w:p w14:paraId="01C90CD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476 </w:t>
            </w:r>
          </w:p>
        </w:tc>
        <w:tc>
          <w:tcPr>
            <w:tcW w:w="765" w:type="dxa"/>
            <w:tcBorders>
              <w:top w:val="single" w:sz="6" w:space="0" w:color="666666"/>
              <w:left w:val="nil"/>
              <w:bottom w:val="single" w:sz="6" w:space="0" w:color="666666"/>
              <w:right w:val="nil"/>
            </w:tcBorders>
            <w:shd w:val="clear" w:color="auto" w:fill="CCCCCC"/>
            <w:hideMark/>
          </w:tcPr>
          <w:p w14:paraId="18FE42F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593 </w:t>
            </w:r>
          </w:p>
        </w:tc>
        <w:tc>
          <w:tcPr>
            <w:tcW w:w="765" w:type="dxa"/>
            <w:tcBorders>
              <w:top w:val="single" w:sz="6" w:space="0" w:color="666666"/>
              <w:left w:val="nil"/>
              <w:bottom w:val="single" w:sz="6" w:space="0" w:color="666666"/>
              <w:right w:val="nil"/>
            </w:tcBorders>
            <w:shd w:val="clear" w:color="auto" w:fill="CCCCCC"/>
            <w:hideMark/>
          </w:tcPr>
          <w:p w14:paraId="6D5AB8D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477 </w:t>
            </w:r>
          </w:p>
        </w:tc>
        <w:tc>
          <w:tcPr>
            <w:tcW w:w="765" w:type="dxa"/>
            <w:tcBorders>
              <w:top w:val="single" w:sz="6" w:space="0" w:color="666666"/>
              <w:left w:val="nil"/>
              <w:bottom w:val="single" w:sz="6" w:space="0" w:color="666666"/>
              <w:right w:val="nil"/>
            </w:tcBorders>
            <w:shd w:val="clear" w:color="auto" w:fill="CCCCCC"/>
            <w:hideMark/>
          </w:tcPr>
          <w:p w14:paraId="4C7133A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408 </w:t>
            </w:r>
          </w:p>
        </w:tc>
        <w:tc>
          <w:tcPr>
            <w:tcW w:w="765" w:type="dxa"/>
            <w:tcBorders>
              <w:top w:val="single" w:sz="6" w:space="0" w:color="666666"/>
              <w:left w:val="nil"/>
              <w:bottom w:val="single" w:sz="6" w:space="0" w:color="666666"/>
              <w:right w:val="nil"/>
            </w:tcBorders>
            <w:shd w:val="clear" w:color="auto" w:fill="CCCCCC"/>
            <w:hideMark/>
          </w:tcPr>
          <w:p w14:paraId="2DD7156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293 </w:t>
            </w:r>
          </w:p>
        </w:tc>
        <w:tc>
          <w:tcPr>
            <w:tcW w:w="765" w:type="dxa"/>
            <w:tcBorders>
              <w:top w:val="single" w:sz="6" w:space="0" w:color="666666"/>
              <w:left w:val="nil"/>
              <w:bottom w:val="single" w:sz="6" w:space="0" w:color="666666"/>
              <w:right w:val="nil"/>
            </w:tcBorders>
            <w:shd w:val="clear" w:color="auto" w:fill="CCCCCC"/>
            <w:hideMark/>
          </w:tcPr>
          <w:p w14:paraId="2F5C45A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198 </w:t>
            </w:r>
          </w:p>
        </w:tc>
        <w:tc>
          <w:tcPr>
            <w:tcW w:w="765" w:type="dxa"/>
            <w:tcBorders>
              <w:top w:val="single" w:sz="6" w:space="0" w:color="666666"/>
              <w:left w:val="nil"/>
              <w:bottom w:val="single" w:sz="6" w:space="0" w:color="666666"/>
              <w:right w:val="nil"/>
            </w:tcBorders>
            <w:shd w:val="clear" w:color="auto" w:fill="CCCCCC"/>
            <w:hideMark/>
          </w:tcPr>
          <w:p w14:paraId="01E873C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123 </w:t>
            </w:r>
          </w:p>
        </w:tc>
        <w:tc>
          <w:tcPr>
            <w:tcW w:w="765" w:type="dxa"/>
            <w:tcBorders>
              <w:top w:val="single" w:sz="6" w:space="0" w:color="666666"/>
              <w:left w:val="nil"/>
              <w:bottom w:val="single" w:sz="6" w:space="0" w:color="666666"/>
              <w:right w:val="nil"/>
            </w:tcBorders>
            <w:shd w:val="clear" w:color="auto" w:fill="CCCCCC"/>
            <w:hideMark/>
          </w:tcPr>
          <w:p w14:paraId="4DAE72E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64 </w:t>
            </w:r>
          </w:p>
        </w:tc>
        <w:tc>
          <w:tcPr>
            <w:tcW w:w="765" w:type="dxa"/>
            <w:tcBorders>
              <w:top w:val="single" w:sz="6" w:space="0" w:color="666666"/>
              <w:left w:val="nil"/>
              <w:bottom w:val="single" w:sz="6" w:space="0" w:color="666666"/>
              <w:right w:val="nil"/>
            </w:tcBorders>
            <w:shd w:val="clear" w:color="auto" w:fill="CCCCCC"/>
            <w:hideMark/>
          </w:tcPr>
          <w:p w14:paraId="387B116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49 </w:t>
            </w:r>
          </w:p>
        </w:tc>
        <w:tc>
          <w:tcPr>
            <w:tcW w:w="765" w:type="dxa"/>
            <w:tcBorders>
              <w:top w:val="single" w:sz="6" w:space="0" w:color="666666"/>
              <w:left w:val="nil"/>
              <w:bottom w:val="single" w:sz="6" w:space="0" w:color="666666"/>
              <w:right w:val="nil"/>
            </w:tcBorders>
            <w:shd w:val="clear" w:color="auto" w:fill="CCCCCC"/>
            <w:hideMark/>
          </w:tcPr>
          <w:p w14:paraId="6457E5E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33 </w:t>
            </w:r>
          </w:p>
        </w:tc>
        <w:tc>
          <w:tcPr>
            <w:tcW w:w="765" w:type="dxa"/>
            <w:tcBorders>
              <w:top w:val="single" w:sz="6" w:space="0" w:color="666666"/>
              <w:left w:val="nil"/>
              <w:bottom w:val="single" w:sz="6" w:space="0" w:color="666666"/>
              <w:right w:val="nil"/>
            </w:tcBorders>
            <w:shd w:val="clear" w:color="auto" w:fill="CCCCCC"/>
            <w:hideMark/>
          </w:tcPr>
          <w:p w14:paraId="1B1B92F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75 </w:t>
            </w:r>
          </w:p>
        </w:tc>
        <w:tc>
          <w:tcPr>
            <w:tcW w:w="765" w:type="dxa"/>
            <w:tcBorders>
              <w:top w:val="single" w:sz="6" w:space="0" w:color="666666"/>
              <w:left w:val="nil"/>
              <w:bottom w:val="single" w:sz="6" w:space="0" w:color="666666"/>
              <w:right w:val="nil"/>
            </w:tcBorders>
            <w:shd w:val="clear" w:color="auto" w:fill="CCCCCC"/>
            <w:hideMark/>
          </w:tcPr>
          <w:p w14:paraId="0BE171C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6649 </w:t>
            </w:r>
          </w:p>
        </w:tc>
      </w:tr>
      <w:tr w:rsidR="005C74AB" w:rsidRPr="005C74AB" w14:paraId="609A01C0"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69B5EC62" w14:textId="2F812942"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12</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13 </w:t>
            </w:r>
          </w:p>
        </w:tc>
        <w:tc>
          <w:tcPr>
            <w:tcW w:w="765" w:type="dxa"/>
            <w:tcBorders>
              <w:top w:val="single" w:sz="6" w:space="0" w:color="666666"/>
              <w:left w:val="nil"/>
              <w:bottom w:val="single" w:sz="6" w:space="0" w:color="666666"/>
              <w:right w:val="nil"/>
            </w:tcBorders>
            <w:shd w:val="clear" w:color="auto" w:fill="auto"/>
            <w:hideMark/>
          </w:tcPr>
          <w:p w14:paraId="033A52B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63 </w:t>
            </w:r>
          </w:p>
        </w:tc>
        <w:tc>
          <w:tcPr>
            <w:tcW w:w="765" w:type="dxa"/>
            <w:tcBorders>
              <w:top w:val="single" w:sz="6" w:space="0" w:color="666666"/>
              <w:left w:val="nil"/>
              <w:bottom w:val="single" w:sz="6" w:space="0" w:color="666666"/>
              <w:right w:val="nil"/>
            </w:tcBorders>
            <w:shd w:val="clear" w:color="auto" w:fill="auto"/>
            <w:hideMark/>
          </w:tcPr>
          <w:p w14:paraId="6F839AD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6 </w:t>
            </w:r>
          </w:p>
        </w:tc>
        <w:tc>
          <w:tcPr>
            <w:tcW w:w="765" w:type="dxa"/>
            <w:tcBorders>
              <w:top w:val="single" w:sz="6" w:space="0" w:color="666666"/>
              <w:left w:val="nil"/>
              <w:bottom w:val="single" w:sz="6" w:space="0" w:color="666666"/>
              <w:right w:val="nil"/>
            </w:tcBorders>
            <w:shd w:val="clear" w:color="auto" w:fill="auto"/>
            <w:hideMark/>
          </w:tcPr>
          <w:p w14:paraId="26D7B64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618 </w:t>
            </w:r>
          </w:p>
        </w:tc>
        <w:tc>
          <w:tcPr>
            <w:tcW w:w="765" w:type="dxa"/>
            <w:tcBorders>
              <w:top w:val="single" w:sz="6" w:space="0" w:color="666666"/>
              <w:left w:val="nil"/>
              <w:bottom w:val="single" w:sz="6" w:space="0" w:color="666666"/>
              <w:right w:val="nil"/>
            </w:tcBorders>
            <w:shd w:val="clear" w:color="auto" w:fill="auto"/>
            <w:hideMark/>
          </w:tcPr>
          <w:p w14:paraId="3C7769C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2044 </w:t>
            </w:r>
          </w:p>
        </w:tc>
        <w:tc>
          <w:tcPr>
            <w:tcW w:w="765" w:type="dxa"/>
            <w:tcBorders>
              <w:top w:val="single" w:sz="6" w:space="0" w:color="666666"/>
              <w:left w:val="nil"/>
              <w:bottom w:val="single" w:sz="6" w:space="0" w:color="666666"/>
              <w:right w:val="nil"/>
            </w:tcBorders>
            <w:shd w:val="clear" w:color="auto" w:fill="auto"/>
            <w:hideMark/>
          </w:tcPr>
          <w:p w14:paraId="4C21B76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851 </w:t>
            </w:r>
          </w:p>
        </w:tc>
        <w:tc>
          <w:tcPr>
            <w:tcW w:w="765" w:type="dxa"/>
            <w:tcBorders>
              <w:top w:val="single" w:sz="6" w:space="0" w:color="666666"/>
              <w:left w:val="nil"/>
              <w:bottom w:val="single" w:sz="6" w:space="0" w:color="666666"/>
              <w:right w:val="nil"/>
            </w:tcBorders>
            <w:shd w:val="clear" w:color="auto" w:fill="auto"/>
            <w:hideMark/>
          </w:tcPr>
          <w:p w14:paraId="4486E36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565 </w:t>
            </w:r>
          </w:p>
        </w:tc>
        <w:tc>
          <w:tcPr>
            <w:tcW w:w="765" w:type="dxa"/>
            <w:tcBorders>
              <w:top w:val="single" w:sz="6" w:space="0" w:color="666666"/>
              <w:left w:val="nil"/>
              <w:bottom w:val="single" w:sz="6" w:space="0" w:color="666666"/>
              <w:right w:val="nil"/>
            </w:tcBorders>
            <w:shd w:val="clear" w:color="auto" w:fill="auto"/>
            <w:hideMark/>
          </w:tcPr>
          <w:p w14:paraId="05CDFA1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493 </w:t>
            </w:r>
          </w:p>
        </w:tc>
        <w:tc>
          <w:tcPr>
            <w:tcW w:w="765" w:type="dxa"/>
            <w:tcBorders>
              <w:top w:val="single" w:sz="6" w:space="0" w:color="666666"/>
              <w:left w:val="nil"/>
              <w:bottom w:val="single" w:sz="6" w:space="0" w:color="666666"/>
              <w:right w:val="nil"/>
            </w:tcBorders>
            <w:shd w:val="clear" w:color="auto" w:fill="auto"/>
            <w:hideMark/>
          </w:tcPr>
          <w:p w14:paraId="49FF6BB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538 </w:t>
            </w:r>
          </w:p>
        </w:tc>
        <w:tc>
          <w:tcPr>
            <w:tcW w:w="765" w:type="dxa"/>
            <w:tcBorders>
              <w:top w:val="single" w:sz="6" w:space="0" w:color="666666"/>
              <w:left w:val="nil"/>
              <w:bottom w:val="single" w:sz="6" w:space="0" w:color="666666"/>
              <w:right w:val="nil"/>
            </w:tcBorders>
            <w:shd w:val="clear" w:color="auto" w:fill="auto"/>
            <w:hideMark/>
          </w:tcPr>
          <w:p w14:paraId="66D429E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459 </w:t>
            </w:r>
          </w:p>
        </w:tc>
        <w:tc>
          <w:tcPr>
            <w:tcW w:w="765" w:type="dxa"/>
            <w:tcBorders>
              <w:top w:val="single" w:sz="6" w:space="0" w:color="666666"/>
              <w:left w:val="nil"/>
              <w:bottom w:val="single" w:sz="6" w:space="0" w:color="666666"/>
              <w:right w:val="nil"/>
            </w:tcBorders>
            <w:shd w:val="clear" w:color="auto" w:fill="auto"/>
            <w:hideMark/>
          </w:tcPr>
          <w:p w14:paraId="7457E49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485 </w:t>
            </w:r>
          </w:p>
        </w:tc>
        <w:tc>
          <w:tcPr>
            <w:tcW w:w="765" w:type="dxa"/>
            <w:tcBorders>
              <w:top w:val="single" w:sz="6" w:space="0" w:color="666666"/>
              <w:left w:val="nil"/>
              <w:bottom w:val="single" w:sz="6" w:space="0" w:color="666666"/>
              <w:right w:val="nil"/>
            </w:tcBorders>
            <w:shd w:val="clear" w:color="auto" w:fill="auto"/>
            <w:hideMark/>
          </w:tcPr>
          <w:p w14:paraId="6AE89F9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336 </w:t>
            </w:r>
          </w:p>
        </w:tc>
        <w:tc>
          <w:tcPr>
            <w:tcW w:w="765" w:type="dxa"/>
            <w:tcBorders>
              <w:top w:val="single" w:sz="6" w:space="0" w:color="666666"/>
              <w:left w:val="nil"/>
              <w:bottom w:val="single" w:sz="6" w:space="0" w:color="666666"/>
              <w:right w:val="nil"/>
            </w:tcBorders>
            <w:shd w:val="clear" w:color="auto" w:fill="auto"/>
            <w:hideMark/>
          </w:tcPr>
          <w:p w14:paraId="793F22B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204 </w:t>
            </w:r>
          </w:p>
        </w:tc>
        <w:tc>
          <w:tcPr>
            <w:tcW w:w="765" w:type="dxa"/>
            <w:tcBorders>
              <w:top w:val="single" w:sz="6" w:space="0" w:color="666666"/>
              <w:left w:val="nil"/>
              <w:bottom w:val="single" w:sz="6" w:space="0" w:color="666666"/>
              <w:right w:val="nil"/>
            </w:tcBorders>
            <w:shd w:val="clear" w:color="auto" w:fill="auto"/>
            <w:hideMark/>
          </w:tcPr>
          <w:p w14:paraId="0623D5F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135 </w:t>
            </w:r>
          </w:p>
        </w:tc>
        <w:tc>
          <w:tcPr>
            <w:tcW w:w="765" w:type="dxa"/>
            <w:tcBorders>
              <w:top w:val="single" w:sz="6" w:space="0" w:color="666666"/>
              <w:left w:val="nil"/>
              <w:bottom w:val="single" w:sz="6" w:space="0" w:color="666666"/>
              <w:right w:val="nil"/>
            </w:tcBorders>
            <w:shd w:val="clear" w:color="auto" w:fill="auto"/>
            <w:hideMark/>
          </w:tcPr>
          <w:p w14:paraId="27D45EF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70 </w:t>
            </w:r>
          </w:p>
        </w:tc>
        <w:tc>
          <w:tcPr>
            <w:tcW w:w="765" w:type="dxa"/>
            <w:tcBorders>
              <w:top w:val="single" w:sz="6" w:space="0" w:color="666666"/>
              <w:left w:val="nil"/>
              <w:bottom w:val="single" w:sz="6" w:space="0" w:color="666666"/>
              <w:right w:val="nil"/>
            </w:tcBorders>
            <w:shd w:val="clear" w:color="auto" w:fill="auto"/>
            <w:hideMark/>
          </w:tcPr>
          <w:p w14:paraId="194B00D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66 </w:t>
            </w:r>
          </w:p>
        </w:tc>
        <w:tc>
          <w:tcPr>
            <w:tcW w:w="765" w:type="dxa"/>
            <w:tcBorders>
              <w:top w:val="single" w:sz="6" w:space="0" w:color="666666"/>
              <w:left w:val="nil"/>
              <w:bottom w:val="single" w:sz="6" w:space="0" w:color="666666"/>
              <w:right w:val="nil"/>
            </w:tcBorders>
            <w:shd w:val="clear" w:color="auto" w:fill="auto"/>
            <w:hideMark/>
          </w:tcPr>
          <w:p w14:paraId="6D6C284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37 </w:t>
            </w:r>
          </w:p>
        </w:tc>
        <w:tc>
          <w:tcPr>
            <w:tcW w:w="765" w:type="dxa"/>
            <w:tcBorders>
              <w:top w:val="single" w:sz="6" w:space="0" w:color="666666"/>
              <w:left w:val="nil"/>
              <w:bottom w:val="single" w:sz="6" w:space="0" w:color="666666"/>
              <w:right w:val="nil"/>
            </w:tcBorders>
            <w:shd w:val="clear" w:color="auto" w:fill="auto"/>
            <w:hideMark/>
          </w:tcPr>
          <w:p w14:paraId="6951DC0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113 </w:t>
            </w:r>
          </w:p>
        </w:tc>
        <w:tc>
          <w:tcPr>
            <w:tcW w:w="765" w:type="dxa"/>
            <w:tcBorders>
              <w:top w:val="single" w:sz="6" w:space="0" w:color="666666"/>
              <w:left w:val="nil"/>
              <w:bottom w:val="single" w:sz="6" w:space="0" w:color="666666"/>
              <w:right w:val="nil"/>
            </w:tcBorders>
            <w:shd w:val="clear" w:color="auto" w:fill="auto"/>
            <w:hideMark/>
          </w:tcPr>
          <w:p w14:paraId="0473914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7083 </w:t>
            </w:r>
          </w:p>
        </w:tc>
      </w:tr>
      <w:tr w:rsidR="005C74AB" w:rsidRPr="005C74AB" w14:paraId="7B4B90BE" w14:textId="77777777" w:rsidTr="005C74AB">
        <w:trPr>
          <w:trHeight w:val="270"/>
        </w:trPr>
        <w:tc>
          <w:tcPr>
            <w:tcW w:w="765" w:type="dxa"/>
            <w:tcBorders>
              <w:top w:val="single" w:sz="6" w:space="0" w:color="666666"/>
              <w:left w:val="nil"/>
              <w:bottom w:val="single" w:sz="6" w:space="0" w:color="666666"/>
              <w:right w:val="nil"/>
            </w:tcBorders>
            <w:shd w:val="clear" w:color="auto" w:fill="CCCCCC"/>
            <w:hideMark/>
          </w:tcPr>
          <w:p w14:paraId="0F42073B" w14:textId="09189316"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13</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14 </w:t>
            </w:r>
          </w:p>
        </w:tc>
        <w:tc>
          <w:tcPr>
            <w:tcW w:w="765" w:type="dxa"/>
            <w:tcBorders>
              <w:top w:val="single" w:sz="6" w:space="0" w:color="666666"/>
              <w:left w:val="nil"/>
              <w:bottom w:val="single" w:sz="6" w:space="0" w:color="666666"/>
              <w:right w:val="nil"/>
            </w:tcBorders>
            <w:shd w:val="clear" w:color="auto" w:fill="CCCCCC"/>
            <w:hideMark/>
          </w:tcPr>
          <w:p w14:paraId="731C2C2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82 </w:t>
            </w:r>
          </w:p>
        </w:tc>
        <w:tc>
          <w:tcPr>
            <w:tcW w:w="765" w:type="dxa"/>
            <w:tcBorders>
              <w:top w:val="single" w:sz="6" w:space="0" w:color="666666"/>
              <w:left w:val="nil"/>
              <w:bottom w:val="single" w:sz="6" w:space="0" w:color="666666"/>
              <w:right w:val="nil"/>
            </w:tcBorders>
            <w:shd w:val="clear" w:color="auto" w:fill="CCCCCC"/>
            <w:hideMark/>
          </w:tcPr>
          <w:p w14:paraId="1AD716E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&lt;5 </w:t>
            </w:r>
          </w:p>
        </w:tc>
        <w:tc>
          <w:tcPr>
            <w:tcW w:w="765" w:type="dxa"/>
            <w:tcBorders>
              <w:top w:val="single" w:sz="6" w:space="0" w:color="666666"/>
              <w:left w:val="nil"/>
              <w:bottom w:val="single" w:sz="6" w:space="0" w:color="666666"/>
              <w:right w:val="nil"/>
            </w:tcBorders>
            <w:shd w:val="clear" w:color="auto" w:fill="CCCCCC"/>
            <w:hideMark/>
          </w:tcPr>
          <w:p w14:paraId="48969F6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483 </w:t>
            </w:r>
          </w:p>
        </w:tc>
        <w:tc>
          <w:tcPr>
            <w:tcW w:w="765" w:type="dxa"/>
            <w:tcBorders>
              <w:top w:val="single" w:sz="6" w:space="0" w:color="666666"/>
              <w:left w:val="nil"/>
              <w:bottom w:val="single" w:sz="6" w:space="0" w:color="666666"/>
              <w:right w:val="nil"/>
            </w:tcBorders>
            <w:shd w:val="clear" w:color="auto" w:fill="CCCCCC"/>
            <w:hideMark/>
          </w:tcPr>
          <w:p w14:paraId="556E9D3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1946 </w:t>
            </w:r>
          </w:p>
        </w:tc>
        <w:tc>
          <w:tcPr>
            <w:tcW w:w="765" w:type="dxa"/>
            <w:tcBorders>
              <w:top w:val="single" w:sz="6" w:space="0" w:color="666666"/>
              <w:left w:val="nil"/>
              <w:bottom w:val="single" w:sz="6" w:space="0" w:color="666666"/>
              <w:right w:val="nil"/>
            </w:tcBorders>
            <w:shd w:val="clear" w:color="auto" w:fill="CCCCCC"/>
            <w:hideMark/>
          </w:tcPr>
          <w:p w14:paraId="0F93376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905 </w:t>
            </w:r>
          </w:p>
        </w:tc>
        <w:tc>
          <w:tcPr>
            <w:tcW w:w="765" w:type="dxa"/>
            <w:tcBorders>
              <w:top w:val="single" w:sz="6" w:space="0" w:color="666666"/>
              <w:left w:val="nil"/>
              <w:bottom w:val="single" w:sz="6" w:space="0" w:color="666666"/>
              <w:right w:val="nil"/>
            </w:tcBorders>
            <w:shd w:val="clear" w:color="auto" w:fill="CCCCCC"/>
            <w:hideMark/>
          </w:tcPr>
          <w:p w14:paraId="1DC1492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590 </w:t>
            </w:r>
          </w:p>
        </w:tc>
        <w:tc>
          <w:tcPr>
            <w:tcW w:w="765" w:type="dxa"/>
            <w:tcBorders>
              <w:top w:val="single" w:sz="6" w:space="0" w:color="666666"/>
              <w:left w:val="nil"/>
              <w:bottom w:val="single" w:sz="6" w:space="0" w:color="666666"/>
              <w:right w:val="nil"/>
            </w:tcBorders>
            <w:shd w:val="clear" w:color="auto" w:fill="CCCCCC"/>
            <w:hideMark/>
          </w:tcPr>
          <w:p w14:paraId="1B1F413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488 </w:t>
            </w:r>
          </w:p>
        </w:tc>
        <w:tc>
          <w:tcPr>
            <w:tcW w:w="765" w:type="dxa"/>
            <w:tcBorders>
              <w:top w:val="single" w:sz="6" w:space="0" w:color="666666"/>
              <w:left w:val="nil"/>
              <w:bottom w:val="single" w:sz="6" w:space="0" w:color="666666"/>
              <w:right w:val="nil"/>
            </w:tcBorders>
            <w:shd w:val="clear" w:color="auto" w:fill="CCCCCC"/>
            <w:hideMark/>
          </w:tcPr>
          <w:p w14:paraId="1916C19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536 </w:t>
            </w:r>
          </w:p>
        </w:tc>
        <w:tc>
          <w:tcPr>
            <w:tcW w:w="765" w:type="dxa"/>
            <w:tcBorders>
              <w:top w:val="single" w:sz="6" w:space="0" w:color="666666"/>
              <w:left w:val="nil"/>
              <w:bottom w:val="single" w:sz="6" w:space="0" w:color="666666"/>
              <w:right w:val="nil"/>
            </w:tcBorders>
            <w:shd w:val="clear" w:color="auto" w:fill="CCCCCC"/>
            <w:hideMark/>
          </w:tcPr>
          <w:p w14:paraId="190D7E1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433 </w:t>
            </w:r>
          </w:p>
        </w:tc>
        <w:tc>
          <w:tcPr>
            <w:tcW w:w="765" w:type="dxa"/>
            <w:tcBorders>
              <w:top w:val="single" w:sz="6" w:space="0" w:color="666666"/>
              <w:left w:val="nil"/>
              <w:bottom w:val="single" w:sz="6" w:space="0" w:color="666666"/>
              <w:right w:val="nil"/>
            </w:tcBorders>
            <w:shd w:val="clear" w:color="auto" w:fill="CCCCCC"/>
            <w:hideMark/>
          </w:tcPr>
          <w:p w14:paraId="35AA459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486 </w:t>
            </w:r>
          </w:p>
        </w:tc>
        <w:tc>
          <w:tcPr>
            <w:tcW w:w="765" w:type="dxa"/>
            <w:tcBorders>
              <w:top w:val="single" w:sz="6" w:space="0" w:color="666666"/>
              <w:left w:val="nil"/>
              <w:bottom w:val="single" w:sz="6" w:space="0" w:color="666666"/>
              <w:right w:val="nil"/>
            </w:tcBorders>
            <w:shd w:val="clear" w:color="auto" w:fill="CCCCCC"/>
            <w:hideMark/>
          </w:tcPr>
          <w:p w14:paraId="603B9B0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364 </w:t>
            </w:r>
          </w:p>
        </w:tc>
        <w:tc>
          <w:tcPr>
            <w:tcW w:w="765" w:type="dxa"/>
            <w:tcBorders>
              <w:top w:val="single" w:sz="6" w:space="0" w:color="666666"/>
              <w:left w:val="nil"/>
              <w:bottom w:val="single" w:sz="6" w:space="0" w:color="666666"/>
              <w:right w:val="nil"/>
            </w:tcBorders>
            <w:shd w:val="clear" w:color="auto" w:fill="CCCCCC"/>
            <w:hideMark/>
          </w:tcPr>
          <w:p w14:paraId="69B71CB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217 </w:t>
            </w:r>
          </w:p>
        </w:tc>
        <w:tc>
          <w:tcPr>
            <w:tcW w:w="765" w:type="dxa"/>
            <w:tcBorders>
              <w:top w:val="single" w:sz="6" w:space="0" w:color="666666"/>
              <w:left w:val="nil"/>
              <w:bottom w:val="single" w:sz="6" w:space="0" w:color="666666"/>
              <w:right w:val="nil"/>
            </w:tcBorders>
            <w:shd w:val="clear" w:color="auto" w:fill="CCCCCC"/>
            <w:hideMark/>
          </w:tcPr>
          <w:p w14:paraId="30D60CD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145 </w:t>
            </w:r>
          </w:p>
        </w:tc>
        <w:tc>
          <w:tcPr>
            <w:tcW w:w="765" w:type="dxa"/>
            <w:tcBorders>
              <w:top w:val="single" w:sz="6" w:space="0" w:color="666666"/>
              <w:left w:val="nil"/>
              <w:bottom w:val="single" w:sz="6" w:space="0" w:color="666666"/>
              <w:right w:val="nil"/>
            </w:tcBorders>
            <w:shd w:val="clear" w:color="auto" w:fill="CCCCCC"/>
            <w:hideMark/>
          </w:tcPr>
          <w:p w14:paraId="1EB6BAC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93 </w:t>
            </w:r>
          </w:p>
        </w:tc>
        <w:tc>
          <w:tcPr>
            <w:tcW w:w="765" w:type="dxa"/>
            <w:tcBorders>
              <w:top w:val="single" w:sz="6" w:space="0" w:color="666666"/>
              <w:left w:val="nil"/>
              <w:bottom w:val="single" w:sz="6" w:space="0" w:color="666666"/>
              <w:right w:val="nil"/>
            </w:tcBorders>
            <w:shd w:val="clear" w:color="auto" w:fill="CCCCCC"/>
            <w:hideMark/>
          </w:tcPr>
          <w:p w14:paraId="6328C3C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67 </w:t>
            </w:r>
          </w:p>
        </w:tc>
        <w:tc>
          <w:tcPr>
            <w:tcW w:w="765" w:type="dxa"/>
            <w:tcBorders>
              <w:top w:val="single" w:sz="6" w:space="0" w:color="666666"/>
              <w:left w:val="nil"/>
              <w:bottom w:val="single" w:sz="6" w:space="0" w:color="666666"/>
              <w:right w:val="nil"/>
            </w:tcBorders>
            <w:shd w:val="clear" w:color="auto" w:fill="CCCCCC"/>
            <w:hideMark/>
          </w:tcPr>
          <w:p w14:paraId="2DEC894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45 </w:t>
            </w:r>
          </w:p>
        </w:tc>
        <w:tc>
          <w:tcPr>
            <w:tcW w:w="765" w:type="dxa"/>
            <w:tcBorders>
              <w:top w:val="single" w:sz="6" w:space="0" w:color="666666"/>
              <w:left w:val="nil"/>
              <w:bottom w:val="single" w:sz="6" w:space="0" w:color="666666"/>
              <w:right w:val="nil"/>
            </w:tcBorders>
            <w:shd w:val="clear" w:color="auto" w:fill="CCCCCC"/>
            <w:hideMark/>
          </w:tcPr>
          <w:p w14:paraId="665C5C8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141 </w:t>
            </w:r>
          </w:p>
        </w:tc>
        <w:tc>
          <w:tcPr>
            <w:tcW w:w="765" w:type="dxa"/>
            <w:tcBorders>
              <w:top w:val="single" w:sz="6" w:space="0" w:color="666666"/>
              <w:left w:val="nil"/>
              <w:bottom w:val="single" w:sz="6" w:space="0" w:color="666666"/>
              <w:right w:val="nil"/>
            </w:tcBorders>
            <w:shd w:val="clear" w:color="auto" w:fill="CCCCCC"/>
            <w:hideMark/>
          </w:tcPr>
          <w:p w14:paraId="0055EC0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7025 </w:t>
            </w:r>
          </w:p>
        </w:tc>
      </w:tr>
      <w:tr w:rsidR="005C74AB" w:rsidRPr="005C74AB" w14:paraId="0F5C261B"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1CFCB393" w14:textId="0ECF58C2"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14</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15 </w:t>
            </w:r>
          </w:p>
        </w:tc>
        <w:tc>
          <w:tcPr>
            <w:tcW w:w="765" w:type="dxa"/>
            <w:tcBorders>
              <w:top w:val="single" w:sz="6" w:space="0" w:color="666666"/>
              <w:left w:val="nil"/>
              <w:bottom w:val="single" w:sz="6" w:space="0" w:color="666666"/>
              <w:right w:val="nil"/>
            </w:tcBorders>
            <w:shd w:val="clear" w:color="auto" w:fill="auto"/>
            <w:hideMark/>
          </w:tcPr>
          <w:p w14:paraId="2581DB8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74 </w:t>
            </w:r>
          </w:p>
        </w:tc>
        <w:tc>
          <w:tcPr>
            <w:tcW w:w="765" w:type="dxa"/>
            <w:tcBorders>
              <w:top w:val="single" w:sz="6" w:space="0" w:color="666666"/>
              <w:left w:val="nil"/>
              <w:bottom w:val="single" w:sz="6" w:space="0" w:color="666666"/>
              <w:right w:val="nil"/>
            </w:tcBorders>
            <w:shd w:val="clear" w:color="auto" w:fill="auto"/>
            <w:hideMark/>
          </w:tcPr>
          <w:p w14:paraId="01CEBA2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14 </w:t>
            </w:r>
          </w:p>
        </w:tc>
        <w:tc>
          <w:tcPr>
            <w:tcW w:w="765" w:type="dxa"/>
            <w:tcBorders>
              <w:top w:val="single" w:sz="6" w:space="0" w:color="666666"/>
              <w:left w:val="nil"/>
              <w:bottom w:val="single" w:sz="6" w:space="0" w:color="666666"/>
              <w:right w:val="nil"/>
            </w:tcBorders>
            <w:shd w:val="clear" w:color="auto" w:fill="auto"/>
            <w:hideMark/>
          </w:tcPr>
          <w:p w14:paraId="72C95A2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439 </w:t>
            </w:r>
          </w:p>
        </w:tc>
        <w:tc>
          <w:tcPr>
            <w:tcW w:w="765" w:type="dxa"/>
            <w:tcBorders>
              <w:top w:val="single" w:sz="6" w:space="0" w:color="666666"/>
              <w:left w:val="nil"/>
              <w:bottom w:val="single" w:sz="6" w:space="0" w:color="666666"/>
              <w:right w:val="nil"/>
            </w:tcBorders>
            <w:shd w:val="clear" w:color="auto" w:fill="auto"/>
            <w:hideMark/>
          </w:tcPr>
          <w:p w14:paraId="3193F25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1785 </w:t>
            </w:r>
          </w:p>
        </w:tc>
        <w:tc>
          <w:tcPr>
            <w:tcW w:w="765" w:type="dxa"/>
            <w:tcBorders>
              <w:top w:val="single" w:sz="6" w:space="0" w:color="666666"/>
              <w:left w:val="nil"/>
              <w:bottom w:val="single" w:sz="6" w:space="0" w:color="666666"/>
              <w:right w:val="nil"/>
            </w:tcBorders>
            <w:shd w:val="clear" w:color="auto" w:fill="auto"/>
            <w:hideMark/>
          </w:tcPr>
          <w:p w14:paraId="13C4EDA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1013 </w:t>
            </w:r>
          </w:p>
        </w:tc>
        <w:tc>
          <w:tcPr>
            <w:tcW w:w="765" w:type="dxa"/>
            <w:tcBorders>
              <w:top w:val="single" w:sz="6" w:space="0" w:color="666666"/>
              <w:left w:val="nil"/>
              <w:bottom w:val="single" w:sz="6" w:space="0" w:color="666666"/>
              <w:right w:val="nil"/>
            </w:tcBorders>
            <w:shd w:val="clear" w:color="auto" w:fill="auto"/>
            <w:hideMark/>
          </w:tcPr>
          <w:p w14:paraId="04DE687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640 </w:t>
            </w:r>
          </w:p>
        </w:tc>
        <w:tc>
          <w:tcPr>
            <w:tcW w:w="765" w:type="dxa"/>
            <w:tcBorders>
              <w:top w:val="single" w:sz="6" w:space="0" w:color="666666"/>
              <w:left w:val="nil"/>
              <w:bottom w:val="single" w:sz="6" w:space="0" w:color="666666"/>
              <w:right w:val="nil"/>
            </w:tcBorders>
            <w:shd w:val="clear" w:color="auto" w:fill="auto"/>
            <w:hideMark/>
          </w:tcPr>
          <w:p w14:paraId="635AE25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576 </w:t>
            </w:r>
          </w:p>
        </w:tc>
        <w:tc>
          <w:tcPr>
            <w:tcW w:w="765" w:type="dxa"/>
            <w:tcBorders>
              <w:top w:val="single" w:sz="6" w:space="0" w:color="666666"/>
              <w:left w:val="nil"/>
              <w:bottom w:val="single" w:sz="6" w:space="0" w:color="666666"/>
              <w:right w:val="nil"/>
            </w:tcBorders>
            <w:shd w:val="clear" w:color="auto" w:fill="auto"/>
            <w:hideMark/>
          </w:tcPr>
          <w:p w14:paraId="30AB060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531 </w:t>
            </w:r>
          </w:p>
        </w:tc>
        <w:tc>
          <w:tcPr>
            <w:tcW w:w="765" w:type="dxa"/>
            <w:tcBorders>
              <w:top w:val="single" w:sz="6" w:space="0" w:color="666666"/>
              <w:left w:val="nil"/>
              <w:bottom w:val="single" w:sz="6" w:space="0" w:color="666666"/>
              <w:right w:val="nil"/>
            </w:tcBorders>
            <w:shd w:val="clear" w:color="auto" w:fill="auto"/>
            <w:hideMark/>
          </w:tcPr>
          <w:p w14:paraId="2C12A77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543 </w:t>
            </w:r>
          </w:p>
        </w:tc>
        <w:tc>
          <w:tcPr>
            <w:tcW w:w="765" w:type="dxa"/>
            <w:tcBorders>
              <w:top w:val="single" w:sz="6" w:space="0" w:color="666666"/>
              <w:left w:val="nil"/>
              <w:bottom w:val="single" w:sz="6" w:space="0" w:color="666666"/>
              <w:right w:val="nil"/>
            </w:tcBorders>
            <w:shd w:val="clear" w:color="auto" w:fill="auto"/>
            <w:hideMark/>
          </w:tcPr>
          <w:p w14:paraId="62AE415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453 </w:t>
            </w:r>
          </w:p>
        </w:tc>
        <w:tc>
          <w:tcPr>
            <w:tcW w:w="765" w:type="dxa"/>
            <w:tcBorders>
              <w:top w:val="single" w:sz="6" w:space="0" w:color="666666"/>
              <w:left w:val="nil"/>
              <w:bottom w:val="single" w:sz="6" w:space="0" w:color="666666"/>
              <w:right w:val="nil"/>
            </w:tcBorders>
            <w:shd w:val="clear" w:color="auto" w:fill="auto"/>
            <w:hideMark/>
          </w:tcPr>
          <w:p w14:paraId="520C7AC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394 </w:t>
            </w:r>
          </w:p>
        </w:tc>
        <w:tc>
          <w:tcPr>
            <w:tcW w:w="765" w:type="dxa"/>
            <w:tcBorders>
              <w:top w:val="single" w:sz="6" w:space="0" w:color="666666"/>
              <w:left w:val="nil"/>
              <w:bottom w:val="single" w:sz="6" w:space="0" w:color="666666"/>
              <w:right w:val="nil"/>
            </w:tcBorders>
            <w:shd w:val="clear" w:color="auto" w:fill="auto"/>
            <w:hideMark/>
          </w:tcPr>
          <w:p w14:paraId="43CFAAB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258 </w:t>
            </w:r>
          </w:p>
        </w:tc>
        <w:tc>
          <w:tcPr>
            <w:tcW w:w="765" w:type="dxa"/>
            <w:tcBorders>
              <w:top w:val="single" w:sz="6" w:space="0" w:color="666666"/>
              <w:left w:val="nil"/>
              <w:bottom w:val="single" w:sz="6" w:space="0" w:color="666666"/>
              <w:right w:val="nil"/>
            </w:tcBorders>
            <w:shd w:val="clear" w:color="auto" w:fill="auto"/>
            <w:hideMark/>
          </w:tcPr>
          <w:p w14:paraId="10D4263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159 </w:t>
            </w:r>
          </w:p>
        </w:tc>
        <w:tc>
          <w:tcPr>
            <w:tcW w:w="765" w:type="dxa"/>
            <w:tcBorders>
              <w:top w:val="single" w:sz="6" w:space="0" w:color="666666"/>
              <w:left w:val="nil"/>
              <w:bottom w:val="single" w:sz="6" w:space="0" w:color="666666"/>
              <w:right w:val="nil"/>
            </w:tcBorders>
            <w:shd w:val="clear" w:color="auto" w:fill="auto"/>
            <w:hideMark/>
          </w:tcPr>
          <w:p w14:paraId="35C9C9C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106 </w:t>
            </w:r>
          </w:p>
        </w:tc>
        <w:tc>
          <w:tcPr>
            <w:tcW w:w="765" w:type="dxa"/>
            <w:tcBorders>
              <w:top w:val="single" w:sz="6" w:space="0" w:color="666666"/>
              <w:left w:val="nil"/>
              <w:bottom w:val="single" w:sz="6" w:space="0" w:color="666666"/>
              <w:right w:val="nil"/>
            </w:tcBorders>
            <w:shd w:val="clear" w:color="auto" w:fill="auto"/>
            <w:hideMark/>
          </w:tcPr>
          <w:p w14:paraId="194E453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59 </w:t>
            </w:r>
          </w:p>
        </w:tc>
        <w:tc>
          <w:tcPr>
            <w:tcW w:w="765" w:type="dxa"/>
            <w:tcBorders>
              <w:top w:val="single" w:sz="6" w:space="0" w:color="666666"/>
              <w:left w:val="nil"/>
              <w:bottom w:val="single" w:sz="6" w:space="0" w:color="666666"/>
              <w:right w:val="nil"/>
            </w:tcBorders>
            <w:shd w:val="clear" w:color="auto" w:fill="auto"/>
            <w:hideMark/>
          </w:tcPr>
          <w:p w14:paraId="6AC2F14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60 </w:t>
            </w:r>
          </w:p>
        </w:tc>
        <w:tc>
          <w:tcPr>
            <w:tcW w:w="765" w:type="dxa"/>
            <w:tcBorders>
              <w:top w:val="single" w:sz="6" w:space="0" w:color="666666"/>
              <w:left w:val="nil"/>
              <w:bottom w:val="single" w:sz="6" w:space="0" w:color="666666"/>
              <w:right w:val="nil"/>
            </w:tcBorders>
            <w:shd w:val="clear" w:color="auto" w:fill="auto"/>
            <w:hideMark/>
          </w:tcPr>
          <w:p w14:paraId="53AE180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117 </w:t>
            </w:r>
          </w:p>
        </w:tc>
        <w:tc>
          <w:tcPr>
            <w:tcW w:w="765" w:type="dxa"/>
            <w:tcBorders>
              <w:top w:val="single" w:sz="6" w:space="0" w:color="666666"/>
              <w:left w:val="nil"/>
              <w:bottom w:val="single" w:sz="6" w:space="0" w:color="666666"/>
              <w:right w:val="nil"/>
            </w:tcBorders>
            <w:shd w:val="clear" w:color="auto" w:fill="auto"/>
            <w:hideMark/>
          </w:tcPr>
          <w:p w14:paraId="58DC1D4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7221 </w:t>
            </w:r>
          </w:p>
        </w:tc>
      </w:tr>
      <w:tr w:rsidR="005C74AB" w:rsidRPr="005C74AB" w14:paraId="4475C51E" w14:textId="77777777" w:rsidTr="005C74AB">
        <w:trPr>
          <w:trHeight w:val="270"/>
        </w:trPr>
        <w:tc>
          <w:tcPr>
            <w:tcW w:w="765" w:type="dxa"/>
            <w:tcBorders>
              <w:top w:val="single" w:sz="6" w:space="0" w:color="666666"/>
              <w:left w:val="nil"/>
              <w:bottom w:val="single" w:sz="6" w:space="0" w:color="666666"/>
              <w:right w:val="nil"/>
            </w:tcBorders>
            <w:shd w:val="clear" w:color="auto" w:fill="CCCCCC"/>
            <w:hideMark/>
          </w:tcPr>
          <w:p w14:paraId="5D2E9035" w14:textId="438CD2EF"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15</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16 </w:t>
            </w:r>
          </w:p>
        </w:tc>
        <w:tc>
          <w:tcPr>
            <w:tcW w:w="765" w:type="dxa"/>
            <w:tcBorders>
              <w:top w:val="single" w:sz="6" w:space="0" w:color="666666"/>
              <w:left w:val="nil"/>
              <w:bottom w:val="single" w:sz="6" w:space="0" w:color="666666"/>
              <w:right w:val="nil"/>
            </w:tcBorders>
            <w:shd w:val="clear" w:color="auto" w:fill="CCCCCC"/>
            <w:hideMark/>
          </w:tcPr>
          <w:p w14:paraId="5E5F162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82 </w:t>
            </w:r>
          </w:p>
        </w:tc>
        <w:tc>
          <w:tcPr>
            <w:tcW w:w="765" w:type="dxa"/>
            <w:tcBorders>
              <w:top w:val="single" w:sz="6" w:space="0" w:color="666666"/>
              <w:left w:val="nil"/>
              <w:bottom w:val="single" w:sz="6" w:space="0" w:color="666666"/>
              <w:right w:val="nil"/>
            </w:tcBorders>
            <w:shd w:val="clear" w:color="auto" w:fill="CCCCCC"/>
            <w:hideMark/>
          </w:tcPr>
          <w:p w14:paraId="00E181E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8 </w:t>
            </w:r>
          </w:p>
        </w:tc>
        <w:tc>
          <w:tcPr>
            <w:tcW w:w="765" w:type="dxa"/>
            <w:tcBorders>
              <w:top w:val="single" w:sz="6" w:space="0" w:color="666666"/>
              <w:left w:val="nil"/>
              <w:bottom w:val="single" w:sz="6" w:space="0" w:color="666666"/>
              <w:right w:val="nil"/>
            </w:tcBorders>
            <w:shd w:val="clear" w:color="auto" w:fill="CCCCCC"/>
            <w:hideMark/>
          </w:tcPr>
          <w:p w14:paraId="66423DE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498 </w:t>
            </w:r>
          </w:p>
        </w:tc>
        <w:tc>
          <w:tcPr>
            <w:tcW w:w="765" w:type="dxa"/>
            <w:tcBorders>
              <w:top w:val="single" w:sz="6" w:space="0" w:color="666666"/>
              <w:left w:val="nil"/>
              <w:bottom w:val="single" w:sz="6" w:space="0" w:color="666666"/>
              <w:right w:val="nil"/>
            </w:tcBorders>
            <w:shd w:val="clear" w:color="auto" w:fill="CCCCCC"/>
            <w:hideMark/>
          </w:tcPr>
          <w:p w14:paraId="164ED5B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2065 </w:t>
            </w:r>
          </w:p>
        </w:tc>
        <w:tc>
          <w:tcPr>
            <w:tcW w:w="765" w:type="dxa"/>
            <w:tcBorders>
              <w:top w:val="single" w:sz="6" w:space="0" w:color="666666"/>
              <w:left w:val="nil"/>
              <w:bottom w:val="single" w:sz="6" w:space="0" w:color="666666"/>
              <w:right w:val="nil"/>
            </w:tcBorders>
            <w:shd w:val="clear" w:color="auto" w:fill="CCCCCC"/>
            <w:hideMark/>
          </w:tcPr>
          <w:p w14:paraId="69689A6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1038 </w:t>
            </w:r>
          </w:p>
        </w:tc>
        <w:tc>
          <w:tcPr>
            <w:tcW w:w="765" w:type="dxa"/>
            <w:tcBorders>
              <w:top w:val="single" w:sz="6" w:space="0" w:color="666666"/>
              <w:left w:val="nil"/>
              <w:bottom w:val="single" w:sz="6" w:space="0" w:color="666666"/>
              <w:right w:val="nil"/>
            </w:tcBorders>
            <w:shd w:val="clear" w:color="auto" w:fill="CCCCCC"/>
            <w:hideMark/>
          </w:tcPr>
          <w:p w14:paraId="6CF8369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743 </w:t>
            </w:r>
          </w:p>
        </w:tc>
        <w:tc>
          <w:tcPr>
            <w:tcW w:w="765" w:type="dxa"/>
            <w:tcBorders>
              <w:top w:val="single" w:sz="6" w:space="0" w:color="666666"/>
              <w:left w:val="nil"/>
              <w:bottom w:val="single" w:sz="6" w:space="0" w:color="666666"/>
              <w:right w:val="nil"/>
            </w:tcBorders>
            <w:shd w:val="clear" w:color="auto" w:fill="CCCCCC"/>
            <w:hideMark/>
          </w:tcPr>
          <w:p w14:paraId="0953ECA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575 </w:t>
            </w:r>
          </w:p>
        </w:tc>
        <w:tc>
          <w:tcPr>
            <w:tcW w:w="765" w:type="dxa"/>
            <w:tcBorders>
              <w:top w:val="single" w:sz="6" w:space="0" w:color="666666"/>
              <w:left w:val="nil"/>
              <w:bottom w:val="single" w:sz="6" w:space="0" w:color="666666"/>
              <w:right w:val="nil"/>
            </w:tcBorders>
            <w:shd w:val="clear" w:color="auto" w:fill="CCCCCC"/>
            <w:hideMark/>
          </w:tcPr>
          <w:p w14:paraId="73AB287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555 </w:t>
            </w:r>
          </w:p>
        </w:tc>
        <w:tc>
          <w:tcPr>
            <w:tcW w:w="765" w:type="dxa"/>
            <w:tcBorders>
              <w:top w:val="single" w:sz="6" w:space="0" w:color="666666"/>
              <w:left w:val="nil"/>
              <w:bottom w:val="single" w:sz="6" w:space="0" w:color="666666"/>
              <w:right w:val="nil"/>
            </w:tcBorders>
            <w:shd w:val="clear" w:color="auto" w:fill="CCCCCC"/>
            <w:hideMark/>
          </w:tcPr>
          <w:p w14:paraId="083C875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535 </w:t>
            </w:r>
          </w:p>
        </w:tc>
        <w:tc>
          <w:tcPr>
            <w:tcW w:w="765" w:type="dxa"/>
            <w:tcBorders>
              <w:top w:val="single" w:sz="6" w:space="0" w:color="666666"/>
              <w:left w:val="nil"/>
              <w:bottom w:val="single" w:sz="6" w:space="0" w:color="666666"/>
              <w:right w:val="nil"/>
            </w:tcBorders>
            <w:shd w:val="clear" w:color="auto" w:fill="CCCCCC"/>
            <w:hideMark/>
          </w:tcPr>
          <w:p w14:paraId="152014D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512 </w:t>
            </w:r>
          </w:p>
        </w:tc>
        <w:tc>
          <w:tcPr>
            <w:tcW w:w="765" w:type="dxa"/>
            <w:tcBorders>
              <w:top w:val="single" w:sz="6" w:space="0" w:color="666666"/>
              <w:left w:val="nil"/>
              <w:bottom w:val="single" w:sz="6" w:space="0" w:color="666666"/>
              <w:right w:val="nil"/>
            </w:tcBorders>
            <w:shd w:val="clear" w:color="auto" w:fill="CCCCCC"/>
            <w:hideMark/>
          </w:tcPr>
          <w:p w14:paraId="0ACCD4A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468 </w:t>
            </w:r>
          </w:p>
        </w:tc>
        <w:tc>
          <w:tcPr>
            <w:tcW w:w="765" w:type="dxa"/>
            <w:tcBorders>
              <w:top w:val="single" w:sz="6" w:space="0" w:color="666666"/>
              <w:left w:val="nil"/>
              <w:bottom w:val="single" w:sz="6" w:space="0" w:color="666666"/>
              <w:right w:val="nil"/>
            </w:tcBorders>
            <w:shd w:val="clear" w:color="auto" w:fill="CCCCCC"/>
            <w:hideMark/>
          </w:tcPr>
          <w:p w14:paraId="6F06BBE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247 </w:t>
            </w:r>
          </w:p>
        </w:tc>
        <w:tc>
          <w:tcPr>
            <w:tcW w:w="765" w:type="dxa"/>
            <w:tcBorders>
              <w:top w:val="single" w:sz="6" w:space="0" w:color="666666"/>
              <w:left w:val="nil"/>
              <w:bottom w:val="single" w:sz="6" w:space="0" w:color="666666"/>
              <w:right w:val="nil"/>
            </w:tcBorders>
            <w:shd w:val="clear" w:color="auto" w:fill="CCCCCC"/>
            <w:hideMark/>
          </w:tcPr>
          <w:p w14:paraId="706326F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163 </w:t>
            </w:r>
          </w:p>
        </w:tc>
        <w:tc>
          <w:tcPr>
            <w:tcW w:w="765" w:type="dxa"/>
            <w:tcBorders>
              <w:top w:val="single" w:sz="6" w:space="0" w:color="666666"/>
              <w:left w:val="nil"/>
              <w:bottom w:val="single" w:sz="6" w:space="0" w:color="666666"/>
              <w:right w:val="nil"/>
            </w:tcBorders>
            <w:shd w:val="clear" w:color="auto" w:fill="CCCCCC"/>
            <w:hideMark/>
          </w:tcPr>
          <w:p w14:paraId="26DBC03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110 </w:t>
            </w:r>
          </w:p>
        </w:tc>
        <w:tc>
          <w:tcPr>
            <w:tcW w:w="765" w:type="dxa"/>
            <w:tcBorders>
              <w:top w:val="single" w:sz="6" w:space="0" w:color="666666"/>
              <w:left w:val="nil"/>
              <w:bottom w:val="single" w:sz="6" w:space="0" w:color="666666"/>
              <w:right w:val="nil"/>
            </w:tcBorders>
            <w:shd w:val="clear" w:color="auto" w:fill="CCCCCC"/>
            <w:hideMark/>
          </w:tcPr>
          <w:p w14:paraId="5769745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71 </w:t>
            </w:r>
          </w:p>
        </w:tc>
        <w:tc>
          <w:tcPr>
            <w:tcW w:w="765" w:type="dxa"/>
            <w:tcBorders>
              <w:top w:val="single" w:sz="6" w:space="0" w:color="666666"/>
              <w:left w:val="nil"/>
              <w:bottom w:val="single" w:sz="6" w:space="0" w:color="666666"/>
              <w:right w:val="nil"/>
            </w:tcBorders>
            <w:shd w:val="clear" w:color="auto" w:fill="CCCCCC"/>
            <w:hideMark/>
          </w:tcPr>
          <w:p w14:paraId="03A010B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68 </w:t>
            </w:r>
          </w:p>
        </w:tc>
        <w:tc>
          <w:tcPr>
            <w:tcW w:w="765" w:type="dxa"/>
            <w:tcBorders>
              <w:top w:val="single" w:sz="6" w:space="0" w:color="666666"/>
              <w:left w:val="nil"/>
              <w:bottom w:val="single" w:sz="6" w:space="0" w:color="666666"/>
              <w:right w:val="nil"/>
            </w:tcBorders>
            <w:shd w:val="clear" w:color="auto" w:fill="CCCCCC"/>
            <w:hideMark/>
          </w:tcPr>
          <w:p w14:paraId="2EADBBF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153 </w:t>
            </w:r>
          </w:p>
        </w:tc>
        <w:tc>
          <w:tcPr>
            <w:tcW w:w="765" w:type="dxa"/>
            <w:tcBorders>
              <w:top w:val="single" w:sz="6" w:space="0" w:color="666666"/>
              <w:left w:val="nil"/>
              <w:bottom w:val="single" w:sz="6" w:space="0" w:color="666666"/>
              <w:right w:val="nil"/>
            </w:tcBorders>
            <w:shd w:val="clear" w:color="auto" w:fill="CCCCCC"/>
            <w:hideMark/>
          </w:tcPr>
          <w:p w14:paraId="5A10756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7891 </w:t>
            </w:r>
          </w:p>
        </w:tc>
      </w:tr>
      <w:tr w:rsidR="005C74AB" w:rsidRPr="005C74AB" w14:paraId="185C5776"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7517E6AA" w14:textId="0C84E71B"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16</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17 </w:t>
            </w:r>
          </w:p>
        </w:tc>
        <w:tc>
          <w:tcPr>
            <w:tcW w:w="765" w:type="dxa"/>
            <w:tcBorders>
              <w:top w:val="single" w:sz="6" w:space="0" w:color="666666"/>
              <w:left w:val="nil"/>
              <w:bottom w:val="single" w:sz="6" w:space="0" w:color="666666"/>
              <w:right w:val="nil"/>
            </w:tcBorders>
            <w:shd w:val="clear" w:color="auto" w:fill="auto"/>
            <w:hideMark/>
          </w:tcPr>
          <w:p w14:paraId="30F8EEA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73 </w:t>
            </w:r>
          </w:p>
        </w:tc>
        <w:tc>
          <w:tcPr>
            <w:tcW w:w="765" w:type="dxa"/>
            <w:tcBorders>
              <w:top w:val="single" w:sz="6" w:space="0" w:color="666666"/>
              <w:left w:val="nil"/>
              <w:bottom w:val="single" w:sz="6" w:space="0" w:color="666666"/>
              <w:right w:val="nil"/>
            </w:tcBorders>
            <w:shd w:val="clear" w:color="auto" w:fill="auto"/>
            <w:hideMark/>
          </w:tcPr>
          <w:p w14:paraId="58E7A5D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7 </w:t>
            </w:r>
          </w:p>
        </w:tc>
        <w:tc>
          <w:tcPr>
            <w:tcW w:w="765" w:type="dxa"/>
            <w:tcBorders>
              <w:top w:val="single" w:sz="6" w:space="0" w:color="666666"/>
              <w:left w:val="nil"/>
              <w:bottom w:val="single" w:sz="6" w:space="0" w:color="666666"/>
              <w:right w:val="nil"/>
            </w:tcBorders>
            <w:shd w:val="clear" w:color="auto" w:fill="auto"/>
            <w:hideMark/>
          </w:tcPr>
          <w:p w14:paraId="49D17BD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601 </w:t>
            </w:r>
          </w:p>
        </w:tc>
        <w:tc>
          <w:tcPr>
            <w:tcW w:w="765" w:type="dxa"/>
            <w:tcBorders>
              <w:top w:val="single" w:sz="6" w:space="0" w:color="666666"/>
              <w:left w:val="nil"/>
              <w:bottom w:val="single" w:sz="6" w:space="0" w:color="666666"/>
              <w:right w:val="nil"/>
            </w:tcBorders>
            <w:shd w:val="clear" w:color="auto" w:fill="auto"/>
            <w:hideMark/>
          </w:tcPr>
          <w:p w14:paraId="048918C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2468 </w:t>
            </w:r>
          </w:p>
        </w:tc>
        <w:tc>
          <w:tcPr>
            <w:tcW w:w="765" w:type="dxa"/>
            <w:tcBorders>
              <w:top w:val="single" w:sz="6" w:space="0" w:color="666666"/>
              <w:left w:val="nil"/>
              <w:bottom w:val="single" w:sz="6" w:space="0" w:color="666666"/>
              <w:right w:val="nil"/>
            </w:tcBorders>
            <w:shd w:val="clear" w:color="auto" w:fill="auto"/>
            <w:hideMark/>
          </w:tcPr>
          <w:p w14:paraId="1A87BE0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1141 </w:t>
            </w:r>
          </w:p>
        </w:tc>
        <w:tc>
          <w:tcPr>
            <w:tcW w:w="765" w:type="dxa"/>
            <w:tcBorders>
              <w:top w:val="single" w:sz="6" w:space="0" w:color="666666"/>
              <w:left w:val="nil"/>
              <w:bottom w:val="single" w:sz="6" w:space="0" w:color="666666"/>
              <w:right w:val="nil"/>
            </w:tcBorders>
            <w:shd w:val="clear" w:color="auto" w:fill="auto"/>
            <w:hideMark/>
          </w:tcPr>
          <w:p w14:paraId="64917CB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732 </w:t>
            </w:r>
          </w:p>
        </w:tc>
        <w:tc>
          <w:tcPr>
            <w:tcW w:w="765" w:type="dxa"/>
            <w:tcBorders>
              <w:top w:val="single" w:sz="6" w:space="0" w:color="666666"/>
              <w:left w:val="nil"/>
              <w:bottom w:val="single" w:sz="6" w:space="0" w:color="666666"/>
              <w:right w:val="nil"/>
            </w:tcBorders>
            <w:shd w:val="clear" w:color="auto" w:fill="auto"/>
            <w:hideMark/>
          </w:tcPr>
          <w:p w14:paraId="3C6B3DF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528 </w:t>
            </w:r>
          </w:p>
        </w:tc>
        <w:tc>
          <w:tcPr>
            <w:tcW w:w="765" w:type="dxa"/>
            <w:tcBorders>
              <w:top w:val="single" w:sz="6" w:space="0" w:color="666666"/>
              <w:left w:val="nil"/>
              <w:bottom w:val="single" w:sz="6" w:space="0" w:color="666666"/>
              <w:right w:val="nil"/>
            </w:tcBorders>
            <w:shd w:val="clear" w:color="auto" w:fill="auto"/>
            <w:hideMark/>
          </w:tcPr>
          <w:p w14:paraId="79352EB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546 </w:t>
            </w:r>
          </w:p>
        </w:tc>
        <w:tc>
          <w:tcPr>
            <w:tcW w:w="765" w:type="dxa"/>
            <w:tcBorders>
              <w:top w:val="single" w:sz="6" w:space="0" w:color="666666"/>
              <w:left w:val="nil"/>
              <w:bottom w:val="single" w:sz="6" w:space="0" w:color="666666"/>
              <w:right w:val="nil"/>
            </w:tcBorders>
            <w:shd w:val="clear" w:color="auto" w:fill="auto"/>
            <w:hideMark/>
          </w:tcPr>
          <w:p w14:paraId="084E9B6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502 </w:t>
            </w:r>
          </w:p>
        </w:tc>
        <w:tc>
          <w:tcPr>
            <w:tcW w:w="765" w:type="dxa"/>
            <w:tcBorders>
              <w:top w:val="single" w:sz="6" w:space="0" w:color="666666"/>
              <w:left w:val="nil"/>
              <w:bottom w:val="single" w:sz="6" w:space="0" w:color="666666"/>
              <w:right w:val="nil"/>
            </w:tcBorders>
            <w:shd w:val="clear" w:color="auto" w:fill="auto"/>
            <w:hideMark/>
          </w:tcPr>
          <w:p w14:paraId="4AAC350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540 </w:t>
            </w:r>
          </w:p>
        </w:tc>
        <w:tc>
          <w:tcPr>
            <w:tcW w:w="765" w:type="dxa"/>
            <w:tcBorders>
              <w:top w:val="single" w:sz="6" w:space="0" w:color="666666"/>
              <w:left w:val="nil"/>
              <w:bottom w:val="single" w:sz="6" w:space="0" w:color="666666"/>
              <w:right w:val="nil"/>
            </w:tcBorders>
            <w:shd w:val="clear" w:color="auto" w:fill="auto"/>
            <w:hideMark/>
          </w:tcPr>
          <w:p w14:paraId="4B7C18E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424 </w:t>
            </w:r>
          </w:p>
        </w:tc>
        <w:tc>
          <w:tcPr>
            <w:tcW w:w="765" w:type="dxa"/>
            <w:tcBorders>
              <w:top w:val="single" w:sz="6" w:space="0" w:color="666666"/>
              <w:left w:val="nil"/>
              <w:bottom w:val="single" w:sz="6" w:space="0" w:color="666666"/>
              <w:right w:val="nil"/>
            </w:tcBorders>
            <w:shd w:val="clear" w:color="auto" w:fill="auto"/>
            <w:hideMark/>
          </w:tcPr>
          <w:p w14:paraId="72D32B7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259 </w:t>
            </w:r>
          </w:p>
        </w:tc>
        <w:tc>
          <w:tcPr>
            <w:tcW w:w="765" w:type="dxa"/>
            <w:tcBorders>
              <w:top w:val="single" w:sz="6" w:space="0" w:color="666666"/>
              <w:left w:val="nil"/>
              <w:bottom w:val="single" w:sz="6" w:space="0" w:color="666666"/>
              <w:right w:val="nil"/>
            </w:tcBorders>
            <w:shd w:val="clear" w:color="auto" w:fill="auto"/>
            <w:hideMark/>
          </w:tcPr>
          <w:p w14:paraId="2A36F86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173 </w:t>
            </w:r>
          </w:p>
        </w:tc>
        <w:tc>
          <w:tcPr>
            <w:tcW w:w="765" w:type="dxa"/>
            <w:tcBorders>
              <w:top w:val="single" w:sz="6" w:space="0" w:color="666666"/>
              <w:left w:val="nil"/>
              <w:bottom w:val="single" w:sz="6" w:space="0" w:color="666666"/>
              <w:right w:val="nil"/>
            </w:tcBorders>
            <w:shd w:val="clear" w:color="auto" w:fill="auto"/>
            <w:hideMark/>
          </w:tcPr>
          <w:p w14:paraId="19E54E0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134 </w:t>
            </w:r>
          </w:p>
        </w:tc>
        <w:tc>
          <w:tcPr>
            <w:tcW w:w="765" w:type="dxa"/>
            <w:tcBorders>
              <w:top w:val="single" w:sz="6" w:space="0" w:color="666666"/>
              <w:left w:val="nil"/>
              <w:bottom w:val="single" w:sz="6" w:space="0" w:color="666666"/>
              <w:right w:val="nil"/>
            </w:tcBorders>
            <w:shd w:val="clear" w:color="auto" w:fill="auto"/>
            <w:hideMark/>
          </w:tcPr>
          <w:p w14:paraId="0CEF59F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76 </w:t>
            </w:r>
          </w:p>
        </w:tc>
        <w:tc>
          <w:tcPr>
            <w:tcW w:w="765" w:type="dxa"/>
            <w:tcBorders>
              <w:top w:val="single" w:sz="6" w:space="0" w:color="666666"/>
              <w:left w:val="nil"/>
              <w:bottom w:val="single" w:sz="6" w:space="0" w:color="666666"/>
              <w:right w:val="nil"/>
            </w:tcBorders>
            <w:shd w:val="clear" w:color="auto" w:fill="auto"/>
            <w:hideMark/>
          </w:tcPr>
          <w:p w14:paraId="555BBA3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66 </w:t>
            </w:r>
          </w:p>
        </w:tc>
        <w:tc>
          <w:tcPr>
            <w:tcW w:w="765" w:type="dxa"/>
            <w:tcBorders>
              <w:top w:val="single" w:sz="6" w:space="0" w:color="666666"/>
              <w:left w:val="nil"/>
              <w:bottom w:val="single" w:sz="6" w:space="0" w:color="666666"/>
              <w:right w:val="nil"/>
            </w:tcBorders>
            <w:shd w:val="clear" w:color="auto" w:fill="auto"/>
            <w:hideMark/>
          </w:tcPr>
          <w:p w14:paraId="3B02B2A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125 </w:t>
            </w:r>
          </w:p>
        </w:tc>
        <w:tc>
          <w:tcPr>
            <w:tcW w:w="765" w:type="dxa"/>
            <w:tcBorders>
              <w:top w:val="single" w:sz="6" w:space="0" w:color="666666"/>
              <w:left w:val="nil"/>
              <w:bottom w:val="single" w:sz="6" w:space="0" w:color="666666"/>
              <w:right w:val="nil"/>
            </w:tcBorders>
            <w:shd w:val="clear" w:color="auto" w:fill="auto"/>
            <w:hideMark/>
          </w:tcPr>
          <w:p w14:paraId="718BB99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8395 </w:t>
            </w:r>
          </w:p>
        </w:tc>
      </w:tr>
      <w:tr w:rsidR="005C74AB" w:rsidRPr="005C74AB" w14:paraId="38F7BCD3" w14:textId="77777777" w:rsidTr="005C74AB">
        <w:trPr>
          <w:trHeight w:val="270"/>
        </w:trPr>
        <w:tc>
          <w:tcPr>
            <w:tcW w:w="765" w:type="dxa"/>
            <w:tcBorders>
              <w:top w:val="single" w:sz="6" w:space="0" w:color="666666"/>
              <w:left w:val="nil"/>
              <w:bottom w:val="single" w:sz="6" w:space="0" w:color="666666"/>
              <w:right w:val="nil"/>
            </w:tcBorders>
            <w:shd w:val="clear" w:color="auto" w:fill="CCCCCC"/>
            <w:hideMark/>
          </w:tcPr>
          <w:p w14:paraId="29940FED" w14:textId="61A2A6D6"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17</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18 </w:t>
            </w:r>
          </w:p>
        </w:tc>
        <w:tc>
          <w:tcPr>
            <w:tcW w:w="765" w:type="dxa"/>
            <w:tcBorders>
              <w:top w:val="single" w:sz="6" w:space="0" w:color="666666"/>
              <w:left w:val="nil"/>
              <w:bottom w:val="single" w:sz="6" w:space="0" w:color="666666"/>
              <w:right w:val="nil"/>
            </w:tcBorders>
            <w:shd w:val="clear" w:color="auto" w:fill="CCCCCC"/>
            <w:hideMark/>
          </w:tcPr>
          <w:p w14:paraId="3033CA9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77 </w:t>
            </w:r>
          </w:p>
        </w:tc>
        <w:tc>
          <w:tcPr>
            <w:tcW w:w="765" w:type="dxa"/>
            <w:tcBorders>
              <w:top w:val="single" w:sz="6" w:space="0" w:color="666666"/>
              <w:left w:val="nil"/>
              <w:bottom w:val="single" w:sz="6" w:space="0" w:color="666666"/>
              <w:right w:val="nil"/>
            </w:tcBorders>
            <w:shd w:val="clear" w:color="auto" w:fill="CCCCCC"/>
            <w:hideMark/>
          </w:tcPr>
          <w:p w14:paraId="4DEF03D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6 </w:t>
            </w:r>
          </w:p>
        </w:tc>
        <w:tc>
          <w:tcPr>
            <w:tcW w:w="765" w:type="dxa"/>
            <w:tcBorders>
              <w:top w:val="single" w:sz="6" w:space="0" w:color="666666"/>
              <w:left w:val="nil"/>
              <w:bottom w:val="single" w:sz="6" w:space="0" w:color="666666"/>
              <w:right w:val="nil"/>
            </w:tcBorders>
            <w:shd w:val="clear" w:color="auto" w:fill="CCCCCC"/>
            <w:hideMark/>
          </w:tcPr>
          <w:p w14:paraId="6573A09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484 </w:t>
            </w:r>
          </w:p>
        </w:tc>
        <w:tc>
          <w:tcPr>
            <w:tcW w:w="765" w:type="dxa"/>
            <w:tcBorders>
              <w:top w:val="single" w:sz="6" w:space="0" w:color="666666"/>
              <w:left w:val="nil"/>
              <w:bottom w:val="single" w:sz="6" w:space="0" w:color="666666"/>
              <w:right w:val="nil"/>
            </w:tcBorders>
            <w:shd w:val="clear" w:color="auto" w:fill="CCCCCC"/>
            <w:hideMark/>
          </w:tcPr>
          <w:p w14:paraId="1FE52F0E"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1990 </w:t>
            </w:r>
          </w:p>
        </w:tc>
        <w:tc>
          <w:tcPr>
            <w:tcW w:w="765" w:type="dxa"/>
            <w:tcBorders>
              <w:top w:val="single" w:sz="6" w:space="0" w:color="666666"/>
              <w:left w:val="nil"/>
              <w:bottom w:val="single" w:sz="6" w:space="0" w:color="666666"/>
              <w:right w:val="nil"/>
            </w:tcBorders>
            <w:shd w:val="clear" w:color="auto" w:fill="CCCCCC"/>
            <w:hideMark/>
          </w:tcPr>
          <w:p w14:paraId="364AF046"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1074 </w:t>
            </w:r>
          </w:p>
        </w:tc>
        <w:tc>
          <w:tcPr>
            <w:tcW w:w="765" w:type="dxa"/>
            <w:tcBorders>
              <w:top w:val="single" w:sz="6" w:space="0" w:color="666666"/>
              <w:left w:val="nil"/>
              <w:bottom w:val="single" w:sz="6" w:space="0" w:color="666666"/>
              <w:right w:val="nil"/>
            </w:tcBorders>
            <w:shd w:val="clear" w:color="auto" w:fill="CCCCCC"/>
            <w:hideMark/>
          </w:tcPr>
          <w:p w14:paraId="73F06C2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737 </w:t>
            </w:r>
          </w:p>
        </w:tc>
        <w:tc>
          <w:tcPr>
            <w:tcW w:w="765" w:type="dxa"/>
            <w:tcBorders>
              <w:top w:val="single" w:sz="6" w:space="0" w:color="666666"/>
              <w:left w:val="nil"/>
              <w:bottom w:val="single" w:sz="6" w:space="0" w:color="666666"/>
              <w:right w:val="nil"/>
            </w:tcBorders>
            <w:shd w:val="clear" w:color="auto" w:fill="CCCCCC"/>
            <w:hideMark/>
          </w:tcPr>
          <w:p w14:paraId="6971A28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472 </w:t>
            </w:r>
          </w:p>
        </w:tc>
        <w:tc>
          <w:tcPr>
            <w:tcW w:w="765" w:type="dxa"/>
            <w:tcBorders>
              <w:top w:val="single" w:sz="6" w:space="0" w:color="666666"/>
              <w:left w:val="nil"/>
              <w:bottom w:val="single" w:sz="6" w:space="0" w:color="666666"/>
              <w:right w:val="nil"/>
            </w:tcBorders>
            <w:shd w:val="clear" w:color="auto" w:fill="CCCCCC"/>
            <w:hideMark/>
          </w:tcPr>
          <w:p w14:paraId="4775F6A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432 </w:t>
            </w:r>
          </w:p>
        </w:tc>
        <w:tc>
          <w:tcPr>
            <w:tcW w:w="765" w:type="dxa"/>
            <w:tcBorders>
              <w:top w:val="single" w:sz="6" w:space="0" w:color="666666"/>
              <w:left w:val="nil"/>
              <w:bottom w:val="single" w:sz="6" w:space="0" w:color="666666"/>
              <w:right w:val="nil"/>
            </w:tcBorders>
            <w:shd w:val="clear" w:color="auto" w:fill="CCCCCC"/>
            <w:hideMark/>
          </w:tcPr>
          <w:p w14:paraId="13835E8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440 </w:t>
            </w:r>
          </w:p>
        </w:tc>
        <w:tc>
          <w:tcPr>
            <w:tcW w:w="765" w:type="dxa"/>
            <w:tcBorders>
              <w:top w:val="single" w:sz="6" w:space="0" w:color="666666"/>
              <w:left w:val="nil"/>
              <w:bottom w:val="single" w:sz="6" w:space="0" w:color="666666"/>
              <w:right w:val="nil"/>
            </w:tcBorders>
            <w:shd w:val="clear" w:color="auto" w:fill="CCCCCC"/>
            <w:hideMark/>
          </w:tcPr>
          <w:p w14:paraId="31CEF57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429 </w:t>
            </w:r>
          </w:p>
        </w:tc>
        <w:tc>
          <w:tcPr>
            <w:tcW w:w="765" w:type="dxa"/>
            <w:tcBorders>
              <w:top w:val="single" w:sz="6" w:space="0" w:color="666666"/>
              <w:left w:val="nil"/>
              <w:bottom w:val="single" w:sz="6" w:space="0" w:color="666666"/>
              <w:right w:val="nil"/>
            </w:tcBorders>
            <w:shd w:val="clear" w:color="auto" w:fill="CCCCCC"/>
            <w:hideMark/>
          </w:tcPr>
          <w:p w14:paraId="6BAB3FC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403 </w:t>
            </w:r>
          </w:p>
        </w:tc>
        <w:tc>
          <w:tcPr>
            <w:tcW w:w="765" w:type="dxa"/>
            <w:tcBorders>
              <w:top w:val="single" w:sz="6" w:space="0" w:color="666666"/>
              <w:left w:val="nil"/>
              <w:bottom w:val="single" w:sz="6" w:space="0" w:color="666666"/>
              <w:right w:val="nil"/>
            </w:tcBorders>
            <w:shd w:val="clear" w:color="auto" w:fill="CCCCCC"/>
            <w:hideMark/>
          </w:tcPr>
          <w:p w14:paraId="23B9961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204 </w:t>
            </w:r>
          </w:p>
        </w:tc>
        <w:tc>
          <w:tcPr>
            <w:tcW w:w="765" w:type="dxa"/>
            <w:tcBorders>
              <w:top w:val="single" w:sz="6" w:space="0" w:color="666666"/>
              <w:left w:val="nil"/>
              <w:bottom w:val="single" w:sz="6" w:space="0" w:color="666666"/>
              <w:right w:val="nil"/>
            </w:tcBorders>
            <w:shd w:val="clear" w:color="auto" w:fill="CCCCCC"/>
            <w:hideMark/>
          </w:tcPr>
          <w:p w14:paraId="21BF0AF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185 </w:t>
            </w:r>
          </w:p>
        </w:tc>
        <w:tc>
          <w:tcPr>
            <w:tcW w:w="765" w:type="dxa"/>
            <w:tcBorders>
              <w:top w:val="single" w:sz="6" w:space="0" w:color="666666"/>
              <w:left w:val="nil"/>
              <w:bottom w:val="single" w:sz="6" w:space="0" w:color="666666"/>
              <w:right w:val="nil"/>
            </w:tcBorders>
            <w:shd w:val="clear" w:color="auto" w:fill="CCCCCC"/>
            <w:hideMark/>
          </w:tcPr>
          <w:p w14:paraId="3914FBE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89 </w:t>
            </w:r>
          </w:p>
        </w:tc>
        <w:tc>
          <w:tcPr>
            <w:tcW w:w="765" w:type="dxa"/>
            <w:tcBorders>
              <w:top w:val="single" w:sz="6" w:space="0" w:color="666666"/>
              <w:left w:val="nil"/>
              <w:bottom w:val="single" w:sz="6" w:space="0" w:color="666666"/>
              <w:right w:val="nil"/>
            </w:tcBorders>
            <w:shd w:val="clear" w:color="auto" w:fill="CCCCCC"/>
            <w:hideMark/>
          </w:tcPr>
          <w:p w14:paraId="750F9F2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72 </w:t>
            </w:r>
          </w:p>
        </w:tc>
        <w:tc>
          <w:tcPr>
            <w:tcW w:w="765" w:type="dxa"/>
            <w:tcBorders>
              <w:top w:val="single" w:sz="6" w:space="0" w:color="666666"/>
              <w:left w:val="nil"/>
              <w:bottom w:val="single" w:sz="6" w:space="0" w:color="666666"/>
              <w:right w:val="nil"/>
            </w:tcBorders>
            <w:shd w:val="clear" w:color="auto" w:fill="CCCCCC"/>
            <w:hideMark/>
          </w:tcPr>
          <w:p w14:paraId="7359B91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77 </w:t>
            </w:r>
          </w:p>
        </w:tc>
        <w:tc>
          <w:tcPr>
            <w:tcW w:w="765" w:type="dxa"/>
            <w:tcBorders>
              <w:top w:val="single" w:sz="6" w:space="0" w:color="666666"/>
              <w:left w:val="nil"/>
              <w:bottom w:val="single" w:sz="6" w:space="0" w:color="666666"/>
              <w:right w:val="nil"/>
            </w:tcBorders>
            <w:shd w:val="clear" w:color="auto" w:fill="CCCCCC"/>
            <w:hideMark/>
          </w:tcPr>
          <w:p w14:paraId="541F89D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138 </w:t>
            </w:r>
          </w:p>
        </w:tc>
        <w:tc>
          <w:tcPr>
            <w:tcW w:w="765" w:type="dxa"/>
            <w:tcBorders>
              <w:top w:val="single" w:sz="6" w:space="0" w:color="666666"/>
              <w:left w:val="nil"/>
              <w:bottom w:val="single" w:sz="6" w:space="0" w:color="666666"/>
              <w:right w:val="nil"/>
            </w:tcBorders>
            <w:shd w:val="clear" w:color="auto" w:fill="CCCCCC"/>
            <w:hideMark/>
          </w:tcPr>
          <w:p w14:paraId="58F7E42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7309 </w:t>
            </w:r>
          </w:p>
        </w:tc>
      </w:tr>
      <w:tr w:rsidR="005C74AB" w:rsidRPr="005C74AB" w14:paraId="49243946" w14:textId="77777777" w:rsidTr="005C74AB">
        <w:trPr>
          <w:trHeight w:val="270"/>
        </w:trPr>
        <w:tc>
          <w:tcPr>
            <w:tcW w:w="765" w:type="dxa"/>
            <w:tcBorders>
              <w:top w:val="single" w:sz="6" w:space="0" w:color="666666"/>
              <w:left w:val="nil"/>
              <w:bottom w:val="single" w:sz="6" w:space="0" w:color="666666"/>
              <w:right w:val="nil"/>
            </w:tcBorders>
            <w:shd w:val="clear" w:color="auto" w:fill="auto"/>
            <w:hideMark/>
          </w:tcPr>
          <w:p w14:paraId="1313C7A4" w14:textId="37E74A24"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18</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19 </w:t>
            </w:r>
          </w:p>
        </w:tc>
        <w:tc>
          <w:tcPr>
            <w:tcW w:w="765" w:type="dxa"/>
            <w:tcBorders>
              <w:top w:val="single" w:sz="6" w:space="0" w:color="666666"/>
              <w:left w:val="nil"/>
              <w:bottom w:val="single" w:sz="6" w:space="0" w:color="666666"/>
              <w:right w:val="nil"/>
            </w:tcBorders>
            <w:shd w:val="clear" w:color="auto" w:fill="auto"/>
            <w:hideMark/>
          </w:tcPr>
          <w:p w14:paraId="78DEA20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77 </w:t>
            </w:r>
          </w:p>
        </w:tc>
        <w:tc>
          <w:tcPr>
            <w:tcW w:w="765" w:type="dxa"/>
            <w:tcBorders>
              <w:top w:val="single" w:sz="6" w:space="0" w:color="666666"/>
              <w:left w:val="nil"/>
              <w:bottom w:val="single" w:sz="6" w:space="0" w:color="666666"/>
              <w:right w:val="nil"/>
            </w:tcBorders>
            <w:shd w:val="clear" w:color="auto" w:fill="auto"/>
            <w:hideMark/>
          </w:tcPr>
          <w:p w14:paraId="0FFA393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6 </w:t>
            </w:r>
          </w:p>
        </w:tc>
        <w:tc>
          <w:tcPr>
            <w:tcW w:w="765" w:type="dxa"/>
            <w:tcBorders>
              <w:top w:val="single" w:sz="6" w:space="0" w:color="666666"/>
              <w:left w:val="nil"/>
              <w:bottom w:val="single" w:sz="6" w:space="0" w:color="666666"/>
              <w:right w:val="nil"/>
            </w:tcBorders>
            <w:shd w:val="clear" w:color="auto" w:fill="auto"/>
            <w:hideMark/>
          </w:tcPr>
          <w:p w14:paraId="0D71AAA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449 </w:t>
            </w:r>
          </w:p>
        </w:tc>
        <w:tc>
          <w:tcPr>
            <w:tcW w:w="765" w:type="dxa"/>
            <w:tcBorders>
              <w:top w:val="single" w:sz="6" w:space="0" w:color="666666"/>
              <w:left w:val="nil"/>
              <w:bottom w:val="single" w:sz="6" w:space="0" w:color="666666"/>
              <w:right w:val="nil"/>
            </w:tcBorders>
            <w:shd w:val="clear" w:color="auto" w:fill="auto"/>
            <w:hideMark/>
          </w:tcPr>
          <w:p w14:paraId="5CACA0E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1802 </w:t>
            </w:r>
          </w:p>
        </w:tc>
        <w:tc>
          <w:tcPr>
            <w:tcW w:w="765" w:type="dxa"/>
            <w:tcBorders>
              <w:top w:val="single" w:sz="6" w:space="0" w:color="666666"/>
              <w:left w:val="nil"/>
              <w:bottom w:val="single" w:sz="6" w:space="0" w:color="666666"/>
              <w:right w:val="nil"/>
            </w:tcBorders>
            <w:shd w:val="clear" w:color="auto" w:fill="auto"/>
            <w:hideMark/>
          </w:tcPr>
          <w:p w14:paraId="65A6C99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1013 </w:t>
            </w:r>
          </w:p>
        </w:tc>
        <w:tc>
          <w:tcPr>
            <w:tcW w:w="765" w:type="dxa"/>
            <w:tcBorders>
              <w:top w:val="single" w:sz="6" w:space="0" w:color="666666"/>
              <w:left w:val="nil"/>
              <w:bottom w:val="single" w:sz="6" w:space="0" w:color="666666"/>
              <w:right w:val="nil"/>
            </w:tcBorders>
            <w:shd w:val="clear" w:color="auto" w:fill="auto"/>
            <w:hideMark/>
          </w:tcPr>
          <w:p w14:paraId="4A916F3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638 </w:t>
            </w:r>
          </w:p>
        </w:tc>
        <w:tc>
          <w:tcPr>
            <w:tcW w:w="765" w:type="dxa"/>
            <w:tcBorders>
              <w:top w:val="single" w:sz="6" w:space="0" w:color="666666"/>
              <w:left w:val="nil"/>
              <w:bottom w:val="single" w:sz="6" w:space="0" w:color="666666"/>
              <w:right w:val="nil"/>
            </w:tcBorders>
            <w:shd w:val="clear" w:color="auto" w:fill="auto"/>
            <w:hideMark/>
          </w:tcPr>
          <w:p w14:paraId="486563E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484 </w:t>
            </w:r>
          </w:p>
        </w:tc>
        <w:tc>
          <w:tcPr>
            <w:tcW w:w="765" w:type="dxa"/>
            <w:tcBorders>
              <w:top w:val="single" w:sz="6" w:space="0" w:color="666666"/>
              <w:left w:val="nil"/>
              <w:bottom w:val="single" w:sz="6" w:space="0" w:color="666666"/>
              <w:right w:val="nil"/>
            </w:tcBorders>
            <w:shd w:val="clear" w:color="auto" w:fill="auto"/>
            <w:hideMark/>
          </w:tcPr>
          <w:p w14:paraId="74B59E1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333 </w:t>
            </w:r>
          </w:p>
        </w:tc>
        <w:tc>
          <w:tcPr>
            <w:tcW w:w="765" w:type="dxa"/>
            <w:tcBorders>
              <w:top w:val="single" w:sz="6" w:space="0" w:color="666666"/>
              <w:left w:val="nil"/>
              <w:bottom w:val="single" w:sz="6" w:space="0" w:color="666666"/>
              <w:right w:val="nil"/>
            </w:tcBorders>
            <w:shd w:val="clear" w:color="auto" w:fill="auto"/>
            <w:hideMark/>
          </w:tcPr>
          <w:p w14:paraId="767E625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370 </w:t>
            </w:r>
          </w:p>
        </w:tc>
        <w:tc>
          <w:tcPr>
            <w:tcW w:w="765" w:type="dxa"/>
            <w:tcBorders>
              <w:top w:val="single" w:sz="6" w:space="0" w:color="666666"/>
              <w:left w:val="nil"/>
              <w:bottom w:val="single" w:sz="6" w:space="0" w:color="666666"/>
              <w:right w:val="nil"/>
            </w:tcBorders>
            <w:shd w:val="clear" w:color="auto" w:fill="auto"/>
            <w:hideMark/>
          </w:tcPr>
          <w:p w14:paraId="698EC3C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394 </w:t>
            </w:r>
          </w:p>
        </w:tc>
        <w:tc>
          <w:tcPr>
            <w:tcW w:w="765" w:type="dxa"/>
            <w:tcBorders>
              <w:top w:val="single" w:sz="6" w:space="0" w:color="666666"/>
              <w:left w:val="nil"/>
              <w:bottom w:val="single" w:sz="6" w:space="0" w:color="666666"/>
              <w:right w:val="nil"/>
            </w:tcBorders>
            <w:shd w:val="clear" w:color="auto" w:fill="auto"/>
            <w:hideMark/>
          </w:tcPr>
          <w:p w14:paraId="24F950A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371 </w:t>
            </w:r>
          </w:p>
        </w:tc>
        <w:tc>
          <w:tcPr>
            <w:tcW w:w="765" w:type="dxa"/>
            <w:tcBorders>
              <w:top w:val="single" w:sz="6" w:space="0" w:color="666666"/>
              <w:left w:val="nil"/>
              <w:bottom w:val="single" w:sz="6" w:space="0" w:color="666666"/>
              <w:right w:val="nil"/>
            </w:tcBorders>
            <w:shd w:val="clear" w:color="auto" w:fill="auto"/>
            <w:hideMark/>
          </w:tcPr>
          <w:p w14:paraId="0B97183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199 </w:t>
            </w:r>
          </w:p>
        </w:tc>
        <w:tc>
          <w:tcPr>
            <w:tcW w:w="765" w:type="dxa"/>
            <w:tcBorders>
              <w:top w:val="single" w:sz="6" w:space="0" w:color="666666"/>
              <w:left w:val="nil"/>
              <w:bottom w:val="single" w:sz="6" w:space="0" w:color="666666"/>
              <w:right w:val="nil"/>
            </w:tcBorders>
            <w:shd w:val="clear" w:color="auto" w:fill="auto"/>
            <w:hideMark/>
          </w:tcPr>
          <w:p w14:paraId="3E87D24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148 </w:t>
            </w:r>
          </w:p>
        </w:tc>
        <w:tc>
          <w:tcPr>
            <w:tcW w:w="765" w:type="dxa"/>
            <w:tcBorders>
              <w:top w:val="single" w:sz="6" w:space="0" w:color="666666"/>
              <w:left w:val="nil"/>
              <w:bottom w:val="single" w:sz="6" w:space="0" w:color="666666"/>
              <w:right w:val="nil"/>
            </w:tcBorders>
            <w:shd w:val="clear" w:color="auto" w:fill="auto"/>
            <w:hideMark/>
          </w:tcPr>
          <w:p w14:paraId="7B9A329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91 </w:t>
            </w:r>
          </w:p>
        </w:tc>
        <w:tc>
          <w:tcPr>
            <w:tcW w:w="765" w:type="dxa"/>
            <w:tcBorders>
              <w:top w:val="single" w:sz="6" w:space="0" w:color="666666"/>
              <w:left w:val="nil"/>
              <w:bottom w:val="single" w:sz="6" w:space="0" w:color="666666"/>
              <w:right w:val="nil"/>
            </w:tcBorders>
            <w:shd w:val="clear" w:color="auto" w:fill="auto"/>
            <w:hideMark/>
          </w:tcPr>
          <w:p w14:paraId="659404C0"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95 </w:t>
            </w:r>
          </w:p>
        </w:tc>
        <w:tc>
          <w:tcPr>
            <w:tcW w:w="765" w:type="dxa"/>
            <w:tcBorders>
              <w:top w:val="single" w:sz="6" w:space="0" w:color="666666"/>
              <w:left w:val="nil"/>
              <w:bottom w:val="single" w:sz="6" w:space="0" w:color="666666"/>
              <w:right w:val="nil"/>
            </w:tcBorders>
            <w:shd w:val="clear" w:color="auto" w:fill="auto"/>
            <w:hideMark/>
          </w:tcPr>
          <w:p w14:paraId="7A872C9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63 </w:t>
            </w:r>
          </w:p>
        </w:tc>
        <w:tc>
          <w:tcPr>
            <w:tcW w:w="765" w:type="dxa"/>
            <w:tcBorders>
              <w:top w:val="single" w:sz="6" w:space="0" w:color="666666"/>
              <w:left w:val="nil"/>
              <w:bottom w:val="single" w:sz="6" w:space="0" w:color="666666"/>
              <w:right w:val="nil"/>
            </w:tcBorders>
            <w:shd w:val="clear" w:color="auto" w:fill="auto"/>
            <w:hideMark/>
          </w:tcPr>
          <w:p w14:paraId="2EC76E5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149 </w:t>
            </w:r>
          </w:p>
        </w:tc>
        <w:tc>
          <w:tcPr>
            <w:tcW w:w="765" w:type="dxa"/>
            <w:tcBorders>
              <w:top w:val="single" w:sz="6" w:space="0" w:color="666666"/>
              <w:left w:val="nil"/>
              <w:bottom w:val="single" w:sz="6" w:space="0" w:color="666666"/>
              <w:right w:val="nil"/>
            </w:tcBorders>
            <w:shd w:val="clear" w:color="auto" w:fill="auto"/>
            <w:hideMark/>
          </w:tcPr>
          <w:p w14:paraId="33E090EA"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6682 </w:t>
            </w:r>
          </w:p>
        </w:tc>
      </w:tr>
      <w:tr w:rsidR="005C74AB" w:rsidRPr="005C74AB" w14:paraId="42397CE1" w14:textId="77777777" w:rsidTr="005C74AB">
        <w:trPr>
          <w:trHeight w:val="285"/>
        </w:trPr>
        <w:tc>
          <w:tcPr>
            <w:tcW w:w="765" w:type="dxa"/>
            <w:tcBorders>
              <w:top w:val="single" w:sz="6" w:space="0" w:color="666666"/>
              <w:left w:val="nil"/>
              <w:bottom w:val="single" w:sz="6" w:space="0" w:color="666666"/>
              <w:right w:val="nil"/>
            </w:tcBorders>
            <w:shd w:val="clear" w:color="auto" w:fill="CCCCCC"/>
            <w:hideMark/>
          </w:tcPr>
          <w:p w14:paraId="0DB60B39" w14:textId="3F141E38" w:rsidR="005C74AB" w:rsidRPr="005C74AB" w:rsidRDefault="005C74AB" w:rsidP="00617949">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19</w:t>
            </w:r>
            <w:r w:rsidR="00C91EDD">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20 </w:t>
            </w:r>
          </w:p>
        </w:tc>
        <w:tc>
          <w:tcPr>
            <w:tcW w:w="765" w:type="dxa"/>
            <w:tcBorders>
              <w:top w:val="single" w:sz="6" w:space="0" w:color="666666"/>
              <w:left w:val="nil"/>
              <w:bottom w:val="single" w:sz="6" w:space="0" w:color="666666"/>
              <w:right w:val="nil"/>
            </w:tcBorders>
            <w:shd w:val="clear" w:color="auto" w:fill="CCCCCC"/>
            <w:hideMark/>
          </w:tcPr>
          <w:p w14:paraId="1BD9468D"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74 </w:t>
            </w:r>
          </w:p>
        </w:tc>
        <w:tc>
          <w:tcPr>
            <w:tcW w:w="765" w:type="dxa"/>
            <w:tcBorders>
              <w:top w:val="single" w:sz="6" w:space="0" w:color="666666"/>
              <w:left w:val="nil"/>
              <w:bottom w:val="single" w:sz="6" w:space="0" w:color="666666"/>
              <w:right w:val="nil"/>
            </w:tcBorders>
            <w:shd w:val="clear" w:color="auto" w:fill="CCCCCC"/>
            <w:hideMark/>
          </w:tcPr>
          <w:p w14:paraId="7974559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7 </w:t>
            </w:r>
          </w:p>
        </w:tc>
        <w:tc>
          <w:tcPr>
            <w:tcW w:w="765" w:type="dxa"/>
            <w:tcBorders>
              <w:top w:val="single" w:sz="6" w:space="0" w:color="666666"/>
              <w:left w:val="nil"/>
              <w:bottom w:val="single" w:sz="6" w:space="0" w:color="666666"/>
              <w:right w:val="nil"/>
            </w:tcBorders>
            <w:shd w:val="clear" w:color="auto" w:fill="CCCCCC"/>
            <w:hideMark/>
          </w:tcPr>
          <w:p w14:paraId="7F03FE1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448 </w:t>
            </w:r>
          </w:p>
        </w:tc>
        <w:tc>
          <w:tcPr>
            <w:tcW w:w="765" w:type="dxa"/>
            <w:tcBorders>
              <w:top w:val="single" w:sz="6" w:space="0" w:color="666666"/>
              <w:left w:val="nil"/>
              <w:bottom w:val="single" w:sz="6" w:space="0" w:color="666666"/>
              <w:right w:val="nil"/>
            </w:tcBorders>
            <w:shd w:val="clear" w:color="auto" w:fill="CCCCCC"/>
            <w:hideMark/>
          </w:tcPr>
          <w:p w14:paraId="57384F0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1653 </w:t>
            </w:r>
          </w:p>
        </w:tc>
        <w:tc>
          <w:tcPr>
            <w:tcW w:w="765" w:type="dxa"/>
            <w:tcBorders>
              <w:top w:val="single" w:sz="6" w:space="0" w:color="666666"/>
              <w:left w:val="nil"/>
              <w:bottom w:val="single" w:sz="6" w:space="0" w:color="666666"/>
              <w:right w:val="nil"/>
            </w:tcBorders>
            <w:shd w:val="clear" w:color="auto" w:fill="CCCCCC"/>
            <w:hideMark/>
          </w:tcPr>
          <w:p w14:paraId="263C140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920 </w:t>
            </w:r>
          </w:p>
        </w:tc>
        <w:tc>
          <w:tcPr>
            <w:tcW w:w="765" w:type="dxa"/>
            <w:tcBorders>
              <w:top w:val="single" w:sz="6" w:space="0" w:color="666666"/>
              <w:left w:val="nil"/>
              <w:bottom w:val="single" w:sz="6" w:space="0" w:color="666666"/>
              <w:right w:val="nil"/>
            </w:tcBorders>
            <w:shd w:val="clear" w:color="auto" w:fill="CCCCCC"/>
            <w:hideMark/>
          </w:tcPr>
          <w:p w14:paraId="69D87C79"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626 </w:t>
            </w:r>
          </w:p>
        </w:tc>
        <w:tc>
          <w:tcPr>
            <w:tcW w:w="765" w:type="dxa"/>
            <w:tcBorders>
              <w:top w:val="single" w:sz="6" w:space="0" w:color="666666"/>
              <w:left w:val="nil"/>
              <w:bottom w:val="single" w:sz="6" w:space="0" w:color="666666"/>
              <w:right w:val="nil"/>
            </w:tcBorders>
            <w:shd w:val="clear" w:color="auto" w:fill="CCCCCC"/>
            <w:hideMark/>
          </w:tcPr>
          <w:p w14:paraId="312C0F71"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408 </w:t>
            </w:r>
          </w:p>
        </w:tc>
        <w:tc>
          <w:tcPr>
            <w:tcW w:w="765" w:type="dxa"/>
            <w:tcBorders>
              <w:top w:val="single" w:sz="6" w:space="0" w:color="666666"/>
              <w:left w:val="nil"/>
              <w:bottom w:val="single" w:sz="6" w:space="0" w:color="666666"/>
              <w:right w:val="nil"/>
            </w:tcBorders>
            <w:shd w:val="clear" w:color="auto" w:fill="CCCCCC"/>
            <w:hideMark/>
          </w:tcPr>
          <w:p w14:paraId="02592198"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355 </w:t>
            </w:r>
          </w:p>
        </w:tc>
        <w:tc>
          <w:tcPr>
            <w:tcW w:w="765" w:type="dxa"/>
            <w:tcBorders>
              <w:top w:val="single" w:sz="6" w:space="0" w:color="666666"/>
              <w:left w:val="nil"/>
              <w:bottom w:val="single" w:sz="6" w:space="0" w:color="666666"/>
              <w:right w:val="nil"/>
            </w:tcBorders>
            <w:shd w:val="clear" w:color="auto" w:fill="CCCCCC"/>
            <w:hideMark/>
          </w:tcPr>
          <w:p w14:paraId="306A78E5"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321 </w:t>
            </w:r>
          </w:p>
        </w:tc>
        <w:tc>
          <w:tcPr>
            <w:tcW w:w="765" w:type="dxa"/>
            <w:tcBorders>
              <w:top w:val="single" w:sz="6" w:space="0" w:color="666666"/>
              <w:left w:val="nil"/>
              <w:bottom w:val="single" w:sz="6" w:space="0" w:color="666666"/>
              <w:right w:val="nil"/>
            </w:tcBorders>
            <w:shd w:val="clear" w:color="auto" w:fill="CCCCCC"/>
            <w:hideMark/>
          </w:tcPr>
          <w:p w14:paraId="7FACB744"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420 </w:t>
            </w:r>
          </w:p>
        </w:tc>
        <w:tc>
          <w:tcPr>
            <w:tcW w:w="765" w:type="dxa"/>
            <w:tcBorders>
              <w:top w:val="single" w:sz="6" w:space="0" w:color="666666"/>
              <w:left w:val="nil"/>
              <w:bottom w:val="single" w:sz="6" w:space="0" w:color="666666"/>
              <w:right w:val="nil"/>
            </w:tcBorders>
            <w:shd w:val="clear" w:color="auto" w:fill="CCCCCC"/>
            <w:hideMark/>
          </w:tcPr>
          <w:p w14:paraId="1FFFA6E3"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249 </w:t>
            </w:r>
          </w:p>
        </w:tc>
        <w:tc>
          <w:tcPr>
            <w:tcW w:w="765" w:type="dxa"/>
            <w:tcBorders>
              <w:top w:val="single" w:sz="6" w:space="0" w:color="666666"/>
              <w:left w:val="nil"/>
              <w:bottom w:val="single" w:sz="6" w:space="0" w:color="666666"/>
              <w:right w:val="nil"/>
            </w:tcBorders>
            <w:shd w:val="clear" w:color="auto" w:fill="CCCCCC"/>
            <w:hideMark/>
          </w:tcPr>
          <w:p w14:paraId="2DB21D9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230 </w:t>
            </w:r>
          </w:p>
        </w:tc>
        <w:tc>
          <w:tcPr>
            <w:tcW w:w="765" w:type="dxa"/>
            <w:tcBorders>
              <w:top w:val="single" w:sz="6" w:space="0" w:color="666666"/>
              <w:left w:val="nil"/>
              <w:bottom w:val="single" w:sz="6" w:space="0" w:color="666666"/>
              <w:right w:val="nil"/>
            </w:tcBorders>
            <w:shd w:val="clear" w:color="auto" w:fill="CCCCCC"/>
            <w:hideMark/>
          </w:tcPr>
          <w:p w14:paraId="2527175C"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162 </w:t>
            </w:r>
          </w:p>
        </w:tc>
        <w:tc>
          <w:tcPr>
            <w:tcW w:w="765" w:type="dxa"/>
            <w:tcBorders>
              <w:top w:val="single" w:sz="6" w:space="0" w:color="666666"/>
              <w:left w:val="nil"/>
              <w:bottom w:val="single" w:sz="6" w:space="0" w:color="666666"/>
              <w:right w:val="nil"/>
            </w:tcBorders>
            <w:shd w:val="clear" w:color="auto" w:fill="CCCCCC"/>
            <w:hideMark/>
          </w:tcPr>
          <w:p w14:paraId="67B7D98B"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115 </w:t>
            </w:r>
          </w:p>
        </w:tc>
        <w:tc>
          <w:tcPr>
            <w:tcW w:w="765" w:type="dxa"/>
            <w:tcBorders>
              <w:top w:val="single" w:sz="6" w:space="0" w:color="666666"/>
              <w:left w:val="nil"/>
              <w:bottom w:val="single" w:sz="6" w:space="0" w:color="666666"/>
              <w:right w:val="nil"/>
            </w:tcBorders>
            <w:shd w:val="clear" w:color="auto" w:fill="CCCCCC"/>
            <w:hideMark/>
          </w:tcPr>
          <w:p w14:paraId="1321A162"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77 </w:t>
            </w:r>
          </w:p>
        </w:tc>
        <w:tc>
          <w:tcPr>
            <w:tcW w:w="765" w:type="dxa"/>
            <w:tcBorders>
              <w:top w:val="single" w:sz="6" w:space="0" w:color="666666"/>
              <w:left w:val="nil"/>
              <w:bottom w:val="single" w:sz="6" w:space="0" w:color="666666"/>
              <w:right w:val="nil"/>
            </w:tcBorders>
            <w:shd w:val="clear" w:color="auto" w:fill="CCCCCC"/>
            <w:hideMark/>
          </w:tcPr>
          <w:p w14:paraId="0C38F80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86 </w:t>
            </w:r>
          </w:p>
        </w:tc>
        <w:tc>
          <w:tcPr>
            <w:tcW w:w="765" w:type="dxa"/>
            <w:tcBorders>
              <w:top w:val="single" w:sz="6" w:space="0" w:color="666666"/>
              <w:left w:val="nil"/>
              <w:bottom w:val="single" w:sz="6" w:space="0" w:color="666666"/>
              <w:right w:val="nil"/>
            </w:tcBorders>
            <w:shd w:val="clear" w:color="auto" w:fill="CCCCCC"/>
            <w:hideMark/>
          </w:tcPr>
          <w:p w14:paraId="0091078F"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125 </w:t>
            </w:r>
          </w:p>
        </w:tc>
        <w:tc>
          <w:tcPr>
            <w:tcW w:w="765" w:type="dxa"/>
            <w:tcBorders>
              <w:top w:val="single" w:sz="6" w:space="0" w:color="666666"/>
              <w:left w:val="nil"/>
              <w:bottom w:val="single" w:sz="6" w:space="0" w:color="666666"/>
              <w:right w:val="nil"/>
            </w:tcBorders>
            <w:shd w:val="clear" w:color="auto" w:fill="CCCCCC"/>
            <w:hideMark/>
          </w:tcPr>
          <w:p w14:paraId="56DB9D97" w14:textId="77777777" w:rsidR="005C74AB" w:rsidRPr="005C74AB" w:rsidRDefault="005C74AB" w:rsidP="005C74AB">
            <w:pPr>
              <w:spacing w:after="0" w:line="240" w:lineRule="auto"/>
              <w:jc w:val="right"/>
              <w:textAlignment w:val="baseline"/>
              <w:rPr>
                <w:rFonts w:eastAsia="Times New Roman" w:cs="Times New Roman"/>
                <w:sz w:val="20"/>
                <w:szCs w:val="20"/>
                <w:lang w:eastAsia="en-AU"/>
              </w:rPr>
            </w:pPr>
            <w:r w:rsidRPr="005C74AB">
              <w:rPr>
                <w:rFonts w:eastAsia="Times New Roman" w:cs="Times New Roman"/>
                <w:color w:val="000000"/>
                <w:sz w:val="20"/>
                <w:szCs w:val="20"/>
                <w:lang w:eastAsia="en-AU"/>
              </w:rPr>
              <w:t>6276 </w:t>
            </w:r>
          </w:p>
        </w:tc>
      </w:tr>
    </w:tbl>
    <w:p w14:paraId="35EF2DF3" w14:textId="77777777" w:rsidR="00344F4C" w:rsidRDefault="00344F4C" w:rsidP="001E10DA">
      <w:pPr>
        <w:rPr>
          <w:rStyle w:val="BookTitle"/>
          <w:b w:val="0"/>
          <w:bCs w:val="0"/>
          <w:spacing w:val="0"/>
        </w:rPr>
      </w:pPr>
    </w:p>
    <w:p w14:paraId="14D2F445" w14:textId="77777777" w:rsidR="004E7945" w:rsidRPr="00D01132" w:rsidRDefault="00344F4C" w:rsidP="00D01132">
      <w:pPr>
        <w:pStyle w:val="Heading5"/>
        <w:rPr>
          <w:rStyle w:val="BookTitle"/>
          <w:b w:val="0"/>
          <w:bCs w:val="0"/>
          <w:i w:val="0"/>
          <w:iCs w:val="0"/>
          <w:spacing w:val="0"/>
        </w:rPr>
      </w:pPr>
      <w:r w:rsidRPr="00D01132">
        <w:rPr>
          <w:rStyle w:val="BookTitle"/>
          <w:b w:val="0"/>
          <w:bCs w:val="0"/>
          <w:i w:val="0"/>
          <w:iCs w:val="0"/>
          <w:spacing w:val="0"/>
        </w:rPr>
        <w:t xml:space="preserve">Paracetamol poisoning admissions in Australia – Males </w:t>
      </w:r>
    </w:p>
    <w:tbl>
      <w:tblPr>
        <w:tblW w:w="1395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40"/>
        <w:gridCol w:w="727"/>
        <w:gridCol w:w="728"/>
        <w:gridCol w:w="734"/>
        <w:gridCol w:w="741"/>
        <w:gridCol w:w="741"/>
        <w:gridCol w:w="734"/>
        <w:gridCol w:w="734"/>
        <w:gridCol w:w="734"/>
        <w:gridCol w:w="734"/>
        <w:gridCol w:w="734"/>
        <w:gridCol w:w="734"/>
        <w:gridCol w:w="734"/>
        <w:gridCol w:w="734"/>
        <w:gridCol w:w="734"/>
        <w:gridCol w:w="728"/>
        <w:gridCol w:w="728"/>
        <w:gridCol w:w="735"/>
        <w:gridCol w:w="750"/>
      </w:tblGrid>
      <w:tr w:rsidR="006A38D4" w:rsidRPr="002919B7" w14:paraId="069600E4"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0CC55AE8"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Ref year </w:t>
            </w:r>
          </w:p>
        </w:tc>
        <w:tc>
          <w:tcPr>
            <w:tcW w:w="727" w:type="dxa"/>
            <w:tcBorders>
              <w:top w:val="single" w:sz="6" w:space="0" w:color="666666"/>
              <w:left w:val="nil"/>
              <w:bottom w:val="single" w:sz="6" w:space="0" w:color="666666"/>
              <w:right w:val="nil"/>
            </w:tcBorders>
            <w:shd w:val="clear" w:color="auto" w:fill="auto"/>
            <w:hideMark/>
          </w:tcPr>
          <w:p w14:paraId="0A3D37C6"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00-04 </w:t>
            </w:r>
          </w:p>
        </w:tc>
        <w:tc>
          <w:tcPr>
            <w:tcW w:w="728" w:type="dxa"/>
            <w:tcBorders>
              <w:top w:val="single" w:sz="6" w:space="0" w:color="666666"/>
              <w:left w:val="nil"/>
              <w:bottom w:val="single" w:sz="6" w:space="0" w:color="666666"/>
              <w:right w:val="nil"/>
            </w:tcBorders>
            <w:shd w:val="clear" w:color="auto" w:fill="auto"/>
            <w:hideMark/>
          </w:tcPr>
          <w:p w14:paraId="699150F6"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05--09 </w:t>
            </w:r>
          </w:p>
        </w:tc>
        <w:tc>
          <w:tcPr>
            <w:tcW w:w="734" w:type="dxa"/>
            <w:tcBorders>
              <w:top w:val="single" w:sz="6" w:space="0" w:color="666666"/>
              <w:left w:val="nil"/>
              <w:bottom w:val="single" w:sz="6" w:space="0" w:color="666666"/>
              <w:right w:val="nil"/>
            </w:tcBorders>
            <w:shd w:val="clear" w:color="auto" w:fill="auto"/>
            <w:hideMark/>
          </w:tcPr>
          <w:p w14:paraId="06DBE9C1"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10--14 </w:t>
            </w:r>
          </w:p>
        </w:tc>
        <w:tc>
          <w:tcPr>
            <w:tcW w:w="741" w:type="dxa"/>
            <w:tcBorders>
              <w:top w:val="single" w:sz="6" w:space="0" w:color="666666"/>
              <w:left w:val="nil"/>
              <w:bottom w:val="single" w:sz="6" w:space="0" w:color="666666"/>
              <w:right w:val="nil"/>
            </w:tcBorders>
            <w:shd w:val="clear" w:color="auto" w:fill="auto"/>
            <w:hideMark/>
          </w:tcPr>
          <w:p w14:paraId="3DA3324F"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15-19 </w:t>
            </w:r>
          </w:p>
        </w:tc>
        <w:tc>
          <w:tcPr>
            <w:tcW w:w="741" w:type="dxa"/>
            <w:tcBorders>
              <w:top w:val="single" w:sz="6" w:space="0" w:color="666666"/>
              <w:left w:val="nil"/>
              <w:bottom w:val="single" w:sz="6" w:space="0" w:color="666666"/>
              <w:right w:val="nil"/>
            </w:tcBorders>
            <w:shd w:val="clear" w:color="auto" w:fill="auto"/>
            <w:hideMark/>
          </w:tcPr>
          <w:p w14:paraId="38CDC615"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20-24 </w:t>
            </w:r>
          </w:p>
        </w:tc>
        <w:tc>
          <w:tcPr>
            <w:tcW w:w="734" w:type="dxa"/>
            <w:tcBorders>
              <w:top w:val="single" w:sz="6" w:space="0" w:color="666666"/>
              <w:left w:val="nil"/>
              <w:bottom w:val="single" w:sz="6" w:space="0" w:color="666666"/>
              <w:right w:val="nil"/>
            </w:tcBorders>
            <w:shd w:val="clear" w:color="auto" w:fill="auto"/>
            <w:hideMark/>
          </w:tcPr>
          <w:p w14:paraId="4934F51C"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25-29 </w:t>
            </w:r>
          </w:p>
        </w:tc>
        <w:tc>
          <w:tcPr>
            <w:tcW w:w="734" w:type="dxa"/>
            <w:tcBorders>
              <w:top w:val="single" w:sz="6" w:space="0" w:color="666666"/>
              <w:left w:val="nil"/>
              <w:bottom w:val="single" w:sz="6" w:space="0" w:color="666666"/>
              <w:right w:val="nil"/>
            </w:tcBorders>
            <w:shd w:val="clear" w:color="auto" w:fill="auto"/>
            <w:hideMark/>
          </w:tcPr>
          <w:p w14:paraId="0FAC1914"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30-34 </w:t>
            </w:r>
          </w:p>
        </w:tc>
        <w:tc>
          <w:tcPr>
            <w:tcW w:w="734" w:type="dxa"/>
            <w:tcBorders>
              <w:top w:val="single" w:sz="6" w:space="0" w:color="666666"/>
              <w:left w:val="nil"/>
              <w:bottom w:val="single" w:sz="6" w:space="0" w:color="666666"/>
              <w:right w:val="nil"/>
            </w:tcBorders>
            <w:shd w:val="clear" w:color="auto" w:fill="auto"/>
            <w:hideMark/>
          </w:tcPr>
          <w:p w14:paraId="584AC8F0"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35-39 </w:t>
            </w:r>
          </w:p>
        </w:tc>
        <w:tc>
          <w:tcPr>
            <w:tcW w:w="734" w:type="dxa"/>
            <w:tcBorders>
              <w:top w:val="single" w:sz="6" w:space="0" w:color="666666"/>
              <w:left w:val="nil"/>
              <w:bottom w:val="single" w:sz="6" w:space="0" w:color="666666"/>
              <w:right w:val="nil"/>
            </w:tcBorders>
            <w:shd w:val="clear" w:color="auto" w:fill="auto"/>
            <w:hideMark/>
          </w:tcPr>
          <w:p w14:paraId="480B93A0"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40-44 </w:t>
            </w:r>
          </w:p>
        </w:tc>
        <w:tc>
          <w:tcPr>
            <w:tcW w:w="734" w:type="dxa"/>
            <w:tcBorders>
              <w:top w:val="single" w:sz="6" w:space="0" w:color="666666"/>
              <w:left w:val="nil"/>
              <w:bottom w:val="single" w:sz="6" w:space="0" w:color="666666"/>
              <w:right w:val="nil"/>
            </w:tcBorders>
            <w:shd w:val="clear" w:color="auto" w:fill="auto"/>
            <w:hideMark/>
          </w:tcPr>
          <w:p w14:paraId="7F2B454D"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45-49 </w:t>
            </w:r>
          </w:p>
        </w:tc>
        <w:tc>
          <w:tcPr>
            <w:tcW w:w="734" w:type="dxa"/>
            <w:tcBorders>
              <w:top w:val="single" w:sz="6" w:space="0" w:color="666666"/>
              <w:left w:val="nil"/>
              <w:bottom w:val="single" w:sz="6" w:space="0" w:color="666666"/>
              <w:right w:val="nil"/>
            </w:tcBorders>
            <w:shd w:val="clear" w:color="auto" w:fill="auto"/>
            <w:hideMark/>
          </w:tcPr>
          <w:p w14:paraId="3A0E958E"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50-54 </w:t>
            </w:r>
          </w:p>
        </w:tc>
        <w:tc>
          <w:tcPr>
            <w:tcW w:w="734" w:type="dxa"/>
            <w:tcBorders>
              <w:top w:val="single" w:sz="6" w:space="0" w:color="666666"/>
              <w:left w:val="nil"/>
              <w:bottom w:val="single" w:sz="6" w:space="0" w:color="666666"/>
              <w:right w:val="nil"/>
            </w:tcBorders>
            <w:shd w:val="clear" w:color="auto" w:fill="auto"/>
            <w:hideMark/>
          </w:tcPr>
          <w:p w14:paraId="5C8C48B8"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55-59 </w:t>
            </w:r>
          </w:p>
        </w:tc>
        <w:tc>
          <w:tcPr>
            <w:tcW w:w="734" w:type="dxa"/>
            <w:tcBorders>
              <w:top w:val="single" w:sz="6" w:space="0" w:color="666666"/>
              <w:left w:val="nil"/>
              <w:bottom w:val="single" w:sz="6" w:space="0" w:color="666666"/>
              <w:right w:val="nil"/>
            </w:tcBorders>
            <w:shd w:val="clear" w:color="auto" w:fill="auto"/>
            <w:hideMark/>
          </w:tcPr>
          <w:p w14:paraId="0CCE9669"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60-64 </w:t>
            </w:r>
          </w:p>
        </w:tc>
        <w:tc>
          <w:tcPr>
            <w:tcW w:w="734" w:type="dxa"/>
            <w:tcBorders>
              <w:top w:val="single" w:sz="6" w:space="0" w:color="666666"/>
              <w:left w:val="nil"/>
              <w:bottom w:val="single" w:sz="6" w:space="0" w:color="666666"/>
              <w:right w:val="nil"/>
            </w:tcBorders>
            <w:shd w:val="clear" w:color="auto" w:fill="auto"/>
            <w:hideMark/>
          </w:tcPr>
          <w:p w14:paraId="6C6CEC45"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65-69 </w:t>
            </w:r>
          </w:p>
        </w:tc>
        <w:tc>
          <w:tcPr>
            <w:tcW w:w="728" w:type="dxa"/>
            <w:tcBorders>
              <w:top w:val="single" w:sz="6" w:space="0" w:color="666666"/>
              <w:left w:val="nil"/>
              <w:bottom w:val="single" w:sz="6" w:space="0" w:color="666666"/>
              <w:right w:val="nil"/>
            </w:tcBorders>
            <w:shd w:val="clear" w:color="auto" w:fill="auto"/>
            <w:hideMark/>
          </w:tcPr>
          <w:p w14:paraId="29B100C3"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70-74 </w:t>
            </w:r>
          </w:p>
        </w:tc>
        <w:tc>
          <w:tcPr>
            <w:tcW w:w="728" w:type="dxa"/>
            <w:tcBorders>
              <w:top w:val="single" w:sz="6" w:space="0" w:color="666666"/>
              <w:left w:val="nil"/>
              <w:bottom w:val="single" w:sz="6" w:space="0" w:color="666666"/>
              <w:right w:val="nil"/>
            </w:tcBorders>
            <w:shd w:val="clear" w:color="auto" w:fill="auto"/>
            <w:hideMark/>
          </w:tcPr>
          <w:p w14:paraId="06770FB0"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75-79 </w:t>
            </w:r>
          </w:p>
        </w:tc>
        <w:tc>
          <w:tcPr>
            <w:tcW w:w="735" w:type="dxa"/>
            <w:tcBorders>
              <w:top w:val="single" w:sz="6" w:space="0" w:color="666666"/>
              <w:left w:val="nil"/>
              <w:bottom w:val="single" w:sz="6" w:space="0" w:color="666666"/>
              <w:right w:val="nil"/>
            </w:tcBorders>
            <w:shd w:val="clear" w:color="auto" w:fill="auto"/>
            <w:hideMark/>
          </w:tcPr>
          <w:p w14:paraId="20A1740F"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80+ </w:t>
            </w:r>
          </w:p>
        </w:tc>
        <w:tc>
          <w:tcPr>
            <w:tcW w:w="750" w:type="dxa"/>
            <w:tcBorders>
              <w:top w:val="single" w:sz="6" w:space="0" w:color="666666"/>
              <w:left w:val="nil"/>
              <w:bottom w:val="single" w:sz="6" w:space="0" w:color="666666"/>
              <w:right w:val="nil"/>
            </w:tcBorders>
            <w:shd w:val="clear" w:color="auto" w:fill="auto"/>
            <w:hideMark/>
          </w:tcPr>
          <w:p w14:paraId="6CEE21DD" w14:textId="77777777" w:rsidR="006A38D4" w:rsidRPr="002919B7" w:rsidRDefault="006A38D4" w:rsidP="00617949">
            <w:pPr>
              <w:spacing w:after="0" w:line="240" w:lineRule="auto"/>
              <w:jc w:val="right"/>
              <w:textAlignment w:val="baseline"/>
              <w:rPr>
                <w:rFonts w:eastAsia="Times New Roman" w:cs="Times New Roman"/>
                <w:b/>
                <w:bCs/>
                <w:sz w:val="20"/>
                <w:szCs w:val="20"/>
                <w:lang w:eastAsia="en-AU"/>
              </w:rPr>
            </w:pPr>
            <w:r w:rsidRPr="002919B7">
              <w:rPr>
                <w:rFonts w:eastAsia="Times New Roman" w:cs="Times New Roman"/>
                <w:b/>
                <w:bCs/>
                <w:color w:val="000000"/>
                <w:sz w:val="20"/>
                <w:szCs w:val="20"/>
                <w:lang w:eastAsia="en-AU"/>
              </w:rPr>
              <w:t>Grand Total </w:t>
            </w:r>
          </w:p>
        </w:tc>
      </w:tr>
      <w:tr w:rsidR="00C91EDD" w:rsidRPr="002919B7" w14:paraId="087E9949" w14:textId="77777777" w:rsidTr="002919B7">
        <w:trPr>
          <w:trHeight w:val="270"/>
        </w:trPr>
        <w:tc>
          <w:tcPr>
            <w:tcW w:w="740" w:type="dxa"/>
            <w:tcBorders>
              <w:top w:val="single" w:sz="6" w:space="0" w:color="666666"/>
              <w:left w:val="nil"/>
              <w:bottom w:val="single" w:sz="6" w:space="0" w:color="666666"/>
              <w:right w:val="nil"/>
            </w:tcBorders>
            <w:shd w:val="clear" w:color="auto" w:fill="CCCCCC"/>
            <w:hideMark/>
          </w:tcPr>
          <w:p w14:paraId="43ACE9FE" w14:textId="347D7933"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9</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10 </w:t>
            </w:r>
          </w:p>
        </w:tc>
        <w:tc>
          <w:tcPr>
            <w:tcW w:w="727" w:type="dxa"/>
            <w:tcBorders>
              <w:top w:val="single" w:sz="6" w:space="0" w:color="666666"/>
              <w:left w:val="nil"/>
              <w:bottom w:val="single" w:sz="6" w:space="0" w:color="666666"/>
              <w:right w:val="nil"/>
            </w:tcBorders>
            <w:shd w:val="clear" w:color="auto" w:fill="CCCCCC"/>
            <w:hideMark/>
          </w:tcPr>
          <w:p w14:paraId="5B9993D5" w14:textId="42C2D40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85</w:t>
            </w:r>
          </w:p>
        </w:tc>
        <w:tc>
          <w:tcPr>
            <w:tcW w:w="728" w:type="dxa"/>
            <w:tcBorders>
              <w:top w:val="single" w:sz="6" w:space="0" w:color="666666"/>
              <w:left w:val="nil"/>
              <w:bottom w:val="single" w:sz="6" w:space="0" w:color="666666"/>
              <w:right w:val="nil"/>
            </w:tcBorders>
            <w:shd w:val="clear" w:color="auto" w:fill="CCCCCC"/>
            <w:hideMark/>
          </w:tcPr>
          <w:p w14:paraId="2DC93510" w14:textId="17FD91A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w:t>
            </w:r>
          </w:p>
        </w:tc>
        <w:tc>
          <w:tcPr>
            <w:tcW w:w="734" w:type="dxa"/>
            <w:tcBorders>
              <w:top w:val="single" w:sz="6" w:space="0" w:color="666666"/>
              <w:left w:val="nil"/>
              <w:bottom w:val="single" w:sz="6" w:space="0" w:color="666666"/>
              <w:right w:val="nil"/>
            </w:tcBorders>
            <w:shd w:val="clear" w:color="auto" w:fill="CCCCCC"/>
            <w:hideMark/>
          </w:tcPr>
          <w:p w14:paraId="1B0562C2" w14:textId="2BA5EBC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33</w:t>
            </w:r>
          </w:p>
        </w:tc>
        <w:tc>
          <w:tcPr>
            <w:tcW w:w="741" w:type="dxa"/>
            <w:tcBorders>
              <w:top w:val="single" w:sz="6" w:space="0" w:color="666666"/>
              <w:left w:val="nil"/>
              <w:bottom w:val="single" w:sz="6" w:space="0" w:color="666666"/>
              <w:right w:val="nil"/>
            </w:tcBorders>
            <w:shd w:val="clear" w:color="auto" w:fill="CCCCCC"/>
            <w:hideMark/>
          </w:tcPr>
          <w:p w14:paraId="38AA6BF1" w14:textId="4D6A99B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377</w:t>
            </w:r>
          </w:p>
        </w:tc>
        <w:tc>
          <w:tcPr>
            <w:tcW w:w="741" w:type="dxa"/>
            <w:tcBorders>
              <w:top w:val="single" w:sz="6" w:space="0" w:color="666666"/>
              <w:left w:val="nil"/>
              <w:bottom w:val="single" w:sz="6" w:space="0" w:color="666666"/>
              <w:right w:val="nil"/>
            </w:tcBorders>
            <w:shd w:val="clear" w:color="auto" w:fill="CCCCCC"/>
            <w:hideMark/>
          </w:tcPr>
          <w:p w14:paraId="7CFBD09E" w14:textId="1632E58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357</w:t>
            </w:r>
          </w:p>
        </w:tc>
        <w:tc>
          <w:tcPr>
            <w:tcW w:w="734" w:type="dxa"/>
            <w:tcBorders>
              <w:top w:val="single" w:sz="6" w:space="0" w:color="666666"/>
              <w:left w:val="nil"/>
              <w:bottom w:val="single" w:sz="6" w:space="0" w:color="666666"/>
              <w:right w:val="nil"/>
            </w:tcBorders>
            <w:shd w:val="clear" w:color="auto" w:fill="CCCCCC"/>
            <w:hideMark/>
          </w:tcPr>
          <w:p w14:paraId="637F35F5" w14:textId="57667BE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285</w:t>
            </w:r>
          </w:p>
        </w:tc>
        <w:tc>
          <w:tcPr>
            <w:tcW w:w="734" w:type="dxa"/>
            <w:tcBorders>
              <w:top w:val="single" w:sz="6" w:space="0" w:color="666666"/>
              <w:left w:val="nil"/>
              <w:bottom w:val="single" w:sz="6" w:space="0" w:color="666666"/>
              <w:right w:val="nil"/>
            </w:tcBorders>
            <w:shd w:val="clear" w:color="auto" w:fill="CCCCCC"/>
            <w:hideMark/>
          </w:tcPr>
          <w:p w14:paraId="2245DBE3" w14:textId="1AEC265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248</w:t>
            </w:r>
          </w:p>
        </w:tc>
        <w:tc>
          <w:tcPr>
            <w:tcW w:w="734" w:type="dxa"/>
            <w:tcBorders>
              <w:top w:val="single" w:sz="6" w:space="0" w:color="666666"/>
              <w:left w:val="nil"/>
              <w:bottom w:val="single" w:sz="6" w:space="0" w:color="666666"/>
              <w:right w:val="nil"/>
            </w:tcBorders>
            <w:shd w:val="clear" w:color="auto" w:fill="CCCCCC"/>
            <w:hideMark/>
          </w:tcPr>
          <w:p w14:paraId="6D114BCF" w14:textId="4367243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270</w:t>
            </w:r>
          </w:p>
        </w:tc>
        <w:tc>
          <w:tcPr>
            <w:tcW w:w="734" w:type="dxa"/>
            <w:tcBorders>
              <w:top w:val="single" w:sz="6" w:space="0" w:color="666666"/>
              <w:left w:val="nil"/>
              <w:bottom w:val="single" w:sz="6" w:space="0" w:color="666666"/>
              <w:right w:val="nil"/>
            </w:tcBorders>
            <w:shd w:val="clear" w:color="auto" w:fill="CCCCCC"/>
            <w:hideMark/>
          </w:tcPr>
          <w:p w14:paraId="4B9634D1" w14:textId="7A29358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216</w:t>
            </w:r>
          </w:p>
        </w:tc>
        <w:tc>
          <w:tcPr>
            <w:tcW w:w="734" w:type="dxa"/>
            <w:tcBorders>
              <w:top w:val="single" w:sz="6" w:space="0" w:color="666666"/>
              <w:left w:val="nil"/>
              <w:bottom w:val="single" w:sz="6" w:space="0" w:color="666666"/>
              <w:right w:val="nil"/>
            </w:tcBorders>
            <w:shd w:val="clear" w:color="auto" w:fill="CCCCCC"/>
            <w:hideMark/>
          </w:tcPr>
          <w:p w14:paraId="5C751010" w14:textId="387FAEB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189</w:t>
            </w:r>
          </w:p>
        </w:tc>
        <w:tc>
          <w:tcPr>
            <w:tcW w:w="734" w:type="dxa"/>
            <w:tcBorders>
              <w:top w:val="single" w:sz="6" w:space="0" w:color="666666"/>
              <w:left w:val="nil"/>
              <w:bottom w:val="single" w:sz="6" w:space="0" w:color="666666"/>
              <w:right w:val="nil"/>
            </w:tcBorders>
            <w:shd w:val="clear" w:color="auto" w:fill="CCCCCC"/>
            <w:hideMark/>
          </w:tcPr>
          <w:p w14:paraId="11F6235C" w14:textId="083B6FB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146</w:t>
            </w:r>
          </w:p>
        </w:tc>
        <w:tc>
          <w:tcPr>
            <w:tcW w:w="734" w:type="dxa"/>
            <w:tcBorders>
              <w:top w:val="single" w:sz="6" w:space="0" w:color="666666"/>
              <w:left w:val="nil"/>
              <w:bottom w:val="single" w:sz="6" w:space="0" w:color="666666"/>
              <w:right w:val="nil"/>
            </w:tcBorders>
            <w:shd w:val="clear" w:color="auto" w:fill="CCCCCC"/>
            <w:hideMark/>
          </w:tcPr>
          <w:p w14:paraId="2AB74954" w14:textId="00A3888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87</w:t>
            </w:r>
          </w:p>
        </w:tc>
        <w:tc>
          <w:tcPr>
            <w:tcW w:w="734" w:type="dxa"/>
            <w:tcBorders>
              <w:top w:val="single" w:sz="6" w:space="0" w:color="666666"/>
              <w:left w:val="nil"/>
              <w:bottom w:val="single" w:sz="6" w:space="0" w:color="666666"/>
              <w:right w:val="nil"/>
            </w:tcBorders>
            <w:shd w:val="clear" w:color="auto" w:fill="CCCCCC"/>
            <w:hideMark/>
          </w:tcPr>
          <w:p w14:paraId="5484EB3D" w14:textId="0E5E30C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88</w:t>
            </w:r>
          </w:p>
        </w:tc>
        <w:tc>
          <w:tcPr>
            <w:tcW w:w="734" w:type="dxa"/>
            <w:tcBorders>
              <w:top w:val="single" w:sz="6" w:space="0" w:color="666666"/>
              <w:left w:val="nil"/>
              <w:bottom w:val="single" w:sz="6" w:space="0" w:color="666666"/>
              <w:right w:val="nil"/>
            </w:tcBorders>
            <w:shd w:val="clear" w:color="auto" w:fill="CCCCCC"/>
            <w:hideMark/>
          </w:tcPr>
          <w:p w14:paraId="0A416731" w14:textId="0F24050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46</w:t>
            </w:r>
          </w:p>
        </w:tc>
        <w:tc>
          <w:tcPr>
            <w:tcW w:w="728" w:type="dxa"/>
            <w:tcBorders>
              <w:top w:val="single" w:sz="6" w:space="0" w:color="666666"/>
              <w:left w:val="nil"/>
              <w:bottom w:val="single" w:sz="6" w:space="0" w:color="666666"/>
              <w:right w:val="nil"/>
            </w:tcBorders>
            <w:shd w:val="clear" w:color="auto" w:fill="CCCCCC"/>
            <w:hideMark/>
          </w:tcPr>
          <w:p w14:paraId="0A208916" w14:textId="36E009C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38</w:t>
            </w:r>
          </w:p>
        </w:tc>
        <w:tc>
          <w:tcPr>
            <w:tcW w:w="728" w:type="dxa"/>
            <w:tcBorders>
              <w:top w:val="single" w:sz="6" w:space="0" w:color="666666"/>
              <w:left w:val="nil"/>
              <w:bottom w:val="single" w:sz="6" w:space="0" w:color="666666"/>
              <w:right w:val="nil"/>
            </w:tcBorders>
            <w:shd w:val="clear" w:color="auto" w:fill="CCCCCC"/>
            <w:hideMark/>
          </w:tcPr>
          <w:p w14:paraId="1D37D302" w14:textId="06440D6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32</w:t>
            </w:r>
          </w:p>
        </w:tc>
        <w:tc>
          <w:tcPr>
            <w:tcW w:w="735" w:type="dxa"/>
            <w:tcBorders>
              <w:top w:val="single" w:sz="6" w:space="0" w:color="666666"/>
              <w:left w:val="nil"/>
              <w:bottom w:val="single" w:sz="6" w:space="0" w:color="666666"/>
              <w:right w:val="nil"/>
            </w:tcBorders>
            <w:shd w:val="clear" w:color="auto" w:fill="CCCCCC"/>
            <w:hideMark/>
          </w:tcPr>
          <w:p w14:paraId="01A6A82E" w14:textId="6306628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42</w:t>
            </w:r>
          </w:p>
        </w:tc>
        <w:tc>
          <w:tcPr>
            <w:tcW w:w="750" w:type="dxa"/>
            <w:tcBorders>
              <w:top w:val="single" w:sz="6" w:space="0" w:color="666666"/>
              <w:left w:val="nil"/>
              <w:bottom w:val="single" w:sz="6" w:space="0" w:color="666666"/>
              <w:right w:val="nil"/>
            </w:tcBorders>
            <w:shd w:val="clear" w:color="auto" w:fill="CCCCCC"/>
            <w:hideMark/>
          </w:tcPr>
          <w:p w14:paraId="718EA5E1" w14:textId="1C39111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2548</w:t>
            </w:r>
          </w:p>
        </w:tc>
      </w:tr>
      <w:tr w:rsidR="00C91EDD" w:rsidRPr="002919B7" w14:paraId="08FE27C6"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7BCB3DCA" w14:textId="1BBAD317"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10</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11 </w:t>
            </w:r>
          </w:p>
        </w:tc>
        <w:tc>
          <w:tcPr>
            <w:tcW w:w="727" w:type="dxa"/>
            <w:tcBorders>
              <w:top w:val="single" w:sz="6" w:space="0" w:color="666666"/>
              <w:left w:val="nil"/>
              <w:bottom w:val="single" w:sz="6" w:space="0" w:color="666666"/>
              <w:right w:val="nil"/>
            </w:tcBorders>
            <w:shd w:val="clear" w:color="auto" w:fill="auto"/>
            <w:hideMark/>
          </w:tcPr>
          <w:p w14:paraId="3F0E5808" w14:textId="5E5C94D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92</w:t>
            </w:r>
          </w:p>
        </w:tc>
        <w:tc>
          <w:tcPr>
            <w:tcW w:w="728" w:type="dxa"/>
            <w:tcBorders>
              <w:top w:val="single" w:sz="6" w:space="0" w:color="666666"/>
              <w:left w:val="nil"/>
              <w:bottom w:val="single" w:sz="6" w:space="0" w:color="666666"/>
              <w:right w:val="nil"/>
            </w:tcBorders>
            <w:shd w:val="clear" w:color="auto" w:fill="auto"/>
            <w:hideMark/>
          </w:tcPr>
          <w:p w14:paraId="2454093E" w14:textId="06D0F92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w:t>
            </w:r>
          </w:p>
        </w:tc>
        <w:tc>
          <w:tcPr>
            <w:tcW w:w="734" w:type="dxa"/>
            <w:tcBorders>
              <w:top w:val="single" w:sz="6" w:space="0" w:color="666666"/>
              <w:left w:val="nil"/>
              <w:bottom w:val="single" w:sz="6" w:space="0" w:color="666666"/>
              <w:right w:val="nil"/>
            </w:tcBorders>
            <w:shd w:val="clear" w:color="auto" w:fill="auto"/>
            <w:hideMark/>
          </w:tcPr>
          <w:p w14:paraId="46F35D4D" w14:textId="3DB4354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29</w:t>
            </w:r>
          </w:p>
        </w:tc>
        <w:tc>
          <w:tcPr>
            <w:tcW w:w="741" w:type="dxa"/>
            <w:tcBorders>
              <w:top w:val="single" w:sz="6" w:space="0" w:color="666666"/>
              <w:left w:val="nil"/>
              <w:bottom w:val="single" w:sz="6" w:space="0" w:color="666666"/>
              <w:right w:val="nil"/>
            </w:tcBorders>
            <w:shd w:val="clear" w:color="auto" w:fill="auto"/>
            <w:hideMark/>
          </w:tcPr>
          <w:p w14:paraId="014F1B48" w14:textId="6F0C83E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361</w:t>
            </w:r>
          </w:p>
        </w:tc>
        <w:tc>
          <w:tcPr>
            <w:tcW w:w="741" w:type="dxa"/>
            <w:tcBorders>
              <w:top w:val="single" w:sz="6" w:space="0" w:color="666666"/>
              <w:left w:val="nil"/>
              <w:bottom w:val="single" w:sz="6" w:space="0" w:color="666666"/>
              <w:right w:val="nil"/>
            </w:tcBorders>
            <w:shd w:val="clear" w:color="auto" w:fill="auto"/>
            <w:hideMark/>
          </w:tcPr>
          <w:p w14:paraId="52D6577F" w14:textId="440BE5D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325</w:t>
            </w:r>
          </w:p>
        </w:tc>
        <w:tc>
          <w:tcPr>
            <w:tcW w:w="734" w:type="dxa"/>
            <w:tcBorders>
              <w:top w:val="single" w:sz="6" w:space="0" w:color="666666"/>
              <w:left w:val="nil"/>
              <w:bottom w:val="single" w:sz="6" w:space="0" w:color="666666"/>
              <w:right w:val="nil"/>
            </w:tcBorders>
            <w:shd w:val="clear" w:color="auto" w:fill="auto"/>
            <w:hideMark/>
          </w:tcPr>
          <w:p w14:paraId="03E781C7" w14:textId="683CEC3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277</w:t>
            </w:r>
          </w:p>
        </w:tc>
        <w:tc>
          <w:tcPr>
            <w:tcW w:w="734" w:type="dxa"/>
            <w:tcBorders>
              <w:top w:val="single" w:sz="6" w:space="0" w:color="666666"/>
              <w:left w:val="nil"/>
              <w:bottom w:val="single" w:sz="6" w:space="0" w:color="666666"/>
              <w:right w:val="nil"/>
            </w:tcBorders>
            <w:shd w:val="clear" w:color="auto" w:fill="auto"/>
            <w:hideMark/>
          </w:tcPr>
          <w:p w14:paraId="636A57AD" w14:textId="044F125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243</w:t>
            </w:r>
          </w:p>
        </w:tc>
        <w:tc>
          <w:tcPr>
            <w:tcW w:w="734" w:type="dxa"/>
            <w:tcBorders>
              <w:top w:val="single" w:sz="6" w:space="0" w:color="666666"/>
              <w:left w:val="nil"/>
              <w:bottom w:val="single" w:sz="6" w:space="0" w:color="666666"/>
              <w:right w:val="nil"/>
            </w:tcBorders>
            <w:shd w:val="clear" w:color="auto" w:fill="auto"/>
            <w:hideMark/>
          </w:tcPr>
          <w:p w14:paraId="01B28462" w14:textId="0BD0253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269</w:t>
            </w:r>
          </w:p>
        </w:tc>
        <w:tc>
          <w:tcPr>
            <w:tcW w:w="734" w:type="dxa"/>
            <w:tcBorders>
              <w:top w:val="single" w:sz="6" w:space="0" w:color="666666"/>
              <w:left w:val="nil"/>
              <w:bottom w:val="single" w:sz="6" w:space="0" w:color="666666"/>
              <w:right w:val="nil"/>
            </w:tcBorders>
            <w:shd w:val="clear" w:color="auto" w:fill="auto"/>
            <w:hideMark/>
          </w:tcPr>
          <w:p w14:paraId="388D52BB" w14:textId="18E223D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220</w:t>
            </w:r>
          </w:p>
        </w:tc>
        <w:tc>
          <w:tcPr>
            <w:tcW w:w="734" w:type="dxa"/>
            <w:tcBorders>
              <w:top w:val="single" w:sz="6" w:space="0" w:color="666666"/>
              <w:left w:val="nil"/>
              <w:bottom w:val="single" w:sz="6" w:space="0" w:color="666666"/>
              <w:right w:val="nil"/>
            </w:tcBorders>
            <w:shd w:val="clear" w:color="auto" w:fill="auto"/>
            <w:hideMark/>
          </w:tcPr>
          <w:p w14:paraId="20ABB371" w14:textId="2E67A75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188</w:t>
            </w:r>
          </w:p>
        </w:tc>
        <w:tc>
          <w:tcPr>
            <w:tcW w:w="734" w:type="dxa"/>
            <w:tcBorders>
              <w:top w:val="single" w:sz="6" w:space="0" w:color="666666"/>
              <w:left w:val="nil"/>
              <w:bottom w:val="single" w:sz="6" w:space="0" w:color="666666"/>
              <w:right w:val="nil"/>
            </w:tcBorders>
            <w:shd w:val="clear" w:color="auto" w:fill="auto"/>
            <w:hideMark/>
          </w:tcPr>
          <w:p w14:paraId="760FC8EB" w14:textId="69A567A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159</w:t>
            </w:r>
          </w:p>
        </w:tc>
        <w:tc>
          <w:tcPr>
            <w:tcW w:w="734" w:type="dxa"/>
            <w:tcBorders>
              <w:top w:val="single" w:sz="6" w:space="0" w:color="666666"/>
              <w:left w:val="nil"/>
              <w:bottom w:val="single" w:sz="6" w:space="0" w:color="666666"/>
              <w:right w:val="nil"/>
            </w:tcBorders>
            <w:shd w:val="clear" w:color="auto" w:fill="auto"/>
            <w:hideMark/>
          </w:tcPr>
          <w:p w14:paraId="569BDB87" w14:textId="7061A04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108</w:t>
            </w:r>
          </w:p>
        </w:tc>
        <w:tc>
          <w:tcPr>
            <w:tcW w:w="734" w:type="dxa"/>
            <w:tcBorders>
              <w:top w:val="single" w:sz="6" w:space="0" w:color="666666"/>
              <w:left w:val="nil"/>
              <w:bottom w:val="single" w:sz="6" w:space="0" w:color="666666"/>
              <w:right w:val="nil"/>
            </w:tcBorders>
            <w:shd w:val="clear" w:color="auto" w:fill="auto"/>
            <w:hideMark/>
          </w:tcPr>
          <w:p w14:paraId="3441A322" w14:textId="4C173A6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87</w:t>
            </w:r>
          </w:p>
        </w:tc>
        <w:tc>
          <w:tcPr>
            <w:tcW w:w="734" w:type="dxa"/>
            <w:tcBorders>
              <w:top w:val="single" w:sz="6" w:space="0" w:color="666666"/>
              <w:left w:val="nil"/>
              <w:bottom w:val="single" w:sz="6" w:space="0" w:color="666666"/>
              <w:right w:val="nil"/>
            </w:tcBorders>
            <w:shd w:val="clear" w:color="auto" w:fill="auto"/>
            <w:hideMark/>
          </w:tcPr>
          <w:p w14:paraId="551C2811" w14:textId="79D0718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49</w:t>
            </w:r>
          </w:p>
        </w:tc>
        <w:tc>
          <w:tcPr>
            <w:tcW w:w="728" w:type="dxa"/>
            <w:tcBorders>
              <w:top w:val="single" w:sz="6" w:space="0" w:color="666666"/>
              <w:left w:val="nil"/>
              <w:bottom w:val="single" w:sz="6" w:space="0" w:color="666666"/>
              <w:right w:val="nil"/>
            </w:tcBorders>
            <w:shd w:val="clear" w:color="auto" w:fill="auto"/>
            <w:hideMark/>
          </w:tcPr>
          <w:p w14:paraId="3439F06A" w14:textId="3064305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35</w:t>
            </w:r>
          </w:p>
        </w:tc>
        <w:tc>
          <w:tcPr>
            <w:tcW w:w="728" w:type="dxa"/>
            <w:tcBorders>
              <w:top w:val="single" w:sz="6" w:space="0" w:color="666666"/>
              <w:left w:val="nil"/>
              <w:bottom w:val="single" w:sz="6" w:space="0" w:color="666666"/>
              <w:right w:val="nil"/>
            </w:tcBorders>
            <w:shd w:val="clear" w:color="auto" w:fill="auto"/>
            <w:hideMark/>
          </w:tcPr>
          <w:p w14:paraId="2DC8DCFD" w14:textId="29B7551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w:t>
            </w:r>
          </w:p>
        </w:tc>
        <w:tc>
          <w:tcPr>
            <w:tcW w:w="735" w:type="dxa"/>
            <w:tcBorders>
              <w:top w:val="single" w:sz="6" w:space="0" w:color="666666"/>
              <w:left w:val="nil"/>
              <w:bottom w:val="single" w:sz="6" w:space="0" w:color="666666"/>
              <w:right w:val="nil"/>
            </w:tcBorders>
            <w:shd w:val="clear" w:color="auto" w:fill="auto"/>
            <w:hideMark/>
          </w:tcPr>
          <w:p w14:paraId="0DD29E85" w14:textId="3635B57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50</w:t>
            </w:r>
          </w:p>
        </w:tc>
        <w:tc>
          <w:tcPr>
            <w:tcW w:w="750" w:type="dxa"/>
            <w:tcBorders>
              <w:top w:val="single" w:sz="6" w:space="0" w:color="666666"/>
              <w:left w:val="nil"/>
              <w:bottom w:val="single" w:sz="6" w:space="0" w:color="666666"/>
              <w:right w:val="nil"/>
            </w:tcBorders>
            <w:shd w:val="clear" w:color="auto" w:fill="auto"/>
            <w:hideMark/>
          </w:tcPr>
          <w:p w14:paraId="6418082A" w14:textId="1DA8B91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2525</w:t>
            </w:r>
          </w:p>
        </w:tc>
      </w:tr>
      <w:tr w:rsidR="00C91EDD" w:rsidRPr="002919B7" w14:paraId="4FF8BFD9" w14:textId="77777777" w:rsidTr="002919B7">
        <w:trPr>
          <w:trHeight w:val="270"/>
        </w:trPr>
        <w:tc>
          <w:tcPr>
            <w:tcW w:w="740" w:type="dxa"/>
            <w:tcBorders>
              <w:top w:val="single" w:sz="6" w:space="0" w:color="666666"/>
              <w:left w:val="nil"/>
              <w:bottom w:val="single" w:sz="6" w:space="0" w:color="666666"/>
              <w:right w:val="nil"/>
            </w:tcBorders>
            <w:shd w:val="clear" w:color="auto" w:fill="CCCCCC"/>
            <w:hideMark/>
          </w:tcPr>
          <w:p w14:paraId="19489BB7" w14:textId="790F95BE"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11</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12 </w:t>
            </w:r>
          </w:p>
        </w:tc>
        <w:tc>
          <w:tcPr>
            <w:tcW w:w="727" w:type="dxa"/>
            <w:tcBorders>
              <w:top w:val="single" w:sz="6" w:space="0" w:color="666666"/>
              <w:left w:val="nil"/>
              <w:bottom w:val="single" w:sz="6" w:space="0" w:color="666666"/>
              <w:right w:val="nil"/>
            </w:tcBorders>
            <w:shd w:val="clear" w:color="auto" w:fill="CCCCCC"/>
            <w:hideMark/>
          </w:tcPr>
          <w:p w14:paraId="118A8B95" w14:textId="5A1D55D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70</w:t>
            </w:r>
          </w:p>
        </w:tc>
        <w:tc>
          <w:tcPr>
            <w:tcW w:w="728" w:type="dxa"/>
            <w:tcBorders>
              <w:top w:val="single" w:sz="6" w:space="0" w:color="666666"/>
              <w:left w:val="nil"/>
              <w:bottom w:val="single" w:sz="6" w:space="0" w:color="666666"/>
              <w:right w:val="nil"/>
            </w:tcBorders>
            <w:shd w:val="clear" w:color="auto" w:fill="CCCCCC"/>
            <w:hideMark/>
          </w:tcPr>
          <w:p w14:paraId="0B198D47" w14:textId="21FE6B0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w:t>
            </w:r>
          </w:p>
        </w:tc>
        <w:tc>
          <w:tcPr>
            <w:tcW w:w="734" w:type="dxa"/>
            <w:tcBorders>
              <w:top w:val="single" w:sz="6" w:space="0" w:color="666666"/>
              <w:left w:val="nil"/>
              <w:bottom w:val="single" w:sz="6" w:space="0" w:color="666666"/>
              <w:right w:val="nil"/>
            </w:tcBorders>
            <w:shd w:val="clear" w:color="auto" w:fill="CCCCCC"/>
            <w:hideMark/>
          </w:tcPr>
          <w:p w14:paraId="6E4D8E78" w14:textId="0223049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31</w:t>
            </w:r>
          </w:p>
        </w:tc>
        <w:tc>
          <w:tcPr>
            <w:tcW w:w="741" w:type="dxa"/>
            <w:tcBorders>
              <w:top w:val="single" w:sz="6" w:space="0" w:color="666666"/>
              <w:left w:val="nil"/>
              <w:bottom w:val="single" w:sz="6" w:space="0" w:color="666666"/>
              <w:right w:val="nil"/>
            </w:tcBorders>
            <w:shd w:val="clear" w:color="auto" w:fill="CCCCCC"/>
            <w:hideMark/>
          </w:tcPr>
          <w:p w14:paraId="305F7BD8" w14:textId="302E1A6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357</w:t>
            </w:r>
          </w:p>
        </w:tc>
        <w:tc>
          <w:tcPr>
            <w:tcW w:w="741" w:type="dxa"/>
            <w:tcBorders>
              <w:top w:val="single" w:sz="6" w:space="0" w:color="666666"/>
              <w:left w:val="nil"/>
              <w:bottom w:val="single" w:sz="6" w:space="0" w:color="666666"/>
              <w:right w:val="nil"/>
            </w:tcBorders>
            <w:shd w:val="clear" w:color="auto" w:fill="CCCCCC"/>
            <w:hideMark/>
          </w:tcPr>
          <w:p w14:paraId="5A1ED6D3" w14:textId="5C52290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393</w:t>
            </w:r>
          </w:p>
        </w:tc>
        <w:tc>
          <w:tcPr>
            <w:tcW w:w="734" w:type="dxa"/>
            <w:tcBorders>
              <w:top w:val="single" w:sz="6" w:space="0" w:color="666666"/>
              <w:left w:val="nil"/>
              <w:bottom w:val="single" w:sz="6" w:space="0" w:color="666666"/>
              <w:right w:val="nil"/>
            </w:tcBorders>
            <w:shd w:val="clear" w:color="auto" w:fill="CCCCCC"/>
            <w:hideMark/>
          </w:tcPr>
          <w:p w14:paraId="6C242FD2" w14:textId="3296220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230</w:t>
            </w:r>
          </w:p>
        </w:tc>
        <w:tc>
          <w:tcPr>
            <w:tcW w:w="734" w:type="dxa"/>
            <w:tcBorders>
              <w:top w:val="single" w:sz="6" w:space="0" w:color="666666"/>
              <w:left w:val="nil"/>
              <w:bottom w:val="single" w:sz="6" w:space="0" w:color="666666"/>
              <w:right w:val="nil"/>
            </w:tcBorders>
            <w:shd w:val="clear" w:color="auto" w:fill="CCCCCC"/>
            <w:hideMark/>
          </w:tcPr>
          <w:p w14:paraId="434B7CF5" w14:textId="046AEB3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264</w:t>
            </w:r>
          </w:p>
        </w:tc>
        <w:tc>
          <w:tcPr>
            <w:tcW w:w="734" w:type="dxa"/>
            <w:tcBorders>
              <w:top w:val="single" w:sz="6" w:space="0" w:color="666666"/>
              <w:left w:val="nil"/>
              <w:bottom w:val="single" w:sz="6" w:space="0" w:color="666666"/>
              <w:right w:val="nil"/>
            </w:tcBorders>
            <w:shd w:val="clear" w:color="auto" w:fill="CCCCCC"/>
            <w:hideMark/>
          </w:tcPr>
          <w:p w14:paraId="42058B9C" w14:textId="5B5EA17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240</w:t>
            </w:r>
          </w:p>
        </w:tc>
        <w:tc>
          <w:tcPr>
            <w:tcW w:w="734" w:type="dxa"/>
            <w:tcBorders>
              <w:top w:val="single" w:sz="6" w:space="0" w:color="666666"/>
              <w:left w:val="nil"/>
              <w:bottom w:val="single" w:sz="6" w:space="0" w:color="666666"/>
              <w:right w:val="nil"/>
            </w:tcBorders>
            <w:shd w:val="clear" w:color="auto" w:fill="CCCCCC"/>
            <w:hideMark/>
          </w:tcPr>
          <w:p w14:paraId="69C9B9E2" w14:textId="3825709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251</w:t>
            </w:r>
          </w:p>
        </w:tc>
        <w:tc>
          <w:tcPr>
            <w:tcW w:w="734" w:type="dxa"/>
            <w:tcBorders>
              <w:top w:val="single" w:sz="6" w:space="0" w:color="666666"/>
              <w:left w:val="nil"/>
              <w:bottom w:val="single" w:sz="6" w:space="0" w:color="666666"/>
              <w:right w:val="nil"/>
            </w:tcBorders>
            <w:shd w:val="clear" w:color="auto" w:fill="CCCCCC"/>
            <w:hideMark/>
          </w:tcPr>
          <w:p w14:paraId="7AED079D" w14:textId="73EDFC1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191</w:t>
            </w:r>
          </w:p>
        </w:tc>
        <w:tc>
          <w:tcPr>
            <w:tcW w:w="734" w:type="dxa"/>
            <w:tcBorders>
              <w:top w:val="single" w:sz="6" w:space="0" w:color="666666"/>
              <w:left w:val="nil"/>
              <w:bottom w:val="single" w:sz="6" w:space="0" w:color="666666"/>
              <w:right w:val="nil"/>
            </w:tcBorders>
            <w:shd w:val="clear" w:color="auto" w:fill="CCCCCC"/>
            <w:hideMark/>
          </w:tcPr>
          <w:p w14:paraId="7249FD2E" w14:textId="40393AB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117</w:t>
            </w:r>
          </w:p>
        </w:tc>
        <w:tc>
          <w:tcPr>
            <w:tcW w:w="734" w:type="dxa"/>
            <w:tcBorders>
              <w:top w:val="single" w:sz="6" w:space="0" w:color="666666"/>
              <w:left w:val="nil"/>
              <w:bottom w:val="single" w:sz="6" w:space="0" w:color="666666"/>
              <w:right w:val="nil"/>
            </w:tcBorders>
            <w:shd w:val="clear" w:color="auto" w:fill="CCCCCC"/>
            <w:hideMark/>
          </w:tcPr>
          <w:p w14:paraId="1B82C453" w14:textId="0336218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110</w:t>
            </w:r>
          </w:p>
        </w:tc>
        <w:tc>
          <w:tcPr>
            <w:tcW w:w="734" w:type="dxa"/>
            <w:tcBorders>
              <w:top w:val="single" w:sz="6" w:space="0" w:color="666666"/>
              <w:left w:val="nil"/>
              <w:bottom w:val="single" w:sz="6" w:space="0" w:color="666666"/>
              <w:right w:val="nil"/>
            </w:tcBorders>
            <w:shd w:val="clear" w:color="auto" w:fill="CCCCCC"/>
            <w:hideMark/>
          </w:tcPr>
          <w:p w14:paraId="02B26C50" w14:textId="017C86E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75</w:t>
            </w:r>
          </w:p>
        </w:tc>
        <w:tc>
          <w:tcPr>
            <w:tcW w:w="734" w:type="dxa"/>
            <w:tcBorders>
              <w:top w:val="single" w:sz="6" w:space="0" w:color="666666"/>
              <w:left w:val="nil"/>
              <w:bottom w:val="single" w:sz="6" w:space="0" w:color="666666"/>
              <w:right w:val="nil"/>
            </w:tcBorders>
            <w:shd w:val="clear" w:color="auto" w:fill="CCCCCC"/>
            <w:hideMark/>
          </w:tcPr>
          <w:p w14:paraId="11F1E978" w14:textId="1C43A3F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49</w:t>
            </w:r>
          </w:p>
        </w:tc>
        <w:tc>
          <w:tcPr>
            <w:tcW w:w="728" w:type="dxa"/>
            <w:tcBorders>
              <w:top w:val="single" w:sz="6" w:space="0" w:color="666666"/>
              <w:left w:val="nil"/>
              <w:bottom w:val="single" w:sz="6" w:space="0" w:color="666666"/>
              <w:right w:val="nil"/>
            </w:tcBorders>
            <w:shd w:val="clear" w:color="auto" w:fill="CCCCCC"/>
            <w:hideMark/>
          </w:tcPr>
          <w:p w14:paraId="0896611D" w14:textId="09826F8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44</w:t>
            </w:r>
          </w:p>
        </w:tc>
        <w:tc>
          <w:tcPr>
            <w:tcW w:w="728" w:type="dxa"/>
            <w:tcBorders>
              <w:top w:val="single" w:sz="6" w:space="0" w:color="666666"/>
              <w:left w:val="nil"/>
              <w:bottom w:val="single" w:sz="6" w:space="0" w:color="666666"/>
              <w:right w:val="nil"/>
            </w:tcBorders>
            <w:shd w:val="clear" w:color="auto" w:fill="CCCCCC"/>
            <w:hideMark/>
          </w:tcPr>
          <w:p w14:paraId="0C1848B7" w14:textId="5389AB3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28</w:t>
            </w:r>
          </w:p>
        </w:tc>
        <w:tc>
          <w:tcPr>
            <w:tcW w:w="735" w:type="dxa"/>
            <w:tcBorders>
              <w:top w:val="single" w:sz="6" w:space="0" w:color="666666"/>
              <w:left w:val="nil"/>
              <w:bottom w:val="single" w:sz="6" w:space="0" w:color="666666"/>
              <w:right w:val="nil"/>
            </w:tcBorders>
            <w:shd w:val="clear" w:color="auto" w:fill="CCCCCC"/>
            <w:hideMark/>
          </w:tcPr>
          <w:p w14:paraId="1AAA4A48" w14:textId="6E49213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50</w:t>
            </w:r>
          </w:p>
        </w:tc>
        <w:tc>
          <w:tcPr>
            <w:tcW w:w="750" w:type="dxa"/>
            <w:tcBorders>
              <w:top w:val="single" w:sz="6" w:space="0" w:color="666666"/>
              <w:left w:val="nil"/>
              <w:bottom w:val="single" w:sz="6" w:space="0" w:color="666666"/>
              <w:right w:val="nil"/>
            </w:tcBorders>
            <w:shd w:val="clear" w:color="auto" w:fill="CCCCCC"/>
            <w:hideMark/>
          </w:tcPr>
          <w:p w14:paraId="11F06FAB" w14:textId="3618D10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2507</w:t>
            </w:r>
          </w:p>
        </w:tc>
      </w:tr>
      <w:tr w:rsidR="00C91EDD" w:rsidRPr="002919B7" w14:paraId="71B1383B"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14E4C1AD" w14:textId="58682B44"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12</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13 </w:t>
            </w:r>
          </w:p>
        </w:tc>
        <w:tc>
          <w:tcPr>
            <w:tcW w:w="727" w:type="dxa"/>
            <w:tcBorders>
              <w:top w:val="single" w:sz="6" w:space="0" w:color="666666"/>
              <w:left w:val="nil"/>
              <w:bottom w:val="single" w:sz="6" w:space="0" w:color="666666"/>
              <w:right w:val="nil"/>
            </w:tcBorders>
            <w:shd w:val="clear" w:color="auto" w:fill="auto"/>
            <w:hideMark/>
          </w:tcPr>
          <w:p w14:paraId="26E6B528" w14:textId="6901ABD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83</w:t>
            </w:r>
          </w:p>
        </w:tc>
        <w:tc>
          <w:tcPr>
            <w:tcW w:w="728" w:type="dxa"/>
            <w:tcBorders>
              <w:top w:val="single" w:sz="6" w:space="0" w:color="666666"/>
              <w:left w:val="nil"/>
              <w:bottom w:val="single" w:sz="6" w:space="0" w:color="666666"/>
              <w:right w:val="nil"/>
            </w:tcBorders>
            <w:shd w:val="clear" w:color="auto" w:fill="auto"/>
            <w:hideMark/>
          </w:tcPr>
          <w:p w14:paraId="7BC098EB" w14:textId="51530BB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w:t>
            </w:r>
          </w:p>
        </w:tc>
        <w:tc>
          <w:tcPr>
            <w:tcW w:w="734" w:type="dxa"/>
            <w:tcBorders>
              <w:top w:val="single" w:sz="6" w:space="0" w:color="666666"/>
              <w:left w:val="nil"/>
              <w:bottom w:val="single" w:sz="6" w:space="0" w:color="666666"/>
              <w:right w:val="nil"/>
            </w:tcBorders>
            <w:shd w:val="clear" w:color="auto" w:fill="auto"/>
            <w:hideMark/>
          </w:tcPr>
          <w:p w14:paraId="26B763F6" w14:textId="7EE52F5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32</w:t>
            </w:r>
          </w:p>
        </w:tc>
        <w:tc>
          <w:tcPr>
            <w:tcW w:w="741" w:type="dxa"/>
            <w:tcBorders>
              <w:top w:val="single" w:sz="6" w:space="0" w:color="666666"/>
              <w:left w:val="nil"/>
              <w:bottom w:val="single" w:sz="6" w:space="0" w:color="666666"/>
              <w:right w:val="nil"/>
            </w:tcBorders>
            <w:shd w:val="clear" w:color="auto" w:fill="auto"/>
            <w:hideMark/>
          </w:tcPr>
          <w:p w14:paraId="6482A01E" w14:textId="2C3F05D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425</w:t>
            </w:r>
          </w:p>
        </w:tc>
        <w:tc>
          <w:tcPr>
            <w:tcW w:w="741" w:type="dxa"/>
            <w:tcBorders>
              <w:top w:val="single" w:sz="6" w:space="0" w:color="666666"/>
              <w:left w:val="nil"/>
              <w:bottom w:val="single" w:sz="6" w:space="0" w:color="666666"/>
              <w:right w:val="nil"/>
            </w:tcBorders>
            <w:shd w:val="clear" w:color="auto" w:fill="auto"/>
            <w:hideMark/>
          </w:tcPr>
          <w:p w14:paraId="0245913E" w14:textId="1293E05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379</w:t>
            </w:r>
          </w:p>
        </w:tc>
        <w:tc>
          <w:tcPr>
            <w:tcW w:w="734" w:type="dxa"/>
            <w:tcBorders>
              <w:top w:val="single" w:sz="6" w:space="0" w:color="666666"/>
              <w:left w:val="nil"/>
              <w:bottom w:val="single" w:sz="6" w:space="0" w:color="666666"/>
              <w:right w:val="nil"/>
            </w:tcBorders>
            <w:shd w:val="clear" w:color="auto" w:fill="auto"/>
            <w:hideMark/>
          </w:tcPr>
          <w:p w14:paraId="41E1B20B" w14:textId="254EFEB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259</w:t>
            </w:r>
          </w:p>
        </w:tc>
        <w:tc>
          <w:tcPr>
            <w:tcW w:w="734" w:type="dxa"/>
            <w:tcBorders>
              <w:top w:val="single" w:sz="6" w:space="0" w:color="666666"/>
              <w:left w:val="nil"/>
              <w:bottom w:val="single" w:sz="6" w:space="0" w:color="666666"/>
              <w:right w:val="nil"/>
            </w:tcBorders>
            <w:shd w:val="clear" w:color="auto" w:fill="auto"/>
            <w:hideMark/>
          </w:tcPr>
          <w:p w14:paraId="0A782485" w14:textId="7081955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269</w:t>
            </w:r>
          </w:p>
        </w:tc>
        <w:tc>
          <w:tcPr>
            <w:tcW w:w="734" w:type="dxa"/>
            <w:tcBorders>
              <w:top w:val="single" w:sz="6" w:space="0" w:color="666666"/>
              <w:left w:val="nil"/>
              <w:bottom w:val="single" w:sz="6" w:space="0" w:color="666666"/>
              <w:right w:val="nil"/>
            </w:tcBorders>
            <w:shd w:val="clear" w:color="auto" w:fill="auto"/>
            <w:hideMark/>
          </w:tcPr>
          <w:p w14:paraId="3E1DC899" w14:textId="14E2E26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242</w:t>
            </w:r>
          </w:p>
        </w:tc>
        <w:tc>
          <w:tcPr>
            <w:tcW w:w="734" w:type="dxa"/>
            <w:tcBorders>
              <w:top w:val="single" w:sz="6" w:space="0" w:color="666666"/>
              <w:left w:val="nil"/>
              <w:bottom w:val="single" w:sz="6" w:space="0" w:color="666666"/>
              <w:right w:val="nil"/>
            </w:tcBorders>
            <w:shd w:val="clear" w:color="auto" w:fill="auto"/>
            <w:hideMark/>
          </w:tcPr>
          <w:p w14:paraId="17A57DF6" w14:textId="58824E3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216</w:t>
            </w:r>
          </w:p>
        </w:tc>
        <w:tc>
          <w:tcPr>
            <w:tcW w:w="734" w:type="dxa"/>
            <w:tcBorders>
              <w:top w:val="single" w:sz="6" w:space="0" w:color="666666"/>
              <w:left w:val="nil"/>
              <w:bottom w:val="single" w:sz="6" w:space="0" w:color="666666"/>
              <w:right w:val="nil"/>
            </w:tcBorders>
            <w:shd w:val="clear" w:color="auto" w:fill="auto"/>
            <w:hideMark/>
          </w:tcPr>
          <w:p w14:paraId="42DDFAD1" w14:textId="601D4C3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193</w:t>
            </w:r>
          </w:p>
        </w:tc>
        <w:tc>
          <w:tcPr>
            <w:tcW w:w="734" w:type="dxa"/>
            <w:tcBorders>
              <w:top w:val="single" w:sz="6" w:space="0" w:color="666666"/>
              <w:left w:val="nil"/>
              <w:bottom w:val="single" w:sz="6" w:space="0" w:color="666666"/>
              <w:right w:val="nil"/>
            </w:tcBorders>
            <w:shd w:val="clear" w:color="auto" w:fill="auto"/>
            <w:hideMark/>
          </w:tcPr>
          <w:p w14:paraId="58EC0375" w14:textId="55A5E0D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161</w:t>
            </w:r>
          </w:p>
        </w:tc>
        <w:tc>
          <w:tcPr>
            <w:tcW w:w="734" w:type="dxa"/>
            <w:tcBorders>
              <w:top w:val="single" w:sz="6" w:space="0" w:color="666666"/>
              <w:left w:val="nil"/>
              <w:bottom w:val="single" w:sz="6" w:space="0" w:color="666666"/>
              <w:right w:val="nil"/>
            </w:tcBorders>
            <w:shd w:val="clear" w:color="auto" w:fill="auto"/>
            <w:hideMark/>
          </w:tcPr>
          <w:p w14:paraId="714D900B" w14:textId="6EECCF4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117</w:t>
            </w:r>
          </w:p>
        </w:tc>
        <w:tc>
          <w:tcPr>
            <w:tcW w:w="734" w:type="dxa"/>
            <w:tcBorders>
              <w:top w:val="single" w:sz="6" w:space="0" w:color="666666"/>
              <w:left w:val="nil"/>
              <w:bottom w:val="single" w:sz="6" w:space="0" w:color="666666"/>
              <w:right w:val="nil"/>
            </w:tcBorders>
            <w:shd w:val="clear" w:color="auto" w:fill="auto"/>
            <w:hideMark/>
          </w:tcPr>
          <w:p w14:paraId="479BEF74" w14:textId="7B31947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78</w:t>
            </w:r>
          </w:p>
        </w:tc>
        <w:tc>
          <w:tcPr>
            <w:tcW w:w="734" w:type="dxa"/>
            <w:tcBorders>
              <w:top w:val="single" w:sz="6" w:space="0" w:color="666666"/>
              <w:left w:val="nil"/>
              <w:bottom w:val="single" w:sz="6" w:space="0" w:color="666666"/>
              <w:right w:val="nil"/>
            </w:tcBorders>
            <w:shd w:val="clear" w:color="auto" w:fill="auto"/>
            <w:hideMark/>
          </w:tcPr>
          <w:p w14:paraId="443E1FEA" w14:textId="7327451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61</w:t>
            </w:r>
          </w:p>
        </w:tc>
        <w:tc>
          <w:tcPr>
            <w:tcW w:w="728" w:type="dxa"/>
            <w:tcBorders>
              <w:top w:val="single" w:sz="6" w:space="0" w:color="666666"/>
              <w:left w:val="nil"/>
              <w:bottom w:val="single" w:sz="6" w:space="0" w:color="666666"/>
              <w:right w:val="nil"/>
            </w:tcBorders>
            <w:shd w:val="clear" w:color="auto" w:fill="auto"/>
            <w:hideMark/>
          </w:tcPr>
          <w:p w14:paraId="1E5B27A1" w14:textId="2E5E6DA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37</w:t>
            </w:r>
          </w:p>
        </w:tc>
        <w:tc>
          <w:tcPr>
            <w:tcW w:w="728" w:type="dxa"/>
            <w:tcBorders>
              <w:top w:val="single" w:sz="6" w:space="0" w:color="666666"/>
              <w:left w:val="nil"/>
              <w:bottom w:val="single" w:sz="6" w:space="0" w:color="666666"/>
              <w:right w:val="nil"/>
            </w:tcBorders>
            <w:shd w:val="clear" w:color="auto" w:fill="auto"/>
            <w:hideMark/>
          </w:tcPr>
          <w:p w14:paraId="2A0C1A3D" w14:textId="0B29461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w:t>
            </w:r>
          </w:p>
        </w:tc>
        <w:tc>
          <w:tcPr>
            <w:tcW w:w="735" w:type="dxa"/>
            <w:tcBorders>
              <w:top w:val="single" w:sz="6" w:space="0" w:color="666666"/>
              <w:left w:val="nil"/>
              <w:bottom w:val="single" w:sz="6" w:space="0" w:color="666666"/>
              <w:right w:val="nil"/>
            </w:tcBorders>
            <w:shd w:val="clear" w:color="auto" w:fill="auto"/>
            <w:hideMark/>
          </w:tcPr>
          <w:p w14:paraId="2D576C54" w14:textId="5682669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44</w:t>
            </w:r>
          </w:p>
        </w:tc>
        <w:tc>
          <w:tcPr>
            <w:tcW w:w="750" w:type="dxa"/>
            <w:tcBorders>
              <w:top w:val="single" w:sz="6" w:space="0" w:color="666666"/>
              <w:left w:val="nil"/>
              <w:bottom w:val="single" w:sz="6" w:space="0" w:color="666666"/>
              <w:right w:val="nil"/>
            </w:tcBorders>
            <w:shd w:val="clear" w:color="auto" w:fill="auto"/>
            <w:hideMark/>
          </w:tcPr>
          <w:p w14:paraId="0DE3A803" w14:textId="1C9F6B7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2629</w:t>
            </w:r>
          </w:p>
        </w:tc>
      </w:tr>
      <w:tr w:rsidR="00C91EDD" w:rsidRPr="002919B7" w14:paraId="10B306C2" w14:textId="77777777" w:rsidTr="002919B7">
        <w:trPr>
          <w:trHeight w:val="270"/>
        </w:trPr>
        <w:tc>
          <w:tcPr>
            <w:tcW w:w="740" w:type="dxa"/>
            <w:tcBorders>
              <w:top w:val="single" w:sz="6" w:space="0" w:color="666666"/>
              <w:left w:val="nil"/>
              <w:bottom w:val="single" w:sz="6" w:space="0" w:color="666666"/>
              <w:right w:val="nil"/>
            </w:tcBorders>
            <w:shd w:val="clear" w:color="auto" w:fill="CCCCCC"/>
            <w:hideMark/>
          </w:tcPr>
          <w:p w14:paraId="36C711AA" w14:textId="44262F70"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13</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14 </w:t>
            </w:r>
          </w:p>
        </w:tc>
        <w:tc>
          <w:tcPr>
            <w:tcW w:w="727" w:type="dxa"/>
            <w:tcBorders>
              <w:top w:val="single" w:sz="6" w:space="0" w:color="666666"/>
              <w:left w:val="nil"/>
              <w:bottom w:val="single" w:sz="6" w:space="0" w:color="666666"/>
              <w:right w:val="nil"/>
            </w:tcBorders>
            <w:shd w:val="clear" w:color="auto" w:fill="CCCCCC"/>
            <w:hideMark/>
          </w:tcPr>
          <w:p w14:paraId="0DFD85B2" w14:textId="643EC07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100</w:t>
            </w:r>
          </w:p>
        </w:tc>
        <w:tc>
          <w:tcPr>
            <w:tcW w:w="728" w:type="dxa"/>
            <w:tcBorders>
              <w:top w:val="single" w:sz="6" w:space="0" w:color="666666"/>
              <w:left w:val="nil"/>
              <w:bottom w:val="single" w:sz="6" w:space="0" w:color="666666"/>
              <w:right w:val="nil"/>
            </w:tcBorders>
            <w:shd w:val="clear" w:color="auto" w:fill="CCCCCC"/>
            <w:hideMark/>
          </w:tcPr>
          <w:p w14:paraId="51FEB675" w14:textId="2CDA404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w:t>
            </w:r>
          </w:p>
        </w:tc>
        <w:tc>
          <w:tcPr>
            <w:tcW w:w="734" w:type="dxa"/>
            <w:tcBorders>
              <w:top w:val="single" w:sz="6" w:space="0" w:color="666666"/>
              <w:left w:val="nil"/>
              <w:bottom w:val="single" w:sz="6" w:space="0" w:color="666666"/>
              <w:right w:val="nil"/>
            </w:tcBorders>
            <w:shd w:val="clear" w:color="auto" w:fill="CCCCCC"/>
            <w:hideMark/>
          </w:tcPr>
          <w:p w14:paraId="33AA9A92" w14:textId="1892C0D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28</w:t>
            </w:r>
          </w:p>
        </w:tc>
        <w:tc>
          <w:tcPr>
            <w:tcW w:w="741" w:type="dxa"/>
            <w:tcBorders>
              <w:top w:val="single" w:sz="6" w:space="0" w:color="666666"/>
              <w:left w:val="nil"/>
              <w:bottom w:val="single" w:sz="6" w:space="0" w:color="666666"/>
              <w:right w:val="nil"/>
            </w:tcBorders>
            <w:shd w:val="clear" w:color="auto" w:fill="CCCCCC"/>
            <w:hideMark/>
          </w:tcPr>
          <w:p w14:paraId="32F89461" w14:textId="7C684DE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364</w:t>
            </w:r>
          </w:p>
        </w:tc>
        <w:tc>
          <w:tcPr>
            <w:tcW w:w="741" w:type="dxa"/>
            <w:tcBorders>
              <w:top w:val="single" w:sz="6" w:space="0" w:color="666666"/>
              <w:left w:val="nil"/>
              <w:bottom w:val="single" w:sz="6" w:space="0" w:color="666666"/>
              <w:right w:val="nil"/>
            </w:tcBorders>
            <w:shd w:val="clear" w:color="auto" w:fill="CCCCCC"/>
            <w:hideMark/>
          </w:tcPr>
          <w:p w14:paraId="05610FB4" w14:textId="10FBE6A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322</w:t>
            </w:r>
          </w:p>
        </w:tc>
        <w:tc>
          <w:tcPr>
            <w:tcW w:w="734" w:type="dxa"/>
            <w:tcBorders>
              <w:top w:val="single" w:sz="6" w:space="0" w:color="666666"/>
              <w:left w:val="nil"/>
              <w:bottom w:val="single" w:sz="6" w:space="0" w:color="666666"/>
              <w:right w:val="nil"/>
            </w:tcBorders>
            <w:shd w:val="clear" w:color="auto" w:fill="CCCCCC"/>
            <w:hideMark/>
          </w:tcPr>
          <w:p w14:paraId="77A42449" w14:textId="00679B0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259</w:t>
            </w:r>
          </w:p>
        </w:tc>
        <w:tc>
          <w:tcPr>
            <w:tcW w:w="734" w:type="dxa"/>
            <w:tcBorders>
              <w:top w:val="single" w:sz="6" w:space="0" w:color="666666"/>
              <w:left w:val="nil"/>
              <w:bottom w:val="single" w:sz="6" w:space="0" w:color="666666"/>
              <w:right w:val="nil"/>
            </w:tcBorders>
            <w:shd w:val="clear" w:color="auto" w:fill="CCCCCC"/>
            <w:hideMark/>
          </w:tcPr>
          <w:p w14:paraId="6F10F1B0" w14:textId="58D6108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256</w:t>
            </w:r>
          </w:p>
        </w:tc>
        <w:tc>
          <w:tcPr>
            <w:tcW w:w="734" w:type="dxa"/>
            <w:tcBorders>
              <w:top w:val="single" w:sz="6" w:space="0" w:color="666666"/>
              <w:left w:val="nil"/>
              <w:bottom w:val="single" w:sz="6" w:space="0" w:color="666666"/>
              <w:right w:val="nil"/>
            </w:tcBorders>
            <w:shd w:val="clear" w:color="auto" w:fill="CCCCCC"/>
            <w:hideMark/>
          </w:tcPr>
          <w:p w14:paraId="7814DFCD" w14:textId="7EA793D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214</w:t>
            </w:r>
          </w:p>
        </w:tc>
        <w:tc>
          <w:tcPr>
            <w:tcW w:w="734" w:type="dxa"/>
            <w:tcBorders>
              <w:top w:val="single" w:sz="6" w:space="0" w:color="666666"/>
              <w:left w:val="nil"/>
              <w:bottom w:val="single" w:sz="6" w:space="0" w:color="666666"/>
              <w:right w:val="nil"/>
            </w:tcBorders>
            <w:shd w:val="clear" w:color="auto" w:fill="CCCCCC"/>
            <w:hideMark/>
          </w:tcPr>
          <w:p w14:paraId="53DAA6D8" w14:textId="61C7B77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221</w:t>
            </w:r>
          </w:p>
        </w:tc>
        <w:tc>
          <w:tcPr>
            <w:tcW w:w="734" w:type="dxa"/>
            <w:tcBorders>
              <w:top w:val="single" w:sz="6" w:space="0" w:color="666666"/>
              <w:left w:val="nil"/>
              <w:bottom w:val="single" w:sz="6" w:space="0" w:color="666666"/>
              <w:right w:val="nil"/>
            </w:tcBorders>
            <w:shd w:val="clear" w:color="auto" w:fill="CCCCCC"/>
            <w:hideMark/>
          </w:tcPr>
          <w:p w14:paraId="063F918D" w14:textId="3D4514D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190</w:t>
            </w:r>
          </w:p>
        </w:tc>
        <w:tc>
          <w:tcPr>
            <w:tcW w:w="734" w:type="dxa"/>
            <w:tcBorders>
              <w:top w:val="single" w:sz="6" w:space="0" w:color="666666"/>
              <w:left w:val="nil"/>
              <w:bottom w:val="single" w:sz="6" w:space="0" w:color="666666"/>
              <w:right w:val="nil"/>
            </w:tcBorders>
            <w:shd w:val="clear" w:color="auto" w:fill="CCCCCC"/>
            <w:hideMark/>
          </w:tcPr>
          <w:p w14:paraId="4FBF82F9" w14:textId="33D1A2A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176</w:t>
            </w:r>
          </w:p>
        </w:tc>
        <w:tc>
          <w:tcPr>
            <w:tcW w:w="734" w:type="dxa"/>
            <w:tcBorders>
              <w:top w:val="single" w:sz="6" w:space="0" w:color="666666"/>
              <w:left w:val="nil"/>
              <w:bottom w:val="single" w:sz="6" w:space="0" w:color="666666"/>
              <w:right w:val="nil"/>
            </w:tcBorders>
            <w:shd w:val="clear" w:color="auto" w:fill="CCCCCC"/>
            <w:hideMark/>
          </w:tcPr>
          <w:p w14:paraId="01105F81" w14:textId="02E3388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123</w:t>
            </w:r>
          </w:p>
        </w:tc>
        <w:tc>
          <w:tcPr>
            <w:tcW w:w="734" w:type="dxa"/>
            <w:tcBorders>
              <w:top w:val="single" w:sz="6" w:space="0" w:color="666666"/>
              <w:left w:val="nil"/>
              <w:bottom w:val="single" w:sz="6" w:space="0" w:color="666666"/>
              <w:right w:val="nil"/>
            </w:tcBorders>
            <w:shd w:val="clear" w:color="auto" w:fill="CCCCCC"/>
            <w:hideMark/>
          </w:tcPr>
          <w:p w14:paraId="6C2C918E" w14:textId="51427DA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97</w:t>
            </w:r>
          </w:p>
        </w:tc>
        <w:tc>
          <w:tcPr>
            <w:tcW w:w="734" w:type="dxa"/>
            <w:tcBorders>
              <w:top w:val="single" w:sz="6" w:space="0" w:color="666666"/>
              <w:left w:val="nil"/>
              <w:bottom w:val="single" w:sz="6" w:space="0" w:color="666666"/>
              <w:right w:val="nil"/>
            </w:tcBorders>
            <w:shd w:val="clear" w:color="auto" w:fill="CCCCCC"/>
            <w:hideMark/>
          </w:tcPr>
          <w:p w14:paraId="04D8EF8C" w14:textId="285E66B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68</w:t>
            </w:r>
          </w:p>
        </w:tc>
        <w:tc>
          <w:tcPr>
            <w:tcW w:w="728" w:type="dxa"/>
            <w:tcBorders>
              <w:top w:val="single" w:sz="6" w:space="0" w:color="666666"/>
              <w:left w:val="nil"/>
              <w:bottom w:val="single" w:sz="6" w:space="0" w:color="666666"/>
              <w:right w:val="nil"/>
            </w:tcBorders>
            <w:shd w:val="clear" w:color="auto" w:fill="CCCCCC"/>
            <w:hideMark/>
          </w:tcPr>
          <w:p w14:paraId="116A8FB9" w14:textId="6CBF0B2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46</w:t>
            </w:r>
          </w:p>
        </w:tc>
        <w:tc>
          <w:tcPr>
            <w:tcW w:w="728" w:type="dxa"/>
            <w:tcBorders>
              <w:top w:val="single" w:sz="6" w:space="0" w:color="666666"/>
              <w:left w:val="nil"/>
              <w:bottom w:val="single" w:sz="6" w:space="0" w:color="666666"/>
              <w:right w:val="nil"/>
            </w:tcBorders>
            <w:shd w:val="clear" w:color="auto" w:fill="CCCCCC"/>
            <w:hideMark/>
          </w:tcPr>
          <w:p w14:paraId="40187915" w14:textId="77D60CB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29</w:t>
            </w:r>
          </w:p>
        </w:tc>
        <w:tc>
          <w:tcPr>
            <w:tcW w:w="735" w:type="dxa"/>
            <w:tcBorders>
              <w:top w:val="single" w:sz="6" w:space="0" w:color="666666"/>
              <w:left w:val="nil"/>
              <w:bottom w:val="single" w:sz="6" w:space="0" w:color="666666"/>
              <w:right w:val="nil"/>
            </w:tcBorders>
            <w:shd w:val="clear" w:color="auto" w:fill="CCCCCC"/>
            <w:hideMark/>
          </w:tcPr>
          <w:p w14:paraId="05EA0269" w14:textId="2C62306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55</w:t>
            </w:r>
          </w:p>
        </w:tc>
        <w:tc>
          <w:tcPr>
            <w:tcW w:w="750" w:type="dxa"/>
            <w:tcBorders>
              <w:top w:val="single" w:sz="6" w:space="0" w:color="666666"/>
              <w:left w:val="nil"/>
              <w:bottom w:val="single" w:sz="6" w:space="0" w:color="666666"/>
              <w:right w:val="nil"/>
            </w:tcBorders>
            <w:shd w:val="clear" w:color="auto" w:fill="CCCCCC"/>
            <w:hideMark/>
          </w:tcPr>
          <w:p w14:paraId="7D6B1935" w14:textId="29E0A79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2559</w:t>
            </w:r>
          </w:p>
        </w:tc>
      </w:tr>
      <w:tr w:rsidR="00C91EDD" w:rsidRPr="002919B7" w14:paraId="27721A55"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3F1707BC" w14:textId="1BEFCCA0"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14</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15 </w:t>
            </w:r>
          </w:p>
        </w:tc>
        <w:tc>
          <w:tcPr>
            <w:tcW w:w="727" w:type="dxa"/>
            <w:tcBorders>
              <w:top w:val="single" w:sz="6" w:space="0" w:color="666666"/>
              <w:left w:val="nil"/>
              <w:bottom w:val="single" w:sz="6" w:space="0" w:color="666666"/>
              <w:right w:val="nil"/>
            </w:tcBorders>
            <w:shd w:val="clear" w:color="auto" w:fill="auto"/>
            <w:hideMark/>
          </w:tcPr>
          <w:p w14:paraId="7190872B" w14:textId="0B01127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90</w:t>
            </w:r>
          </w:p>
        </w:tc>
        <w:tc>
          <w:tcPr>
            <w:tcW w:w="728" w:type="dxa"/>
            <w:tcBorders>
              <w:top w:val="single" w:sz="6" w:space="0" w:color="666666"/>
              <w:left w:val="nil"/>
              <w:bottom w:val="single" w:sz="6" w:space="0" w:color="666666"/>
              <w:right w:val="nil"/>
            </w:tcBorders>
            <w:shd w:val="clear" w:color="auto" w:fill="auto"/>
            <w:hideMark/>
          </w:tcPr>
          <w:p w14:paraId="509E6E96" w14:textId="52526ED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12</w:t>
            </w:r>
          </w:p>
        </w:tc>
        <w:tc>
          <w:tcPr>
            <w:tcW w:w="734" w:type="dxa"/>
            <w:tcBorders>
              <w:top w:val="single" w:sz="6" w:space="0" w:color="666666"/>
              <w:left w:val="nil"/>
              <w:bottom w:val="single" w:sz="6" w:space="0" w:color="666666"/>
              <w:right w:val="nil"/>
            </w:tcBorders>
            <w:shd w:val="clear" w:color="auto" w:fill="auto"/>
            <w:hideMark/>
          </w:tcPr>
          <w:p w14:paraId="690554F8" w14:textId="3C99EE5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43</w:t>
            </w:r>
          </w:p>
        </w:tc>
        <w:tc>
          <w:tcPr>
            <w:tcW w:w="741" w:type="dxa"/>
            <w:tcBorders>
              <w:top w:val="single" w:sz="6" w:space="0" w:color="666666"/>
              <w:left w:val="nil"/>
              <w:bottom w:val="single" w:sz="6" w:space="0" w:color="666666"/>
              <w:right w:val="nil"/>
            </w:tcBorders>
            <w:shd w:val="clear" w:color="auto" w:fill="auto"/>
            <w:hideMark/>
          </w:tcPr>
          <w:p w14:paraId="0C999E31" w14:textId="271F9FE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396</w:t>
            </w:r>
          </w:p>
        </w:tc>
        <w:tc>
          <w:tcPr>
            <w:tcW w:w="741" w:type="dxa"/>
            <w:tcBorders>
              <w:top w:val="single" w:sz="6" w:space="0" w:color="666666"/>
              <w:left w:val="nil"/>
              <w:bottom w:val="single" w:sz="6" w:space="0" w:color="666666"/>
              <w:right w:val="nil"/>
            </w:tcBorders>
            <w:shd w:val="clear" w:color="auto" w:fill="auto"/>
            <w:hideMark/>
          </w:tcPr>
          <w:p w14:paraId="7C566715" w14:textId="4D81C1B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366</w:t>
            </w:r>
          </w:p>
        </w:tc>
        <w:tc>
          <w:tcPr>
            <w:tcW w:w="734" w:type="dxa"/>
            <w:tcBorders>
              <w:top w:val="single" w:sz="6" w:space="0" w:color="666666"/>
              <w:left w:val="nil"/>
              <w:bottom w:val="single" w:sz="6" w:space="0" w:color="666666"/>
              <w:right w:val="nil"/>
            </w:tcBorders>
            <w:shd w:val="clear" w:color="auto" w:fill="auto"/>
            <w:hideMark/>
          </w:tcPr>
          <w:p w14:paraId="19BD940E" w14:textId="23C2279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310</w:t>
            </w:r>
          </w:p>
        </w:tc>
        <w:tc>
          <w:tcPr>
            <w:tcW w:w="734" w:type="dxa"/>
            <w:tcBorders>
              <w:top w:val="single" w:sz="6" w:space="0" w:color="666666"/>
              <w:left w:val="nil"/>
              <w:bottom w:val="single" w:sz="6" w:space="0" w:color="666666"/>
              <w:right w:val="nil"/>
            </w:tcBorders>
            <w:shd w:val="clear" w:color="auto" w:fill="auto"/>
            <w:hideMark/>
          </w:tcPr>
          <w:p w14:paraId="18E5A7A4" w14:textId="6BCDC43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296</w:t>
            </w:r>
          </w:p>
        </w:tc>
        <w:tc>
          <w:tcPr>
            <w:tcW w:w="734" w:type="dxa"/>
            <w:tcBorders>
              <w:top w:val="single" w:sz="6" w:space="0" w:color="666666"/>
              <w:left w:val="nil"/>
              <w:bottom w:val="single" w:sz="6" w:space="0" w:color="666666"/>
              <w:right w:val="nil"/>
            </w:tcBorders>
            <w:shd w:val="clear" w:color="auto" w:fill="auto"/>
            <w:hideMark/>
          </w:tcPr>
          <w:p w14:paraId="3D5D0E27" w14:textId="5A71CC6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266</w:t>
            </w:r>
          </w:p>
        </w:tc>
        <w:tc>
          <w:tcPr>
            <w:tcW w:w="734" w:type="dxa"/>
            <w:tcBorders>
              <w:top w:val="single" w:sz="6" w:space="0" w:color="666666"/>
              <w:left w:val="nil"/>
              <w:bottom w:val="single" w:sz="6" w:space="0" w:color="666666"/>
              <w:right w:val="nil"/>
            </w:tcBorders>
            <w:shd w:val="clear" w:color="auto" w:fill="auto"/>
            <w:hideMark/>
          </w:tcPr>
          <w:p w14:paraId="35F4C443" w14:textId="774D132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261</w:t>
            </w:r>
          </w:p>
        </w:tc>
        <w:tc>
          <w:tcPr>
            <w:tcW w:w="734" w:type="dxa"/>
            <w:tcBorders>
              <w:top w:val="single" w:sz="6" w:space="0" w:color="666666"/>
              <w:left w:val="nil"/>
              <w:bottom w:val="single" w:sz="6" w:space="0" w:color="666666"/>
              <w:right w:val="nil"/>
            </w:tcBorders>
            <w:shd w:val="clear" w:color="auto" w:fill="auto"/>
            <w:hideMark/>
          </w:tcPr>
          <w:p w14:paraId="0A1A0CDE" w14:textId="52A9B3B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203</w:t>
            </w:r>
          </w:p>
        </w:tc>
        <w:tc>
          <w:tcPr>
            <w:tcW w:w="734" w:type="dxa"/>
            <w:tcBorders>
              <w:top w:val="single" w:sz="6" w:space="0" w:color="666666"/>
              <w:left w:val="nil"/>
              <w:bottom w:val="single" w:sz="6" w:space="0" w:color="666666"/>
              <w:right w:val="nil"/>
            </w:tcBorders>
            <w:shd w:val="clear" w:color="auto" w:fill="auto"/>
            <w:hideMark/>
          </w:tcPr>
          <w:p w14:paraId="246C61EA" w14:textId="183F4BF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192</w:t>
            </w:r>
          </w:p>
        </w:tc>
        <w:tc>
          <w:tcPr>
            <w:tcW w:w="734" w:type="dxa"/>
            <w:tcBorders>
              <w:top w:val="single" w:sz="6" w:space="0" w:color="666666"/>
              <w:left w:val="nil"/>
              <w:bottom w:val="single" w:sz="6" w:space="0" w:color="666666"/>
              <w:right w:val="nil"/>
            </w:tcBorders>
            <w:shd w:val="clear" w:color="auto" w:fill="auto"/>
            <w:hideMark/>
          </w:tcPr>
          <w:p w14:paraId="6CF50980" w14:textId="6EDBC80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136</w:t>
            </w:r>
          </w:p>
        </w:tc>
        <w:tc>
          <w:tcPr>
            <w:tcW w:w="734" w:type="dxa"/>
            <w:tcBorders>
              <w:top w:val="single" w:sz="6" w:space="0" w:color="666666"/>
              <w:left w:val="nil"/>
              <w:bottom w:val="single" w:sz="6" w:space="0" w:color="666666"/>
              <w:right w:val="nil"/>
            </w:tcBorders>
            <w:shd w:val="clear" w:color="auto" w:fill="auto"/>
            <w:hideMark/>
          </w:tcPr>
          <w:p w14:paraId="0F7A55E2" w14:textId="7ECCF93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101</w:t>
            </w:r>
          </w:p>
        </w:tc>
        <w:tc>
          <w:tcPr>
            <w:tcW w:w="734" w:type="dxa"/>
            <w:tcBorders>
              <w:top w:val="single" w:sz="6" w:space="0" w:color="666666"/>
              <w:left w:val="nil"/>
              <w:bottom w:val="single" w:sz="6" w:space="0" w:color="666666"/>
              <w:right w:val="nil"/>
            </w:tcBorders>
            <w:shd w:val="clear" w:color="auto" w:fill="auto"/>
            <w:hideMark/>
          </w:tcPr>
          <w:p w14:paraId="633D859B" w14:textId="70ECFBA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68</w:t>
            </w:r>
          </w:p>
        </w:tc>
        <w:tc>
          <w:tcPr>
            <w:tcW w:w="728" w:type="dxa"/>
            <w:tcBorders>
              <w:top w:val="single" w:sz="6" w:space="0" w:color="666666"/>
              <w:left w:val="nil"/>
              <w:bottom w:val="single" w:sz="6" w:space="0" w:color="666666"/>
              <w:right w:val="nil"/>
            </w:tcBorders>
            <w:shd w:val="clear" w:color="auto" w:fill="auto"/>
            <w:hideMark/>
          </w:tcPr>
          <w:p w14:paraId="4A3B8897" w14:textId="5547186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41</w:t>
            </w:r>
          </w:p>
        </w:tc>
        <w:tc>
          <w:tcPr>
            <w:tcW w:w="728" w:type="dxa"/>
            <w:tcBorders>
              <w:top w:val="single" w:sz="6" w:space="0" w:color="666666"/>
              <w:left w:val="nil"/>
              <w:bottom w:val="single" w:sz="6" w:space="0" w:color="666666"/>
              <w:right w:val="nil"/>
            </w:tcBorders>
            <w:shd w:val="clear" w:color="auto" w:fill="auto"/>
            <w:hideMark/>
          </w:tcPr>
          <w:p w14:paraId="68F3D74E" w14:textId="01722A8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23</w:t>
            </w:r>
          </w:p>
        </w:tc>
        <w:tc>
          <w:tcPr>
            <w:tcW w:w="735" w:type="dxa"/>
            <w:tcBorders>
              <w:top w:val="single" w:sz="6" w:space="0" w:color="666666"/>
              <w:left w:val="nil"/>
              <w:bottom w:val="single" w:sz="6" w:space="0" w:color="666666"/>
              <w:right w:val="nil"/>
            </w:tcBorders>
            <w:shd w:val="clear" w:color="auto" w:fill="auto"/>
            <w:hideMark/>
          </w:tcPr>
          <w:p w14:paraId="6D97ABFE" w14:textId="79D68EA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60</w:t>
            </w:r>
          </w:p>
        </w:tc>
        <w:tc>
          <w:tcPr>
            <w:tcW w:w="750" w:type="dxa"/>
            <w:tcBorders>
              <w:top w:val="single" w:sz="6" w:space="0" w:color="666666"/>
              <w:left w:val="nil"/>
              <w:bottom w:val="single" w:sz="6" w:space="0" w:color="666666"/>
              <w:right w:val="nil"/>
            </w:tcBorders>
            <w:shd w:val="clear" w:color="auto" w:fill="auto"/>
            <w:hideMark/>
          </w:tcPr>
          <w:p w14:paraId="6EAE1540" w14:textId="2B894A6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2864</w:t>
            </w:r>
          </w:p>
        </w:tc>
      </w:tr>
      <w:tr w:rsidR="00C91EDD" w:rsidRPr="002919B7" w14:paraId="0038E76B" w14:textId="77777777" w:rsidTr="002919B7">
        <w:trPr>
          <w:trHeight w:val="270"/>
        </w:trPr>
        <w:tc>
          <w:tcPr>
            <w:tcW w:w="740" w:type="dxa"/>
            <w:tcBorders>
              <w:top w:val="single" w:sz="6" w:space="0" w:color="666666"/>
              <w:left w:val="nil"/>
              <w:bottom w:val="single" w:sz="6" w:space="0" w:color="666666"/>
              <w:right w:val="nil"/>
            </w:tcBorders>
            <w:shd w:val="clear" w:color="auto" w:fill="CCCCCC"/>
            <w:hideMark/>
          </w:tcPr>
          <w:p w14:paraId="5F68FFE0" w14:textId="19D65EC7"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15</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16 </w:t>
            </w:r>
          </w:p>
        </w:tc>
        <w:tc>
          <w:tcPr>
            <w:tcW w:w="727" w:type="dxa"/>
            <w:tcBorders>
              <w:top w:val="single" w:sz="6" w:space="0" w:color="666666"/>
              <w:left w:val="nil"/>
              <w:bottom w:val="single" w:sz="6" w:space="0" w:color="666666"/>
              <w:right w:val="nil"/>
            </w:tcBorders>
            <w:shd w:val="clear" w:color="auto" w:fill="CCCCCC"/>
            <w:hideMark/>
          </w:tcPr>
          <w:p w14:paraId="5A2D1BC6" w14:textId="6114800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98</w:t>
            </w:r>
          </w:p>
        </w:tc>
        <w:tc>
          <w:tcPr>
            <w:tcW w:w="728" w:type="dxa"/>
            <w:tcBorders>
              <w:top w:val="single" w:sz="6" w:space="0" w:color="666666"/>
              <w:left w:val="nil"/>
              <w:bottom w:val="single" w:sz="6" w:space="0" w:color="666666"/>
              <w:right w:val="nil"/>
            </w:tcBorders>
            <w:shd w:val="clear" w:color="auto" w:fill="CCCCCC"/>
            <w:hideMark/>
          </w:tcPr>
          <w:p w14:paraId="0F8F6E3F" w14:textId="756CFDA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w:t>
            </w:r>
          </w:p>
        </w:tc>
        <w:tc>
          <w:tcPr>
            <w:tcW w:w="734" w:type="dxa"/>
            <w:tcBorders>
              <w:top w:val="single" w:sz="6" w:space="0" w:color="666666"/>
              <w:left w:val="nil"/>
              <w:bottom w:val="single" w:sz="6" w:space="0" w:color="666666"/>
              <w:right w:val="nil"/>
            </w:tcBorders>
            <w:shd w:val="clear" w:color="auto" w:fill="CCCCCC"/>
            <w:hideMark/>
          </w:tcPr>
          <w:p w14:paraId="0C852F45" w14:textId="26DA1AA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39</w:t>
            </w:r>
          </w:p>
        </w:tc>
        <w:tc>
          <w:tcPr>
            <w:tcW w:w="741" w:type="dxa"/>
            <w:tcBorders>
              <w:top w:val="single" w:sz="6" w:space="0" w:color="666666"/>
              <w:left w:val="nil"/>
              <w:bottom w:val="single" w:sz="6" w:space="0" w:color="666666"/>
              <w:right w:val="nil"/>
            </w:tcBorders>
            <w:shd w:val="clear" w:color="auto" w:fill="CCCCCC"/>
            <w:hideMark/>
          </w:tcPr>
          <w:p w14:paraId="6C732F5F" w14:textId="01F5298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444</w:t>
            </w:r>
          </w:p>
        </w:tc>
        <w:tc>
          <w:tcPr>
            <w:tcW w:w="741" w:type="dxa"/>
            <w:tcBorders>
              <w:top w:val="single" w:sz="6" w:space="0" w:color="666666"/>
              <w:left w:val="nil"/>
              <w:bottom w:val="single" w:sz="6" w:space="0" w:color="666666"/>
              <w:right w:val="nil"/>
            </w:tcBorders>
            <w:shd w:val="clear" w:color="auto" w:fill="CCCCCC"/>
            <w:hideMark/>
          </w:tcPr>
          <w:p w14:paraId="19ED5064" w14:textId="760E4AF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444</w:t>
            </w:r>
          </w:p>
        </w:tc>
        <w:tc>
          <w:tcPr>
            <w:tcW w:w="734" w:type="dxa"/>
            <w:tcBorders>
              <w:top w:val="single" w:sz="6" w:space="0" w:color="666666"/>
              <w:left w:val="nil"/>
              <w:bottom w:val="single" w:sz="6" w:space="0" w:color="666666"/>
              <w:right w:val="nil"/>
            </w:tcBorders>
            <w:shd w:val="clear" w:color="auto" w:fill="CCCCCC"/>
            <w:hideMark/>
          </w:tcPr>
          <w:p w14:paraId="4031CFFD" w14:textId="3701A547"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364</w:t>
            </w:r>
          </w:p>
        </w:tc>
        <w:tc>
          <w:tcPr>
            <w:tcW w:w="734" w:type="dxa"/>
            <w:tcBorders>
              <w:top w:val="single" w:sz="6" w:space="0" w:color="666666"/>
              <w:left w:val="nil"/>
              <w:bottom w:val="single" w:sz="6" w:space="0" w:color="666666"/>
              <w:right w:val="nil"/>
            </w:tcBorders>
            <w:shd w:val="clear" w:color="auto" w:fill="CCCCCC"/>
            <w:hideMark/>
          </w:tcPr>
          <w:p w14:paraId="5204F793" w14:textId="6EADCD2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332</w:t>
            </w:r>
          </w:p>
        </w:tc>
        <w:tc>
          <w:tcPr>
            <w:tcW w:w="734" w:type="dxa"/>
            <w:tcBorders>
              <w:top w:val="single" w:sz="6" w:space="0" w:color="666666"/>
              <w:left w:val="nil"/>
              <w:bottom w:val="single" w:sz="6" w:space="0" w:color="666666"/>
              <w:right w:val="nil"/>
            </w:tcBorders>
            <w:shd w:val="clear" w:color="auto" w:fill="CCCCCC"/>
            <w:hideMark/>
          </w:tcPr>
          <w:p w14:paraId="239A9400" w14:textId="0063B4B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273</w:t>
            </w:r>
          </w:p>
        </w:tc>
        <w:tc>
          <w:tcPr>
            <w:tcW w:w="734" w:type="dxa"/>
            <w:tcBorders>
              <w:top w:val="single" w:sz="6" w:space="0" w:color="666666"/>
              <w:left w:val="nil"/>
              <w:bottom w:val="single" w:sz="6" w:space="0" w:color="666666"/>
              <w:right w:val="nil"/>
            </w:tcBorders>
            <w:shd w:val="clear" w:color="auto" w:fill="CCCCCC"/>
            <w:hideMark/>
          </w:tcPr>
          <w:p w14:paraId="7C2C966B" w14:textId="2007682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270</w:t>
            </w:r>
          </w:p>
        </w:tc>
        <w:tc>
          <w:tcPr>
            <w:tcW w:w="734" w:type="dxa"/>
            <w:tcBorders>
              <w:top w:val="single" w:sz="6" w:space="0" w:color="666666"/>
              <w:left w:val="nil"/>
              <w:bottom w:val="single" w:sz="6" w:space="0" w:color="666666"/>
              <w:right w:val="nil"/>
            </w:tcBorders>
            <w:shd w:val="clear" w:color="auto" w:fill="CCCCCC"/>
            <w:hideMark/>
          </w:tcPr>
          <w:p w14:paraId="55937F94" w14:textId="7287B31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272</w:t>
            </w:r>
          </w:p>
        </w:tc>
        <w:tc>
          <w:tcPr>
            <w:tcW w:w="734" w:type="dxa"/>
            <w:tcBorders>
              <w:top w:val="single" w:sz="6" w:space="0" w:color="666666"/>
              <w:left w:val="nil"/>
              <w:bottom w:val="single" w:sz="6" w:space="0" w:color="666666"/>
              <w:right w:val="nil"/>
            </w:tcBorders>
            <w:shd w:val="clear" w:color="auto" w:fill="CCCCCC"/>
            <w:hideMark/>
          </w:tcPr>
          <w:p w14:paraId="16924296" w14:textId="280E375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222</w:t>
            </w:r>
          </w:p>
        </w:tc>
        <w:tc>
          <w:tcPr>
            <w:tcW w:w="734" w:type="dxa"/>
            <w:tcBorders>
              <w:top w:val="single" w:sz="6" w:space="0" w:color="666666"/>
              <w:left w:val="nil"/>
              <w:bottom w:val="single" w:sz="6" w:space="0" w:color="666666"/>
              <w:right w:val="nil"/>
            </w:tcBorders>
            <w:shd w:val="clear" w:color="auto" w:fill="CCCCCC"/>
            <w:hideMark/>
          </w:tcPr>
          <w:p w14:paraId="0411249A" w14:textId="1CD4871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133</w:t>
            </w:r>
          </w:p>
        </w:tc>
        <w:tc>
          <w:tcPr>
            <w:tcW w:w="734" w:type="dxa"/>
            <w:tcBorders>
              <w:top w:val="single" w:sz="6" w:space="0" w:color="666666"/>
              <w:left w:val="nil"/>
              <w:bottom w:val="single" w:sz="6" w:space="0" w:color="666666"/>
              <w:right w:val="nil"/>
            </w:tcBorders>
            <w:shd w:val="clear" w:color="auto" w:fill="CCCCCC"/>
            <w:hideMark/>
          </w:tcPr>
          <w:p w14:paraId="20B5CC96" w14:textId="7A896CA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102</w:t>
            </w:r>
          </w:p>
        </w:tc>
        <w:tc>
          <w:tcPr>
            <w:tcW w:w="734" w:type="dxa"/>
            <w:tcBorders>
              <w:top w:val="single" w:sz="6" w:space="0" w:color="666666"/>
              <w:left w:val="nil"/>
              <w:bottom w:val="single" w:sz="6" w:space="0" w:color="666666"/>
              <w:right w:val="nil"/>
            </w:tcBorders>
            <w:shd w:val="clear" w:color="auto" w:fill="CCCCCC"/>
            <w:hideMark/>
          </w:tcPr>
          <w:p w14:paraId="79766982" w14:textId="09E6C09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71</w:t>
            </w:r>
          </w:p>
        </w:tc>
        <w:tc>
          <w:tcPr>
            <w:tcW w:w="728" w:type="dxa"/>
            <w:tcBorders>
              <w:top w:val="single" w:sz="6" w:space="0" w:color="666666"/>
              <w:left w:val="nil"/>
              <w:bottom w:val="single" w:sz="6" w:space="0" w:color="666666"/>
              <w:right w:val="nil"/>
            </w:tcBorders>
            <w:shd w:val="clear" w:color="auto" w:fill="CCCCCC"/>
            <w:hideMark/>
          </w:tcPr>
          <w:p w14:paraId="4EBAAA52" w14:textId="1ABACB5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47</w:t>
            </w:r>
          </w:p>
        </w:tc>
        <w:tc>
          <w:tcPr>
            <w:tcW w:w="728" w:type="dxa"/>
            <w:tcBorders>
              <w:top w:val="single" w:sz="6" w:space="0" w:color="666666"/>
              <w:left w:val="nil"/>
              <w:bottom w:val="single" w:sz="6" w:space="0" w:color="666666"/>
              <w:right w:val="nil"/>
            </w:tcBorders>
            <w:shd w:val="clear" w:color="auto" w:fill="CCCCCC"/>
            <w:hideMark/>
          </w:tcPr>
          <w:p w14:paraId="6A24DCA2" w14:textId="49C7D69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39</w:t>
            </w:r>
          </w:p>
        </w:tc>
        <w:tc>
          <w:tcPr>
            <w:tcW w:w="735" w:type="dxa"/>
            <w:tcBorders>
              <w:top w:val="single" w:sz="6" w:space="0" w:color="666666"/>
              <w:left w:val="nil"/>
              <w:bottom w:val="single" w:sz="6" w:space="0" w:color="666666"/>
              <w:right w:val="nil"/>
            </w:tcBorders>
            <w:shd w:val="clear" w:color="auto" w:fill="CCCCCC"/>
            <w:hideMark/>
          </w:tcPr>
          <w:p w14:paraId="233132AE" w14:textId="3DA3B48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71</w:t>
            </w:r>
          </w:p>
        </w:tc>
        <w:tc>
          <w:tcPr>
            <w:tcW w:w="750" w:type="dxa"/>
            <w:tcBorders>
              <w:top w:val="single" w:sz="6" w:space="0" w:color="666666"/>
              <w:left w:val="nil"/>
              <w:bottom w:val="single" w:sz="6" w:space="0" w:color="666666"/>
              <w:right w:val="nil"/>
            </w:tcBorders>
            <w:shd w:val="clear" w:color="auto" w:fill="CCCCCC"/>
            <w:hideMark/>
          </w:tcPr>
          <w:p w14:paraId="31721268" w14:textId="0E6F01F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3231</w:t>
            </w:r>
          </w:p>
        </w:tc>
      </w:tr>
      <w:tr w:rsidR="00C91EDD" w:rsidRPr="002919B7" w14:paraId="5D5286BE"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221299DD" w14:textId="7B5AB058"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16</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17 </w:t>
            </w:r>
          </w:p>
        </w:tc>
        <w:tc>
          <w:tcPr>
            <w:tcW w:w="727" w:type="dxa"/>
            <w:tcBorders>
              <w:top w:val="single" w:sz="6" w:space="0" w:color="666666"/>
              <w:left w:val="nil"/>
              <w:bottom w:val="single" w:sz="6" w:space="0" w:color="666666"/>
              <w:right w:val="nil"/>
            </w:tcBorders>
            <w:shd w:val="clear" w:color="auto" w:fill="auto"/>
            <w:hideMark/>
          </w:tcPr>
          <w:p w14:paraId="3EA56A49" w14:textId="08F36B2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106</w:t>
            </w:r>
          </w:p>
        </w:tc>
        <w:tc>
          <w:tcPr>
            <w:tcW w:w="728" w:type="dxa"/>
            <w:tcBorders>
              <w:top w:val="single" w:sz="6" w:space="0" w:color="666666"/>
              <w:left w:val="nil"/>
              <w:bottom w:val="single" w:sz="6" w:space="0" w:color="666666"/>
              <w:right w:val="nil"/>
            </w:tcBorders>
            <w:shd w:val="clear" w:color="auto" w:fill="auto"/>
            <w:hideMark/>
          </w:tcPr>
          <w:p w14:paraId="6AEB40D1" w14:textId="49228E3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w:t>
            </w:r>
          </w:p>
        </w:tc>
        <w:tc>
          <w:tcPr>
            <w:tcW w:w="734" w:type="dxa"/>
            <w:tcBorders>
              <w:top w:val="single" w:sz="6" w:space="0" w:color="666666"/>
              <w:left w:val="nil"/>
              <w:bottom w:val="single" w:sz="6" w:space="0" w:color="666666"/>
              <w:right w:val="nil"/>
            </w:tcBorders>
            <w:shd w:val="clear" w:color="auto" w:fill="auto"/>
            <w:hideMark/>
          </w:tcPr>
          <w:p w14:paraId="5E228B02" w14:textId="1E7ABC2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55</w:t>
            </w:r>
          </w:p>
        </w:tc>
        <w:tc>
          <w:tcPr>
            <w:tcW w:w="741" w:type="dxa"/>
            <w:tcBorders>
              <w:top w:val="single" w:sz="6" w:space="0" w:color="666666"/>
              <w:left w:val="nil"/>
              <w:bottom w:val="single" w:sz="6" w:space="0" w:color="666666"/>
              <w:right w:val="nil"/>
            </w:tcBorders>
            <w:shd w:val="clear" w:color="auto" w:fill="auto"/>
            <w:hideMark/>
          </w:tcPr>
          <w:p w14:paraId="6E3BB9F2" w14:textId="2CABEBE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503</w:t>
            </w:r>
          </w:p>
        </w:tc>
        <w:tc>
          <w:tcPr>
            <w:tcW w:w="741" w:type="dxa"/>
            <w:tcBorders>
              <w:top w:val="single" w:sz="6" w:space="0" w:color="666666"/>
              <w:left w:val="nil"/>
              <w:bottom w:val="single" w:sz="6" w:space="0" w:color="666666"/>
              <w:right w:val="nil"/>
            </w:tcBorders>
            <w:shd w:val="clear" w:color="auto" w:fill="auto"/>
            <w:hideMark/>
          </w:tcPr>
          <w:p w14:paraId="04595A2D" w14:textId="6D6CD44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464</w:t>
            </w:r>
          </w:p>
        </w:tc>
        <w:tc>
          <w:tcPr>
            <w:tcW w:w="734" w:type="dxa"/>
            <w:tcBorders>
              <w:top w:val="single" w:sz="6" w:space="0" w:color="666666"/>
              <w:left w:val="nil"/>
              <w:bottom w:val="single" w:sz="6" w:space="0" w:color="666666"/>
              <w:right w:val="nil"/>
            </w:tcBorders>
            <w:shd w:val="clear" w:color="auto" w:fill="auto"/>
            <w:hideMark/>
          </w:tcPr>
          <w:p w14:paraId="72E51B21" w14:textId="470AC04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356</w:t>
            </w:r>
          </w:p>
        </w:tc>
        <w:tc>
          <w:tcPr>
            <w:tcW w:w="734" w:type="dxa"/>
            <w:tcBorders>
              <w:top w:val="single" w:sz="6" w:space="0" w:color="666666"/>
              <w:left w:val="nil"/>
              <w:bottom w:val="single" w:sz="6" w:space="0" w:color="666666"/>
              <w:right w:val="nil"/>
            </w:tcBorders>
            <w:shd w:val="clear" w:color="auto" w:fill="auto"/>
            <w:hideMark/>
          </w:tcPr>
          <w:p w14:paraId="5A4EB653" w14:textId="590CD28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308</w:t>
            </w:r>
          </w:p>
        </w:tc>
        <w:tc>
          <w:tcPr>
            <w:tcW w:w="734" w:type="dxa"/>
            <w:tcBorders>
              <w:top w:val="single" w:sz="6" w:space="0" w:color="666666"/>
              <w:left w:val="nil"/>
              <w:bottom w:val="single" w:sz="6" w:space="0" w:color="666666"/>
              <w:right w:val="nil"/>
            </w:tcBorders>
            <w:shd w:val="clear" w:color="auto" w:fill="auto"/>
            <w:hideMark/>
          </w:tcPr>
          <w:p w14:paraId="18B57961" w14:textId="15BDF1B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272</w:t>
            </w:r>
          </w:p>
        </w:tc>
        <w:tc>
          <w:tcPr>
            <w:tcW w:w="734" w:type="dxa"/>
            <w:tcBorders>
              <w:top w:val="single" w:sz="6" w:space="0" w:color="666666"/>
              <w:left w:val="nil"/>
              <w:bottom w:val="single" w:sz="6" w:space="0" w:color="666666"/>
              <w:right w:val="nil"/>
            </w:tcBorders>
            <w:shd w:val="clear" w:color="auto" w:fill="auto"/>
            <w:hideMark/>
          </w:tcPr>
          <w:p w14:paraId="04FE2EF2" w14:textId="0218F92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249</w:t>
            </w:r>
          </w:p>
        </w:tc>
        <w:tc>
          <w:tcPr>
            <w:tcW w:w="734" w:type="dxa"/>
            <w:tcBorders>
              <w:top w:val="single" w:sz="6" w:space="0" w:color="666666"/>
              <w:left w:val="nil"/>
              <w:bottom w:val="single" w:sz="6" w:space="0" w:color="666666"/>
              <w:right w:val="nil"/>
            </w:tcBorders>
            <w:shd w:val="clear" w:color="auto" w:fill="auto"/>
            <w:hideMark/>
          </w:tcPr>
          <w:p w14:paraId="265BAFF0" w14:textId="6C3C6FF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258</w:t>
            </w:r>
          </w:p>
        </w:tc>
        <w:tc>
          <w:tcPr>
            <w:tcW w:w="734" w:type="dxa"/>
            <w:tcBorders>
              <w:top w:val="single" w:sz="6" w:space="0" w:color="666666"/>
              <w:left w:val="nil"/>
              <w:bottom w:val="single" w:sz="6" w:space="0" w:color="666666"/>
              <w:right w:val="nil"/>
            </w:tcBorders>
            <w:shd w:val="clear" w:color="auto" w:fill="auto"/>
            <w:hideMark/>
          </w:tcPr>
          <w:p w14:paraId="2679629B" w14:textId="6575CE4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225</w:t>
            </w:r>
          </w:p>
        </w:tc>
        <w:tc>
          <w:tcPr>
            <w:tcW w:w="734" w:type="dxa"/>
            <w:tcBorders>
              <w:top w:val="single" w:sz="6" w:space="0" w:color="666666"/>
              <w:left w:val="nil"/>
              <w:bottom w:val="single" w:sz="6" w:space="0" w:color="666666"/>
              <w:right w:val="nil"/>
            </w:tcBorders>
            <w:shd w:val="clear" w:color="auto" w:fill="auto"/>
            <w:hideMark/>
          </w:tcPr>
          <w:p w14:paraId="19C894AD" w14:textId="523279D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135</w:t>
            </w:r>
          </w:p>
        </w:tc>
        <w:tc>
          <w:tcPr>
            <w:tcW w:w="734" w:type="dxa"/>
            <w:tcBorders>
              <w:top w:val="single" w:sz="6" w:space="0" w:color="666666"/>
              <w:left w:val="nil"/>
              <w:bottom w:val="single" w:sz="6" w:space="0" w:color="666666"/>
              <w:right w:val="nil"/>
            </w:tcBorders>
            <w:shd w:val="clear" w:color="auto" w:fill="auto"/>
            <w:hideMark/>
          </w:tcPr>
          <w:p w14:paraId="3EFC6573" w14:textId="583EA16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117</w:t>
            </w:r>
          </w:p>
        </w:tc>
        <w:tc>
          <w:tcPr>
            <w:tcW w:w="734" w:type="dxa"/>
            <w:tcBorders>
              <w:top w:val="single" w:sz="6" w:space="0" w:color="666666"/>
              <w:left w:val="nil"/>
              <w:bottom w:val="single" w:sz="6" w:space="0" w:color="666666"/>
              <w:right w:val="nil"/>
            </w:tcBorders>
            <w:shd w:val="clear" w:color="auto" w:fill="auto"/>
            <w:hideMark/>
          </w:tcPr>
          <w:p w14:paraId="73CCB3E2" w14:textId="2962351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84</w:t>
            </w:r>
          </w:p>
        </w:tc>
        <w:tc>
          <w:tcPr>
            <w:tcW w:w="728" w:type="dxa"/>
            <w:tcBorders>
              <w:top w:val="single" w:sz="6" w:space="0" w:color="666666"/>
              <w:left w:val="nil"/>
              <w:bottom w:val="single" w:sz="6" w:space="0" w:color="666666"/>
              <w:right w:val="nil"/>
            </w:tcBorders>
            <w:shd w:val="clear" w:color="auto" w:fill="auto"/>
            <w:hideMark/>
          </w:tcPr>
          <w:p w14:paraId="0F1DCD68" w14:textId="50FDF53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53</w:t>
            </w:r>
          </w:p>
        </w:tc>
        <w:tc>
          <w:tcPr>
            <w:tcW w:w="728" w:type="dxa"/>
            <w:tcBorders>
              <w:top w:val="single" w:sz="6" w:space="0" w:color="666666"/>
              <w:left w:val="nil"/>
              <w:bottom w:val="single" w:sz="6" w:space="0" w:color="666666"/>
              <w:right w:val="nil"/>
            </w:tcBorders>
            <w:shd w:val="clear" w:color="auto" w:fill="auto"/>
            <w:hideMark/>
          </w:tcPr>
          <w:p w14:paraId="055DBC44" w14:textId="1DCF5AE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34</w:t>
            </w:r>
          </w:p>
        </w:tc>
        <w:tc>
          <w:tcPr>
            <w:tcW w:w="735" w:type="dxa"/>
            <w:tcBorders>
              <w:top w:val="single" w:sz="6" w:space="0" w:color="666666"/>
              <w:left w:val="nil"/>
              <w:bottom w:val="single" w:sz="6" w:space="0" w:color="666666"/>
              <w:right w:val="nil"/>
            </w:tcBorders>
            <w:shd w:val="clear" w:color="auto" w:fill="auto"/>
            <w:hideMark/>
          </w:tcPr>
          <w:p w14:paraId="780C39FE" w14:textId="43D4A35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76</w:t>
            </w:r>
          </w:p>
        </w:tc>
        <w:tc>
          <w:tcPr>
            <w:tcW w:w="750" w:type="dxa"/>
            <w:tcBorders>
              <w:top w:val="single" w:sz="6" w:space="0" w:color="666666"/>
              <w:left w:val="nil"/>
              <w:bottom w:val="single" w:sz="6" w:space="0" w:color="666666"/>
              <w:right w:val="nil"/>
            </w:tcBorders>
            <w:shd w:val="clear" w:color="auto" w:fill="auto"/>
            <w:hideMark/>
          </w:tcPr>
          <w:p w14:paraId="0819B572" w14:textId="0956691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3300</w:t>
            </w:r>
          </w:p>
        </w:tc>
      </w:tr>
      <w:tr w:rsidR="00C91EDD" w:rsidRPr="002919B7" w14:paraId="7230B01B" w14:textId="77777777" w:rsidTr="002919B7">
        <w:trPr>
          <w:trHeight w:val="270"/>
        </w:trPr>
        <w:tc>
          <w:tcPr>
            <w:tcW w:w="740" w:type="dxa"/>
            <w:tcBorders>
              <w:top w:val="single" w:sz="6" w:space="0" w:color="666666"/>
              <w:left w:val="nil"/>
              <w:bottom w:val="single" w:sz="6" w:space="0" w:color="666666"/>
              <w:right w:val="nil"/>
            </w:tcBorders>
            <w:shd w:val="clear" w:color="auto" w:fill="CCCCCC"/>
            <w:hideMark/>
          </w:tcPr>
          <w:p w14:paraId="420806EF" w14:textId="720F4A01"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17</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18 </w:t>
            </w:r>
          </w:p>
        </w:tc>
        <w:tc>
          <w:tcPr>
            <w:tcW w:w="727" w:type="dxa"/>
            <w:tcBorders>
              <w:top w:val="single" w:sz="6" w:space="0" w:color="666666"/>
              <w:left w:val="nil"/>
              <w:bottom w:val="single" w:sz="6" w:space="0" w:color="666666"/>
              <w:right w:val="nil"/>
            </w:tcBorders>
            <w:shd w:val="clear" w:color="auto" w:fill="CCCCCC"/>
            <w:hideMark/>
          </w:tcPr>
          <w:p w14:paraId="48FEC57B" w14:textId="3C0DE10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102</w:t>
            </w:r>
          </w:p>
        </w:tc>
        <w:tc>
          <w:tcPr>
            <w:tcW w:w="728" w:type="dxa"/>
            <w:tcBorders>
              <w:top w:val="single" w:sz="6" w:space="0" w:color="666666"/>
              <w:left w:val="nil"/>
              <w:bottom w:val="single" w:sz="6" w:space="0" w:color="666666"/>
              <w:right w:val="nil"/>
            </w:tcBorders>
            <w:shd w:val="clear" w:color="auto" w:fill="CCCCCC"/>
            <w:hideMark/>
          </w:tcPr>
          <w:p w14:paraId="70EAE489" w14:textId="5640299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w:t>
            </w:r>
          </w:p>
        </w:tc>
        <w:tc>
          <w:tcPr>
            <w:tcW w:w="734" w:type="dxa"/>
            <w:tcBorders>
              <w:top w:val="single" w:sz="6" w:space="0" w:color="666666"/>
              <w:left w:val="nil"/>
              <w:bottom w:val="single" w:sz="6" w:space="0" w:color="666666"/>
              <w:right w:val="nil"/>
            </w:tcBorders>
            <w:shd w:val="clear" w:color="auto" w:fill="CCCCCC"/>
            <w:hideMark/>
          </w:tcPr>
          <w:p w14:paraId="7E4E4856" w14:textId="076DA08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42</w:t>
            </w:r>
          </w:p>
        </w:tc>
        <w:tc>
          <w:tcPr>
            <w:tcW w:w="741" w:type="dxa"/>
            <w:tcBorders>
              <w:top w:val="single" w:sz="6" w:space="0" w:color="666666"/>
              <w:left w:val="nil"/>
              <w:bottom w:val="single" w:sz="6" w:space="0" w:color="666666"/>
              <w:right w:val="nil"/>
            </w:tcBorders>
            <w:shd w:val="clear" w:color="auto" w:fill="CCCCCC"/>
            <w:hideMark/>
          </w:tcPr>
          <w:p w14:paraId="1C3A1317" w14:textId="0E8C92F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508</w:t>
            </w:r>
          </w:p>
        </w:tc>
        <w:tc>
          <w:tcPr>
            <w:tcW w:w="741" w:type="dxa"/>
            <w:tcBorders>
              <w:top w:val="single" w:sz="6" w:space="0" w:color="666666"/>
              <w:left w:val="nil"/>
              <w:bottom w:val="single" w:sz="6" w:space="0" w:color="666666"/>
              <w:right w:val="nil"/>
            </w:tcBorders>
            <w:shd w:val="clear" w:color="auto" w:fill="CCCCCC"/>
            <w:hideMark/>
          </w:tcPr>
          <w:p w14:paraId="7AFB18F7" w14:textId="0530DDF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382</w:t>
            </w:r>
          </w:p>
        </w:tc>
        <w:tc>
          <w:tcPr>
            <w:tcW w:w="734" w:type="dxa"/>
            <w:tcBorders>
              <w:top w:val="single" w:sz="6" w:space="0" w:color="666666"/>
              <w:left w:val="nil"/>
              <w:bottom w:val="single" w:sz="6" w:space="0" w:color="666666"/>
              <w:right w:val="nil"/>
            </w:tcBorders>
            <w:shd w:val="clear" w:color="auto" w:fill="CCCCCC"/>
            <w:hideMark/>
          </w:tcPr>
          <w:p w14:paraId="0DF9C41A" w14:textId="737F310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310</w:t>
            </w:r>
          </w:p>
        </w:tc>
        <w:tc>
          <w:tcPr>
            <w:tcW w:w="734" w:type="dxa"/>
            <w:tcBorders>
              <w:top w:val="single" w:sz="6" w:space="0" w:color="666666"/>
              <w:left w:val="nil"/>
              <w:bottom w:val="single" w:sz="6" w:space="0" w:color="666666"/>
              <w:right w:val="nil"/>
            </w:tcBorders>
            <w:shd w:val="clear" w:color="auto" w:fill="CCCCCC"/>
            <w:hideMark/>
          </w:tcPr>
          <w:p w14:paraId="41E4E366" w14:textId="4007096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260</w:t>
            </w:r>
          </w:p>
        </w:tc>
        <w:tc>
          <w:tcPr>
            <w:tcW w:w="734" w:type="dxa"/>
            <w:tcBorders>
              <w:top w:val="single" w:sz="6" w:space="0" w:color="666666"/>
              <w:left w:val="nil"/>
              <w:bottom w:val="single" w:sz="6" w:space="0" w:color="666666"/>
              <w:right w:val="nil"/>
            </w:tcBorders>
            <w:shd w:val="clear" w:color="auto" w:fill="CCCCCC"/>
            <w:hideMark/>
          </w:tcPr>
          <w:p w14:paraId="04F4A49D" w14:textId="7F292A4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241</w:t>
            </w:r>
          </w:p>
        </w:tc>
        <w:tc>
          <w:tcPr>
            <w:tcW w:w="734" w:type="dxa"/>
            <w:tcBorders>
              <w:top w:val="single" w:sz="6" w:space="0" w:color="666666"/>
              <w:left w:val="nil"/>
              <w:bottom w:val="single" w:sz="6" w:space="0" w:color="666666"/>
              <w:right w:val="nil"/>
            </w:tcBorders>
            <w:shd w:val="clear" w:color="auto" w:fill="CCCCCC"/>
            <w:hideMark/>
          </w:tcPr>
          <w:p w14:paraId="385BC55F" w14:textId="1E3FA5A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194</w:t>
            </w:r>
          </w:p>
        </w:tc>
        <w:tc>
          <w:tcPr>
            <w:tcW w:w="734" w:type="dxa"/>
            <w:tcBorders>
              <w:top w:val="single" w:sz="6" w:space="0" w:color="666666"/>
              <w:left w:val="nil"/>
              <w:bottom w:val="single" w:sz="6" w:space="0" w:color="666666"/>
              <w:right w:val="nil"/>
            </w:tcBorders>
            <w:shd w:val="clear" w:color="auto" w:fill="CCCCCC"/>
            <w:hideMark/>
          </w:tcPr>
          <w:p w14:paraId="33AF990A" w14:textId="7B434BC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221</w:t>
            </w:r>
          </w:p>
        </w:tc>
        <w:tc>
          <w:tcPr>
            <w:tcW w:w="734" w:type="dxa"/>
            <w:tcBorders>
              <w:top w:val="single" w:sz="6" w:space="0" w:color="666666"/>
              <w:left w:val="nil"/>
              <w:bottom w:val="single" w:sz="6" w:space="0" w:color="666666"/>
              <w:right w:val="nil"/>
            </w:tcBorders>
            <w:shd w:val="clear" w:color="auto" w:fill="CCCCCC"/>
            <w:hideMark/>
          </w:tcPr>
          <w:p w14:paraId="728EF211" w14:textId="2E6B31F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169</w:t>
            </w:r>
          </w:p>
        </w:tc>
        <w:tc>
          <w:tcPr>
            <w:tcW w:w="734" w:type="dxa"/>
            <w:tcBorders>
              <w:top w:val="single" w:sz="6" w:space="0" w:color="666666"/>
              <w:left w:val="nil"/>
              <w:bottom w:val="single" w:sz="6" w:space="0" w:color="666666"/>
              <w:right w:val="nil"/>
            </w:tcBorders>
            <w:shd w:val="clear" w:color="auto" w:fill="CCCCCC"/>
            <w:hideMark/>
          </w:tcPr>
          <w:p w14:paraId="70E9636B" w14:textId="1CF09C8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137</w:t>
            </w:r>
          </w:p>
        </w:tc>
        <w:tc>
          <w:tcPr>
            <w:tcW w:w="734" w:type="dxa"/>
            <w:tcBorders>
              <w:top w:val="single" w:sz="6" w:space="0" w:color="666666"/>
              <w:left w:val="nil"/>
              <w:bottom w:val="single" w:sz="6" w:space="0" w:color="666666"/>
              <w:right w:val="nil"/>
            </w:tcBorders>
            <w:shd w:val="clear" w:color="auto" w:fill="CCCCCC"/>
            <w:hideMark/>
          </w:tcPr>
          <w:p w14:paraId="4497F9C8" w14:textId="29DDD590"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84</w:t>
            </w:r>
          </w:p>
        </w:tc>
        <w:tc>
          <w:tcPr>
            <w:tcW w:w="734" w:type="dxa"/>
            <w:tcBorders>
              <w:top w:val="single" w:sz="6" w:space="0" w:color="666666"/>
              <w:left w:val="nil"/>
              <w:bottom w:val="single" w:sz="6" w:space="0" w:color="666666"/>
              <w:right w:val="nil"/>
            </w:tcBorders>
            <w:shd w:val="clear" w:color="auto" w:fill="CCCCCC"/>
            <w:hideMark/>
          </w:tcPr>
          <w:p w14:paraId="15563584" w14:textId="20509FA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60</w:t>
            </w:r>
          </w:p>
        </w:tc>
        <w:tc>
          <w:tcPr>
            <w:tcW w:w="728" w:type="dxa"/>
            <w:tcBorders>
              <w:top w:val="single" w:sz="6" w:space="0" w:color="666666"/>
              <w:left w:val="nil"/>
              <w:bottom w:val="single" w:sz="6" w:space="0" w:color="666666"/>
              <w:right w:val="nil"/>
            </w:tcBorders>
            <w:shd w:val="clear" w:color="auto" w:fill="CCCCCC"/>
            <w:hideMark/>
          </w:tcPr>
          <w:p w14:paraId="274FC3D9" w14:textId="79AA78D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53</w:t>
            </w:r>
          </w:p>
        </w:tc>
        <w:tc>
          <w:tcPr>
            <w:tcW w:w="728" w:type="dxa"/>
            <w:tcBorders>
              <w:top w:val="single" w:sz="6" w:space="0" w:color="666666"/>
              <w:left w:val="nil"/>
              <w:bottom w:val="single" w:sz="6" w:space="0" w:color="666666"/>
              <w:right w:val="nil"/>
            </w:tcBorders>
            <w:shd w:val="clear" w:color="auto" w:fill="CCCCCC"/>
            <w:hideMark/>
          </w:tcPr>
          <w:p w14:paraId="3A192CD5" w14:textId="73E8126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29</w:t>
            </w:r>
          </w:p>
        </w:tc>
        <w:tc>
          <w:tcPr>
            <w:tcW w:w="735" w:type="dxa"/>
            <w:tcBorders>
              <w:top w:val="single" w:sz="6" w:space="0" w:color="666666"/>
              <w:left w:val="nil"/>
              <w:bottom w:val="single" w:sz="6" w:space="0" w:color="666666"/>
              <w:right w:val="nil"/>
            </w:tcBorders>
            <w:shd w:val="clear" w:color="auto" w:fill="CCCCCC"/>
            <w:hideMark/>
          </w:tcPr>
          <w:p w14:paraId="72D9A86A" w14:textId="1090543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74</w:t>
            </w:r>
          </w:p>
        </w:tc>
        <w:tc>
          <w:tcPr>
            <w:tcW w:w="750" w:type="dxa"/>
            <w:tcBorders>
              <w:top w:val="single" w:sz="6" w:space="0" w:color="666666"/>
              <w:left w:val="nil"/>
              <w:bottom w:val="single" w:sz="6" w:space="0" w:color="666666"/>
              <w:right w:val="nil"/>
            </w:tcBorders>
            <w:shd w:val="clear" w:color="auto" w:fill="CCCCCC"/>
            <w:hideMark/>
          </w:tcPr>
          <w:p w14:paraId="231EDDD3" w14:textId="5846495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2872</w:t>
            </w:r>
          </w:p>
        </w:tc>
      </w:tr>
      <w:tr w:rsidR="00C91EDD" w:rsidRPr="002919B7" w14:paraId="0AAC8944" w14:textId="77777777" w:rsidTr="002919B7">
        <w:trPr>
          <w:trHeight w:val="270"/>
        </w:trPr>
        <w:tc>
          <w:tcPr>
            <w:tcW w:w="740" w:type="dxa"/>
            <w:tcBorders>
              <w:top w:val="single" w:sz="6" w:space="0" w:color="666666"/>
              <w:left w:val="nil"/>
              <w:bottom w:val="single" w:sz="6" w:space="0" w:color="666666"/>
              <w:right w:val="nil"/>
            </w:tcBorders>
            <w:shd w:val="clear" w:color="auto" w:fill="auto"/>
            <w:hideMark/>
          </w:tcPr>
          <w:p w14:paraId="50E0EE73" w14:textId="70C30DE6"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18</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19 </w:t>
            </w:r>
          </w:p>
        </w:tc>
        <w:tc>
          <w:tcPr>
            <w:tcW w:w="727" w:type="dxa"/>
            <w:tcBorders>
              <w:top w:val="single" w:sz="6" w:space="0" w:color="666666"/>
              <w:left w:val="nil"/>
              <w:bottom w:val="single" w:sz="6" w:space="0" w:color="666666"/>
              <w:right w:val="nil"/>
            </w:tcBorders>
            <w:shd w:val="clear" w:color="auto" w:fill="auto"/>
            <w:hideMark/>
          </w:tcPr>
          <w:p w14:paraId="60288851" w14:textId="082BB5B1"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93</w:t>
            </w:r>
          </w:p>
        </w:tc>
        <w:tc>
          <w:tcPr>
            <w:tcW w:w="728" w:type="dxa"/>
            <w:tcBorders>
              <w:top w:val="single" w:sz="6" w:space="0" w:color="666666"/>
              <w:left w:val="nil"/>
              <w:bottom w:val="single" w:sz="6" w:space="0" w:color="666666"/>
              <w:right w:val="nil"/>
            </w:tcBorders>
            <w:shd w:val="clear" w:color="auto" w:fill="auto"/>
            <w:hideMark/>
          </w:tcPr>
          <w:p w14:paraId="0E0283C4" w14:textId="0730FAA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w:t>
            </w:r>
          </w:p>
        </w:tc>
        <w:tc>
          <w:tcPr>
            <w:tcW w:w="734" w:type="dxa"/>
            <w:tcBorders>
              <w:top w:val="single" w:sz="6" w:space="0" w:color="666666"/>
              <w:left w:val="nil"/>
              <w:bottom w:val="single" w:sz="6" w:space="0" w:color="666666"/>
              <w:right w:val="nil"/>
            </w:tcBorders>
            <w:shd w:val="clear" w:color="auto" w:fill="auto"/>
            <w:hideMark/>
          </w:tcPr>
          <w:p w14:paraId="11859EBE" w14:textId="0F81B44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45</w:t>
            </w:r>
          </w:p>
        </w:tc>
        <w:tc>
          <w:tcPr>
            <w:tcW w:w="741" w:type="dxa"/>
            <w:tcBorders>
              <w:top w:val="single" w:sz="6" w:space="0" w:color="666666"/>
              <w:left w:val="nil"/>
              <w:bottom w:val="single" w:sz="6" w:space="0" w:color="666666"/>
              <w:right w:val="nil"/>
            </w:tcBorders>
            <w:shd w:val="clear" w:color="auto" w:fill="auto"/>
            <w:hideMark/>
          </w:tcPr>
          <w:p w14:paraId="4E279CC4" w14:textId="1FFD485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392</w:t>
            </w:r>
          </w:p>
        </w:tc>
        <w:tc>
          <w:tcPr>
            <w:tcW w:w="741" w:type="dxa"/>
            <w:tcBorders>
              <w:top w:val="single" w:sz="6" w:space="0" w:color="666666"/>
              <w:left w:val="nil"/>
              <w:bottom w:val="single" w:sz="6" w:space="0" w:color="666666"/>
              <w:right w:val="nil"/>
            </w:tcBorders>
            <w:shd w:val="clear" w:color="auto" w:fill="auto"/>
            <w:hideMark/>
          </w:tcPr>
          <w:p w14:paraId="60B5D874" w14:textId="43EEBF7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345</w:t>
            </w:r>
          </w:p>
        </w:tc>
        <w:tc>
          <w:tcPr>
            <w:tcW w:w="734" w:type="dxa"/>
            <w:tcBorders>
              <w:top w:val="single" w:sz="6" w:space="0" w:color="666666"/>
              <w:left w:val="nil"/>
              <w:bottom w:val="single" w:sz="6" w:space="0" w:color="666666"/>
              <w:right w:val="nil"/>
            </w:tcBorders>
            <w:shd w:val="clear" w:color="auto" w:fill="auto"/>
            <w:hideMark/>
          </w:tcPr>
          <w:p w14:paraId="3B3DBE65" w14:textId="06455B7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277</w:t>
            </w:r>
          </w:p>
        </w:tc>
        <w:tc>
          <w:tcPr>
            <w:tcW w:w="734" w:type="dxa"/>
            <w:tcBorders>
              <w:top w:val="single" w:sz="6" w:space="0" w:color="666666"/>
              <w:left w:val="nil"/>
              <w:bottom w:val="single" w:sz="6" w:space="0" w:color="666666"/>
              <w:right w:val="nil"/>
            </w:tcBorders>
            <w:shd w:val="clear" w:color="auto" w:fill="auto"/>
            <w:hideMark/>
          </w:tcPr>
          <w:p w14:paraId="4ABE03E1" w14:textId="0C815FC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225</w:t>
            </w:r>
          </w:p>
        </w:tc>
        <w:tc>
          <w:tcPr>
            <w:tcW w:w="734" w:type="dxa"/>
            <w:tcBorders>
              <w:top w:val="single" w:sz="6" w:space="0" w:color="666666"/>
              <w:left w:val="nil"/>
              <w:bottom w:val="single" w:sz="6" w:space="0" w:color="666666"/>
              <w:right w:val="nil"/>
            </w:tcBorders>
            <w:shd w:val="clear" w:color="auto" w:fill="auto"/>
            <w:hideMark/>
          </w:tcPr>
          <w:p w14:paraId="76A7AABF" w14:textId="1A65C47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228</w:t>
            </w:r>
          </w:p>
        </w:tc>
        <w:tc>
          <w:tcPr>
            <w:tcW w:w="734" w:type="dxa"/>
            <w:tcBorders>
              <w:top w:val="single" w:sz="6" w:space="0" w:color="666666"/>
              <w:left w:val="nil"/>
              <w:bottom w:val="single" w:sz="6" w:space="0" w:color="666666"/>
              <w:right w:val="nil"/>
            </w:tcBorders>
            <w:shd w:val="clear" w:color="auto" w:fill="auto"/>
            <w:hideMark/>
          </w:tcPr>
          <w:p w14:paraId="194E63B1" w14:textId="124CDCF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180</w:t>
            </w:r>
          </w:p>
        </w:tc>
        <w:tc>
          <w:tcPr>
            <w:tcW w:w="734" w:type="dxa"/>
            <w:tcBorders>
              <w:top w:val="single" w:sz="6" w:space="0" w:color="666666"/>
              <w:left w:val="nil"/>
              <w:bottom w:val="single" w:sz="6" w:space="0" w:color="666666"/>
              <w:right w:val="nil"/>
            </w:tcBorders>
            <w:shd w:val="clear" w:color="auto" w:fill="auto"/>
            <w:hideMark/>
          </w:tcPr>
          <w:p w14:paraId="6F532BFB" w14:textId="3BF6E1A9"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178</w:t>
            </w:r>
          </w:p>
        </w:tc>
        <w:tc>
          <w:tcPr>
            <w:tcW w:w="734" w:type="dxa"/>
            <w:tcBorders>
              <w:top w:val="single" w:sz="6" w:space="0" w:color="666666"/>
              <w:left w:val="nil"/>
              <w:bottom w:val="single" w:sz="6" w:space="0" w:color="666666"/>
              <w:right w:val="nil"/>
            </w:tcBorders>
            <w:shd w:val="clear" w:color="auto" w:fill="auto"/>
            <w:hideMark/>
          </w:tcPr>
          <w:p w14:paraId="64CB1C3D" w14:textId="5AC3CF66"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160</w:t>
            </w:r>
          </w:p>
        </w:tc>
        <w:tc>
          <w:tcPr>
            <w:tcW w:w="734" w:type="dxa"/>
            <w:tcBorders>
              <w:top w:val="single" w:sz="6" w:space="0" w:color="666666"/>
              <w:left w:val="nil"/>
              <w:bottom w:val="single" w:sz="6" w:space="0" w:color="666666"/>
              <w:right w:val="nil"/>
            </w:tcBorders>
            <w:shd w:val="clear" w:color="auto" w:fill="auto"/>
            <w:hideMark/>
          </w:tcPr>
          <w:p w14:paraId="5F074B44" w14:textId="6790B20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158</w:t>
            </w:r>
          </w:p>
        </w:tc>
        <w:tc>
          <w:tcPr>
            <w:tcW w:w="734" w:type="dxa"/>
            <w:tcBorders>
              <w:top w:val="single" w:sz="6" w:space="0" w:color="666666"/>
              <w:left w:val="nil"/>
              <w:bottom w:val="single" w:sz="6" w:space="0" w:color="666666"/>
              <w:right w:val="nil"/>
            </w:tcBorders>
            <w:shd w:val="clear" w:color="auto" w:fill="auto"/>
            <w:hideMark/>
          </w:tcPr>
          <w:p w14:paraId="35DF5A41" w14:textId="61040D0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92</w:t>
            </w:r>
          </w:p>
        </w:tc>
        <w:tc>
          <w:tcPr>
            <w:tcW w:w="734" w:type="dxa"/>
            <w:tcBorders>
              <w:top w:val="single" w:sz="6" w:space="0" w:color="666666"/>
              <w:left w:val="nil"/>
              <w:bottom w:val="single" w:sz="6" w:space="0" w:color="666666"/>
              <w:right w:val="nil"/>
            </w:tcBorders>
            <w:shd w:val="clear" w:color="auto" w:fill="auto"/>
            <w:hideMark/>
          </w:tcPr>
          <w:p w14:paraId="54962E54" w14:textId="041DB71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78</w:t>
            </w:r>
          </w:p>
        </w:tc>
        <w:tc>
          <w:tcPr>
            <w:tcW w:w="728" w:type="dxa"/>
            <w:tcBorders>
              <w:top w:val="single" w:sz="6" w:space="0" w:color="666666"/>
              <w:left w:val="nil"/>
              <w:bottom w:val="single" w:sz="6" w:space="0" w:color="666666"/>
              <w:right w:val="nil"/>
            </w:tcBorders>
            <w:shd w:val="clear" w:color="auto" w:fill="auto"/>
            <w:hideMark/>
          </w:tcPr>
          <w:p w14:paraId="207C27A1" w14:textId="1AC41B95"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61</w:t>
            </w:r>
          </w:p>
        </w:tc>
        <w:tc>
          <w:tcPr>
            <w:tcW w:w="728" w:type="dxa"/>
            <w:tcBorders>
              <w:top w:val="single" w:sz="6" w:space="0" w:color="666666"/>
              <w:left w:val="nil"/>
              <w:bottom w:val="single" w:sz="6" w:space="0" w:color="666666"/>
              <w:right w:val="nil"/>
            </w:tcBorders>
            <w:shd w:val="clear" w:color="auto" w:fill="auto"/>
            <w:hideMark/>
          </w:tcPr>
          <w:p w14:paraId="56092088" w14:textId="1C738E1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34</w:t>
            </w:r>
          </w:p>
        </w:tc>
        <w:tc>
          <w:tcPr>
            <w:tcW w:w="735" w:type="dxa"/>
            <w:tcBorders>
              <w:top w:val="single" w:sz="6" w:space="0" w:color="666666"/>
              <w:left w:val="nil"/>
              <w:bottom w:val="single" w:sz="6" w:space="0" w:color="666666"/>
              <w:right w:val="nil"/>
            </w:tcBorders>
            <w:shd w:val="clear" w:color="auto" w:fill="auto"/>
            <w:hideMark/>
          </w:tcPr>
          <w:p w14:paraId="3731E177" w14:textId="057F1E8A"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82</w:t>
            </w:r>
          </w:p>
        </w:tc>
        <w:tc>
          <w:tcPr>
            <w:tcW w:w="750" w:type="dxa"/>
            <w:tcBorders>
              <w:top w:val="single" w:sz="6" w:space="0" w:color="666666"/>
              <w:left w:val="nil"/>
              <w:bottom w:val="single" w:sz="6" w:space="0" w:color="666666"/>
              <w:right w:val="nil"/>
            </w:tcBorders>
            <w:shd w:val="clear" w:color="auto" w:fill="auto"/>
            <w:hideMark/>
          </w:tcPr>
          <w:p w14:paraId="0FA366D4" w14:textId="7751355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2638</w:t>
            </w:r>
          </w:p>
        </w:tc>
      </w:tr>
      <w:tr w:rsidR="00C91EDD" w:rsidRPr="002919B7" w14:paraId="461E6F5C" w14:textId="77777777" w:rsidTr="002919B7">
        <w:trPr>
          <w:trHeight w:val="285"/>
        </w:trPr>
        <w:tc>
          <w:tcPr>
            <w:tcW w:w="740" w:type="dxa"/>
            <w:tcBorders>
              <w:top w:val="single" w:sz="6" w:space="0" w:color="666666"/>
              <w:left w:val="nil"/>
              <w:bottom w:val="single" w:sz="6" w:space="0" w:color="666666"/>
              <w:right w:val="nil"/>
            </w:tcBorders>
            <w:shd w:val="clear" w:color="auto" w:fill="CCCCCC"/>
            <w:hideMark/>
          </w:tcPr>
          <w:p w14:paraId="181ABCAA" w14:textId="43157CB4" w:rsidR="00C91EDD" w:rsidRPr="002919B7" w:rsidRDefault="00C91EDD" w:rsidP="00C91EDD">
            <w:pPr>
              <w:spacing w:after="0" w:line="240" w:lineRule="auto"/>
              <w:jc w:val="right"/>
              <w:textAlignment w:val="baseline"/>
              <w:rPr>
                <w:rFonts w:eastAsia="Times New Roman" w:cs="Times New Roman"/>
                <w:b/>
                <w:bCs/>
                <w:sz w:val="20"/>
                <w:szCs w:val="20"/>
                <w:lang w:eastAsia="en-AU"/>
              </w:rPr>
            </w:pPr>
            <w:r w:rsidRPr="005C74AB">
              <w:rPr>
                <w:rFonts w:eastAsia="Times New Roman" w:cs="Times New Roman"/>
                <w:b/>
                <w:bCs/>
                <w:color w:val="000000"/>
                <w:sz w:val="20"/>
                <w:szCs w:val="20"/>
                <w:lang w:eastAsia="en-AU"/>
              </w:rPr>
              <w:t>19</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20 </w:t>
            </w:r>
          </w:p>
        </w:tc>
        <w:tc>
          <w:tcPr>
            <w:tcW w:w="727" w:type="dxa"/>
            <w:tcBorders>
              <w:top w:val="single" w:sz="6" w:space="0" w:color="666666"/>
              <w:left w:val="nil"/>
              <w:bottom w:val="single" w:sz="6" w:space="0" w:color="666666"/>
              <w:right w:val="nil"/>
            </w:tcBorders>
            <w:shd w:val="clear" w:color="auto" w:fill="CCCCCC"/>
            <w:hideMark/>
          </w:tcPr>
          <w:p w14:paraId="54C479C2" w14:textId="63FEEE4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82</w:t>
            </w:r>
          </w:p>
        </w:tc>
        <w:tc>
          <w:tcPr>
            <w:tcW w:w="728" w:type="dxa"/>
            <w:tcBorders>
              <w:top w:val="single" w:sz="6" w:space="0" w:color="666666"/>
              <w:left w:val="nil"/>
              <w:bottom w:val="single" w:sz="6" w:space="0" w:color="666666"/>
              <w:right w:val="nil"/>
            </w:tcBorders>
            <w:shd w:val="clear" w:color="auto" w:fill="CCCCCC"/>
            <w:hideMark/>
          </w:tcPr>
          <w:p w14:paraId="107FE391" w14:textId="51CE79F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13</w:t>
            </w:r>
          </w:p>
        </w:tc>
        <w:tc>
          <w:tcPr>
            <w:tcW w:w="734" w:type="dxa"/>
            <w:tcBorders>
              <w:top w:val="single" w:sz="6" w:space="0" w:color="666666"/>
              <w:left w:val="nil"/>
              <w:bottom w:val="single" w:sz="6" w:space="0" w:color="666666"/>
              <w:right w:val="nil"/>
            </w:tcBorders>
            <w:shd w:val="clear" w:color="auto" w:fill="CCCCCC"/>
            <w:hideMark/>
          </w:tcPr>
          <w:p w14:paraId="1549EE39" w14:textId="6B90331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46</w:t>
            </w:r>
          </w:p>
        </w:tc>
        <w:tc>
          <w:tcPr>
            <w:tcW w:w="741" w:type="dxa"/>
            <w:tcBorders>
              <w:top w:val="single" w:sz="6" w:space="0" w:color="666666"/>
              <w:left w:val="nil"/>
              <w:bottom w:val="single" w:sz="6" w:space="0" w:color="666666"/>
              <w:right w:val="nil"/>
            </w:tcBorders>
            <w:shd w:val="clear" w:color="auto" w:fill="CCCCCC"/>
            <w:hideMark/>
          </w:tcPr>
          <w:p w14:paraId="5044AB31" w14:textId="3D21E902"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331</w:t>
            </w:r>
          </w:p>
        </w:tc>
        <w:tc>
          <w:tcPr>
            <w:tcW w:w="741" w:type="dxa"/>
            <w:tcBorders>
              <w:top w:val="single" w:sz="6" w:space="0" w:color="666666"/>
              <w:left w:val="nil"/>
              <w:bottom w:val="single" w:sz="6" w:space="0" w:color="666666"/>
              <w:right w:val="nil"/>
            </w:tcBorders>
            <w:shd w:val="clear" w:color="auto" w:fill="CCCCCC"/>
            <w:hideMark/>
          </w:tcPr>
          <w:p w14:paraId="75685043" w14:textId="43B659E4"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354</w:t>
            </w:r>
          </w:p>
        </w:tc>
        <w:tc>
          <w:tcPr>
            <w:tcW w:w="734" w:type="dxa"/>
            <w:tcBorders>
              <w:top w:val="single" w:sz="6" w:space="0" w:color="666666"/>
              <w:left w:val="nil"/>
              <w:bottom w:val="single" w:sz="6" w:space="0" w:color="666666"/>
              <w:right w:val="nil"/>
            </w:tcBorders>
            <w:shd w:val="clear" w:color="auto" w:fill="CCCCCC"/>
            <w:hideMark/>
          </w:tcPr>
          <w:p w14:paraId="3DDC15E6" w14:textId="23BFC8C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248</w:t>
            </w:r>
          </w:p>
        </w:tc>
        <w:tc>
          <w:tcPr>
            <w:tcW w:w="734" w:type="dxa"/>
            <w:tcBorders>
              <w:top w:val="single" w:sz="6" w:space="0" w:color="666666"/>
              <w:left w:val="nil"/>
              <w:bottom w:val="single" w:sz="6" w:space="0" w:color="666666"/>
              <w:right w:val="nil"/>
            </w:tcBorders>
            <w:shd w:val="clear" w:color="auto" w:fill="CCCCCC"/>
            <w:hideMark/>
          </w:tcPr>
          <w:p w14:paraId="3F40E043" w14:textId="58F62E9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227</w:t>
            </w:r>
          </w:p>
        </w:tc>
        <w:tc>
          <w:tcPr>
            <w:tcW w:w="734" w:type="dxa"/>
            <w:tcBorders>
              <w:top w:val="single" w:sz="6" w:space="0" w:color="666666"/>
              <w:left w:val="nil"/>
              <w:bottom w:val="single" w:sz="6" w:space="0" w:color="666666"/>
              <w:right w:val="nil"/>
            </w:tcBorders>
            <w:shd w:val="clear" w:color="auto" w:fill="CCCCCC"/>
            <w:hideMark/>
          </w:tcPr>
          <w:p w14:paraId="36E83DA9" w14:textId="479ACFEB"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199</w:t>
            </w:r>
          </w:p>
        </w:tc>
        <w:tc>
          <w:tcPr>
            <w:tcW w:w="734" w:type="dxa"/>
            <w:tcBorders>
              <w:top w:val="single" w:sz="6" w:space="0" w:color="666666"/>
              <w:left w:val="nil"/>
              <w:bottom w:val="single" w:sz="6" w:space="0" w:color="666666"/>
              <w:right w:val="nil"/>
            </w:tcBorders>
            <w:shd w:val="clear" w:color="auto" w:fill="CCCCCC"/>
            <w:hideMark/>
          </w:tcPr>
          <w:p w14:paraId="069255A3" w14:textId="146A868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155</w:t>
            </w:r>
          </w:p>
        </w:tc>
        <w:tc>
          <w:tcPr>
            <w:tcW w:w="734" w:type="dxa"/>
            <w:tcBorders>
              <w:top w:val="single" w:sz="6" w:space="0" w:color="666666"/>
              <w:left w:val="nil"/>
              <w:bottom w:val="single" w:sz="6" w:space="0" w:color="666666"/>
              <w:right w:val="nil"/>
            </w:tcBorders>
            <w:shd w:val="clear" w:color="auto" w:fill="CCCCCC"/>
            <w:hideMark/>
          </w:tcPr>
          <w:p w14:paraId="36EC0E81" w14:textId="0634E45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161</w:t>
            </w:r>
          </w:p>
        </w:tc>
        <w:tc>
          <w:tcPr>
            <w:tcW w:w="734" w:type="dxa"/>
            <w:tcBorders>
              <w:top w:val="single" w:sz="6" w:space="0" w:color="666666"/>
              <w:left w:val="nil"/>
              <w:bottom w:val="single" w:sz="6" w:space="0" w:color="666666"/>
              <w:right w:val="nil"/>
            </w:tcBorders>
            <w:shd w:val="clear" w:color="auto" w:fill="CCCCCC"/>
            <w:hideMark/>
          </w:tcPr>
          <w:p w14:paraId="18F53EDC" w14:textId="55CFC28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117</w:t>
            </w:r>
          </w:p>
        </w:tc>
        <w:tc>
          <w:tcPr>
            <w:tcW w:w="734" w:type="dxa"/>
            <w:tcBorders>
              <w:top w:val="single" w:sz="6" w:space="0" w:color="666666"/>
              <w:left w:val="nil"/>
              <w:bottom w:val="single" w:sz="6" w:space="0" w:color="666666"/>
              <w:right w:val="nil"/>
            </w:tcBorders>
            <w:shd w:val="clear" w:color="auto" w:fill="CCCCCC"/>
            <w:hideMark/>
          </w:tcPr>
          <w:p w14:paraId="13794927" w14:textId="63FC524D"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143</w:t>
            </w:r>
          </w:p>
        </w:tc>
        <w:tc>
          <w:tcPr>
            <w:tcW w:w="734" w:type="dxa"/>
            <w:tcBorders>
              <w:top w:val="single" w:sz="6" w:space="0" w:color="666666"/>
              <w:left w:val="nil"/>
              <w:bottom w:val="single" w:sz="6" w:space="0" w:color="666666"/>
              <w:right w:val="nil"/>
            </w:tcBorders>
            <w:shd w:val="clear" w:color="auto" w:fill="CCCCCC"/>
            <w:hideMark/>
          </w:tcPr>
          <w:p w14:paraId="2EF81EBB" w14:textId="0AB946B8"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100</w:t>
            </w:r>
          </w:p>
        </w:tc>
        <w:tc>
          <w:tcPr>
            <w:tcW w:w="734" w:type="dxa"/>
            <w:tcBorders>
              <w:top w:val="single" w:sz="6" w:space="0" w:color="666666"/>
              <w:left w:val="nil"/>
              <w:bottom w:val="single" w:sz="6" w:space="0" w:color="666666"/>
              <w:right w:val="nil"/>
            </w:tcBorders>
            <w:shd w:val="clear" w:color="auto" w:fill="CCCCCC"/>
            <w:hideMark/>
          </w:tcPr>
          <w:p w14:paraId="7FBFC34C" w14:textId="61D438F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77</w:t>
            </w:r>
          </w:p>
        </w:tc>
        <w:tc>
          <w:tcPr>
            <w:tcW w:w="728" w:type="dxa"/>
            <w:tcBorders>
              <w:top w:val="single" w:sz="6" w:space="0" w:color="666666"/>
              <w:left w:val="nil"/>
              <w:bottom w:val="single" w:sz="6" w:space="0" w:color="666666"/>
              <w:right w:val="nil"/>
            </w:tcBorders>
            <w:shd w:val="clear" w:color="auto" w:fill="CCCCCC"/>
            <w:hideMark/>
          </w:tcPr>
          <w:p w14:paraId="7AB432DE" w14:textId="53D086CE"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43</w:t>
            </w:r>
          </w:p>
        </w:tc>
        <w:tc>
          <w:tcPr>
            <w:tcW w:w="728" w:type="dxa"/>
            <w:tcBorders>
              <w:top w:val="single" w:sz="6" w:space="0" w:color="666666"/>
              <w:left w:val="nil"/>
              <w:bottom w:val="single" w:sz="6" w:space="0" w:color="666666"/>
              <w:right w:val="nil"/>
            </w:tcBorders>
            <w:shd w:val="clear" w:color="auto" w:fill="CCCCCC"/>
            <w:hideMark/>
          </w:tcPr>
          <w:p w14:paraId="6E105D04" w14:textId="320B7783"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48</w:t>
            </w:r>
          </w:p>
        </w:tc>
        <w:tc>
          <w:tcPr>
            <w:tcW w:w="735" w:type="dxa"/>
            <w:tcBorders>
              <w:top w:val="single" w:sz="6" w:space="0" w:color="666666"/>
              <w:left w:val="nil"/>
              <w:bottom w:val="single" w:sz="6" w:space="0" w:color="666666"/>
              <w:right w:val="nil"/>
            </w:tcBorders>
            <w:shd w:val="clear" w:color="auto" w:fill="CCCCCC"/>
            <w:hideMark/>
          </w:tcPr>
          <w:p w14:paraId="04CD51BA" w14:textId="53B6DABF"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99</w:t>
            </w:r>
          </w:p>
        </w:tc>
        <w:tc>
          <w:tcPr>
            <w:tcW w:w="750" w:type="dxa"/>
            <w:tcBorders>
              <w:top w:val="single" w:sz="6" w:space="0" w:color="666666"/>
              <w:left w:val="nil"/>
              <w:bottom w:val="single" w:sz="6" w:space="0" w:color="666666"/>
              <w:right w:val="nil"/>
            </w:tcBorders>
            <w:shd w:val="clear" w:color="auto" w:fill="CCCCCC"/>
            <w:hideMark/>
          </w:tcPr>
          <w:p w14:paraId="53C4F601" w14:textId="01CA944C" w:rsidR="00C91EDD" w:rsidRPr="002919B7" w:rsidRDefault="00C91EDD" w:rsidP="00C91EDD">
            <w:pPr>
              <w:spacing w:after="0" w:line="240" w:lineRule="auto"/>
              <w:jc w:val="right"/>
              <w:textAlignment w:val="baseline"/>
              <w:rPr>
                <w:rFonts w:eastAsia="Times New Roman" w:cs="Times New Roman"/>
                <w:sz w:val="20"/>
                <w:szCs w:val="20"/>
                <w:lang w:eastAsia="en-AU"/>
              </w:rPr>
            </w:pPr>
            <w:r w:rsidRPr="002919B7">
              <w:rPr>
                <w:rFonts w:cs="Times New Roman"/>
                <w:sz w:val="20"/>
                <w:szCs w:val="20"/>
              </w:rPr>
              <w:t>2443</w:t>
            </w:r>
          </w:p>
        </w:tc>
      </w:tr>
    </w:tbl>
    <w:p w14:paraId="042BE05E" w14:textId="77777777" w:rsidR="004E7945" w:rsidRDefault="004E7945" w:rsidP="001E10DA">
      <w:pPr>
        <w:rPr>
          <w:rStyle w:val="BookTitle"/>
          <w:b w:val="0"/>
          <w:bCs w:val="0"/>
          <w:i w:val="0"/>
          <w:iCs w:val="0"/>
          <w:spacing w:val="0"/>
        </w:rPr>
      </w:pPr>
    </w:p>
    <w:p w14:paraId="2E32EA04" w14:textId="77777777" w:rsidR="00E10CEF" w:rsidRPr="00D01132" w:rsidRDefault="004E7945" w:rsidP="00D01132">
      <w:pPr>
        <w:pStyle w:val="Heading5"/>
        <w:rPr>
          <w:rStyle w:val="BookTitle"/>
          <w:b w:val="0"/>
          <w:bCs w:val="0"/>
          <w:i w:val="0"/>
          <w:iCs w:val="0"/>
          <w:spacing w:val="0"/>
        </w:rPr>
      </w:pPr>
      <w:r w:rsidRPr="00D01132">
        <w:rPr>
          <w:rStyle w:val="BookTitle"/>
          <w:b w:val="0"/>
          <w:bCs w:val="0"/>
          <w:i w:val="0"/>
          <w:iCs w:val="0"/>
          <w:spacing w:val="0"/>
        </w:rPr>
        <w:t>Liver injury from hospitalised paracetamol poisoning admissions in Australia by age group (AIHW NHMD 2009-2020)</w:t>
      </w:r>
    </w:p>
    <w:tbl>
      <w:tblPr>
        <w:tblStyle w:val="ListTable2"/>
        <w:tblW w:w="5760" w:type="dxa"/>
        <w:tblLook w:val="04A0" w:firstRow="1" w:lastRow="0" w:firstColumn="1" w:lastColumn="0" w:noHBand="0" w:noVBand="1"/>
      </w:tblPr>
      <w:tblGrid>
        <w:gridCol w:w="960"/>
        <w:gridCol w:w="960"/>
        <w:gridCol w:w="960"/>
        <w:gridCol w:w="960"/>
        <w:gridCol w:w="960"/>
        <w:gridCol w:w="960"/>
      </w:tblGrid>
      <w:tr w:rsidR="00E10CEF" w:rsidRPr="00151B48" w14:paraId="6656A84C" w14:textId="77777777" w:rsidTr="005B474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48542C" w14:textId="77777777" w:rsidR="00E10CEF" w:rsidRPr="00151B48" w:rsidRDefault="00E10CEF" w:rsidP="005B474D">
            <w:pPr>
              <w:rPr>
                <w:rFonts w:eastAsia="Times New Roman" w:cs="Times New Roman"/>
                <w:color w:val="000000"/>
                <w:sz w:val="20"/>
                <w:szCs w:val="20"/>
                <w:lang w:eastAsia="en-AU"/>
              </w:rPr>
            </w:pPr>
            <w:r w:rsidRPr="00151B48">
              <w:rPr>
                <w:rFonts w:eastAsia="Times New Roman" w:cs="Times New Roman"/>
                <w:color w:val="000000"/>
                <w:sz w:val="20"/>
                <w:szCs w:val="20"/>
                <w:lang w:eastAsia="en-AU"/>
              </w:rPr>
              <w:t>Ref year</w:t>
            </w:r>
          </w:p>
        </w:tc>
        <w:tc>
          <w:tcPr>
            <w:tcW w:w="960" w:type="dxa"/>
            <w:noWrap/>
            <w:hideMark/>
          </w:tcPr>
          <w:p w14:paraId="5BD20914" w14:textId="77777777" w:rsidR="00E10CEF" w:rsidRPr="00151B48" w:rsidRDefault="00E10CEF"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0-19</w:t>
            </w:r>
          </w:p>
        </w:tc>
        <w:tc>
          <w:tcPr>
            <w:tcW w:w="960" w:type="dxa"/>
            <w:noWrap/>
            <w:hideMark/>
          </w:tcPr>
          <w:p w14:paraId="23B33017" w14:textId="77777777" w:rsidR="00E10CEF" w:rsidRPr="00151B48" w:rsidRDefault="00E10CEF"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20-30</w:t>
            </w:r>
          </w:p>
        </w:tc>
        <w:tc>
          <w:tcPr>
            <w:tcW w:w="960" w:type="dxa"/>
            <w:noWrap/>
            <w:hideMark/>
          </w:tcPr>
          <w:p w14:paraId="2C48A472" w14:textId="77777777" w:rsidR="00E10CEF" w:rsidRPr="00151B48" w:rsidRDefault="00E10CEF"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30-50</w:t>
            </w:r>
          </w:p>
        </w:tc>
        <w:tc>
          <w:tcPr>
            <w:tcW w:w="960" w:type="dxa"/>
            <w:noWrap/>
            <w:hideMark/>
          </w:tcPr>
          <w:p w14:paraId="79D964D4" w14:textId="77777777" w:rsidR="00E10CEF" w:rsidRPr="00151B48" w:rsidRDefault="00E10CEF"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50+</w:t>
            </w:r>
          </w:p>
        </w:tc>
        <w:tc>
          <w:tcPr>
            <w:tcW w:w="960" w:type="dxa"/>
            <w:noWrap/>
            <w:hideMark/>
          </w:tcPr>
          <w:p w14:paraId="23FE1ACB" w14:textId="77777777" w:rsidR="00E10CEF" w:rsidRPr="00151B48" w:rsidRDefault="00E10CEF"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Total</w:t>
            </w:r>
          </w:p>
        </w:tc>
      </w:tr>
      <w:tr w:rsidR="00C91EDD" w:rsidRPr="00151B48" w14:paraId="0236BA7A"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83618C" w14:textId="077FD335"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960" w:type="dxa"/>
            <w:noWrap/>
            <w:hideMark/>
          </w:tcPr>
          <w:p w14:paraId="3C420DF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w:t>
            </w:r>
          </w:p>
        </w:tc>
        <w:tc>
          <w:tcPr>
            <w:tcW w:w="960" w:type="dxa"/>
            <w:noWrap/>
            <w:hideMark/>
          </w:tcPr>
          <w:p w14:paraId="4D1E182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31</w:t>
            </w:r>
          </w:p>
        </w:tc>
        <w:tc>
          <w:tcPr>
            <w:tcW w:w="960" w:type="dxa"/>
            <w:noWrap/>
            <w:hideMark/>
          </w:tcPr>
          <w:p w14:paraId="1691EAE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61</w:t>
            </w:r>
          </w:p>
        </w:tc>
        <w:tc>
          <w:tcPr>
            <w:tcW w:w="960" w:type="dxa"/>
            <w:noWrap/>
            <w:hideMark/>
          </w:tcPr>
          <w:p w14:paraId="76ECC1F4"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43</w:t>
            </w:r>
          </w:p>
        </w:tc>
        <w:tc>
          <w:tcPr>
            <w:tcW w:w="960" w:type="dxa"/>
            <w:noWrap/>
            <w:hideMark/>
          </w:tcPr>
          <w:p w14:paraId="73D9B66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149</w:t>
            </w:r>
          </w:p>
        </w:tc>
      </w:tr>
      <w:tr w:rsidR="00C91EDD" w:rsidRPr="00151B48" w14:paraId="53A448FD" w14:textId="77777777" w:rsidTr="005B474D">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9C8AF4" w14:textId="33ADB961"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960" w:type="dxa"/>
            <w:noWrap/>
            <w:hideMark/>
          </w:tcPr>
          <w:p w14:paraId="788B61B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w:t>
            </w:r>
          </w:p>
        </w:tc>
        <w:tc>
          <w:tcPr>
            <w:tcW w:w="960" w:type="dxa"/>
            <w:noWrap/>
            <w:hideMark/>
          </w:tcPr>
          <w:p w14:paraId="162FDD3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27</w:t>
            </w:r>
          </w:p>
        </w:tc>
        <w:tc>
          <w:tcPr>
            <w:tcW w:w="960" w:type="dxa"/>
            <w:noWrap/>
            <w:hideMark/>
          </w:tcPr>
          <w:p w14:paraId="4545955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64</w:t>
            </w:r>
          </w:p>
        </w:tc>
        <w:tc>
          <w:tcPr>
            <w:tcW w:w="960" w:type="dxa"/>
            <w:noWrap/>
            <w:hideMark/>
          </w:tcPr>
          <w:p w14:paraId="197E093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w:t>
            </w:r>
          </w:p>
        </w:tc>
        <w:tc>
          <w:tcPr>
            <w:tcW w:w="960" w:type="dxa"/>
            <w:noWrap/>
            <w:hideMark/>
          </w:tcPr>
          <w:p w14:paraId="13342CB8"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155</w:t>
            </w:r>
          </w:p>
        </w:tc>
      </w:tr>
      <w:tr w:rsidR="00C91EDD" w:rsidRPr="00151B48" w14:paraId="4A56EA3C"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90E9F3" w14:textId="5F069C13"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960" w:type="dxa"/>
            <w:noWrap/>
            <w:hideMark/>
          </w:tcPr>
          <w:p w14:paraId="326BF98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17</w:t>
            </w:r>
          </w:p>
        </w:tc>
        <w:tc>
          <w:tcPr>
            <w:tcW w:w="960" w:type="dxa"/>
            <w:noWrap/>
            <w:hideMark/>
          </w:tcPr>
          <w:p w14:paraId="7350793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28</w:t>
            </w:r>
          </w:p>
        </w:tc>
        <w:tc>
          <w:tcPr>
            <w:tcW w:w="960" w:type="dxa"/>
            <w:noWrap/>
            <w:hideMark/>
          </w:tcPr>
          <w:p w14:paraId="7148517B"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w:t>
            </w:r>
          </w:p>
        </w:tc>
        <w:tc>
          <w:tcPr>
            <w:tcW w:w="960" w:type="dxa"/>
            <w:noWrap/>
            <w:hideMark/>
          </w:tcPr>
          <w:p w14:paraId="7E6AD59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w:t>
            </w:r>
          </w:p>
        </w:tc>
        <w:tc>
          <w:tcPr>
            <w:tcW w:w="960" w:type="dxa"/>
            <w:noWrap/>
            <w:hideMark/>
          </w:tcPr>
          <w:p w14:paraId="6390F013"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161</w:t>
            </w:r>
          </w:p>
        </w:tc>
      </w:tr>
      <w:tr w:rsidR="00C91EDD" w:rsidRPr="00151B48" w14:paraId="6228F54D" w14:textId="77777777" w:rsidTr="005B474D">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64D7C4" w14:textId="2ABE75FC"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960" w:type="dxa"/>
            <w:noWrap/>
            <w:hideMark/>
          </w:tcPr>
          <w:p w14:paraId="4EB6371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w:t>
            </w:r>
          </w:p>
        </w:tc>
        <w:tc>
          <w:tcPr>
            <w:tcW w:w="960" w:type="dxa"/>
            <w:noWrap/>
            <w:hideMark/>
          </w:tcPr>
          <w:p w14:paraId="3F6D6D9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w:t>
            </w:r>
          </w:p>
        </w:tc>
        <w:tc>
          <w:tcPr>
            <w:tcW w:w="960" w:type="dxa"/>
            <w:noWrap/>
            <w:hideMark/>
          </w:tcPr>
          <w:p w14:paraId="6411FEB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88</w:t>
            </w:r>
          </w:p>
        </w:tc>
        <w:tc>
          <w:tcPr>
            <w:tcW w:w="960" w:type="dxa"/>
            <w:noWrap/>
            <w:hideMark/>
          </w:tcPr>
          <w:p w14:paraId="2165898D"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42</w:t>
            </w:r>
          </w:p>
        </w:tc>
        <w:tc>
          <w:tcPr>
            <w:tcW w:w="960" w:type="dxa"/>
            <w:noWrap/>
            <w:hideMark/>
          </w:tcPr>
          <w:p w14:paraId="4F5A9C3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184</w:t>
            </w:r>
          </w:p>
        </w:tc>
      </w:tr>
      <w:tr w:rsidR="00C91EDD" w:rsidRPr="00151B48" w14:paraId="2045FB20"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5771B3" w14:textId="7239C15D"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960" w:type="dxa"/>
            <w:noWrap/>
            <w:hideMark/>
          </w:tcPr>
          <w:p w14:paraId="2DB1BAF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32</w:t>
            </w:r>
          </w:p>
        </w:tc>
        <w:tc>
          <w:tcPr>
            <w:tcW w:w="960" w:type="dxa"/>
            <w:noWrap/>
            <w:hideMark/>
          </w:tcPr>
          <w:p w14:paraId="165F6962"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37</w:t>
            </w:r>
          </w:p>
        </w:tc>
        <w:tc>
          <w:tcPr>
            <w:tcW w:w="960" w:type="dxa"/>
            <w:noWrap/>
            <w:hideMark/>
          </w:tcPr>
          <w:p w14:paraId="655A968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71</w:t>
            </w:r>
          </w:p>
        </w:tc>
        <w:tc>
          <w:tcPr>
            <w:tcW w:w="960" w:type="dxa"/>
            <w:noWrap/>
            <w:hideMark/>
          </w:tcPr>
          <w:p w14:paraId="5F4DFFFA"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w:t>
            </w:r>
          </w:p>
        </w:tc>
        <w:tc>
          <w:tcPr>
            <w:tcW w:w="960" w:type="dxa"/>
            <w:noWrap/>
            <w:hideMark/>
          </w:tcPr>
          <w:p w14:paraId="4E61FD7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195</w:t>
            </w:r>
          </w:p>
        </w:tc>
      </w:tr>
      <w:tr w:rsidR="00C91EDD" w:rsidRPr="00151B48" w14:paraId="0386313B" w14:textId="77777777" w:rsidTr="005B474D">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7BFD13E" w14:textId="450BDA81"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960" w:type="dxa"/>
            <w:noWrap/>
            <w:hideMark/>
          </w:tcPr>
          <w:p w14:paraId="54CB1076"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29</w:t>
            </w:r>
          </w:p>
        </w:tc>
        <w:tc>
          <w:tcPr>
            <w:tcW w:w="960" w:type="dxa"/>
            <w:noWrap/>
            <w:hideMark/>
          </w:tcPr>
          <w:p w14:paraId="0D437003"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31</w:t>
            </w:r>
          </w:p>
        </w:tc>
        <w:tc>
          <w:tcPr>
            <w:tcW w:w="960" w:type="dxa"/>
            <w:noWrap/>
            <w:hideMark/>
          </w:tcPr>
          <w:p w14:paraId="6F2CE134"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87</w:t>
            </w:r>
          </w:p>
        </w:tc>
        <w:tc>
          <w:tcPr>
            <w:tcW w:w="960" w:type="dxa"/>
            <w:noWrap/>
            <w:hideMark/>
          </w:tcPr>
          <w:p w14:paraId="27C877FC"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76</w:t>
            </w:r>
          </w:p>
        </w:tc>
        <w:tc>
          <w:tcPr>
            <w:tcW w:w="960" w:type="dxa"/>
            <w:noWrap/>
            <w:hideMark/>
          </w:tcPr>
          <w:p w14:paraId="50AFCE3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223</w:t>
            </w:r>
          </w:p>
        </w:tc>
      </w:tr>
      <w:tr w:rsidR="00C91EDD" w:rsidRPr="00151B48" w14:paraId="51492E0D"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1B4879" w14:textId="563DA9F8"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960" w:type="dxa"/>
            <w:noWrap/>
            <w:hideMark/>
          </w:tcPr>
          <w:p w14:paraId="07B831F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26</w:t>
            </w:r>
          </w:p>
        </w:tc>
        <w:tc>
          <w:tcPr>
            <w:tcW w:w="960" w:type="dxa"/>
            <w:noWrap/>
            <w:hideMark/>
          </w:tcPr>
          <w:p w14:paraId="4061625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w:t>
            </w:r>
          </w:p>
        </w:tc>
        <w:tc>
          <w:tcPr>
            <w:tcW w:w="960" w:type="dxa"/>
            <w:noWrap/>
            <w:hideMark/>
          </w:tcPr>
          <w:p w14:paraId="7306716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92</w:t>
            </w:r>
          </w:p>
        </w:tc>
        <w:tc>
          <w:tcPr>
            <w:tcW w:w="960" w:type="dxa"/>
            <w:noWrap/>
            <w:hideMark/>
          </w:tcPr>
          <w:p w14:paraId="593884E8"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63</w:t>
            </w:r>
          </w:p>
        </w:tc>
        <w:tc>
          <w:tcPr>
            <w:tcW w:w="960" w:type="dxa"/>
            <w:noWrap/>
            <w:hideMark/>
          </w:tcPr>
          <w:p w14:paraId="684F9D0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220</w:t>
            </w:r>
          </w:p>
        </w:tc>
      </w:tr>
      <w:tr w:rsidR="00C91EDD" w:rsidRPr="00151B48" w14:paraId="2B638F25" w14:textId="77777777" w:rsidTr="005B474D">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F788E3F" w14:textId="3FCDBE87"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960" w:type="dxa"/>
            <w:noWrap/>
            <w:hideMark/>
          </w:tcPr>
          <w:p w14:paraId="4EF60BCF"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39</w:t>
            </w:r>
          </w:p>
        </w:tc>
        <w:tc>
          <w:tcPr>
            <w:tcW w:w="960" w:type="dxa"/>
            <w:noWrap/>
            <w:hideMark/>
          </w:tcPr>
          <w:p w14:paraId="502FE707"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46</w:t>
            </w:r>
          </w:p>
        </w:tc>
        <w:tc>
          <w:tcPr>
            <w:tcW w:w="960" w:type="dxa"/>
            <w:noWrap/>
            <w:hideMark/>
          </w:tcPr>
          <w:p w14:paraId="58BEE7C9"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w:t>
            </w:r>
          </w:p>
        </w:tc>
        <w:tc>
          <w:tcPr>
            <w:tcW w:w="960" w:type="dxa"/>
            <w:noWrap/>
            <w:hideMark/>
          </w:tcPr>
          <w:p w14:paraId="2ECEE79B"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w:t>
            </w:r>
          </w:p>
        </w:tc>
        <w:tc>
          <w:tcPr>
            <w:tcW w:w="960" w:type="dxa"/>
            <w:noWrap/>
            <w:hideMark/>
          </w:tcPr>
          <w:p w14:paraId="5297FA2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235</w:t>
            </w:r>
          </w:p>
        </w:tc>
      </w:tr>
      <w:tr w:rsidR="00C91EDD" w:rsidRPr="00151B48" w14:paraId="10429F2B"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77390A" w14:textId="1BE78536"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960" w:type="dxa"/>
            <w:noWrap/>
            <w:hideMark/>
          </w:tcPr>
          <w:p w14:paraId="69D3E9C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w:t>
            </w:r>
          </w:p>
        </w:tc>
        <w:tc>
          <w:tcPr>
            <w:tcW w:w="960" w:type="dxa"/>
            <w:noWrap/>
            <w:hideMark/>
          </w:tcPr>
          <w:p w14:paraId="01BB8901"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34</w:t>
            </w:r>
          </w:p>
        </w:tc>
        <w:tc>
          <w:tcPr>
            <w:tcW w:w="960" w:type="dxa"/>
            <w:noWrap/>
            <w:hideMark/>
          </w:tcPr>
          <w:p w14:paraId="12839075"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69</w:t>
            </w:r>
          </w:p>
        </w:tc>
        <w:tc>
          <w:tcPr>
            <w:tcW w:w="960" w:type="dxa"/>
            <w:noWrap/>
            <w:hideMark/>
          </w:tcPr>
          <w:p w14:paraId="5C49889C"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91</w:t>
            </w:r>
          </w:p>
        </w:tc>
        <w:tc>
          <w:tcPr>
            <w:tcW w:w="960" w:type="dxa"/>
            <w:noWrap/>
            <w:hideMark/>
          </w:tcPr>
          <w:p w14:paraId="0C0AAAAE"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224</w:t>
            </w:r>
          </w:p>
        </w:tc>
      </w:tr>
      <w:tr w:rsidR="00C91EDD" w:rsidRPr="00151B48" w14:paraId="35F258C6" w14:textId="77777777" w:rsidTr="005B474D">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6E0F2CF" w14:textId="1B257A75"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960" w:type="dxa"/>
            <w:noWrap/>
            <w:hideMark/>
          </w:tcPr>
          <w:p w14:paraId="5ECFE642"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24</w:t>
            </w:r>
          </w:p>
        </w:tc>
        <w:tc>
          <w:tcPr>
            <w:tcW w:w="960" w:type="dxa"/>
            <w:noWrap/>
            <w:hideMark/>
          </w:tcPr>
          <w:p w14:paraId="68C163DE"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41</w:t>
            </w:r>
          </w:p>
        </w:tc>
        <w:tc>
          <w:tcPr>
            <w:tcW w:w="960" w:type="dxa"/>
            <w:noWrap/>
            <w:hideMark/>
          </w:tcPr>
          <w:p w14:paraId="5E21191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72</w:t>
            </w:r>
          </w:p>
        </w:tc>
        <w:tc>
          <w:tcPr>
            <w:tcW w:w="960" w:type="dxa"/>
            <w:noWrap/>
            <w:hideMark/>
          </w:tcPr>
          <w:p w14:paraId="36CC27E0"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67</w:t>
            </w:r>
          </w:p>
        </w:tc>
        <w:tc>
          <w:tcPr>
            <w:tcW w:w="960" w:type="dxa"/>
            <w:noWrap/>
            <w:hideMark/>
          </w:tcPr>
          <w:p w14:paraId="51228FC5" w14:textId="77777777" w:rsidR="00C91EDD" w:rsidRPr="00151B48" w:rsidRDefault="00C91EDD" w:rsidP="00C91EDD">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204</w:t>
            </w:r>
          </w:p>
        </w:tc>
      </w:tr>
      <w:tr w:rsidR="00C91EDD" w:rsidRPr="00151B48" w14:paraId="56737266" w14:textId="77777777" w:rsidTr="005B474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448676" w14:textId="77F233DD" w:rsidR="00C91EDD" w:rsidRPr="00151B48" w:rsidRDefault="00C91EDD" w:rsidP="00C91EDD">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960" w:type="dxa"/>
            <w:noWrap/>
            <w:hideMark/>
          </w:tcPr>
          <w:p w14:paraId="38E7313D"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w:t>
            </w:r>
          </w:p>
        </w:tc>
        <w:tc>
          <w:tcPr>
            <w:tcW w:w="960" w:type="dxa"/>
            <w:noWrap/>
            <w:hideMark/>
          </w:tcPr>
          <w:p w14:paraId="1858B8DF"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w:t>
            </w:r>
          </w:p>
        </w:tc>
        <w:tc>
          <w:tcPr>
            <w:tcW w:w="960" w:type="dxa"/>
            <w:noWrap/>
            <w:hideMark/>
          </w:tcPr>
          <w:p w14:paraId="1EB8EFF9"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66</w:t>
            </w:r>
          </w:p>
        </w:tc>
        <w:tc>
          <w:tcPr>
            <w:tcW w:w="960" w:type="dxa"/>
            <w:noWrap/>
            <w:hideMark/>
          </w:tcPr>
          <w:p w14:paraId="37DAD656"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78</w:t>
            </w:r>
          </w:p>
        </w:tc>
        <w:tc>
          <w:tcPr>
            <w:tcW w:w="960" w:type="dxa"/>
            <w:noWrap/>
            <w:hideMark/>
          </w:tcPr>
          <w:p w14:paraId="615D6187" w14:textId="77777777" w:rsidR="00C91EDD" w:rsidRPr="00151B48" w:rsidRDefault="00C91EDD" w:rsidP="00C91EDD">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199</w:t>
            </w:r>
          </w:p>
        </w:tc>
      </w:tr>
    </w:tbl>
    <w:p w14:paraId="415229F7" w14:textId="6A0B821C" w:rsidR="00F777E9" w:rsidRDefault="00E10CEF" w:rsidP="00E10CEF">
      <w:pPr>
        <w:rPr>
          <w:rStyle w:val="BookTitle"/>
          <w:b w:val="0"/>
          <w:bCs w:val="0"/>
          <w:i w:val="0"/>
          <w:iCs w:val="0"/>
          <w:spacing w:val="0"/>
        </w:rPr>
      </w:pPr>
      <w:r>
        <w:rPr>
          <w:rStyle w:val="BookTitle"/>
          <w:b w:val="0"/>
          <w:bCs w:val="0"/>
          <w:i w:val="0"/>
          <w:iCs w:val="0"/>
          <w:spacing w:val="0"/>
        </w:rPr>
        <w:t>Note: Death data not detailed as most annual numbers by any age group are &lt;5.</w:t>
      </w:r>
      <w:r w:rsidR="00F777E9" w:rsidRPr="00E723F2">
        <w:rPr>
          <w:rStyle w:val="BookTitle"/>
          <w:b w:val="0"/>
          <w:bCs w:val="0"/>
          <w:i w:val="0"/>
          <w:iCs w:val="0"/>
          <w:spacing w:val="0"/>
        </w:rPr>
        <w:br w:type="page"/>
      </w:r>
    </w:p>
    <w:p w14:paraId="0B99ABC3" w14:textId="24062D91" w:rsidR="00E10CEF" w:rsidRPr="00D01132" w:rsidRDefault="00E10CEF" w:rsidP="00D01132">
      <w:pPr>
        <w:pStyle w:val="Heading5"/>
        <w:rPr>
          <w:rStyle w:val="BookTitle"/>
          <w:b w:val="0"/>
          <w:bCs w:val="0"/>
          <w:i w:val="0"/>
          <w:iCs w:val="0"/>
          <w:spacing w:val="0"/>
        </w:rPr>
      </w:pPr>
      <w:r w:rsidRPr="00D01132">
        <w:rPr>
          <w:rStyle w:val="BookTitle"/>
          <w:b w:val="0"/>
          <w:bCs w:val="0"/>
          <w:i w:val="0"/>
          <w:iCs w:val="0"/>
          <w:spacing w:val="0"/>
        </w:rPr>
        <w:t>Changes in total medicine poisoning admissions in Australia (AIHW NHMD 2009-2020)</w:t>
      </w:r>
    </w:p>
    <w:tbl>
      <w:tblPr>
        <w:tblStyle w:val="ListTable2"/>
        <w:tblpPr w:leftFromText="180" w:rightFromText="180" w:vertAnchor="page" w:horzAnchor="margin" w:tblpY="2026"/>
        <w:tblW w:w="5000" w:type="pct"/>
        <w:tblLook w:val="04A0" w:firstRow="1" w:lastRow="0" w:firstColumn="1" w:lastColumn="0" w:noHBand="0" w:noVBand="1"/>
      </w:tblPr>
      <w:tblGrid>
        <w:gridCol w:w="849"/>
        <w:gridCol w:w="657"/>
        <w:gridCol w:w="727"/>
        <w:gridCol w:w="727"/>
        <w:gridCol w:w="725"/>
        <w:gridCol w:w="726"/>
        <w:gridCol w:w="725"/>
        <w:gridCol w:w="725"/>
        <w:gridCol w:w="725"/>
        <w:gridCol w:w="725"/>
        <w:gridCol w:w="725"/>
        <w:gridCol w:w="725"/>
        <w:gridCol w:w="725"/>
        <w:gridCol w:w="725"/>
        <w:gridCol w:w="725"/>
        <w:gridCol w:w="725"/>
        <w:gridCol w:w="725"/>
        <w:gridCol w:w="656"/>
        <w:gridCol w:w="916"/>
      </w:tblGrid>
      <w:tr w:rsidR="00031185" w:rsidRPr="00151B48" w14:paraId="7AC03598" w14:textId="77777777" w:rsidTr="00AB403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66779B94" w14:textId="77777777" w:rsidR="00031185" w:rsidRPr="00151B48" w:rsidRDefault="00031185" w:rsidP="00AB403C">
            <w:pPr>
              <w:jc w:val="right"/>
              <w:rPr>
                <w:rFonts w:eastAsia="Times New Roman" w:cs="Times New Roman"/>
                <w:color w:val="000000"/>
                <w:sz w:val="22"/>
                <w:lang w:eastAsia="en-AU"/>
              </w:rPr>
            </w:pPr>
            <w:r w:rsidRPr="00151B48">
              <w:rPr>
                <w:rFonts w:eastAsia="Times New Roman" w:cs="Times New Roman"/>
                <w:color w:val="000000"/>
                <w:sz w:val="22"/>
                <w:lang w:eastAsia="en-AU"/>
              </w:rPr>
              <w:t>Ref year</w:t>
            </w:r>
          </w:p>
        </w:tc>
        <w:tc>
          <w:tcPr>
            <w:tcW w:w="655" w:type="dxa"/>
            <w:noWrap/>
            <w:hideMark/>
          </w:tcPr>
          <w:p w14:paraId="15986884"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00-04</w:t>
            </w:r>
          </w:p>
        </w:tc>
        <w:tc>
          <w:tcPr>
            <w:tcW w:w="727" w:type="dxa"/>
            <w:noWrap/>
            <w:hideMark/>
          </w:tcPr>
          <w:p w14:paraId="12EE4B13"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05--09</w:t>
            </w:r>
          </w:p>
        </w:tc>
        <w:tc>
          <w:tcPr>
            <w:tcW w:w="727" w:type="dxa"/>
            <w:noWrap/>
            <w:hideMark/>
          </w:tcPr>
          <w:p w14:paraId="5AC2D771"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10--14</w:t>
            </w:r>
          </w:p>
        </w:tc>
        <w:tc>
          <w:tcPr>
            <w:tcW w:w="725" w:type="dxa"/>
            <w:noWrap/>
            <w:hideMark/>
          </w:tcPr>
          <w:p w14:paraId="7FCFE516"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15-19</w:t>
            </w:r>
          </w:p>
        </w:tc>
        <w:tc>
          <w:tcPr>
            <w:tcW w:w="726" w:type="dxa"/>
            <w:noWrap/>
            <w:hideMark/>
          </w:tcPr>
          <w:p w14:paraId="6594716E"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20-24</w:t>
            </w:r>
          </w:p>
        </w:tc>
        <w:tc>
          <w:tcPr>
            <w:tcW w:w="726" w:type="dxa"/>
            <w:noWrap/>
            <w:hideMark/>
          </w:tcPr>
          <w:p w14:paraId="0AD06D4B"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25-29</w:t>
            </w:r>
          </w:p>
        </w:tc>
        <w:tc>
          <w:tcPr>
            <w:tcW w:w="726" w:type="dxa"/>
            <w:noWrap/>
            <w:hideMark/>
          </w:tcPr>
          <w:p w14:paraId="78FD9209"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30-34</w:t>
            </w:r>
          </w:p>
        </w:tc>
        <w:tc>
          <w:tcPr>
            <w:tcW w:w="726" w:type="dxa"/>
            <w:noWrap/>
            <w:hideMark/>
          </w:tcPr>
          <w:p w14:paraId="32D86186"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35-39</w:t>
            </w:r>
          </w:p>
        </w:tc>
        <w:tc>
          <w:tcPr>
            <w:tcW w:w="726" w:type="dxa"/>
            <w:noWrap/>
            <w:hideMark/>
          </w:tcPr>
          <w:p w14:paraId="32222E11"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40-44</w:t>
            </w:r>
          </w:p>
        </w:tc>
        <w:tc>
          <w:tcPr>
            <w:tcW w:w="726" w:type="dxa"/>
            <w:noWrap/>
            <w:hideMark/>
          </w:tcPr>
          <w:p w14:paraId="644E1A97"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45-49</w:t>
            </w:r>
          </w:p>
        </w:tc>
        <w:tc>
          <w:tcPr>
            <w:tcW w:w="726" w:type="dxa"/>
            <w:noWrap/>
            <w:hideMark/>
          </w:tcPr>
          <w:p w14:paraId="235EF996"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50-54</w:t>
            </w:r>
          </w:p>
        </w:tc>
        <w:tc>
          <w:tcPr>
            <w:tcW w:w="726" w:type="dxa"/>
            <w:noWrap/>
            <w:hideMark/>
          </w:tcPr>
          <w:p w14:paraId="0D99A418"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55-59</w:t>
            </w:r>
          </w:p>
        </w:tc>
        <w:tc>
          <w:tcPr>
            <w:tcW w:w="726" w:type="dxa"/>
            <w:noWrap/>
            <w:hideMark/>
          </w:tcPr>
          <w:p w14:paraId="5A38F3D3"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60-64</w:t>
            </w:r>
          </w:p>
        </w:tc>
        <w:tc>
          <w:tcPr>
            <w:tcW w:w="726" w:type="dxa"/>
            <w:noWrap/>
            <w:hideMark/>
          </w:tcPr>
          <w:p w14:paraId="55EECDF4"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65-69</w:t>
            </w:r>
          </w:p>
        </w:tc>
        <w:tc>
          <w:tcPr>
            <w:tcW w:w="726" w:type="dxa"/>
            <w:noWrap/>
            <w:hideMark/>
          </w:tcPr>
          <w:p w14:paraId="455FDD7C"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70-74</w:t>
            </w:r>
          </w:p>
        </w:tc>
        <w:tc>
          <w:tcPr>
            <w:tcW w:w="726" w:type="dxa"/>
            <w:noWrap/>
            <w:hideMark/>
          </w:tcPr>
          <w:p w14:paraId="09C0C1B5"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75-79</w:t>
            </w:r>
          </w:p>
        </w:tc>
        <w:tc>
          <w:tcPr>
            <w:tcW w:w="646" w:type="dxa"/>
            <w:noWrap/>
            <w:hideMark/>
          </w:tcPr>
          <w:p w14:paraId="42D3E032" w14:textId="77777777" w:rsidR="00031185" w:rsidRPr="00151B48" w:rsidRDefault="00031185" w:rsidP="00AB403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80+</w:t>
            </w:r>
          </w:p>
        </w:tc>
        <w:tc>
          <w:tcPr>
            <w:tcW w:w="917" w:type="dxa"/>
            <w:noWrap/>
            <w:hideMark/>
          </w:tcPr>
          <w:p w14:paraId="554CB4C8" w14:textId="77777777" w:rsidR="00031185" w:rsidRPr="00151B48" w:rsidRDefault="00031185" w:rsidP="005B474D">
            <w:pP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eastAsia="Times New Roman" w:cs="Times New Roman"/>
                <w:color w:val="000000"/>
                <w:sz w:val="22"/>
                <w:lang w:eastAsia="en-AU"/>
              </w:rPr>
              <w:t>Grand Total</w:t>
            </w:r>
          </w:p>
        </w:tc>
      </w:tr>
      <w:tr w:rsidR="007268E9" w:rsidRPr="00151B48" w14:paraId="18FBE643"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3AD4F95C" w14:textId="5AAEDB6C"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655" w:type="dxa"/>
            <w:noWrap/>
            <w:hideMark/>
          </w:tcPr>
          <w:p w14:paraId="176F230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1498</w:t>
            </w:r>
          </w:p>
        </w:tc>
        <w:tc>
          <w:tcPr>
            <w:tcW w:w="727" w:type="dxa"/>
            <w:noWrap/>
            <w:hideMark/>
          </w:tcPr>
          <w:p w14:paraId="1DA0816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169</w:t>
            </w:r>
          </w:p>
        </w:tc>
        <w:tc>
          <w:tcPr>
            <w:tcW w:w="727" w:type="dxa"/>
            <w:noWrap/>
            <w:hideMark/>
          </w:tcPr>
          <w:p w14:paraId="3190A0B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697</w:t>
            </w:r>
          </w:p>
        </w:tc>
        <w:tc>
          <w:tcPr>
            <w:tcW w:w="725" w:type="dxa"/>
            <w:noWrap/>
            <w:hideMark/>
          </w:tcPr>
          <w:p w14:paraId="14732A1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4317</w:t>
            </w:r>
          </w:p>
        </w:tc>
        <w:tc>
          <w:tcPr>
            <w:tcW w:w="726" w:type="dxa"/>
            <w:noWrap/>
            <w:hideMark/>
          </w:tcPr>
          <w:p w14:paraId="2123378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4408</w:t>
            </w:r>
          </w:p>
        </w:tc>
        <w:tc>
          <w:tcPr>
            <w:tcW w:w="726" w:type="dxa"/>
            <w:noWrap/>
            <w:hideMark/>
          </w:tcPr>
          <w:p w14:paraId="5F16418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3759</w:t>
            </w:r>
          </w:p>
        </w:tc>
        <w:tc>
          <w:tcPr>
            <w:tcW w:w="726" w:type="dxa"/>
            <w:noWrap/>
            <w:hideMark/>
          </w:tcPr>
          <w:p w14:paraId="73DDED0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3548</w:t>
            </w:r>
          </w:p>
        </w:tc>
        <w:tc>
          <w:tcPr>
            <w:tcW w:w="726" w:type="dxa"/>
            <w:noWrap/>
            <w:hideMark/>
          </w:tcPr>
          <w:p w14:paraId="23DB1CD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3966</w:t>
            </w:r>
          </w:p>
        </w:tc>
        <w:tc>
          <w:tcPr>
            <w:tcW w:w="726" w:type="dxa"/>
            <w:noWrap/>
            <w:hideMark/>
          </w:tcPr>
          <w:p w14:paraId="27EDD17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3556</w:t>
            </w:r>
          </w:p>
        </w:tc>
        <w:tc>
          <w:tcPr>
            <w:tcW w:w="726" w:type="dxa"/>
            <w:noWrap/>
            <w:hideMark/>
          </w:tcPr>
          <w:p w14:paraId="6988F9D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3353</w:t>
            </w:r>
          </w:p>
        </w:tc>
        <w:tc>
          <w:tcPr>
            <w:tcW w:w="726" w:type="dxa"/>
            <w:noWrap/>
            <w:hideMark/>
          </w:tcPr>
          <w:p w14:paraId="46E5E83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2344</w:t>
            </w:r>
          </w:p>
        </w:tc>
        <w:tc>
          <w:tcPr>
            <w:tcW w:w="726" w:type="dxa"/>
            <w:noWrap/>
            <w:hideMark/>
          </w:tcPr>
          <w:p w14:paraId="7D09DBB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1661</w:t>
            </w:r>
          </w:p>
        </w:tc>
        <w:tc>
          <w:tcPr>
            <w:tcW w:w="726" w:type="dxa"/>
            <w:noWrap/>
            <w:hideMark/>
          </w:tcPr>
          <w:p w14:paraId="7E3F10F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1294</w:t>
            </w:r>
          </w:p>
        </w:tc>
        <w:tc>
          <w:tcPr>
            <w:tcW w:w="726" w:type="dxa"/>
            <w:noWrap/>
            <w:hideMark/>
          </w:tcPr>
          <w:p w14:paraId="547A959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870</w:t>
            </w:r>
          </w:p>
        </w:tc>
        <w:tc>
          <w:tcPr>
            <w:tcW w:w="726" w:type="dxa"/>
            <w:noWrap/>
            <w:hideMark/>
          </w:tcPr>
          <w:p w14:paraId="7DC9B52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829</w:t>
            </w:r>
          </w:p>
        </w:tc>
        <w:tc>
          <w:tcPr>
            <w:tcW w:w="726" w:type="dxa"/>
            <w:noWrap/>
            <w:hideMark/>
          </w:tcPr>
          <w:p w14:paraId="3E38215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834</w:t>
            </w:r>
          </w:p>
        </w:tc>
        <w:tc>
          <w:tcPr>
            <w:tcW w:w="646" w:type="dxa"/>
            <w:noWrap/>
            <w:hideMark/>
          </w:tcPr>
          <w:p w14:paraId="0A64D89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1858</w:t>
            </w:r>
          </w:p>
        </w:tc>
        <w:tc>
          <w:tcPr>
            <w:tcW w:w="917" w:type="dxa"/>
            <w:noWrap/>
            <w:hideMark/>
          </w:tcPr>
          <w:p w14:paraId="59D69AC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38961</w:t>
            </w:r>
          </w:p>
        </w:tc>
      </w:tr>
      <w:tr w:rsidR="00AB403C" w:rsidRPr="00151B48" w14:paraId="36A3B2F0"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12BD4D64" w14:textId="780CB2FB"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655" w:type="dxa"/>
            <w:noWrap/>
            <w:hideMark/>
          </w:tcPr>
          <w:p w14:paraId="034EBFE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1353</w:t>
            </w:r>
          </w:p>
        </w:tc>
        <w:tc>
          <w:tcPr>
            <w:tcW w:w="727" w:type="dxa"/>
            <w:noWrap/>
            <w:hideMark/>
          </w:tcPr>
          <w:p w14:paraId="7F2410A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167</w:t>
            </w:r>
          </w:p>
        </w:tc>
        <w:tc>
          <w:tcPr>
            <w:tcW w:w="727" w:type="dxa"/>
            <w:noWrap/>
            <w:hideMark/>
          </w:tcPr>
          <w:p w14:paraId="25A092F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667</w:t>
            </w:r>
          </w:p>
        </w:tc>
        <w:tc>
          <w:tcPr>
            <w:tcW w:w="725" w:type="dxa"/>
            <w:noWrap/>
            <w:hideMark/>
          </w:tcPr>
          <w:p w14:paraId="1C320D1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4658</w:t>
            </w:r>
          </w:p>
        </w:tc>
        <w:tc>
          <w:tcPr>
            <w:tcW w:w="726" w:type="dxa"/>
            <w:noWrap/>
            <w:hideMark/>
          </w:tcPr>
          <w:p w14:paraId="472C96D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4264</w:t>
            </w:r>
          </w:p>
        </w:tc>
        <w:tc>
          <w:tcPr>
            <w:tcW w:w="726" w:type="dxa"/>
            <w:noWrap/>
            <w:hideMark/>
          </w:tcPr>
          <w:p w14:paraId="14A2FF5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3642</w:t>
            </w:r>
          </w:p>
        </w:tc>
        <w:tc>
          <w:tcPr>
            <w:tcW w:w="726" w:type="dxa"/>
            <w:noWrap/>
            <w:hideMark/>
          </w:tcPr>
          <w:p w14:paraId="4C2A422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3455</w:t>
            </w:r>
          </w:p>
        </w:tc>
        <w:tc>
          <w:tcPr>
            <w:tcW w:w="726" w:type="dxa"/>
            <w:noWrap/>
            <w:hideMark/>
          </w:tcPr>
          <w:p w14:paraId="0C39EAE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3709</w:t>
            </w:r>
          </w:p>
        </w:tc>
        <w:tc>
          <w:tcPr>
            <w:tcW w:w="726" w:type="dxa"/>
            <w:noWrap/>
            <w:hideMark/>
          </w:tcPr>
          <w:p w14:paraId="24F573F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3515</w:t>
            </w:r>
          </w:p>
        </w:tc>
        <w:tc>
          <w:tcPr>
            <w:tcW w:w="726" w:type="dxa"/>
            <w:noWrap/>
            <w:hideMark/>
          </w:tcPr>
          <w:p w14:paraId="776F831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2995</w:t>
            </w:r>
          </w:p>
        </w:tc>
        <w:tc>
          <w:tcPr>
            <w:tcW w:w="726" w:type="dxa"/>
            <w:noWrap/>
            <w:hideMark/>
          </w:tcPr>
          <w:p w14:paraId="0C05869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2426</w:t>
            </w:r>
          </w:p>
        </w:tc>
        <w:tc>
          <w:tcPr>
            <w:tcW w:w="726" w:type="dxa"/>
            <w:noWrap/>
            <w:hideMark/>
          </w:tcPr>
          <w:p w14:paraId="4B0A0CC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1659</w:t>
            </w:r>
          </w:p>
        </w:tc>
        <w:tc>
          <w:tcPr>
            <w:tcW w:w="726" w:type="dxa"/>
            <w:noWrap/>
            <w:hideMark/>
          </w:tcPr>
          <w:p w14:paraId="5B98FCA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1269</w:t>
            </w:r>
          </w:p>
        </w:tc>
        <w:tc>
          <w:tcPr>
            <w:tcW w:w="726" w:type="dxa"/>
            <w:noWrap/>
            <w:hideMark/>
          </w:tcPr>
          <w:p w14:paraId="172205D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937</w:t>
            </w:r>
          </w:p>
        </w:tc>
        <w:tc>
          <w:tcPr>
            <w:tcW w:w="726" w:type="dxa"/>
            <w:noWrap/>
            <w:hideMark/>
          </w:tcPr>
          <w:p w14:paraId="0F45C04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830</w:t>
            </w:r>
          </w:p>
        </w:tc>
        <w:tc>
          <w:tcPr>
            <w:tcW w:w="726" w:type="dxa"/>
            <w:noWrap/>
            <w:hideMark/>
          </w:tcPr>
          <w:p w14:paraId="01EF053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859</w:t>
            </w:r>
          </w:p>
        </w:tc>
        <w:tc>
          <w:tcPr>
            <w:tcW w:w="646" w:type="dxa"/>
            <w:noWrap/>
            <w:hideMark/>
          </w:tcPr>
          <w:p w14:paraId="49A8E90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1911</w:t>
            </w:r>
          </w:p>
        </w:tc>
        <w:tc>
          <w:tcPr>
            <w:tcW w:w="917" w:type="dxa"/>
            <w:noWrap/>
            <w:hideMark/>
          </w:tcPr>
          <w:p w14:paraId="6FFF77C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38316</w:t>
            </w:r>
          </w:p>
        </w:tc>
      </w:tr>
      <w:tr w:rsidR="007268E9" w:rsidRPr="00151B48" w14:paraId="7F9D995D"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41147555" w14:textId="6C0F6233"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655" w:type="dxa"/>
            <w:noWrap/>
            <w:hideMark/>
          </w:tcPr>
          <w:p w14:paraId="48E6170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1234</w:t>
            </w:r>
          </w:p>
        </w:tc>
        <w:tc>
          <w:tcPr>
            <w:tcW w:w="727" w:type="dxa"/>
            <w:noWrap/>
            <w:hideMark/>
          </w:tcPr>
          <w:p w14:paraId="3E0EE0A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172</w:t>
            </w:r>
          </w:p>
        </w:tc>
        <w:tc>
          <w:tcPr>
            <w:tcW w:w="727" w:type="dxa"/>
            <w:noWrap/>
            <w:hideMark/>
          </w:tcPr>
          <w:p w14:paraId="5BCE4B5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770</w:t>
            </w:r>
          </w:p>
        </w:tc>
        <w:tc>
          <w:tcPr>
            <w:tcW w:w="725" w:type="dxa"/>
            <w:noWrap/>
            <w:hideMark/>
          </w:tcPr>
          <w:p w14:paraId="142CA05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5073</w:t>
            </w:r>
          </w:p>
        </w:tc>
        <w:tc>
          <w:tcPr>
            <w:tcW w:w="726" w:type="dxa"/>
            <w:noWrap/>
            <w:hideMark/>
          </w:tcPr>
          <w:p w14:paraId="0F11219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4465</w:t>
            </w:r>
          </w:p>
        </w:tc>
        <w:tc>
          <w:tcPr>
            <w:tcW w:w="726" w:type="dxa"/>
            <w:noWrap/>
            <w:hideMark/>
          </w:tcPr>
          <w:p w14:paraId="1F42B031"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3719</w:t>
            </w:r>
          </w:p>
        </w:tc>
        <w:tc>
          <w:tcPr>
            <w:tcW w:w="726" w:type="dxa"/>
            <w:noWrap/>
            <w:hideMark/>
          </w:tcPr>
          <w:p w14:paraId="5C6E17D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3619</w:t>
            </w:r>
          </w:p>
        </w:tc>
        <w:tc>
          <w:tcPr>
            <w:tcW w:w="726" w:type="dxa"/>
            <w:noWrap/>
            <w:hideMark/>
          </w:tcPr>
          <w:p w14:paraId="0694D33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3773</w:t>
            </w:r>
          </w:p>
        </w:tc>
        <w:tc>
          <w:tcPr>
            <w:tcW w:w="726" w:type="dxa"/>
            <w:noWrap/>
            <w:hideMark/>
          </w:tcPr>
          <w:p w14:paraId="1676DAF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3678</w:t>
            </w:r>
          </w:p>
        </w:tc>
        <w:tc>
          <w:tcPr>
            <w:tcW w:w="726" w:type="dxa"/>
            <w:noWrap/>
            <w:hideMark/>
          </w:tcPr>
          <w:p w14:paraId="68BAF93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3103</w:t>
            </w:r>
          </w:p>
        </w:tc>
        <w:tc>
          <w:tcPr>
            <w:tcW w:w="726" w:type="dxa"/>
            <w:noWrap/>
            <w:hideMark/>
          </w:tcPr>
          <w:p w14:paraId="67F88C3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2441</w:t>
            </w:r>
          </w:p>
        </w:tc>
        <w:tc>
          <w:tcPr>
            <w:tcW w:w="726" w:type="dxa"/>
            <w:noWrap/>
            <w:hideMark/>
          </w:tcPr>
          <w:p w14:paraId="45294D1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1751</w:t>
            </w:r>
          </w:p>
        </w:tc>
        <w:tc>
          <w:tcPr>
            <w:tcW w:w="726" w:type="dxa"/>
            <w:noWrap/>
            <w:hideMark/>
          </w:tcPr>
          <w:p w14:paraId="5C7F3D0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1292</w:t>
            </w:r>
          </w:p>
        </w:tc>
        <w:tc>
          <w:tcPr>
            <w:tcW w:w="726" w:type="dxa"/>
            <w:noWrap/>
            <w:hideMark/>
          </w:tcPr>
          <w:p w14:paraId="18550EE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947</w:t>
            </w:r>
          </w:p>
        </w:tc>
        <w:tc>
          <w:tcPr>
            <w:tcW w:w="726" w:type="dxa"/>
            <w:noWrap/>
            <w:hideMark/>
          </w:tcPr>
          <w:p w14:paraId="122AB50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838</w:t>
            </w:r>
          </w:p>
        </w:tc>
        <w:tc>
          <w:tcPr>
            <w:tcW w:w="726" w:type="dxa"/>
            <w:noWrap/>
            <w:hideMark/>
          </w:tcPr>
          <w:p w14:paraId="0B707F7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846</w:t>
            </w:r>
          </w:p>
        </w:tc>
        <w:tc>
          <w:tcPr>
            <w:tcW w:w="646" w:type="dxa"/>
            <w:noWrap/>
            <w:hideMark/>
          </w:tcPr>
          <w:p w14:paraId="75D7374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1987</w:t>
            </w:r>
          </w:p>
        </w:tc>
        <w:tc>
          <w:tcPr>
            <w:tcW w:w="917" w:type="dxa"/>
            <w:noWrap/>
            <w:hideMark/>
          </w:tcPr>
          <w:p w14:paraId="5C713F7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39708</w:t>
            </w:r>
          </w:p>
        </w:tc>
      </w:tr>
      <w:tr w:rsidR="00AB403C" w:rsidRPr="00151B48" w14:paraId="2082C21F"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5C1187C2" w14:textId="5376FD5E"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655" w:type="dxa"/>
            <w:noWrap/>
            <w:hideMark/>
          </w:tcPr>
          <w:p w14:paraId="27920AC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1206</w:t>
            </w:r>
          </w:p>
        </w:tc>
        <w:tc>
          <w:tcPr>
            <w:tcW w:w="727" w:type="dxa"/>
            <w:noWrap/>
            <w:hideMark/>
          </w:tcPr>
          <w:p w14:paraId="28B50E7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149</w:t>
            </w:r>
          </w:p>
        </w:tc>
        <w:tc>
          <w:tcPr>
            <w:tcW w:w="727" w:type="dxa"/>
            <w:noWrap/>
            <w:hideMark/>
          </w:tcPr>
          <w:p w14:paraId="44F9140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1209</w:t>
            </w:r>
          </w:p>
        </w:tc>
        <w:tc>
          <w:tcPr>
            <w:tcW w:w="725" w:type="dxa"/>
            <w:noWrap/>
            <w:hideMark/>
          </w:tcPr>
          <w:p w14:paraId="2282CCE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5496</w:t>
            </w:r>
          </w:p>
        </w:tc>
        <w:tc>
          <w:tcPr>
            <w:tcW w:w="726" w:type="dxa"/>
            <w:noWrap/>
            <w:hideMark/>
          </w:tcPr>
          <w:p w14:paraId="0EFB8AC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4165</w:t>
            </w:r>
          </w:p>
        </w:tc>
        <w:tc>
          <w:tcPr>
            <w:tcW w:w="726" w:type="dxa"/>
            <w:noWrap/>
            <w:hideMark/>
          </w:tcPr>
          <w:p w14:paraId="63075AA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3493</w:t>
            </w:r>
          </w:p>
        </w:tc>
        <w:tc>
          <w:tcPr>
            <w:tcW w:w="726" w:type="dxa"/>
            <w:noWrap/>
            <w:hideMark/>
          </w:tcPr>
          <w:p w14:paraId="2C2E275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3464</w:t>
            </w:r>
          </w:p>
        </w:tc>
        <w:tc>
          <w:tcPr>
            <w:tcW w:w="726" w:type="dxa"/>
            <w:noWrap/>
            <w:hideMark/>
          </w:tcPr>
          <w:p w14:paraId="01A7161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3487</w:t>
            </w:r>
          </w:p>
        </w:tc>
        <w:tc>
          <w:tcPr>
            <w:tcW w:w="726" w:type="dxa"/>
            <w:noWrap/>
            <w:hideMark/>
          </w:tcPr>
          <w:p w14:paraId="020609C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3417</w:t>
            </w:r>
          </w:p>
        </w:tc>
        <w:tc>
          <w:tcPr>
            <w:tcW w:w="726" w:type="dxa"/>
            <w:noWrap/>
            <w:hideMark/>
          </w:tcPr>
          <w:p w14:paraId="3CB2DAD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3157</w:t>
            </w:r>
          </w:p>
        </w:tc>
        <w:tc>
          <w:tcPr>
            <w:tcW w:w="726" w:type="dxa"/>
            <w:noWrap/>
            <w:hideMark/>
          </w:tcPr>
          <w:p w14:paraId="34820F2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2491</w:t>
            </w:r>
          </w:p>
        </w:tc>
        <w:tc>
          <w:tcPr>
            <w:tcW w:w="726" w:type="dxa"/>
            <w:noWrap/>
            <w:hideMark/>
          </w:tcPr>
          <w:p w14:paraId="7C8C40B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1778</w:t>
            </w:r>
          </w:p>
        </w:tc>
        <w:tc>
          <w:tcPr>
            <w:tcW w:w="726" w:type="dxa"/>
            <w:noWrap/>
            <w:hideMark/>
          </w:tcPr>
          <w:p w14:paraId="2B9C1F8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1370</w:t>
            </w:r>
          </w:p>
        </w:tc>
        <w:tc>
          <w:tcPr>
            <w:tcW w:w="726" w:type="dxa"/>
            <w:noWrap/>
            <w:hideMark/>
          </w:tcPr>
          <w:p w14:paraId="1F7320F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1060</w:t>
            </w:r>
          </w:p>
        </w:tc>
        <w:tc>
          <w:tcPr>
            <w:tcW w:w="726" w:type="dxa"/>
            <w:noWrap/>
            <w:hideMark/>
          </w:tcPr>
          <w:p w14:paraId="1EC56FA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877</w:t>
            </w:r>
          </w:p>
        </w:tc>
        <w:tc>
          <w:tcPr>
            <w:tcW w:w="726" w:type="dxa"/>
            <w:noWrap/>
            <w:hideMark/>
          </w:tcPr>
          <w:p w14:paraId="175999D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882</w:t>
            </w:r>
          </w:p>
        </w:tc>
        <w:tc>
          <w:tcPr>
            <w:tcW w:w="646" w:type="dxa"/>
            <w:noWrap/>
            <w:hideMark/>
          </w:tcPr>
          <w:p w14:paraId="6370633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1910</w:t>
            </w:r>
          </w:p>
        </w:tc>
        <w:tc>
          <w:tcPr>
            <w:tcW w:w="917" w:type="dxa"/>
            <w:noWrap/>
            <w:hideMark/>
          </w:tcPr>
          <w:p w14:paraId="699BFE9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39611</w:t>
            </w:r>
          </w:p>
        </w:tc>
      </w:tr>
      <w:tr w:rsidR="007268E9" w:rsidRPr="00151B48" w14:paraId="76D65B42"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535DDBE1" w14:textId="17D651A5"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655" w:type="dxa"/>
            <w:noWrap/>
            <w:hideMark/>
          </w:tcPr>
          <w:p w14:paraId="52C91E8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1258</w:t>
            </w:r>
          </w:p>
        </w:tc>
        <w:tc>
          <w:tcPr>
            <w:tcW w:w="727" w:type="dxa"/>
            <w:noWrap/>
            <w:hideMark/>
          </w:tcPr>
          <w:p w14:paraId="08A602E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182</w:t>
            </w:r>
          </w:p>
        </w:tc>
        <w:tc>
          <w:tcPr>
            <w:tcW w:w="727" w:type="dxa"/>
            <w:noWrap/>
            <w:hideMark/>
          </w:tcPr>
          <w:p w14:paraId="63CB3A0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1011</w:t>
            </w:r>
          </w:p>
        </w:tc>
        <w:tc>
          <w:tcPr>
            <w:tcW w:w="725" w:type="dxa"/>
            <w:noWrap/>
            <w:hideMark/>
          </w:tcPr>
          <w:p w14:paraId="067E090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5180</w:t>
            </w:r>
          </w:p>
        </w:tc>
        <w:tc>
          <w:tcPr>
            <w:tcW w:w="726" w:type="dxa"/>
            <w:noWrap/>
            <w:hideMark/>
          </w:tcPr>
          <w:p w14:paraId="2C2CBC91"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4185</w:t>
            </w:r>
          </w:p>
        </w:tc>
        <w:tc>
          <w:tcPr>
            <w:tcW w:w="726" w:type="dxa"/>
            <w:noWrap/>
            <w:hideMark/>
          </w:tcPr>
          <w:p w14:paraId="4B4ABF8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3578</w:t>
            </w:r>
          </w:p>
        </w:tc>
        <w:tc>
          <w:tcPr>
            <w:tcW w:w="726" w:type="dxa"/>
            <w:noWrap/>
            <w:hideMark/>
          </w:tcPr>
          <w:p w14:paraId="0DA3328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3479</w:t>
            </w:r>
          </w:p>
        </w:tc>
        <w:tc>
          <w:tcPr>
            <w:tcW w:w="726" w:type="dxa"/>
            <w:noWrap/>
            <w:hideMark/>
          </w:tcPr>
          <w:p w14:paraId="48D6489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3430</w:t>
            </w:r>
          </w:p>
        </w:tc>
        <w:tc>
          <w:tcPr>
            <w:tcW w:w="726" w:type="dxa"/>
            <w:noWrap/>
            <w:hideMark/>
          </w:tcPr>
          <w:p w14:paraId="5FACE4F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3280</w:t>
            </w:r>
          </w:p>
        </w:tc>
        <w:tc>
          <w:tcPr>
            <w:tcW w:w="726" w:type="dxa"/>
            <w:noWrap/>
            <w:hideMark/>
          </w:tcPr>
          <w:p w14:paraId="06D88C1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3157</w:t>
            </w:r>
          </w:p>
        </w:tc>
        <w:tc>
          <w:tcPr>
            <w:tcW w:w="726" w:type="dxa"/>
            <w:noWrap/>
            <w:hideMark/>
          </w:tcPr>
          <w:p w14:paraId="3C83C06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2628</w:t>
            </w:r>
          </w:p>
        </w:tc>
        <w:tc>
          <w:tcPr>
            <w:tcW w:w="726" w:type="dxa"/>
            <w:noWrap/>
            <w:hideMark/>
          </w:tcPr>
          <w:p w14:paraId="2577F12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1837</w:t>
            </w:r>
          </w:p>
        </w:tc>
        <w:tc>
          <w:tcPr>
            <w:tcW w:w="726" w:type="dxa"/>
            <w:noWrap/>
            <w:hideMark/>
          </w:tcPr>
          <w:p w14:paraId="056C1E1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1417</w:t>
            </w:r>
          </w:p>
        </w:tc>
        <w:tc>
          <w:tcPr>
            <w:tcW w:w="726" w:type="dxa"/>
            <w:noWrap/>
            <w:hideMark/>
          </w:tcPr>
          <w:p w14:paraId="1FCA606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1176</w:t>
            </w:r>
          </w:p>
        </w:tc>
        <w:tc>
          <w:tcPr>
            <w:tcW w:w="726" w:type="dxa"/>
            <w:noWrap/>
            <w:hideMark/>
          </w:tcPr>
          <w:p w14:paraId="31E0E3F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940</w:t>
            </w:r>
          </w:p>
        </w:tc>
        <w:tc>
          <w:tcPr>
            <w:tcW w:w="726" w:type="dxa"/>
            <w:noWrap/>
            <w:hideMark/>
          </w:tcPr>
          <w:p w14:paraId="1B95B24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876</w:t>
            </w:r>
          </w:p>
        </w:tc>
        <w:tc>
          <w:tcPr>
            <w:tcW w:w="646" w:type="dxa"/>
            <w:noWrap/>
            <w:hideMark/>
          </w:tcPr>
          <w:p w14:paraId="58E50ED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1930</w:t>
            </w:r>
          </w:p>
        </w:tc>
        <w:tc>
          <w:tcPr>
            <w:tcW w:w="917" w:type="dxa"/>
            <w:noWrap/>
            <w:hideMark/>
          </w:tcPr>
          <w:p w14:paraId="6676CE5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39547</w:t>
            </w:r>
          </w:p>
        </w:tc>
      </w:tr>
      <w:tr w:rsidR="00AB403C" w:rsidRPr="00151B48" w14:paraId="053E7628"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1877DEA7" w14:textId="6820D395"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655" w:type="dxa"/>
            <w:noWrap/>
            <w:hideMark/>
          </w:tcPr>
          <w:p w14:paraId="49A560E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1264</w:t>
            </w:r>
          </w:p>
        </w:tc>
        <w:tc>
          <w:tcPr>
            <w:tcW w:w="727" w:type="dxa"/>
            <w:noWrap/>
            <w:hideMark/>
          </w:tcPr>
          <w:p w14:paraId="6882FBD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177</w:t>
            </w:r>
          </w:p>
        </w:tc>
        <w:tc>
          <w:tcPr>
            <w:tcW w:w="727" w:type="dxa"/>
            <w:noWrap/>
            <w:hideMark/>
          </w:tcPr>
          <w:p w14:paraId="04037DD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999</w:t>
            </w:r>
          </w:p>
        </w:tc>
        <w:tc>
          <w:tcPr>
            <w:tcW w:w="725" w:type="dxa"/>
            <w:noWrap/>
            <w:hideMark/>
          </w:tcPr>
          <w:p w14:paraId="14FF265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5296</w:t>
            </w:r>
          </w:p>
        </w:tc>
        <w:tc>
          <w:tcPr>
            <w:tcW w:w="726" w:type="dxa"/>
            <w:noWrap/>
            <w:hideMark/>
          </w:tcPr>
          <w:p w14:paraId="1B6F199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4729</w:t>
            </w:r>
          </w:p>
        </w:tc>
        <w:tc>
          <w:tcPr>
            <w:tcW w:w="726" w:type="dxa"/>
            <w:noWrap/>
            <w:hideMark/>
          </w:tcPr>
          <w:p w14:paraId="1035C05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3696</w:t>
            </w:r>
          </w:p>
        </w:tc>
        <w:tc>
          <w:tcPr>
            <w:tcW w:w="726" w:type="dxa"/>
            <w:noWrap/>
            <w:hideMark/>
          </w:tcPr>
          <w:p w14:paraId="791FFD6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3717</w:t>
            </w:r>
          </w:p>
        </w:tc>
        <w:tc>
          <w:tcPr>
            <w:tcW w:w="726" w:type="dxa"/>
            <w:noWrap/>
            <w:hideMark/>
          </w:tcPr>
          <w:p w14:paraId="5B493CA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3624</w:t>
            </w:r>
          </w:p>
        </w:tc>
        <w:tc>
          <w:tcPr>
            <w:tcW w:w="726" w:type="dxa"/>
            <w:noWrap/>
            <w:hideMark/>
          </w:tcPr>
          <w:p w14:paraId="23A96DD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3831</w:t>
            </w:r>
          </w:p>
        </w:tc>
        <w:tc>
          <w:tcPr>
            <w:tcW w:w="726" w:type="dxa"/>
            <w:noWrap/>
            <w:hideMark/>
          </w:tcPr>
          <w:p w14:paraId="35E6FB3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3211</w:t>
            </w:r>
          </w:p>
        </w:tc>
        <w:tc>
          <w:tcPr>
            <w:tcW w:w="726" w:type="dxa"/>
            <w:noWrap/>
            <w:hideMark/>
          </w:tcPr>
          <w:p w14:paraId="794126D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2839</w:t>
            </w:r>
          </w:p>
        </w:tc>
        <w:tc>
          <w:tcPr>
            <w:tcW w:w="726" w:type="dxa"/>
            <w:noWrap/>
            <w:hideMark/>
          </w:tcPr>
          <w:p w14:paraId="537C754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2087</w:t>
            </w:r>
          </w:p>
        </w:tc>
        <w:tc>
          <w:tcPr>
            <w:tcW w:w="726" w:type="dxa"/>
            <w:noWrap/>
            <w:hideMark/>
          </w:tcPr>
          <w:p w14:paraId="68ABF6D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1504</w:t>
            </w:r>
          </w:p>
        </w:tc>
        <w:tc>
          <w:tcPr>
            <w:tcW w:w="726" w:type="dxa"/>
            <w:noWrap/>
            <w:hideMark/>
          </w:tcPr>
          <w:p w14:paraId="28296BF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1319</w:t>
            </w:r>
          </w:p>
        </w:tc>
        <w:tc>
          <w:tcPr>
            <w:tcW w:w="726" w:type="dxa"/>
            <w:noWrap/>
            <w:hideMark/>
          </w:tcPr>
          <w:p w14:paraId="58200F7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1062</w:t>
            </w:r>
          </w:p>
        </w:tc>
        <w:tc>
          <w:tcPr>
            <w:tcW w:w="726" w:type="dxa"/>
            <w:noWrap/>
            <w:hideMark/>
          </w:tcPr>
          <w:p w14:paraId="60FD2FA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936</w:t>
            </w:r>
          </w:p>
        </w:tc>
        <w:tc>
          <w:tcPr>
            <w:tcW w:w="646" w:type="dxa"/>
            <w:noWrap/>
            <w:hideMark/>
          </w:tcPr>
          <w:p w14:paraId="6C1AE09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2036</w:t>
            </w:r>
          </w:p>
        </w:tc>
        <w:tc>
          <w:tcPr>
            <w:tcW w:w="917" w:type="dxa"/>
            <w:noWrap/>
            <w:hideMark/>
          </w:tcPr>
          <w:p w14:paraId="5E267AB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42327</w:t>
            </w:r>
          </w:p>
        </w:tc>
      </w:tr>
      <w:tr w:rsidR="007268E9" w:rsidRPr="00151B48" w14:paraId="2B18A4AF"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48478E6F" w14:textId="1BAC8ED4"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655" w:type="dxa"/>
            <w:noWrap/>
            <w:hideMark/>
          </w:tcPr>
          <w:p w14:paraId="7C30111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1258</w:t>
            </w:r>
          </w:p>
        </w:tc>
        <w:tc>
          <w:tcPr>
            <w:tcW w:w="727" w:type="dxa"/>
            <w:noWrap/>
            <w:hideMark/>
          </w:tcPr>
          <w:p w14:paraId="5B0D68B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186</w:t>
            </w:r>
          </w:p>
        </w:tc>
        <w:tc>
          <w:tcPr>
            <w:tcW w:w="727" w:type="dxa"/>
            <w:noWrap/>
            <w:hideMark/>
          </w:tcPr>
          <w:p w14:paraId="2C78076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1144</w:t>
            </w:r>
          </w:p>
        </w:tc>
        <w:tc>
          <w:tcPr>
            <w:tcW w:w="725" w:type="dxa"/>
            <w:noWrap/>
            <w:hideMark/>
          </w:tcPr>
          <w:p w14:paraId="13C0039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5840</w:t>
            </w:r>
          </w:p>
        </w:tc>
        <w:tc>
          <w:tcPr>
            <w:tcW w:w="726" w:type="dxa"/>
            <w:noWrap/>
            <w:hideMark/>
          </w:tcPr>
          <w:p w14:paraId="485641D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5152</w:t>
            </w:r>
          </w:p>
        </w:tc>
        <w:tc>
          <w:tcPr>
            <w:tcW w:w="726" w:type="dxa"/>
            <w:noWrap/>
            <w:hideMark/>
          </w:tcPr>
          <w:p w14:paraId="3027F53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4347</w:t>
            </w:r>
          </w:p>
        </w:tc>
        <w:tc>
          <w:tcPr>
            <w:tcW w:w="726" w:type="dxa"/>
            <w:noWrap/>
            <w:hideMark/>
          </w:tcPr>
          <w:p w14:paraId="07F66C3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3952</w:t>
            </w:r>
          </w:p>
        </w:tc>
        <w:tc>
          <w:tcPr>
            <w:tcW w:w="726" w:type="dxa"/>
            <w:noWrap/>
            <w:hideMark/>
          </w:tcPr>
          <w:p w14:paraId="13A12BE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3926</w:t>
            </w:r>
          </w:p>
        </w:tc>
        <w:tc>
          <w:tcPr>
            <w:tcW w:w="726" w:type="dxa"/>
            <w:noWrap/>
            <w:hideMark/>
          </w:tcPr>
          <w:p w14:paraId="291F0FA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3886</w:t>
            </w:r>
          </w:p>
        </w:tc>
        <w:tc>
          <w:tcPr>
            <w:tcW w:w="726" w:type="dxa"/>
            <w:noWrap/>
            <w:hideMark/>
          </w:tcPr>
          <w:p w14:paraId="27A8F48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3565</w:t>
            </w:r>
          </w:p>
        </w:tc>
        <w:tc>
          <w:tcPr>
            <w:tcW w:w="726" w:type="dxa"/>
            <w:noWrap/>
            <w:hideMark/>
          </w:tcPr>
          <w:p w14:paraId="17B9BDF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3023</w:t>
            </w:r>
          </w:p>
        </w:tc>
        <w:tc>
          <w:tcPr>
            <w:tcW w:w="726" w:type="dxa"/>
            <w:noWrap/>
            <w:hideMark/>
          </w:tcPr>
          <w:p w14:paraId="4BB9FEF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2193</w:t>
            </w:r>
          </w:p>
        </w:tc>
        <w:tc>
          <w:tcPr>
            <w:tcW w:w="726" w:type="dxa"/>
            <w:noWrap/>
            <w:hideMark/>
          </w:tcPr>
          <w:p w14:paraId="3977B0E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1578</w:t>
            </w:r>
          </w:p>
        </w:tc>
        <w:tc>
          <w:tcPr>
            <w:tcW w:w="726" w:type="dxa"/>
            <w:noWrap/>
            <w:hideMark/>
          </w:tcPr>
          <w:p w14:paraId="3FC9B5C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1297</w:t>
            </w:r>
          </w:p>
        </w:tc>
        <w:tc>
          <w:tcPr>
            <w:tcW w:w="726" w:type="dxa"/>
            <w:noWrap/>
            <w:hideMark/>
          </w:tcPr>
          <w:p w14:paraId="3850624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1024</w:t>
            </w:r>
          </w:p>
        </w:tc>
        <w:tc>
          <w:tcPr>
            <w:tcW w:w="726" w:type="dxa"/>
            <w:noWrap/>
            <w:hideMark/>
          </w:tcPr>
          <w:p w14:paraId="7ED7DBD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1067</w:t>
            </w:r>
          </w:p>
        </w:tc>
        <w:tc>
          <w:tcPr>
            <w:tcW w:w="646" w:type="dxa"/>
            <w:noWrap/>
            <w:hideMark/>
          </w:tcPr>
          <w:p w14:paraId="3A1AC0D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2169</w:t>
            </w:r>
          </w:p>
        </w:tc>
        <w:tc>
          <w:tcPr>
            <w:tcW w:w="917" w:type="dxa"/>
            <w:noWrap/>
            <w:hideMark/>
          </w:tcPr>
          <w:p w14:paraId="2F6404C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45607</w:t>
            </w:r>
          </w:p>
        </w:tc>
      </w:tr>
      <w:tr w:rsidR="00AB403C" w:rsidRPr="00151B48" w14:paraId="381AB03B"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6B72853E" w14:textId="24ED2F02"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655" w:type="dxa"/>
            <w:noWrap/>
            <w:hideMark/>
          </w:tcPr>
          <w:p w14:paraId="236E9A2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1371</w:t>
            </w:r>
          </w:p>
        </w:tc>
        <w:tc>
          <w:tcPr>
            <w:tcW w:w="727" w:type="dxa"/>
            <w:noWrap/>
            <w:hideMark/>
          </w:tcPr>
          <w:p w14:paraId="651CA31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212</w:t>
            </w:r>
          </w:p>
        </w:tc>
        <w:tc>
          <w:tcPr>
            <w:tcW w:w="727" w:type="dxa"/>
            <w:noWrap/>
            <w:hideMark/>
          </w:tcPr>
          <w:p w14:paraId="16AA33F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1305</w:t>
            </w:r>
          </w:p>
        </w:tc>
        <w:tc>
          <w:tcPr>
            <w:tcW w:w="725" w:type="dxa"/>
            <w:noWrap/>
            <w:hideMark/>
          </w:tcPr>
          <w:p w14:paraId="1A97D5C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6624</w:t>
            </w:r>
          </w:p>
        </w:tc>
        <w:tc>
          <w:tcPr>
            <w:tcW w:w="726" w:type="dxa"/>
            <w:noWrap/>
            <w:hideMark/>
          </w:tcPr>
          <w:p w14:paraId="4DF03D3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5339</w:t>
            </w:r>
          </w:p>
        </w:tc>
        <w:tc>
          <w:tcPr>
            <w:tcW w:w="726" w:type="dxa"/>
            <w:noWrap/>
            <w:hideMark/>
          </w:tcPr>
          <w:p w14:paraId="1468E9E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4276</w:t>
            </w:r>
          </w:p>
        </w:tc>
        <w:tc>
          <w:tcPr>
            <w:tcW w:w="726" w:type="dxa"/>
            <w:noWrap/>
            <w:hideMark/>
          </w:tcPr>
          <w:p w14:paraId="17E21FF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3957</w:t>
            </w:r>
          </w:p>
        </w:tc>
        <w:tc>
          <w:tcPr>
            <w:tcW w:w="726" w:type="dxa"/>
            <w:noWrap/>
            <w:hideMark/>
          </w:tcPr>
          <w:p w14:paraId="58F1AA9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3811</w:t>
            </w:r>
          </w:p>
        </w:tc>
        <w:tc>
          <w:tcPr>
            <w:tcW w:w="726" w:type="dxa"/>
            <w:noWrap/>
            <w:hideMark/>
          </w:tcPr>
          <w:p w14:paraId="4A2A247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3786</w:t>
            </w:r>
          </w:p>
        </w:tc>
        <w:tc>
          <w:tcPr>
            <w:tcW w:w="726" w:type="dxa"/>
            <w:noWrap/>
            <w:hideMark/>
          </w:tcPr>
          <w:p w14:paraId="4DC6D41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3786</w:t>
            </w:r>
          </w:p>
        </w:tc>
        <w:tc>
          <w:tcPr>
            <w:tcW w:w="726" w:type="dxa"/>
            <w:noWrap/>
            <w:hideMark/>
          </w:tcPr>
          <w:p w14:paraId="5FC403F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3093</w:t>
            </w:r>
          </w:p>
        </w:tc>
        <w:tc>
          <w:tcPr>
            <w:tcW w:w="726" w:type="dxa"/>
            <w:noWrap/>
            <w:hideMark/>
          </w:tcPr>
          <w:p w14:paraId="7DD8499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2284</w:t>
            </w:r>
          </w:p>
        </w:tc>
        <w:tc>
          <w:tcPr>
            <w:tcW w:w="726" w:type="dxa"/>
            <w:noWrap/>
            <w:hideMark/>
          </w:tcPr>
          <w:p w14:paraId="6D8BBDD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1706</w:t>
            </w:r>
          </w:p>
        </w:tc>
        <w:tc>
          <w:tcPr>
            <w:tcW w:w="726" w:type="dxa"/>
            <w:noWrap/>
            <w:hideMark/>
          </w:tcPr>
          <w:p w14:paraId="24FE730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1342</w:t>
            </w:r>
          </w:p>
        </w:tc>
        <w:tc>
          <w:tcPr>
            <w:tcW w:w="726" w:type="dxa"/>
            <w:noWrap/>
            <w:hideMark/>
          </w:tcPr>
          <w:p w14:paraId="508F23D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1172</w:t>
            </w:r>
          </w:p>
        </w:tc>
        <w:tc>
          <w:tcPr>
            <w:tcW w:w="726" w:type="dxa"/>
            <w:noWrap/>
            <w:hideMark/>
          </w:tcPr>
          <w:p w14:paraId="1E5DC7B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1106</w:t>
            </w:r>
          </w:p>
        </w:tc>
        <w:tc>
          <w:tcPr>
            <w:tcW w:w="646" w:type="dxa"/>
            <w:noWrap/>
            <w:hideMark/>
          </w:tcPr>
          <w:p w14:paraId="0EC3999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2156</w:t>
            </w:r>
          </w:p>
        </w:tc>
        <w:tc>
          <w:tcPr>
            <w:tcW w:w="917" w:type="dxa"/>
            <w:noWrap/>
            <w:hideMark/>
          </w:tcPr>
          <w:p w14:paraId="00E6FA3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47327</w:t>
            </w:r>
          </w:p>
        </w:tc>
      </w:tr>
      <w:tr w:rsidR="007268E9" w:rsidRPr="00151B48" w14:paraId="178A2CE3"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72E79881" w14:textId="0B387B58"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655" w:type="dxa"/>
            <w:noWrap/>
            <w:hideMark/>
          </w:tcPr>
          <w:p w14:paraId="39D286B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1298</w:t>
            </w:r>
          </w:p>
        </w:tc>
        <w:tc>
          <w:tcPr>
            <w:tcW w:w="727" w:type="dxa"/>
            <w:noWrap/>
            <w:hideMark/>
          </w:tcPr>
          <w:p w14:paraId="5C8641F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197</w:t>
            </w:r>
          </w:p>
        </w:tc>
        <w:tc>
          <w:tcPr>
            <w:tcW w:w="727" w:type="dxa"/>
            <w:noWrap/>
            <w:hideMark/>
          </w:tcPr>
          <w:p w14:paraId="259E734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1205</w:t>
            </w:r>
          </w:p>
        </w:tc>
        <w:tc>
          <w:tcPr>
            <w:tcW w:w="725" w:type="dxa"/>
            <w:noWrap/>
            <w:hideMark/>
          </w:tcPr>
          <w:p w14:paraId="4AB8777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5976</w:t>
            </w:r>
          </w:p>
        </w:tc>
        <w:tc>
          <w:tcPr>
            <w:tcW w:w="726" w:type="dxa"/>
            <w:noWrap/>
            <w:hideMark/>
          </w:tcPr>
          <w:p w14:paraId="21CC6E9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4882</w:t>
            </w:r>
          </w:p>
        </w:tc>
        <w:tc>
          <w:tcPr>
            <w:tcW w:w="726" w:type="dxa"/>
            <w:noWrap/>
            <w:hideMark/>
          </w:tcPr>
          <w:p w14:paraId="3ABC816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4009</w:t>
            </w:r>
          </w:p>
        </w:tc>
        <w:tc>
          <w:tcPr>
            <w:tcW w:w="726" w:type="dxa"/>
            <w:noWrap/>
            <w:hideMark/>
          </w:tcPr>
          <w:p w14:paraId="6CBE579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3443</w:t>
            </w:r>
          </w:p>
        </w:tc>
        <w:tc>
          <w:tcPr>
            <w:tcW w:w="726" w:type="dxa"/>
            <w:noWrap/>
            <w:hideMark/>
          </w:tcPr>
          <w:p w14:paraId="5D3314A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3479</w:t>
            </w:r>
          </w:p>
        </w:tc>
        <w:tc>
          <w:tcPr>
            <w:tcW w:w="726" w:type="dxa"/>
            <w:noWrap/>
            <w:hideMark/>
          </w:tcPr>
          <w:p w14:paraId="0BABE13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3428</w:t>
            </w:r>
          </w:p>
        </w:tc>
        <w:tc>
          <w:tcPr>
            <w:tcW w:w="726" w:type="dxa"/>
            <w:noWrap/>
            <w:hideMark/>
          </w:tcPr>
          <w:p w14:paraId="5BEC150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3361</w:t>
            </w:r>
          </w:p>
        </w:tc>
        <w:tc>
          <w:tcPr>
            <w:tcW w:w="726" w:type="dxa"/>
            <w:noWrap/>
            <w:hideMark/>
          </w:tcPr>
          <w:p w14:paraId="0AEFBF2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2854</w:t>
            </w:r>
          </w:p>
        </w:tc>
        <w:tc>
          <w:tcPr>
            <w:tcW w:w="726" w:type="dxa"/>
            <w:noWrap/>
            <w:hideMark/>
          </w:tcPr>
          <w:p w14:paraId="2A842C0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2229</w:t>
            </w:r>
          </w:p>
        </w:tc>
        <w:tc>
          <w:tcPr>
            <w:tcW w:w="726" w:type="dxa"/>
            <w:noWrap/>
            <w:hideMark/>
          </w:tcPr>
          <w:p w14:paraId="2B9AF17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1626</w:t>
            </w:r>
          </w:p>
        </w:tc>
        <w:tc>
          <w:tcPr>
            <w:tcW w:w="726" w:type="dxa"/>
            <w:noWrap/>
            <w:hideMark/>
          </w:tcPr>
          <w:p w14:paraId="722E875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1334</w:t>
            </w:r>
          </w:p>
        </w:tc>
        <w:tc>
          <w:tcPr>
            <w:tcW w:w="726" w:type="dxa"/>
            <w:noWrap/>
            <w:hideMark/>
          </w:tcPr>
          <w:p w14:paraId="7E0C2E3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1174</w:t>
            </w:r>
          </w:p>
        </w:tc>
        <w:tc>
          <w:tcPr>
            <w:tcW w:w="726" w:type="dxa"/>
            <w:noWrap/>
            <w:hideMark/>
          </w:tcPr>
          <w:p w14:paraId="3456B53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1038</w:t>
            </w:r>
          </w:p>
        </w:tc>
        <w:tc>
          <w:tcPr>
            <w:tcW w:w="646" w:type="dxa"/>
            <w:noWrap/>
            <w:hideMark/>
          </w:tcPr>
          <w:p w14:paraId="7D7233A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2270</w:t>
            </w:r>
          </w:p>
        </w:tc>
        <w:tc>
          <w:tcPr>
            <w:tcW w:w="917" w:type="dxa"/>
            <w:noWrap/>
            <w:hideMark/>
          </w:tcPr>
          <w:p w14:paraId="21355EF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43807</w:t>
            </w:r>
          </w:p>
        </w:tc>
      </w:tr>
      <w:tr w:rsidR="00AB403C" w:rsidRPr="00151B48" w14:paraId="7F460DB7"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49" w:type="dxa"/>
            <w:noWrap/>
            <w:hideMark/>
          </w:tcPr>
          <w:p w14:paraId="2AE8C88C" w14:textId="15B4AAAE"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655" w:type="dxa"/>
            <w:noWrap/>
            <w:hideMark/>
          </w:tcPr>
          <w:p w14:paraId="3F6272A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1283</w:t>
            </w:r>
          </w:p>
        </w:tc>
        <w:tc>
          <w:tcPr>
            <w:tcW w:w="727" w:type="dxa"/>
            <w:noWrap/>
            <w:hideMark/>
          </w:tcPr>
          <w:p w14:paraId="3ED5820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215</w:t>
            </w:r>
          </w:p>
        </w:tc>
        <w:tc>
          <w:tcPr>
            <w:tcW w:w="727" w:type="dxa"/>
            <w:noWrap/>
            <w:hideMark/>
          </w:tcPr>
          <w:p w14:paraId="1FEA2F1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1172</w:t>
            </w:r>
          </w:p>
        </w:tc>
        <w:tc>
          <w:tcPr>
            <w:tcW w:w="725" w:type="dxa"/>
            <w:noWrap/>
            <w:hideMark/>
          </w:tcPr>
          <w:p w14:paraId="761C87E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5542</w:t>
            </w:r>
          </w:p>
        </w:tc>
        <w:tc>
          <w:tcPr>
            <w:tcW w:w="726" w:type="dxa"/>
            <w:noWrap/>
            <w:hideMark/>
          </w:tcPr>
          <w:p w14:paraId="3F97666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4885</w:t>
            </w:r>
          </w:p>
        </w:tc>
        <w:tc>
          <w:tcPr>
            <w:tcW w:w="726" w:type="dxa"/>
            <w:noWrap/>
            <w:hideMark/>
          </w:tcPr>
          <w:p w14:paraId="2E3FD55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3959</w:t>
            </w:r>
          </w:p>
        </w:tc>
        <w:tc>
          <w:tcPr>
            <w:tcW w:w="726" w:type="dxa"/>
            <w:noWrap/>
            <w:hideMark/>
          </w:tcPr>
          <w:p w14:paraId="61E7F0E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3397</w:t>
            </w:r>
          </w:p>
        </w:tc>
        <w:tc>
          <w:tcPr>
            <w:tcW w:w="726" w:type="dxa"/>
            <w:noWrap/>
            <w:hideMark/>
          </w:tcPr>
          <w:p w14:paraId="1A118B4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3262</w:t>
            </w:r>
          </w:p>
        </w:tc>
        <w:tc>
          <w:tcPr>
            <w:tcW w:w="726" w:type="dxa"/>
            <w:noWrap/>
            <w:hideMark/>
          </w:tcPr>
          <w:p w14:paraId="2E19404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3228</w:t>
            </w:r>
          </w:p>
        </w:tc>
        <w:tc>
          <w:tcPr>
            <w:tcW w:w="726" w:type="dxa"/>
            <w:noWrap/>
            <w:hideMark/>
          </w:tcPr>
          <w:p w14:paraId="19C44FB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3259</w:t>
            </w:r>
          </w:p>
        </w:tc>
        <w:tc>
          <w:tcPr>
            <w:tcW w:w="726" w:type="dxa"/>
            <w:noWrap/>
            <w:hideMark/>
          </w:tcPr>
          <w:p w14:paraId="1B34055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2824</w:t>
            </w:r>
          </w:p>
        </w:tc>
        <w:tc>
          <w:tcPr>
            <w:tcW w:w="726" w:type="dxa"/>
            <w:noWrap/>
            <w:hideMark/>
          </w:tcPr>
          <w:p w14:paraId="35BDA1D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2203</w:t>
            </w:r>
          </w:p>
        </w:tc>
        <w:tc>
          <w:tcPr>
            <w:tcW w:w="726" w:type="dxa"/>
            <w:noWrap/>
            <w:hideMark/>
          </w:tcPr>
          <w:p w14:paraId="46F76B2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1697</w:t>
            </w:r>
          </w:p>
        </w:tc>
        <w:tc>
          <w:tcPr>
            <w:tcW w:w="726" w:type="dxa"/>
            <w:noWrap/>
            <w:hideMark/>
          </w:tcPr>
          <w:p w14:paraId="1CD6CF8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1340</w:t>
            </w:r>
          </w:p>
        </w:tc>
        <w:tc>
          <w:tcPr>
            <w:tcW w:w="726" w:type="dxa"/>
            <w:noWrap/>
            <w:hideMark/>
          </w:tcPr>
          <w:p w14:paraId="77E31F8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1223</w:t>
            </w:r>
          </w:p>
        </w:tc>
        <w:tc>
          <w:tcPr>
            <w:tcW w:w="726" w:type="dxa"/>
            <w:noWrap/>
            <w:hideMark/>
          </w:tcPr>
          <w:p w14:paraId="5F3DDA4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1057</w:t>
            </w:r>
          </w:p>
        </w:tc>
        <w:tc>
          <w:tcPr>
            <w:tcW w:w="646" w:type="dxa"/>
            <w:noWrap/>
            <w:hideMark/>
          </w:tcPr>
          <w:p w14:paraId="62EAE9D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2220</w:t>
            </w:r>
          </w:p>
        </w:tc>
        <w:tc>
          <w:tcPr>
            <w:tcW w:w="917" w:type="dxa"/>
            <w:noWrap/>
            <w:hideMark/>
          </w:tcPr>
          <w:p w14:paraId="691900F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42766</w:t>
            </w:r>
          </w:p>
        </w:tc>
      </w:tr>
      <w:tr w:rsidR="007268E9" w:rsidRPr="00151B48" w14:paraId="23CC6D35" w14:textId="77777777" w:rsidTr="00AB403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49" w:type="dxa"/>
            <w:noWrap/>
            <w:hideMark/>
          </w:tcPr>
          <w:p w14:paraId="3D892276" w14:textId="7C78340C" w:rsidR="00AB403C" w:rsidRPr="00151B48" w:rsidRDefault="00AB403C" w:rsidP="00AB403C">
            <w:pPr>
              <w:jc w:val="right"/>
              <w:rPr>
                <w:rFonts w:eastAsia="Times New Roman" w:cs="Times New Roman"/>
                <w:color w:val="000000"/>
                <w:sz w:val="22"/>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655" w:type="dxa"/>
            <w:noWrap/>
            <w:hideMark/>
          </w:tcPr>
          <w:p w14:paraId="50FBE1C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1340</w:t>
            </w:r>
          </w:p>
        </w:tc>
        <w:tc>
          <w:tcPr>
            <w:tcW w:w="727" w:type="dxa"/>
            <w:noWrap/>
            <w:hideMark/>
          </w:tcPr>
          <w:p w14:paraId="6A128CF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216</w:t>
            </w:r>
          </w:p>
        </w:tc>
        <w:tc>
          <w:tcPr>
            <w:tcW w:w="727" w:type="dxa"/>
            <w:noWrap/>
            <w:hideMark/>
          </w:tcPr>
          <w:p w14:paraId="64B7374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1206</w:t>
            </w:r>
          </w:p>
        </w:tc>
        <w:tc>
          <w:tcPr>
            <w:tcW w:w="725" w:type="dxa"/>
            <w:noWrap/>
            <w:hideMark/>
          </w:tcPr>
          <w:p w14:paraId="63D14EB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5560</w:t>
            </w:r>
          </w:p>
        </w:tc>
        <w:tc>
          <w:tcPr>
            <w:tcW w:w="726" w:type="dxa"/>
            <w:noWrap/>
            <w:hideMark/>
          </w:tcPr>
          <w:p w14:paraId="6FC51F0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4990</w:t>
            </w:r>
          </w:p>
        </w:tc>
        <w:tc>
          <w:tcPr>
            <w:tcW w:w="726" w:type="dxa"/>
            <w:noWrap/>
            <w:hideMark/>
          </w:tcPr>
          <w:p w14:paraId="78449FB1"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3926</w:t>
            </w:r>
          </w:p>
        </w:tc>
        <w:tc>
          <w:tcPr>
            <w:tcW w:w="726" w:type="dxa"/>
            <w:noWrap/>
            <w:hideMark/>
          </w:tcPr>
          <w:p w14:paraId="7BAF3A3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3357</w:t>
            </w:r>
          </w:p>
        </w:tc>
        <w:tc>
          <w:tcPr>
            <w:tcW w:w="726" w:type="dxa"/>
            <w:noWrap/>
            <w:hideMark/>
          </w:tcPr>
          <w:p w14:paraId="0C5945F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3224</w:t>
            </w:r>
          </w:p>
        </w:tc>
        <w:tc>
          <w:tcPr>
            <w:tcW w:w="726" w:type="dxa"/>
            <w:noWrap/>
            <w:hideMark/>
          </w:tcPr>
          <w:p w14:paraId="57DEFE6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2974</w:t>
            </w:r>
          </w:p>
        </w:tc>
        <w:tc>
          <w:tcPr>
            <w:tcW w:w="726" w:type="dxa"/>
            <w:noWrap/>
            <w:hideMark/>
          </w:tcPr>
          <w:p w14:paraId="20D2D38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3105</w:t>
            </w:r>
          </w:p>
        </w:tc>
        <w:tc>
          <w:tcPr>
            <w:tcW w:w="726" w:type="dxa"/>
            <w:noWrap/>
            <w:hideMark/>
          </w:tcPr>
          <w:p w14:paraId="530952D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2546</w:t>
            </w:r>
          </w:p>
        </w:tc>
        <w:tc>
          <w:tcPr>
            <w:tcW w:w="726" w:type="dxa"/>
            <w:noWrap/>
            <w:hideMark/>
          </w:tcPr>
          <w:p w14:paraId="27BB941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2067</w:t>
            </w:r>
          </w:p>
        </w:tc>
        <w:tc>
          <w:tcPr>
            <w:tcW w:w="726" w:type="dxa"/>
            <w:noWrap/>
            <w:hideMark/>
          </w:tcPr>
          <w:p w14:paraId="622D009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1593</w:t>
            </w:r>
          </w:p>
        </w:tc>
        <w:tc>
          <w:tcPr>
            <w:tcW w:w="726" w:type="dxa"/>
            <w:noWrap/>
            <w:hideMark/>
          </w:tcPr>
          <w:p w14:paraId="737D3AB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1333</w:t>
            </w:r>
          </w:p>
        </w:tc>
        <w:tc>
          <w:tcPr>
            <w:tcW w:w="726" w:type="dxa"/>
            <w:noWrap/>
            <w:hideMark/>
          </w:tcPr>
          <w:p w14:paraId="264324E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1180</w:t>
            </w:r>
          </w:p>
        </w:tc>
        <w:tc>
          <w:tcPr>
            <w:tcW w:w="726" w:type="dxa"/>
            <w:noWrap/>
            <w:hideMark/>
          </w:tcPr>
          <w:p w14:paraId="78EA727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1084</w:t>
            </w:r>
          </w:p>
        </w:tc>
        <w:tc>
          <w:tcPr>
            <w:tcW w:w="646" w:type="dxa"/>
            <w:noWrap/>
            <w:hideMark/>
          </w:tcPr>
          <w:p w14:paraId="553688A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2216</w:t>
            </w:r>
          </w:p>
        </w:tc>
        <w:tc>
          <w:tcPr>
            <w:tcW w:w="917" w:type="dxa"/>
            <w:noWrap/>
            <w:hideMark/>
          </w:tcPr>
          <w:p w14:paraId="2824B8A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lang w:eastAsia="en-AU"/>
              </w:rPr>
            </w:pPr>
            <w:r w:rsidRPr="00151B48">
              <w:rPr>
                <w:rFonts w:cs="Times New Roman"/>
                <w:color w:val="000000"/>
                <w:sz w:val="22"/>
              </w:rPr>
              <w:t>41920</w:t>
            </w:r>
          </w:p>
        </w:tc>
      </w:tr>
    </w:tbl>
    <w:p w14:paraId="02143407" w14:textId="000EA921" w:rsidR="00E10CEF" w:rsidRDefault="00031185" w:rsidP="00E10CEF">
      <w:pPr>
        <w:rPr>
          <w:rStyle w:val="BookTitle"/>
          <w:b w:val="0"/>
          <w:bCs w:val="0"/>
          <w:i w:val="0"/>
          <w:iCs w:val="0"/>
          <w:spacing w:val="0"/>
        </w:rPr>
      </w:pPr>
      <w:r>
        <w:rPr>
          <w:rStyle w:val="BookTitle"/>
          <w:b w:val="0"/>
          <w:bCs w:val="0"/>
          <w:i w:val="0"/>
          <w:iCs w:val="0"/>
          <w:spacing w:val="0"/>
        </w:rPr>
        <w:t>Note: ICD codes: T36-T50: Poisonings by drugs, medicaments and biological substances.</w:t>
      </w:r>
    </w:p>
    <w:p w14:paraId="3E2BB601" w14:textId="77777777" w:rsidR="00E723F2" w:rsidRDefault="00E723F2" w:rsidP="00855C8D">
      <w:pPr>
        <w:rPr>
          <w:rStyle w:val="BookTitle"/>
          <w:b w:val="0"/>
          <w:bCs w:val="0"/>
          <w:i w:val="0"/>
          <w:iCs w:val="0"/>
          <w:spacing w:val="0"/>
        </w:rPr>
      </w:pPr>
    </w:p>
    <w:p w14:paraId="3947678D" w14:textId="77777777" w:rsidR="00E723F2" w:rsidRDefault="00E723F2" w:rsidP="00596E66">
      <w:pPr>
        <w:rPr>
          <w:rStyle w:val="BookTitle"/>
          <w:b w:val="0"/>
          <w:bCs w:val="0"/>
          <w:i w:val="0"/>
          <w:iCs w:val="0"/>
          <w:spacing w:val="0"/>
        </w:rPr>
      </w:pPr>
    </w:p>
    <w:p w14:paraId="0DC95BE8" w14:textId="77777777" w:rsidR="00E723F2" w:rsidRDefault="00E723F2" w:rsidP="00596E66">
      <w:pPr>
        <w:rPr>
          <w:rStyle w:val="BookTitle"/>
          <w:b w:val="0"/>
          <w:bCs w:val="0"/>
          <w:i w:val="0"/>
          <w:iCs w:val="0"/>
          <w:spacing w:val="0"/>
        </w:rPr>
      </w:pPr>
    </w:p>
    <w:p w14:paraId="689B83A9" w14:textId="77777777" w:rsidR="00E723F2" w:rsidRDefault="00E723F2" w:rsidP="00596E66">
      <w:pPr>
        <w:rPr>
          <w:rStyle w:val="BookTitle"/>
          <w:b w:val="0"/>
          <w:bCs w:val="0"/>
          <w:i w:val="0"/>
          <w:iCs w:val="0"/>
          <w:spacing w:val="0"/>
        </w:rPr>
      </w:pPr>
    </w:p>
    <w:p w14:paraId="56F38F90" w14:textId="77777777" w:rsidR="00E723F2" w:rsidRDefault="00E723F2" w:rsidP="00596E66">
      <w:pPr>
        <w:rPr>
          <w:rStyle w:val="BookTitle"/>
          <w:b w:val="0"/>
          <w:bCs w:val="0"/>
          <w:i w:val="0"/>
          <w:iCs w:val="0"/>
          <w:spacing w:val="0"/>
        </w:rPr>
      </w:pPr>
    </w:p>
    <w:p w14:paraId="2E30782A" w14:textId="77777777" w:rsidR="00E723F2" w:rsidRDefault="00E723F2">
      <w:pPr>
        <w:rPr>
          <w:rStyle w:val="BookTitle"/>
          <w:rFonts w:asciiTheme="majorHAnsi" w:eastAsiaTheme="majorEastAsia" w:hAnsiTheme="majorHAnsi" w:cstheme="majorBidi"/>
          <w:b w:val="0"/>
          <w:bCs w:val="0"/>
          <w:color w:val="2F5496" w:themeColor="accent1" w:themeShade="BF"/>
          <w:spacing w:val="0"/>
          <w:sz w:val="26"/>
          <w:szCs w:val="26"/>
        </w:rPr>
      </w:pPr>
      <w:r>
        <w:rPr>
          <w:rStyle w:val="BookTitle"/>
          <w:b w:val="0"/>
          <w:bCs w:val="0"/>
          <w:i w:val="0"/>
          <w:iCs w:val="0"/>
          <w:spacing w:val="0"/>
        </w:rPr>
        <w:br w:type="page"/>
      </w:r>
    </w:p>
    <w:tbl>
      <w:tblPr>
        <w:tblStyle w:val="ListTable22"/>
        <w:tblpPr w:leftFromText="180" w:rightFromText="180" w:vertAnchor="page" w:horzAnchor="margin" w:tblpY="1929"/>
        <w:tblW w:w="5000" w:type="pct"/>
        <w:tblCellMar>
          <w:left w:w="57" w:type="dxa"/>
          <w:right w:w="57" w:type="dxa"/>
        </w:tblCellMar>
        <w:tblLook w:val="04A0" w:firstRow="1" w:lastRow="0" w:firstColumn="1" w:lastColumn="0" w:noHBand="0" w:noVBand="1"/>
      </w:tblPr>
      <w:tblGrid>
        <w:gridCol w:w="851"/>
        <w:gridCol w:w="419"/>
        <w:gridCol w:w="925"/>
        <w:gridCol w:w="732"/>
        <w:gridCol w:w="732"/>
        <w:gridCol w:w="732"/>
        <w:gridCol w:w="733"/>
        <w:gridCol w:w="733"/>
        <w:gridCol w:w="733"/>
        <w:gridCol w:w="732"/>
        <w:gridCol w:w="732"/>
        <w:gridCol w:w="732"/>
        <w:gridCol w:w="732"/>
        <w:gridCol w:w="732"/>
        <w:gridCol w:w="732"/>
        <w:gridCol w:w="732"/>
        <w:gridCol w:w="732"/>
        <w:gridCol w:w="732"/>
        <w:gridCol w:w="780"/>
      </w:tblGrid>
      <w:tr w:rsidR="00E723F2" w:rsidRPr="00151B48" w14:paraId="0A1054D2" w14:textId="77777777" w:rsidTr="00AB403C">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2608DE21" w14:textId="77777777" w:rsidR="00E723F2" w:rsidRPr="00151B48" w:rsidRDefault="00E723F2" w:rsidP="00617949">
            <w:pPr>
              <w:jc w:val="right"/>
              <w:rPr>
                <w:rFonts w:eastAsia="Times New Roman" w:cs="Times New Roman"/>
                <w:color w:val="000000"/>
                <w:sz w:val="20"/>
                <w:szCs w:val="20"/>
                <w:lang w:eastAsia="en-AU"/>
              </w:rPr>
            </w:pPr>
            <w:r w:rsidRPr="00151B48">
              <w:rPr>
                <w:rFonts w:eastAsia="Times New Roman" w:cs="Times New Roman"/>
                <w:color w:val="000000"/>
                <w:sz w:val="20"/>
                <w:szCs w:val="20"/>
                <w:lang w:eastAsia="en-AU"/>
              </w:rPr>
              <w:t>Ref year</w:t>
            </w:r>
          </w:p>
        </w:tc>
        <w:tc>
          <w:tcPr>
            <w:tcW w:w="419" w:type="dxa"/>
            <w:noWrap/>
            <w:hideMark/>
          </w:tcPr>
          <w:p w14:paraId="3D3E5CB3"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00-04</w:t>
            </w:r>
          </w:p>
        </w:tc>
        <w:tc>
          <w:tcPr>
            <w:tcW w:w="925" w:type="dxa"/>
            <w:noWrap/>
            <w:hideMark/>
          </w:tcPr>
          <w:p w14:paraId="1C770829"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05--09</w:t>
            </w:r>
          </w:p>
        </w:tc>
        <w:tc>
          <w:tcPr>
            <w:tcW w:w="732" w:type="dxa"/>
            <w:noWrap/>
            <w:hideMark/>
          </w:tcPr>
          <w:p w14:paraId="1D80CB2A"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10--14</w:t>
            </w:r>
          </w:p>
        </w:tc>
        <w:tc>
          <w:tcPr>
            <w:tcW w:w="732" w:type="dxa"/>
            <w:noWrap/>
            <w:hideMark/>
          </w:tcPr>
          <w:p w14:paraId="70FEBB8F"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15-19</w:t>
            </w:r>
          </w:p>
        </w:tc>
        <w:tc>
          <w:tcPr>
            <w:tcW w:w="732" w:type="dxa"/>
            <w:noWrap/>
            <w:hideMark/>
          </w:tcPr>
          <w:p w14:paraId="776E4AB7"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20-24</w:t>
            </w:r>
          </w:p>
        </w:tc>
        <w:tc>
          <w:tcPr>
            <w:tcW w:w="733" w:type="dxa"/>
            <w:noWrap/>
            <w:hideMark/>
          </w:tcPr>
          <w:p w14:paraId="5D3552BA"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25-29</w:t>
            </w:r>
          </w:p>
        </w:tc>
        <w:tc>
          <w:tcPr>
            <w:tcW w:w="733" w:type="dxa"/>
            <w:noWrap/>
            <w:hideMark/>
          </w:tcPr>
          <w:p w14:paraId="61B39A56"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30-34</w:t>
            </w:r>
          </w:p>
        </w:tc>
        <w:tc>
          <w:tcPr>
            <w:tcW w:w="733" w:type="dxa"/>
            <w:noWrap/>
            <w:hideMark/>
          </w:tcPr>
          <w:p w14:paraId="4234BD3E"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35-39</w:t>
            </w:r>
          </w:p>
        </w:tc>
        <w:tc>
          <w:tcPr>
            <w:tcW w:w="732" w:type="dxa"/>
            <w:noWrap/>
            <w:hideMark/>
          </w:tcPr>
          <w:p w14:paraId="7C4CD1DB"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40-44</w:t>
            </w:r>
          </w:p>
        </w:tc>
        <w:tc>
          <w:tcPr>
            <w:tcW w:w="732" w:type="dxa"/>
            <w:noWrap/>
            <w:hideMark/>
          </w:tcPr>
          <w:p w14:paraId="2A1BB2B3"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45-49</w:t>
            </w:r>
          </w:p>
        </w:tc>
        <w:tc>
          <w:tcPr>
            <w:tcW w:w="732" w:type="dxa"/>
            <w:noWrap/>
            <w:hideMark/>
          </w:tcPr>
          <w:p w14:paraId="03A3457D"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50-54</w:t>
            </w:r>
          </w:p>
        </w:tc>
        <w:tc>
          <w:tcPr>
            <w:tcW w:w="732" w:type="dxa"/>
            <w:noWrap/>
            <w:hideMark/>
          </w:tcPr>
          <w:p w14:paraId="29AD7253"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55-59</w:t>
            </w:r>
          </w:p>
        </w:tc>
        <w:tc>
          <w:tcPr>
            <w:tcW w:w="732" w:type="dxa"/>
            <w:noWrap/>
            <w:hideMark/>
          </w:tcPr>
          <w:p w14:paraId="7E07B08B"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60-64</w:t>
            </w:r>
          </w:p>
        </w:tc>
        <w:tc>
          <w:tcPr>
            <w:tcW w:w="732" w:type="dxa"/>
            <w:noWrap/>
            <w:hideMark/>
          </w:tcPr>
          <w:p w14:paraId="080CAEE6"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65-69</w:t>
            </w:r>
          </w:p>
        </w:tc>
        <w:tc>
          <w:tcPr>
            <w:tcW w:w="732" w:type="dxa"/>
            <w:noWrap/>
            <w:hideMark/>
          </w:tcPr>
          <w:p w14:paraId="699E5E55"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70-74</w:t>
            </w:r>
          </w:p>
        </w:tc>
        <w:tc>
          <w:tcPr>
            <w:tcW w:w="732" w:type="dxa"/>
            <w:noWrap/>
            <w:hideMark/>
          </w:tcPr>
          <w:p w14:paraId="7B95C63B"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75-79</w:t>
            </w:r>
          </w:p>
        </w:tc>
        <w:tc>
          <w:tcPr>
            <w:tcW w:w="732" w:type="dxa"/>
            <w:noWrap/>
            <w:hideMark/>
          </w:tcPr>
          <w:p w14:paraId="3BE2C017"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80+</w:t>
            </w:r>
          </w:p>
        </w:tc>
        <w:tc>
          <w:tcPr>
            <w:tcW w:w="780" w:type="dxa"/>
            <w:noWrap/>
            <w:hideMark/>
          </w:tcPr>
          <w:p w14:paraId="04F01989" w14:textId="77777777" w:rsidR="00E723F2" w:rsidRPr="00151B48" w:rsidRDefault="00E723F2"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Grand Total</w:t>
            </w:r>
          </w:p>
        </w:tc>
      </w:tr>
      <w:tr w:rsidR="007268E9" w:rsidRPr="00151B48" w14:paraId="5C578196"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2F92AAAC" w14:textId="786CD36A"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419" w:type="dxa"/>
            <w:noWrap/>
            <w:hideMark/>
          </w:tcPr>
          <w:p w14:paraId="28AA4CA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284C213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6</w:t>
            </w:r>
          </w:p>
        </w:tc>
        <w:tc>
          <w:tcPr>
            <w:tcW w:w="732" w:type="dxa"/>
            <w:noWrap/>
            <w:hideMark/>
          </w:tcPr>
          <w:p w14:paraId="0BA27CA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506</w:t>
            </w:r>
          </w:p>
        </w:tc>
        <w:tc>
          <w:tcPr>
            <w:tcW w:w="732" w:type="dxa"/>
            <w:noWrap/>
            <w:hideMark/>
          </w:tcPr>
          <w:p w14:paraId="7394749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3272</w:t>
            </w:r>
          </w:p>
        </w:tc>
        <w:tc>
          <w:tcPr>
            <w:tcW w:w="732" w:type="dxa"/>
            <w:noWrap/>
            <w:hideMark/>
          </w:tcPr>
          <w:p w14:paraId="214AD7D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3081</w:t>
            </w:r>
          </w:p>
        </w:tc>
        <w:tc>
          <w:tcPr>
            <w:tcW w:w="733" w:type="dxa"/>
            <w:noWrap/>
            <w:hideMark/>
          </w:tcPr>
          <w:p w14:paraId="4F46680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2542</w:t>
            </w:r>
          </w:p>
        </w:tc>
        <w:tc>
          <w:tcPr>
            <w:tcW w:w="733" w:type="dxa"/>
            <w:noWrap/>
            <w:hideMark/>
          </w:tcPr>
          <w:p w14:paraId="5B11E57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2465</w:t>
            </w:r>
          </w:p>
        </w:tc>
        <w:tc>
          <w:tcPr>
            <w:tcW w:w="733" w:type="dxa"/>
            <w:noWrap/>
            <w:hideMark/>
          </w:tcPr>
          <w:p w14:paraId="589C783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2764</w:t>
            </w:r>
          </w:p>
        </w:tc>
        <w:tc>
          <w:tcPr>
            <w:tcW w:w="732" w:type="dxa"/>
            <w:noWrap/>
            <w:hideMark/>
          </w:tcPr>
          <w:p w14:paraId="05BCD77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2610</w:t>
            </w:r>
          </w:p>
        </w:tc>
        <w:tc>
          <w:tcPr>
            <w:tcW w:w="732" w:type="dxa"/>
            <w:noWrap/>
            <w:hideMark/>
          </w:tcPr>
          <w:p w14:paraId="38A2788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2384</w:t>
            </w:r>
          </w:p>
        </w:tc>
        <w:tc>
          <w:tcPr>
            <w:tcW w:w="732" w:type="dxa"/>
            <w:noWrap/>
            <w:hideMark/>
          </w:tcPr>
          <w:p w14:paraId="4BF772E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1584</w:t>
            </w:r>
          </w:p>
        </w:tc>
        <w:tc>
          <w:tcPr>
            <w:tcW w:w="732" w:type="dxa"/>
            <w:noWrap/>
            <w:hideMark/>
          </w:tcPr>
          <w:p w14:paraId="6F0075F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998</w:t>
            </w:r>
          </w:p>
        </w:tc>
        <w:tc>
          <w:tcPr>
            <w:tcW w:w="732" w:type="dxa"/>
            <w:noWrap/>
            <w:hideMark/>
          </w:tcPr>
          <w:p w14:paraId="7FBA615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711</w:t>
            </w:r>
          </w:p>
        </w:tc>
        <w:tc>
          <w:tcPr>
            <w:tcW w:w="732" w:type="dxa"/>
            <w:noWrap/>
            <w:hideMark/>
          </w:tcPr>
          <w:p w14:paraId="2C3533E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342</w:t>
            </w:r>
          </w:p>
        </w:tc>
        <w:tc>
          <w:tcPr>
            <w:tcW w:w="732" w:type="dxa"/>
            <w:noWrap/>
            <w:hideMark/>
          </w:tcPr>
          <w:p w14:paraId="1015E58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200</w:t>
            </w:r>
          </w:p>
        </w:tc>
        <w:tc>
          <w:tcPr>
            <w:tcW w:w="732" w:type="dxa"/>
            <w:noWrap/>
            <w:hideMark/>
          </w:tcPr>
          <w:p w14:paraId="33139BD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205</w:t>
            </w:r>
          </w:p>
        </w:tc>
        <w:tc>
          <w:tcPr>
            <w:tcW w:w="732" w:type="dxa"/>
            <w:noWrap/>
            <w:hideMark/>
          </w:tcPr>
          <w:p w14:paraId="124DCC71"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304</w:t>
            </w:r>
          </w:p>
        </w:tc>
        <w:tc>
          <w:tcPr>
            <w:tcW w:w="780" w:type="dxa"/>
            <w:noWrap/>
            <w:hideMark/>
          </w:tcPr>
          <w:p w14:paraId="4DA8B5E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23974</w:t>
            </w:r>
          </w:p>
        </w:tc>
      </w:tr>
      <w:tr w:rsidR="00AB403C" w:rsidRPr="00151B48" w14:paraId="5154F5AC"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24133E72" w14:textId="1195CF6B"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419" w:type="dxa"/>
            <w:noWrap/>
            <w:hideMark/>
          </w:tcPr>
          <w:p w14:paraId="114F64E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2DDF6C7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w:t>
            </w:r>
          </w:p>
        </w:tc>
        <w:tc>
          <w:tcPr>
            <w:tcW w:w="732" w:type="dxa"/>
            <w:noWrap/>
            <w:hideMark/>
          </w:tcPr>
          <w:p w14:paraId="6F516DB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492</w:t>
            </w:r>
          </w:p>
        </w:tc>
        <w:tc>
          <w:tcPr>
            <w:tcW w:w="732" w:type="dxa"/>
            <w:noWrap/>
            <w:hideMark/>
          </w:tcPr>
          <w:p w14:paraId="21EC01A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3613</w:t>
            </w:r>
          </w:p>
        </w:tc>
        <w:tc>
          <w:tcPr>
            <w:tcW w:w="732" w:type="dxa"/>
            <w:noWrap/>
            <w:hideMark/>
          </w:tcPr>
          <w:p w14:paraId="7608C97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2947</w:t>
            </w:r>
          </w:p>
        </w:tc>
        <w:tc>
          <w:tcPr>
            <w:tcW w:w="733" w:type="dxa"/>
            <w:noWrap/>
            <w:hideMark/>
          </w:tcPr>
          <w:p w14:paraId="4A26045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2435</w:t>
            </w:r>
          </w:p>
        </w:tc>
        <w:tc>
          <w:tcPr>
            <w:tcW w:w="733" w:type="dxa"/>
            <w:noWrap/>
            <w:hideMark/>
          </w:tcPr>
          <w:p w14:paraId="2F807DD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2274</w:t>
            </w:r>
          </w:p>
        </w:tc>
        <w:tc>
          <w:tcPr>
            <w:tcW w:w="733" w:type="dxa"/>
            <w:noWrap/>
            <w:hideMark/>
          </w:tcPr>
          <w:p w14:paraId="6F68F9A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2602</w:t>
            </w:r>
          </w:p>
        </w:tc>
        <w:tc>
          <w:tcPr>
            <w:tcW w:w="732" w:type="dxa"/>
            <w:noWrap/>
            <w:hideMark/>
          </w:tcPr>
          <w:p w14:paraId="293E2CE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2484</w:t>
            </w:r>
          </w:p>
        </w:tc>
        <w:tc>
          <w:tcPr>
            <w:tcW w:w="732" w:type="dxa"/>
            <w:noWrap/>
            <w:hideMark/>
          </w:tcPr>
          <w:p w14:paraId="514D341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2152</w:t>
            </w:r>
          </w:p>
        </w:tc>
        <w:tc>
          <w:tcPr>
            <w:tcW w:w="732" w:type="dxa"/>
            <w:noWrap/>
            <w:hideMark/>
          </w:tcPr>
          <w:p w14:paraId="19D3591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1681</w:t>
            </w:r>
          </w:p>
        </w:tc>
        <w:tc>
          <w:tcPr>
            <w:tcW w:w="732" w:type="dxa"/>
            <w:noWrap/>
            <w:hideMark/>
          </w:tcPr>
          <w:p w14:paraId="5C0D132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1048</w:t>
            </w:r>
          </w:p>
        </w:tc>
        <w:tc>
          <w:tcPr>
            <w:tcW w:w="732" w:type="dxa"/>
            <w:noWrap/>
            <w:hideMark/>
          </w:tcPr>
          <w:p w14:paraId="7CA3C20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675</w:t>
            </w:r>
          </w:p>
        </w:tc>
        <w:tc>
          <w:tcPr>
            <w:tcW w:w="732" w:type="dxa"/>
            <w:noWrap/>
            <w:hideMark/>
          </w:tcPr>
          <w:p w14:paraId="3157C66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401</w:t>
            </w:r>
          </w:p>
        </w:tc>
        <w:tc>
          <w:tcPr>
            <w:tcW w:w="732" w:type="dxa"/>
            <w:noWrap/>
            <w:hideMark/>
          </w:tcPr>
          <w:p w14:paraId="0F64713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257</w:t>
            </w:r>
          </w:p>
        </w:tc>
        <w:tc>
          <w:tcPr>
            <w:tcW w:w="732" w:type="dxa"/>
            <w:noWrap/>
            <w:hideMark/>
          </w:tcPr>
          <w:p w14:paraId="1B57D2C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186</w:t>
            </w:r>
          </w:p>
        </w:tc>
        <w:tc>
          <w:tcPr>
            <w:tcW w:w="732" w:type="dxa"/>
            <w:noWrap/>
            <w:hideMark/>
          </w:tcPr>
          <w:p w14:paraId="133DCB9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321</w:t>
            </w:r>
          </w:p>
        </w:tc>
        <w:tc>
          <w:tcPr>
            <w:tcW w:w="780" w:type="dxa"/>
            <w:noWrap/>
            <w:hideMark/>
          </w:tcPr>
          <w:p w14:paraId="44B7917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23576</w:t>
            </w:r>
          </w:p>
        </w:tc>
      </w:tr>
      <w:tr w:rsidR="007268E9" w:rsidRPr="00151B48" w14:paraId="774A4306"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4361A718" w14:textId="11E23224"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419" w:type="dxa"/>
            <w:noWrap/>
            <w:hideMark/>
          </w:tcPr>
          <w:p w14:paraId="145414D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78B1579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6</w:t>
            </w:r>
          </w:p>
        </w:tc>
        <w:tc>
          <w:tcPr>
            <w:tcW w:w="732" w:type="dxa"/>
            <w:noWrap/>
            <w:hideMark/>
          </w:tcPr>
          <w:p w14:paraId="467B59D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583</w:t>
            </w:r>
          </w:p>
        </w:tc>
        <w:tc>
          <w:tcPr>
            <w:tcW w:w="732" w:type="dxa"/>
            <w:noWrap/>
            <w:hideMark/>
          </w:tcPr>
          <w:p w14:paraId="05322FF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4066</w:t>
            </w:r>
          </w:p>
        </w:tc>
        <w:tc>
          <w:tcPr>
            <w:tcW w:w="732" w:type="dxa"/>
            <w:noWrap/>
            <w:hideMark/>
          </w:tcPr>
          <w:p w14:paraId="7166428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3118</w:t>
            </w:r>
          </w:p>
        </w:tc>
        <w:tc>
          <w:tcPr>
            <w:tcW w:w="733" w:type="dxa"/>
            <w:noWrap/>
            <w:hideMark/>
          </w:tcPr>
          <w:p w14:paraId="7B126F2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2492</w:t>
            </w:r>
          </w:p>
        </w:tc>
        <w:tc>
          <w:tcPr>
            <w:tcW w:w="733" w:type="dxa"/>
            <w:noWrap/>
            <w:hideMark/>
          </w:tcPr>
          <w:p w14:paraId="0D3E599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2407</w:t>
            </w:r>
          </w:p>
        </w:tc>
        <w:tc>
          <w:tcPr>
            <w:tcW w:w="733" w:type="dxa"/>
            <w:noWrap/>
            <w:hideMark/>
          </w:tcPr>
          <w:p w14:paraId="2BFF175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2624</w:t>
            </w:r>
          </w:p>
        </w:tc>
        <w:tc>
          <w:tcPr>
            <w:tcW w:w="732" w:type="dxa"/>
            <w:noWrap/>
            <w:hideMark/>
          </w:tcPr>
          <w:p w14:paraId="74306F7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2558</w:t>
            </w:r>
          </w:p>
        </w:tc>
        <w:tc>
          <w:tcPr>
            <w:tcW w:w="732" w:type="dxa"/>
            <w:noWrap/>
            <w:hideMark/>
          </w:tcPr>
          <w:p w14:paraId="01317E9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2176</w:t>
            </w:r>
          </w:p>
        </w:tc>
        <w:tc>
          <w:tcPr>
            <w:tcW w:w="732" w:type="dxa"/>
            <w:noWrap/>
            <w:hideMark/>
          </w:tcPr>
          <w:p w14:paraId="62D2A75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1646</w:t>
            </w:r>
          </w:p>
        </w:tc>
        <w:tc>
          <w:tcPr>
            <w:tcW w:w="732" w:type="dxa"/>
            <w:noWrap/>
            <w:hideMark/>
          </w:tcPr>
          <w:p w14:paraId="466ACD2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1062</w:t>
            </w:r>
          </w:p>
        </w:tc>
        <w:tc>
          <w:tcPr>
            <w:tcW w:w="732" w:type="dxa"/>
            <w:noWrap/>
            <w:hideMark/>
          </w:tcPr>
          <w:p w14:paraId="0A4D7C4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693</w:t>
            </w:r>
          </w:p>
        </w:tc>
        <w:tc>
          <w:tcPr>
            <w:tcW w:w="732" w:type="dxa"/>
            <w:noWrap/>
            <w:hideMark/>
          </w:tcPr>
          <w:p w14:paraId="59A6911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358</w:t>
            </w:r>
          </w:p>
        </w:tc>
        <w:tc>
          <w:tcPr>
            <w:tcW w:w="732" w:type="dxa"/>
            <w:noWrap/>
            <w:hideMark/>
          </w:tcPr>
          <w:p w14:paraId="661896D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239</w:t>
            </w:r>
          </w:p>
        </w:tc>
        <w:tc>
          <w:tcPr>
            <w:tcW w:w="732" w:type="dxa"/>
            <w:noWrap/>
            <w:hideMark/>
          </w:tcPr>
          <w:p w14:paraId="585E8EA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197</w:t>
            </w:r>
          </w:p>
        </w:tc>
        <w:tc>
          <w:tcPr>
            <w:tcW w:w="732" w:type="dxa"/>
            <w:noWrap/>
            <w:hideMark/>
          </w:tcPr>
          <w:p w14:paraId="3E9304B1"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336</w:t>
            </w:r>
          </w:p>
        </w:tc>
        <w:tc>
          <w:tcPr>
            <w:tcW w:w="780" w:type="dxa"/>
            <w:noWrap/>
            <w:hideMark/>
          </w:tcPr>
          <w:p w14:paraId="2927CF5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24561</w:t>
            </w:r>
          </w:p>
        </w:tc>
      </w:tr>
      <w:tr w:rsidR="00AB403C" w:rsidRPr="00151B48" w14:paraId="6C21218F"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76FA3822" w14:textId="76F91C91"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419" w:type="dxa"/>
            <w:noWrap/>
            <w:hideMark/>
          </w:tcPr>
          <w:p w14:paraId="7848736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0E80046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eastAsia="Times New Roman" w:cs="Times New Roman"/>
                <w:color w:val="000000"/>
                <w:sz w:val="20"/>
                <w:szCs w:val="20"/>
                <w:lang w:eastAsia="en-AU"/>
              </w:rPr>
              <w:t>&lt;5</w:t>
            </w:r>
          </w:p>
        </w:tc>
        <w:tc>
          <w:tcPr>
            <w:tcW w:w="732" w:type="dxa"/>
            <w:noWrap/>
            <w:hideMark/>
          </w:tcPr>
          <w:p w14:paraId="60365A2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999</w:t>
            </w:r>
          </w:p>
        </w:tc>
        <w:tc>
          <w:tcPr>
            <w:tcW w:w="732" w:type="dxa"/>
            <w:noWrap/>
            <w:hideMark/>
          </w:tcPr>
          <w:p w14:paraId="202D8FD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4491</w:t>
            </w:r>
          </w:p>
        </w:tc>
        <w:tc>
          <w:tcPr>
            <w:tcW w:w="732" w:type="dxa"/>
            <w:noWrap/>
            <w:hideMark/>
          </w:tcPr>
          <w:p w14:paraId="0EF406B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3002</w:t>
            </w:r>
          </w:p>
        </w:tc>
        <w:tc>
          <w:tcPr>
            <w:tcW w:w="733" w:type="dxa"/>
            <w:noWrap/>
            <w:hideMark/>
          </w:tcPr>
          <w:p w14:paraId="42B3867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2432</w:t>
            </w:r>
          </w:p>
        </w:tc>
        <w:tc>
          <w:tcPr>
            <w:tcW w:w="733" w:type="dxa"/>
            <w:noWrap/>
            <w:hideMark/>
          </w:tcPr>
          <w:p w14:paraId="7C3B064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2272</w:t>
            </w:r>
          </w:p>
        </w:tc>
        <w:tc>
          <w:tcPr>
            <w:tcW w:w="733" w:type="dxa"/>
            <w:noWrap/>
            <w:hideMark/>
          </w:tcPr>
          <w:p w14:paraId="7F6BE93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2450</w:t>
            </w:r>
          </w:p>
        </w:tc>
        <w:tc>
          <w:tcPr>
            <w:tcW w:w="732" w:type="dxa"/>
            <w:noWrap/>
            <w:hideMark/>
          </w:tcPr>
          <w:p w14:paraId="69DDE71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2402</w:t>
            </w:r>
          </w:p>
        </w:tc>
        <w:tc>
          <w:tcPr>
            <w:tcW w:w="732" w:type="dxa"/>
            <w:noWrap/>
            <w:hideMark/>
          </w:tcPr>
          <w:p w14:paraId="00F886E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2244</w:t>
            </w:r>
          </w:p>
        </w:tc>
        <w:tc>
          <w:tcPr>
            <w:tcW w:w="732" w:type="dxa"/>
            <w:noWrap/>
            <w:hideMark/>
          </w:tcPr>
          <w:p w14:paraId="595B077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1639</w:t>
            </w:r>
          </w:p>
        </w:tc>
        <w:tc>
          <w:tcPr>
            <w:tcW w:w="732" w:type="dxa"/>
            <w:noWrap/>
            <w:hideMark/>
          </w:tcPr>
          <w:p w14:paraId="1439E34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1087</w:t>
            </w:r>
          </w:p>
        </w:tc>
        <w:tc>
          <w:tcPr>
            <w:tcW w:w="732" w:type="dxa"/>
            <w:noWrap/>
            <w:hideMark/>
          </w:tcPr>
          <w:p w14:paraId="0BD1F77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731</w:t>
            </w:r>
          </w:p>
        </w:tc>
        <w:tc>
          <w:tcPr>
            <w:tcW w:w="732" w:type="dxa"/>
            <w:noWrap/>
            <w:hideMark/>
          </w:tcPr>
          <w:p w14:paraId="110E3DD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438</w:t>
            </w:r>
          </w:p>
        </w:tc>
        <w:tc>
          <w:tcPr>
            <w:tcW w:w="732" w:type="dxa"/>
            <w:noWrap/>
            <w:hideMark/>
          </w:tcPr>
          <w:p w14:paraId="6A66EC6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252</w:t>
            </w:r>
          </w:p>
        </w:tc>
        <w:tc>
          <w:tcPr>
            <w:tcW w:w="732" w:type="dxa"/>
            <w:noWrap/>
            <w:hideMark/>
          </w:tcPr>
          <w:p w14:paraId="0988AF2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210</w:t>
            </w:r>
          </w:p>
        </w:tc>
        <w:tc>
          <w:tcPr>
            <w:tcW w:w="732" w:type="dxa"/>
            <w:noWrap/>
            <w:hideMark/>
          </w:tcPr>
          <w:p w14:paraId="5BB3017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316</w:t>
            </w:r>
          </w:p>
        </w:tc>
        <w:tc>
          <w:tcPr>
            <w:tcW w:w="780" w:type="dxa"/>
            <w:noWrap/>
            <w:hideMark/>
          </w:tcPr>
          <w:p w14:paraId="7D4C1DD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24968</w:t>
            </w:r>
          </w:p>
        </w:tc>
      </w:tr>
      <w:tr w:rsidR="007268E9" w:rsidRPr="00151B48" w14:paraId="038FE4AE"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4E11592B" w14:textId="5412E9D9"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419" w:type="dxa"/>
            <w:noWrap/>
            <w:hideMark/>
          </w:tcPr>
          <w:p w14:paraId="0A96A7F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50B6139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12</w:t>
            </w:r>
          </w:p>
        </w:tc>
        <w:tc>
          <w:tcPr>
            <w:tcW w:w="732" w:type="dxa"/>
            <w:noWrap/>
            <w:hideMark/>
          </w:tcPr>
          <w:p w14:paraId="741B049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852</w:t>
            </w:r>
          </w:p>
        </w:tc>
        <w:tc>
          <w:tcPr>
            <w:tcW w:w="732" w:type="dxa"/>
            <w:noWrap/>
            <w:hideMark/>
          </w:tcPr>
          <w:p w14:paraId="4B8BE22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4260</w:t>
            </w:r>
          </w:p>
        </w:tc>
        <w:tc>
          <w:tcPr>
            <w:tcW w:w="732" w:type="dxa"/>
            <w:noWrap/>
            <w:hideMark/>
          </w:tcPr>
          <w:p w14:paraId="5070E9E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2968</w:t>
            </w:r>
          </w:p>
        </w:tc>
        <w:tc>
          <w:tcPr>
            <w:tcW w:w="733" w:type="dxa"/>
            <w:noWrap/>
            <w:hideMark/>
          </w:tcPr>
          <w:p w14:paraId="16CB4CE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2414</w:t>
            </w:r>
          </w:p>
        </w:tc>
        <w:tc>
          <w:tcPr>
            <w:tcW w:w="733" w:type="dxa"/>
            <w:noWrap/>
            <w:hideMark/>
          </w:tcPr>
          <w:p w14:paraId="1051A33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2282</w:t>
            </w:r>
          </w:p>
        </w:tc>
        <w:tc>
          <w:tcPr>
            <w:tcW w:w="733" w:type="dxa"/>
            <w:noWrap/>
            <w:hideMark/>
          </w:tcPr>
          <w:p w14:paraId="26EF4D6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2344</w:t>
            </w:r>
          </w:p>
        </w:tc>
        <w:tc>
          <w:tcPr>
            <w:tcW w:w="732" w:type="dxa"/>
            <w:noWrap/>
            <w:hideMark/>
          </w:tcPr>
          <w:p w14:paraId="4579026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2238</w:t>
            </w:r>
          </w:p>
        </w:tc>
        <w:tc>
          <w:tcPr>
            <w:tcW w:w="732" w:type="dxa"/>
            <w:noWrap/>
            <w:hideMark/>
          </w:tcPr>
          <w:p w14:paraId="4E5E9DD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2195</w:t>
            </w:r>
          </w:p>
        </w:tc>
        <w:tc>
          <w:tcPr>
            <w:tcW w:w="732" w:type="dxa"/>
            <w:noWrap/>
            <w:hideMark/>
          </w:tcPr>
          <w:p w14:paraId="1ED9E1D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1706</w:t>
            </w:r>
          </w:p>
        </w:tc>
        <w:tc>
          <w:tcPr>
            <w:tcW w:w="732" w:type="dxa"/>
            <w:noWrap/>
            <w:hideMark/>
          </w:tcPr>
          <w:p w14:paraId="27BA2A2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1118</w:t>
            </w:r>
          </w:p>
        </w:tc>
        <w:tc>
          <w:tcPr>
            <w:tcW w:w="732" w:type="dxa"/>
            <w:noWrap/>
            <w:hideMark/>
          </w:tcPr>
          <w:p w14:paraId="2BEF2E3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714</w:t>
            </w:r>
          </w:p>
        </w:tc>
        <w:tc>
          <w:tcPr>
            <w:tcW w:w="732" w:type="dxa"/>
            <w:noWrap/>
            <w:hideMark/>
          </w:tcPr>
          <w:p w14:paraId="11CC17D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460</w:t>
            </w:r>
          </w:p>
        </w:tc>
        <w:tc>
          <w:tcPr>
            <w:tcW w:w="732" w:type="dxa"/>
            <w:noWrap/>
            <w:hideMark/>
          </w:tcPr>
          <w:p w14:paraId="5DBA9D1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276</w:t>
            </w:r>
          </w:p>
        </w:tc>
        <w:tc>
          <w:tcPr>
            <w:tcW w:w="732" w:type="dxa"/>
            <w:noWrap/>
            <w:hideMark/>
          </w:tcPr>
          <w:p w14:paraId="5B29785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200</w:t>
            </w:r>
          </w:p>
        </w:tc>
        <w:tc>
          <w:tcPr>
            <w:tcW w:w="732" w:type="dxa"/>
            <w:noWrap/>
            <w:hideMark/>
          </w:tcPr>
          <w:p w14:paraId="60FA542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302</w:t>
            </w:r>
          </w:p>
        </w:tc>
        <w:tc>
          <w:tcPr>
            <w:tcW w:w="780" w:type="dxa"/>
            <w:noWrap/>
            <w:hideMark/>
          </w:tcPr>
          <w:p w14:paraId="7E7C59D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24341</w:t>
            </w:r>
          </w:p>
        </w:tc>
      </w:tr>
      <w:tr w:rsidR="00AB403C" w:rsidRPr="00151B48" w14:paraId="7B7B7169"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42448AA7" w14:textId="08E37319"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419" w:type="dxa"/>
            <w:noWrap/>
            <w:hideMark/>
          </w:tcPr>
          <w:p w14:paraId="5A87FF4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2E596C7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w:t>
            </w:r>
          </w:p>
        </w:tc>
        <w:tc>
          <w:tcPr>
            <w:tcW w:w="732" w:type="dxa"/>
            <w:noWrap/>
            <w:hideMark/>
          </w:tcPr>
          <w:p w14:paraId="37A2B5A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827</w:t>
            </w:r>
          </w:p>
        </w:tc>
        <w:tc>
          <w:tcPr>
            <w:tcW w:w="732" w:type="dxa"/>
            <w:noWrap/>
            <w:hideMark/>
          </w:tcPr>
          <w:p w14:paraId="781F5F6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4301</w:t>
            </w:r>
          </w:p>
        </w:tc>
        <w:tc>
          <w:tcPr>
            <w:tcW w:w="732" w:type="dxa"/>
            <w:noWrap/>
            <w:hideMark/>
          </w:tcPr>
          <w:p w14:paraId="669C7BF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3395</w:t>
            </w:r>
          </w:p>
        </w:tc>
        <w:tc>
          <w:tcPr>
            <w:tcW w:w="733" w:type="dxa"/>
            <w:noWrap/>
            <w:hideMark/>
          </w:tcPr>
          <w:p w14:paraId="1C4C826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2552</w:t>
            </w:r>
          </w:p>
        </w:tc>
        <w:tc>
          <w:tcPr>
            <w:tcW w:w="733" w:type="dxa"/>
            <w:noWrap/>
            <w:hideMark/>
          </w:tcPr>
          <w:p w14:paraId="3E32A04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2387</w:t>
            </w:r>
          </w:p>
        </w:tc>
        <w:tc>
          <w:tcPr>
            <w:tcW w:w="733" w:type="dxa"/>
            <w:noWrap/>
            <w:hideMark/>
          </w:tcPr>
          <w:p w14:paraId="373C746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2428</w:t>
            </w:r>
          </w:p>
        </w:tc>
        <w:tc>
          <w:tcPr>
            <w:tcW w:w="732" w:type="dxa"/>
            <w:noWrap/>
            <w:hideMark/>
          </w:tcPr>
          <w:p w14:paraId="25496EE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2623</w:t>
            </w:r>
          </w:p>
        </w:tc>
        <w:tc>
          <w:tcPr>
            <w:tcW w:w="732" w:type="dxa"/>
            <w:noWrap/>
            <w:hideMark/>
          </w:tcPr>
          <w:p w14:paraId="0D2F65B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2186</w:t>
            </w:r>
          </w:p>
        </w:tc>
        <w:tc>
          <w:tcPr>
            <w:tcW w:w="732" w:type="dxa"/>
            <w:noWrap/>
            <w:hideMark/>
          </w:tcPr>
          <w:p w14:paraId="6E5DC4E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1873</w:t>
            </w:r>
          </w:p>
        </w:tc>
        <w:tc>
          <w:tcPr>
            <w:tcW w:w="732" w:type="dxa"/>
            <w:noWrap/>
            <w:hideMark/>
          </w:tcPr>
          <w:p w14:paraId="1E574D8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1190</w:t>
            </w:r>
          </w:p>
        </w:tc>
        <w:tc>
          <w:tcPr>
            <w:tcW w:w="732" w:type="dxa"/>
            <w:noWrap/>
            <w:hideMark/>
          </w:tcPr>
          <w:p w14:paraId="1644E5E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765</w:t>
            </w:r>
          </w:p>
        </w:tc>
        <w:tc>
          <w:tcPr>
            <w:tcW w:w="732" w:type="dxa"/>
            <w:noWrap/>
            <w:hideMark/>
          </w:tcPr>
          <w:p w14:paraId="6C35279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530</w:t>
            </w:r>
          </w:p>
        </w:tc>
        <w:tc>
          <w:tcPr>
            <w:tcW w:w="732" w:type="dxa"/>
            <w:noWrap/>
            <w:hideMark/>
          </w:tcPr>
          <w:p w14:paraId="4E3D713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295</w:t>
            </w:r>
          </w:p>
        </w:tc>
        <w:tc>
          <w:tcPr>
            <w:tcW w:w="732" w:type="dxa"/>
            <w:noWrap/>
            <w:hideMark/>
          </w:tcPr>
          <w:p w14:paraId="262C902A"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202</w:t>
            </w:r>
          </w:p>
        </w:tc>
        <w:tc>
          <w:tcPr>
            <w:tcW w:w="732" w:type="dxa"/>
            <w:noWrap/>
            <w:hideMark/>
          </w:tcPr>
          <w:p w14:paraId="16A35E8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335</w:t>
            </w:r>
          </w:p>
        </w:tc>
        <w:tc>
          <w:tcPr>
            <w:tcW w:w="780" w:type="dxa"/>
            <w:noWrap/>
            <w:hideMark/>
          </w:tcPr>
          <w:p w14:paraId="146ED8A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25896</w:t>
            </w:r>
          </w:p>
        </w:tc>
      </w:tr>
      <w:tr w:rsidR="007268E9" w:rsidRPr="00151B48" w14:paraId="1E1B2061"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49BAC00E" w14:textId="12AC89D5"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419" w:type="dxa"/>
            <w:noWrap/>
            <w:hideMark/>
          </w:tcPr>
          <w:p w14:paraId="1C66BD1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2C71EE2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151B48">
              <w:rPr>
                <w:rFonts w:cs="Times New Roman"/>
                <w:color w:val="000000"/>
                <w:sz w:val="20"/>
                <w:szCs w:val="20"/>
              </w:rPr>
              <w:t>&lt;5</w:t>
            </w:r>
          </w:p>
        </w:tc>
        <w:tc>
          <w:tcPr>
            <w:tcW w:w="732" w:type="dxa"/>
            <w:noWrap/>
            <w:hideMark/>
          </w:tcPr>
          <w:p w14:paraId="29CB431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952</w:t>
            </w:r>
          </w:p>
        </w:tc>
        <w:tc>
          <w:tcPr>
            <w:tcW w:w="732" w:type="dxa"/>
            <w:noWrap/>
            <w:hideMark/>
          </w:tcPr>
          <w:p w14:paraId="75D97DC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4884</w:t>
            </w:r>
          </w:p>
        </w:tc>
        <w:tc>
          <w:tcPr>
            <w:tcW w:w="732" w:type="dxa"/>
            <w:noWrap/>
            <w:hideMark/>
          </w:tcPr>
          <w:p w14:paraId="33BC275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3714</w:t>
            </w:r>
          </w:p>
        </w:tc>
        <w:tc>
          <w:tcPr>
            <w:tcW w:w="733" w:type="dxa"/>
            <w:noWrap/>
            <w:hideMark/>
          </w:tcPr>
          <w:p w14:paraId="543F31C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2979</w:t>
            </w:r>
          </w:p>
        </w:tc>
        <w:tc>
          <w:tcPr>
            <w:tcW w:w="733" w:type="dxa"/>
            <w:noWrap/>
            <w:hideMark/>
          </w:tcPr>
          <w:p w14:paraId="1765064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2560</w:t>
            </w:r>
          </w:p>
        </w:tc>
        <w:tc>
          <w:tcPr>
            <w:tcW w:w="733" w:type="dxa"/>
            <w:noWrap/>
            <w:hideMark/>
          </w:tcPr>
          <w:p w14:paraId="19AE454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2493</w:t>
            </w:r>
          </w:p>
        </w:tc>
        <w:tc>
          <w:tcPr>
            <w:tcW w:w="732" w:type="dxa"/>
            <w:noWrap/>
            <w:hideMark/>
          </w:tcPr>
          <w:p w14:paraId="4DA4A82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2578</w:t>
            </w:r>
          </w:p>
        </w:tc>
        <w:tc>
          <w:tcPr>
            <w:tcW w:w="732" w:type="dxa"/>
            <w:noWrap/>
            <w:hideMark/>
          </w:tcPr>
          <w:p w14:paraId="40D4E26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2409</w:t>
            </w:r>
          </w:p>
        </w:tc>
        <w:tc>
          <w:tcPr>
            <w:tcW w:w="732" w:type="dxa"/>
            <w:noWrap/>
            <w:hideMark/>
          </w:tcPr>
          <w:p w14:paraId="41FF30C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2031</w:t>
            </w:r>
          </w:p>
        </w:tc>
        <w:tc>
          <w:tcPr>
            <w:tcW w:w="732" w:type="dxa"/>
            <w:noWrap/>
            <w:hideMark/>
          </w:tcPr>
          <w:p w14:paraId="75FF69E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1312</w:t>
            </w:r>
          </w:p>
        </w:tc>
        <w:tc>
          <w:tcPr>
            <w:tcW w:w="732" w:type="dxa"/>
            <w:noWrap/>
            <w:hideMark/>
          </w:tcPr>
          <w:p w14:paraId="628ECFC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816</w:t>
            </w:r>
          </w:p>
        </w:tc>
        <w:tc>
          <w:tcPr>
            <w:tcW w:w="732" w:type="dxa"/>
            <w:noWrap/>
            <w:hideMark/>
          </w:tcPr>
          <w:p w14:paraId="1BC6181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521</w:t>
            </w:r>
          </w:p>
        </w:tc>
        <w:tc>
          <w:tcPr>
            <w:tcW w:w="732" w:type="dxa"/>
            <w:noWrap/>
            <w:hideMark/>
          </w:tcPr>
          <w:p w14:paraId="19968AB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303</w:t>
            </w:r>
          </w:p>
        </w:tc>
        <w:tc>
          <w:tcPr>
            <w:tcW w:w="732" w:type="dxa"/>
            <w:noWrap/>
            <w:hideMark/>
          </w:tcPr>
          <w:p w14:paraId="3F55357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250</w:t>
            </w:r>
          </w:p>
        </w:tc>
        <w:tc>
          <w:tcPr>
            <w:tcW w:w="732" w:type="dxa"/>
            <w:noWrap/>
            <w:hideMark/>
          </w:tcPr>
          <w:p w14:paraId="42F1415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367</w:t>
            </w:r>
          </w:p>
        </w:tc>
        <w:tc>
          <w:tcPr>
            <w:tcW w:w="780" w:type="dxa"/>
            <w:noWrap/>
            <w:hideMark/>
          </w:tcPr>
          <w:p w14:paraId="3C6587E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28172</w:t>
            </w:r>
          </w:p>
        </w:tc>
      </w:tr>
      <w:tr w:rsidR="00AB403C" w:rsidRPr="00151B48" w14:paraId="3DC666DB"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11B5E7F5" w14:textId="5EEEB223"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419" w:type="dxa"/>
            <w:noWrap/>
            <w:hideMark/>
          </w:tcPr>
          <w:p w14:paraId="0A9056C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5E5CFF2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&lt;5</w:t>
            </w:r>
          </w:p>
        </w:tc>
        <w:tc>
          <w:tcPr>
            <w:tcW w:w="732" w:type="dxa"/>
            <w:noWrap/>
            <w:hideMark/>
          </w:tcPr>
          <w:p w14:paraId="30B5819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1104</w:t>
            </w:r>
          </w:p>
        </w:tc>
        <w:tc>
          <w:tcPr>
            <w:tcW w:w="732" w:type="dxa"/>
            <w:noWrap/>
            <w:hideMark/>
          </w:tcPr>
          <w:p w14:paraId="3E39527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5624</w:t>
            </w:r>
          </w:p>
        </w:tc>
        <w:tc>
          <w:tcPr>
            <w:tcW w:w="732" w:type="dxa"/>
            <w:noWrap/>
            <w:hideMark/>
          </w:tcPr>
          <w:p w14:paraId="381CE26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3919</w:t>
            </w:r>
          </w:p>
        </w:tc>
        <w:tc>
          <w:tcPr>
            <w:tcW w:w="733" w:type="dxa"/>
            <w:noWrap/>
            <w:hideMark/>
          </w:tcPr>
          <w:p w14:paraId="4725DD4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2968</w:t>
            </w:r>
          </w:p>
        </w:tc>
        <w:tc>
          <w:tcPr>
            <w:tcW w:w="733" w:type="dxa"/>
            <w:noWrap/>
            <w:hideMark/>
          </w:tcPr>
          <w:p w14:paraId="12A713E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2623</w:t>
            </w:r>
          </w:p>
        </w:tc>
        <w:tc>
          <w:tcPr>
            <w:tcW w:w="733" w:type="dxa"/>
            <w:noWrap/>
            <w:hideMark/>
          </w:tcPr>
          <w:p w14:paraId="2EB2A13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2485</w:t>
            </w:r>
          </w:p>
        </w:tc>
        <w:tc>
          <w:tcPr>
            <w:tcW w:w="732" w:type="dxa"/>
            <w:noWrap/>
            <w:hideMark/>
          </w:tcPr>
          <w:p w14:paraId="15DE915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2539</w:t>
            </w:r>
          </w:p>
        </w:tc>
        <w:tc>
          <w:tcPr>
            <w:tcW w:w="732" w:type="dxa"/>
            <w:noWrap/>
            <w:hideMark/>
          </w:tcPr>
          <w:p w14:paraId="167AADD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2579</w:t>
            </w:r>
          </w:p>
        </w:tc>
        <w:tc>
          <w:tcPr>
            <w:tcW w:w="732" w:type="dxa"/>
            <w:noWrap/>
            <w:hideMark/>
          </w:tcPr>
          <w:p w14:paraId="7B6B046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2043</w:t>
            </w:r>
          </w:p>
        </w:tc>
        <w:tc>
          <w:tcPr>
            <w:tcW w:w="732" w:type="dxa"/>
            <w:noWrap/>
            <w:hideMark/>
          </w:tcPr>
          <w:p w14:paraId="5394458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1321</w:t>
            </w:r>
          </w:p>
        </w:tc>
        <w:tc>
          <w:tcPr>
            <w:tcW w:w="732" w:type="dxa"/>
            <w:noWrap/>
            <w:hideMark/>
          </w:tcPr>
          <w:p w14:paraId="7A3BED6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869</w:t>
            </w:r>
          </w:p>
        </w:tc>
        <w:tc>
          <w:tcPr>
            <w:tcW w:w="732" w:type="dxa"/>
            <w:noWrap/>
            <w:hideMark/>
          </w:tcPr>
          <w:p w14:paraId="680EC24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536</w:t>
            </w:r>
          </w:p>
        </w:tc>
        <w:tc>
          <w:tcPr>
            <w:tcW w:w="732" w:type="dxa"/>
            <w:noWrap/>
            <w:hideMark/>
          </w:tcPr>
          <w:p w14:paraId="194043C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364</w:t>
            </w:r>
          </w:p>
        </w:tc>
        <w:tc>
          <w:tcPr>
            <w:tcW w:w="732" w:type="dxa"/>
            <w:noWrap/>
            <w:hideMark/>
          </w:tcPr>
          <w:p w14:paraId="51745021"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241</w:t>
            </w:r>
          </w:p>
        </w:tc>
        <w:tc>
          <w:tcPr>
            <w:tcW w:w="732" w:type="dxa"/>
            <w:noWrap/>
            <w:hideMark/>
          </w:tcPr>
          <w:p w14:paraId="7632D5F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436</w:t>
            </w:r>
          </w:p>
        </w:tc>
        <w:tc>
          <w:tcPr>
            <w:tcW w:w="780" w:type="dxa"/>
            <w:noWrap/>
            <w:hideMark/>
          </w:tcPr>
          <w:p w14:paraId="1747EFC7"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29655</w:t>
            </w:r>
          </w:p>
        </w:tc>
      </w:tr>
      <w:tr w:rsidR="007268E9" w:rsidRPr="00151B48" w14:paraId="76EC6952" w14:textId="77777777" w:rsidTr="00AB403C">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7F64B6EC" w14:textId="350C741F"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419" w:type="dxa"/>
            <w:noWrap/>
            <w:hideMark/>
          </w:tcPr>
          <w:p w14:paraId="55CA73F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52D0C5A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w:t>
            </w:r>
          </w:p>
        </w:tc>
        <w:tc>
          <w:tcPr>
            <w:tcW w:w="732" w:type="dxa"/>
            <w:noWrap/>
            <w:hideMark/>
          </w:tcPr>
          <w:p w14:paraId="2E3B13C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1016</w:t>
            </w:r>
          </w:p>
        </w:tc>
        <w:tc>
          <w:tcPr>
            <w:tcW w:w="732" w:type="dxa"/>
            <w:noWrap/>
            <w:hideMark/>
          </w:tcPr>
          <w:p w14:paraId="2B725BB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5029</w:t>
            </w:r>
          </w:p>
        </w:tc>
        <w:tc>
          <w:tcPr>
            <w:tcW w:w="732" w:type="dxa"/>
            <w:noWrap/>
            <w:hideMark/>
          </w:tcPr>
          <w:p w14:paraId="5D3430B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3560</w:t>
            </w:r>
          </w:p>
        </w:tc>
        <w:tc>
          <w:tcPr>
            <w:tcW w:w="733" w:type="dxa"/>
            <w:noWrap/>
            <w:hideMark/>
          </w:tcPr>
          <w:p w14:paraId="363E157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2786</w:t>
            </w:r>
          </w:p>
        </w:tc>
        <w:tc>
          <w:tcPr>
            <w:tcW w:w="733" w:type="dxa"/>
            <w:noWrap/>
            <w:hideMark/>
          </w:tcPr>
          <w:p w14:paraId="06CAD53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2259</w:t>
            </w:r>
          </w:p>
        </w:tc>
        <w:tc>
          <w:tcPr>
            <w:tcW w:w="733" w:type="dxa"/>
            <w:noWrap/>
            <w:hideMark/>
          </w:tcPr>
          <w:p w14:paraId="2E628E6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2251</w:t>
            </w:r>
          </w:p>
        </w:tc>
        <w:tc>
          <w:tcPr>
            <w:tcW w:w="732" w:type="dxa"/>
            <w:noWrap/>
            <w:hideMark/>
          </w:tcPr>
          <w:p w14:paraId="15FDBCB8"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2196</w:t>
            </w:r>
          </w:p>
        </w:tc>
        <w:tc>
          <w:tcPr>
            <w:tcW w:w="732" w:type="dxa"/>
            <w:noWrap/>
            <w:hideMark/>
          </w:tcPr>
          <w:p w14:paraId="423D944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2190</w:t>
            </w:r>
          </w:p>
        </w:tc>
        <w:tc>
          <w:tcPr>
            <w:tcW w:w="732" w:type="dxa"/>
            <w:noWrap/>
            <w:hideMark/>
          </w:tcPr>
          <w:p w14:paraId="4F6DE21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1789</w:t>
            </w:r>
          </w:p>
        </w:tc>
        <w:tc>
          <w:tcPr>
            <w:tcW w:w="732" w:type="dxa"/>
            <w:noWrap/>
            <w:hideMark/>
          </w:tcPr>
          <w:p w14:paraId="4587BA6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1259</w:t>
            </w:r>
          </w:p>
        </w:tc>
        <w:tc>
          <w:tcPr>
            <w:tcW w:w="732" w:type="dxa"/>
            <w:noWrap/>
            <w:hideMark/>
          </w:tcPr>
          <w:p w14:paraId="03074C7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773</w:t>
            </w:r>
          </w:p>
        </w:tc>
        <w:tc>
          <w:tcPr>
            <w:tcW w:w="732" w:type="dxa"/>
            <w:noWrap/>
            <w:hideMark/>
          </w:tcPr>
          <w:p w14:paraId="4A0DA13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489</w:t>
            </w:r>
          </w:p>
        </w:tc>
        <w:tc>
          <w:tcPr>
            <w:tcW w:w="732" w:type="dxa"/>
            <w:noWrap/>
            <w:hideMark/>
          </w:tcPr>
          <w:p w14:paraId="07EF6E7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347</w:t>
            </w:r>
          </w:p>
        </w:tc>
        <w:tc>
          <w:tcPr>
            <w:tcW w:w="732" w:type="dxa"/>
            <w:noWrap/>
            <w:hideMark/>
          </w:tcPr>
          <w:p w14:paraId="076E8D4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237</w:t>
            </w:r>
          </w:p>
        </w:tc>
        <w:tc>
          <w:tcPr>
            <w:tcW w:w="732" w:type="dxa"/>
            <w:noWrap/>
            <w:hideMark/>
          </w:tcPr>
          <w:p w14:paraId="372E846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385</w:t>
            </w:r>
          </w:p>
        </w:tc>
        <w:tc>
          <w:tcPr>
            <w:tcW w:w="780" w:type="dxa"/>
            <w:noWrap/>
            <w:hideMark/>
          </w:tcPr>
          <w:p w14:paraId="0E9B4D2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26573</w:t>
            </w:r>
          </w:p>
        </w:tc>
      </w:tr>
      <w:tr w:rsidR="00AB403C" w:rsidRPr="00151B48" w14:paraId="45B4F80B" w14:textId="77777777" w:rsidTr="00AB403C">
        <w:trPr>
          <w:trHeight w:val="278"/>
        </w:trPr>
        <w:tc>
          <w:tcPr>
            <w:cnfStyle w:val="001000000000" w:firstRow="0" w:lastRow="0" w:firstColumn="1" w:lastColumn="0" w:oddVBand="0" w:evenVBand="0" w:oddHBand="0" w:evenHBand="0" w:firstRowFirstColumn="0" w:firstRowLastColumn="0" w:lastRowFirstColumn="0" w:lastRowLastColumn="0"/>
            <w:tcW w:w="851" w:type="dxa"/>
            <w:noWrap/>
            <w:hideMark/>
          </w:tcPr>
          <w:p w14:paraId="669174E9" w14:textId="6DFBAAC1"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419" w:type="dxa"/>
            <w:noWrap/>
            <w:hideMark/>
          </w:tcPr>
          <w:p w14:paraId="753EEDE0"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0A38A569"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w:t>
            </w:r>
          </w:p>
        </w:tc>
        <w:tc>
          <w:tcPr>
            <w:tcW w:w="732" w:type="dxa"/>
            <w:noWrap/>
            <w:hideMark/>
          </w:tcPr>
          <w:p w14:paraId="3A2E6A8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983</w:t>
            </w:r>
          </w:p>
        </w:tc>
        <w:tc>
          <w:tcPr>
            <w:tcW w:w="732" w:type="dxa"/>
            <w:noWrap/>
            <w:hideMark/>
          </w:tcPr>
          <w:p w14:paraId="21B8F45D"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4663</w:t>
            </w:r>
          </w:p>
        </w:tc>
        <w:tc>
          <w:tcPr>
            <w:tcW w:w="732" w:type="dxa"/>
            <w:noWrap/>
            <w:hideMark/>
          </w:tcPr>
          <w:p w14:paraId="4F83664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3652</w:t>
            </w:r>
          </w:p>
        </w:tc>
        <w:tc>
          <w:tcPr>
            <w:tcW w:w="733" w:type="dxa"/>
            <w:noWrap/>
            <w:hideMark/>
          </w:tcPr>
          <w:p w14:paraId="7EF7B178"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2742</w:t>
            </w:r>
          </w:p>
        </w:tc>
        <w:tc>
          <w:tcPr>
            <w:tcW w:w="733" w:type="dxa"/>
            <w:noWrap/>
            <w:hideMark/>
          </w:tcPr>
          <w:p w14:paraId="7F60363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2331</w:t>
            </w:r>
          </w:p>
        </w:tc>
        <w:tc>
          <w:tcPr>
            <w:tcW w:w="733" w:type="dxa"/>
            <w:noWrap/>
            <w:hideMark/>
          </w:tcPr>
          <w:p w14:paraId="290CABE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2040</w:t>
            </w:r>
          </w:p>
        </w:tc>
        <w:tc>
          <w:tcPr>
            <w:tcW w:w="732" w:type="dxa"/>
            <w:noWrap/>
            <w:hideMark/>
          </w:tcPr>
          <w:p w14:paraId="662C9C1B"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2077</w:t>
            </w:r>
          </w:p>
        </w:tc>
        <w:tc>
          <w:tcPr>
            <w:tcW w:w="732" w:type="dxa"/>
            <w:noWrap/>
            <w:hideMark/>
          </w:tcPr>
          <w:p w14:paraId="586D9F0F"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2174</w:t>
            </w:r>
          </w:p>
        </w:tc>
        <w:tc>
          <w:tcPr>
            <w:tcW w:w="732" w:type="dxa"/>
            <w:noWrap/>
            <w:hideMark/>
          </w:tcPr>
          <w:p w14:paraId="007BE7D5"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1799</w:t>
            </w:r>
          </w:p>
        </w:tc>
        <w:tc>
          <w:tcPr>
            <w:tcW w:w="732" w:type="dxa"/>
            <w:noWrap/>
            <w:hideMark/>
          </w:tcPr>
          <w:p w14:paraId="2C7980A4"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1295</w:t>
            </w:r>
          </w:p>
        </w:tc>
        <w:tc>
          <w:tcPr>
            <w:tcW w:w="732" w:type="dxa"/>
            <w:noWrap/>
            <w:hideMark/>
          </w:tcPr>
          <w:p w14:paraId="4C48D82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813</w:t>
            </w:r>
          </w:p>
        </w:tc>
        <w:tc>
          <w:tcPr>
            <w:tcW w:w="732" w:type="dxa"/>
            <w:noWrap/>
            <w:hideMark/>
          </w:tcPr>
          <w:p w14:paraId="2198A3C6"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563</w:t>
            </w:r>
          </w:p>
        </w:tc>
        <w:tc>
          <w:tcPr>
            <w:tcW w:w="732" w:type="dxa"/>
            <w:noWrap/>
            <w:hideMark/>
          </w:tcPr>
          <w:p w14:paraId="77CFB80C"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352</w:t>
            </w:r>
          </w:p>
        </w:tc>
        <w:tc>
          <w:tcPr>
            <w:tcW w:w="732" w:type="dxa"/>
            <w:noWrap/>
            <w:hideMark/>
          </w:tcPr>
          <w:p w14:paraId="76D48B62"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233</w:t>
            </w:r>
          </w:p>
        </w:tc>
        <w:tc>
          <w:tcPr>
            <w:tcW w:w="732" w:type="dxa"/>
            <w:noWrap/>
            <w:hideMark/>
          </w:tcPr>
          <w:p w14:paraId="52F42583"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391</w:t>
            </w:r>
          </w:p>
        </w:tc>
        <w:tc>
          <w:tcPr>
            <w:tcW w:w="780" w:type="dxa"/>
            <w:noWrap/>
            <w:hideMark/>
          </w:tcPr>
          <w:p w14:paraId="7B4FF69E" w14:textId="77777777" w:rsidR="00AB403C" w:rsidRPr="00151B48"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26117</w:t>
            </w:r>
          </w:p>
        </w:tc>
      </w:tr>
      <w:tr w:rsidR="007268E9" w:rsidRPr="00151B48" w14:paraId="056038AA" w14:textId="77777777" w:rsidTr="00AB403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51" w:type="dxa"/>
            <w:noWrap/>
            <w:hideMark/>
          </w:tcPr>
          <w:p w14:paraId="4A9CA685" w14:textId="2AD5E075" w:rsidR="00AB403C" w:rsidRPr="00151B48"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419" w:type="dxa"/>
            <w:noWrap/>
            <w:hideMark/>
          </w:tcPr>
          <w:p w14:paraId="76AD2510"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25" w:type="dxa"/>
            <w:noWrap/>
            <w:hideMark/>
          </w:tcPr>
          <w:p w14:paraId="6B73D477"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&lt;5</w:t>
            </w:r>
          </w:p>
        </w:tc>
        <w:tc>
          <w:tcPr>
            <w:tcW w:w="732" w:type="dxa"/>
            <w:noWrap/>
            <w:hideMark/>
          </w:tcPr>
          <w:p w14:paraId="55AACA99"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999</w:t>
            </w:r>
          </w:p>
        </w:tc>
        <w:tc>
          <w:tcPr>
            <w:tcW w:w="732" w:type="dxa"/>
            <w:noWrap/>
            <w:hideMark/>
          </w:tcPr>
          <w:p w14:paraId="142B22A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4574</w:t>
            </w:r>
          </w:p>
        </w:tc>
        <w:tc>
          <w:tcPr>
            <w:tcW w:w="732" w:type="dxa"/>
            <w:noWrap/>
            <w:hideMark/>
          </w:tcPr>
          <w:p w14:paraId="55DE318B"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3712</w:t>
            </w:r>
          </w:p>
        </w:tc>
        <w:tc>
          <w:tcPr>
            <w:tcW w:w="733" w:type="dxa"/>
            <w:noWrap/>
            <w:hideMark/>
          </w:tcPr>
          <w:p w14:paraId="481F948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2650</w:t>
            </w:r>
          </w:p>
        </w:tc>
        <w:tc>
          <w:tcPr>
            <w:tcW w:w="733" w:type="dxa"/>
            <w:noWrap/>
            <w:hideMark/>
          </w:tcPr>
          <w:p w14:paraId="7E913875"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2163</w:t>
            </w:r>
          </w:p>
        </w:tc>
        <w:tc>
          <w:tcPr>
            <w:tcW w:w="733" w:type="dxa"/>
            <w:noWrap/>
            <w:hideMark/>
          </w:tcPr>
          <w:p w14:paraId="242FDCA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1987</w:t>
            </w:r>
          </w:p>
        </w:tc>
        <w:tc>
          <w:tcPr>
            <w:tcW w:w="732" w:type="dxa"/>
            <w:noWrap/>
            <w:hideMark/>
          </w:tcPr>
          <w:p w14:paraId="5B31187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1859</w:t>
            </w:r>
          </w:p>
        </w:tc>
        <w:tc>
          <w:tcPr>
            <w:tcW w:w="732" w:type="dxa"/>
            <w:noWrap/>
            <w:hideMark/>
          </w:tcPr>
          <w:p w14:paraId="058525C4"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1988</w:t>
            </w:r>
          </w:p>
        </w:tc>
        <w:tc>
          <w:tcPr>
            <w:tcW w:w="732" w:type="dxa"/>
            <w:noWrap/>
            <w:hideMark/>
          </w:tcPr>
          <w:p w14:paraId="60068613"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1602</w:t>
            </w:r>
          </w:p>
        </w:tc>
        <w:tc>
          <w:tcPr>
            <w:tcW w:w="732" w:type="dxa"/>
            <w:noWrap/>
            <w:hideMark/>
          </w:tcPr>
          <w:p w14:paraId="755277BE"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1203</w:t>
            </w:r>
          </w:p>
        </w:tc>
        <w:tc>
          <w:tcPr>
            <w:tcW w:w="732" w:type="dxa"/>
            <w:noWrap/>
            <w:hideMark/>
          </w:tcPr>
          <w:p w14:paraId="77C8A2FD"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778</w:t>
            </w:r>
          </w:p>
        </w:tc>
        <w:tc>
          <w:tcPr>
            <w:tcW w:w="732" w:type="dxa"/>
            <w:noWrap/>
            <w:hideMark/>
          </w:tcPr>
          <w:p w14:paraId="6721C48F"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505</w:t>
            </w:r>
          </w:p>
        </w:tc>
        <w:tc>
          <w:tcPr>
            <w:tcW w:w="732" w:type="dxa"/>
            <w:noWrap/>
            <w:hideMark/>
          </w:tcPr>
          <w:p w14:paraId="157E9D82"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335</w:t>
            </w:r>
          </w:p>
        </w:tc>
        <w:tc>
          <w:tcPr>
            <w:tcW w:w="732" w:type="dxa"/>
            <w:noWrap/>
            <w:hideMark/>
          </w:tcPr>
          <w:p w14:paraId="356D4BDC"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255</w:t>
            </w:r>
          </w:p>
        </w:tc>
        <w:tc>
          <w:tcPr>
            <w:tcW w:w="732" w:type="dxa"/>
            <w:noWrap/>
            <w:hideMark/>
          </w:tcPr>
          <w:p w14:paraId="3D040346"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455</w:t>
            </w:r>
          </w:p>
        </w:tc>
        <w:tc>
          <w:tcPr>
            <w:tcW w:w="780" w:type="dxa"/>
            <w:noWrap/>
            <w:hideMark/>
          </w:tcPr>
          <w:p w14:paraId="5DFE71CA" w14:textId="77777777" w:rsidR="00AB403C" w:rsidRPr="00151B48"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151B48">
              <w:rPr>
                <w:rFonts w:cs="Times New Roman"/>
                <w:color w:val="000000"/>
                <w:sz w:val="20"/>
                <w:szCs w:val="20"/>
              </w:rPr>
              <w:t>25069</w:t>
            </w:r>
          </w:p>
        </w:tc>
      </w:tr>
    </w:tbl>
    <w:p w14:paraId="03C10DF1" w14:textId="4AD6D183" w:rsidR="00031185" w:rsidRPr="00D01132" w:rsidRDefault="00031185" w:rsidP="002939B7">
      <w:pPr>
        <w:pStyle w:val="Heading5"/>
        <w:spacing w:before="0"/>
        <w:rPr>
          <w:rStyle w:val="BookTitle"/>
          <w:b w:val="0"/>
          <w:bCs w:val="0"/>
          <w:i w:val="0"/>
          <w:iCs w:val="0"/>
          <w:spacing w:val="0"/>
        </w:rPr>
      </w:pPr>
      <w:r w:rsidRPr="00D01132">
        <w:rPr>
          <w:rStyle w:val="BookTitle"/>
          <w:b w:val="0"/>
          <w:bCs w:val="0"/>
          <w:i w:val="0"/>
          <w:iCs w:val="0"/>
          <w:spacing w:val="0"/>
        </w:rPr>
        <w:t>Changes in intentional medicine poisoning admissions in Australia (AIHW NHMD 2009-2020)</w:t>
      </w:r>
    </w:p>
    <w:p w14:paraId="207A08D8" w14:textId="77777777" w:rsidR="00031185" w:rsidRPr="0034427C" w:rsidRDefault="00031185" w:rsidP="00E723F2"/>
    <w:p w14:paraId="0A2E8497" w14:textId="01D5F9FC" w:rsidR="00293167" w:rsidRPr="00D01132" w:rsidRDefault="00E723F2" w:rsidP="00D01132">
      <w:pPr>
        <w:pStyle w:val="Heading5"/>
        <w:rPr>
          <w:rStyle w:val="BookTitle"/>
          <w:b w:val="0"/>
          <w:bCs w:val="0"/>
          <w:i w:val="0"/>
          <w:iCs w:val="0"/>
          <w:spacing w:val="0"/>
        </w:rPr>
      </w:pPr>
      <w:r w:rsidRPr="00D01132">
        <w:rPr>
          <w:rStyle w:val="BookTitle"/>
          <w:b w:val="0"/>
          <w:bCs w:val="0"/>
          <w:i w:val="0"/>
          <w:iCs w:val="0"/>
          <w:spacing w:val="0"/>
        </w:rPr>
        <w:t>Annual totals of combinations of paracetamol and opiates in Australia (by age group</w:t>
      </w:r>
      <w:r w:rsidR="0034427C" w:rsidRPr="00D01132">
        <w:rPr>
          <w:rStyle w:val="BookTitle"/>
          <w:b w:val="0"/>
          <w:bCs w:val="0"/>
          <w:i w:val="0"/>
          <w:iCs w:val="0"/>
          <w:spacing w:val="0"/>
        </w:rPr>
        <w:t>)</w:t>
      </w:r>
      <w:r w:rsidRPr="00D01132">
        <w:rPr>
          <w:rStyle w:val="BookTitle"/>
          <w:b w:val="0"/>
          <w:bCs w:val="0"/>
          <w:i w:val="0"/>
          <w:iCs w:val="0"/>
          <w:spacing w:val="0"/>
        </w:rPr>
        <w:t xml:space="preserve"> (AIHW NHMD 2009-2020)</w:t>
      </w:r>
    </w:p>
    <w:tbl>
      <w:tblPr>
        <w:tblW w:w="13958" w:type="dxa"/>
        <w:jc w:val="righ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7"/>
        <w:gridCol w:w="583"/>
        <w:gridCol w:w="796"/>
        <w:gridCol w:w="752"/>
        <w:gridCol w:w="752"/>
        <w:gridCol w:w="752"/>
        <w:gridCol w:w="752"/>
        <w:gridCol w:w="752"/>
        <w:gridCol w:w="752"/>
        <w:gridCol w:w="752"/>
        <w:gridCol w:w="752"/>
        <w:gridCol w:w="752"/>
        <w:gridCol w:w="733"/>
        <w:gridCol w:w="733"/>
        <w:gridCol w:w="733"/>
        <w:gridCol w:w="733"/>
        <w:gridCol w:w="583"/>
        <w:gridCol w:w="1299"/>
      </w:tblGrid>
      <w:tr w:rsidR="00BC7912" w:rsidRPr="00151B48" w14:paraId="3B0D82FF" w14:textId="77777777" w:rsidTr="00617949">
        <w:trPr>
          <w:trHeight w:val="315"/>
          <w:jc w:val="right"/>
        </w:trPr>
        <w:tc>
          <w:tcPr>
            <w:tcW w:w="997" w:type="dxa"/>
            <w:tcBorders>
              <w:top w:val="single" w:sz="6" w:space="0" w:color="000000"/>
              <w:left w:val="nil"/>
              <w:bottom w:val="single" w:sz="6" w:space="0" w:color="000000"/>
              <w:right w:val="nil"/>
            </w:tcBorders>
            <w:shd w:val="clear" w:color="auto" w:fill="auto"/>
            <w:hideMark/>
          </w:tcPr>
          <w:p w14:paraId="2A0B5543"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Ref year </w:t>
            </w:r>
          </w:p>
        </w:tc>
        <w:tc>
          <w:tcPr>
            <w:tcW w:w="583" w:type="dxa"/>
            <w:tcBorders>
              <w:top w:val="single" w:sz="6" w:space="0" w:color="000000"/>
              <w:left w:val="nil"/>
              <w:bottom w:val="single" w:sz="6" w:space="0" w:color="000000"/>
              <w:right w:val="nil"/>
            </w:tcBorders>
            <w:shd w:val="clear" w:color="auto" w:fill="auto"/>
            <w:hideMark/>
          </w:tcPr>
          <w:p w14:paraId="0FD2B466"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&lt;10 </w:t>
            </w:r>
          </w:p>
        </w:tc>
        <w:tc>
          <w:tcPr>
            <w:tcW w:w="796" w:type="dxa"/>
            <w:tcBorders>
              <w:top w:val="single" w:sz="6" w:space="0" w:color="000000"/>
              <w:left w:val="nil"/>
              <w:bottom w:val="single" w:sz="6" w:space="0" w:color="000000"/>
              <w:right w:val="nil"/>
            </w:tcBorders>
            <w:shd w:val="clear" w:color="auto" w:fill="auto"/>
            <w:hideMark/>
          </w:tcPr>
          <w:p w14:paraId="215F645B"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10--14 </w:t>
            </w:r>
          </w:p>
        </w:tc>
        <w:tc>
          <w:tcPr>
            <w:tcW w:w="752" w:type="dxa"/>
            <w:tcBorders>
              <w:top w:val="single" w:sz="6" w:space="0" w:color="000000"/>
              <w:left w:val="nil"/>
              <w:bottom w:val="single" w:sz="6" w:space="0" w:color="000000"/>
              <w:right w:val="nil"/>
            </w:tcBorders>
            <w:shd w:val="clear" w:color="auto" w:fill="auto"/>
            <w:hideMark/>
          </w:tcPr>
          <w:p w14:paraId="6399AC7B"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15-19 </w:t>
            </w:r>
          </w:p>
        </w:tc>
        <w:tc>
          <w:tcPr>
            <w:tcW w:w="752" w:type="dxa"/>
            <w:tcBorders>
              <w:top w:val="single" w:sz="6" w:space="0" w:color="000000"/>
              <w:left w:val="nil"/>
              <w:bottom w:val="single" w:sz="6" w:space="0" w:color="000000"/>
              <w:right w:val="nil"/>
            </w:tcBorders>
            <w:shd w:val="clear" w:color="auto" w:fill="auto"/>
            <w:hideMark/>
          </w:tcPr>
          <w:p w14:paraId="197AD815"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20-24 </w:t>
            </w:r>
          </w:p>
        </w:tc>
        <w:tc>
          <w:tcPr>
            <w:tcW w:w="752" w:type="dxa"/>
            <w:tcBorders>
              <w:top w:val="single" w:sz="6" w:space="0" w:color="000000"/>
              <w:left w:val="nil"/>
              <w:bottom w:val="single" w:sz="6" w:space="0" w:color="000000"/>
              <w:right w:val="nil"/>
            </w:tcBorders>
            <w:shd w:val="clear" w:color="auto" w:fill="auto"/>
            <w:hideMark/>
          </w:tcPr>
          <w:p w14:paraId="18C0589A"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25-29 </w:t>
            </w:r>
          </w:p>
        </w:tc>
        <w:tc>
          <w:tcPr>
            <w:tcW w:w="752" w:type="dxa"/>
            <w:tcBorders>
              <w:top w:val="single" w:sz="6" w:space="0" w:color="000000"/>
              <w:left w:val="nil"/>
              <w:bottom w:val="single" w:sz="6" w:space="0" w:color="000000"/>
              <w:right w:val="nil"/>
            </w:tcBorders>
            <w:shd w:val="clear" w:color="auto" w:fill="auto"/>
            <w:hideMark/>
          </w:tcPr>
          <w:p w14:paraId="2613BD8D"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30-34 </w:t>
            </w:r>
          </w:p>
        </w:tc>
        <w:tc>
          <w:tcPr>
            <w:tcW w:w="752" w:type="dxa"/>
            <w:tcBorders>
              <w:top w:val="single" w:sz="6" w:space="0" w:color="000000"/>
              <w:left w:val="nil"/>
              <w:bottom w:val="single" w:sz="6" w:space="0" w:color="000000"/>
              <w:right w:val="nil"/>
            </w:tcBorders>
            <w:shd w:val="clear" w:color="auto" w:fill="auto"/>
            <w:hideMark/>
          </w:tcPr>
          <w:p w14:paraId="5E5B8723"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35-39 </w:t>
            </w:r>
          </w:p>
        </w:tc>
        <w:tc>
          <w:tcPr>
            <w:tcW w:w="752" w:type="dxa"/>
            <w:tcBorders>
              <w:top w:val="single" w:sz="6" w:space="0" w:color="000000"/>
              <w:left w:val="nil"/>
              <w:bottom w:val="single" w:sz="6" w:space="0" w:color="000000"/>
              <w:right w:val="nil"/>
            </w:tcBorders>
            <w:shd w:val="clear" w:color="auto" w:fill="auto"/>
            <w:hideMark/>
          </w:tcPr>
          <w:p w14:paraId="785C3D67"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40-44 </w:t>
            </w:r>
          </w:p>
        </w:tc>
        <w:tc>
          <w:tcPr>
            <w:tcW w:w="752" w:type="dxa"/>
            <w:tcBorders>
              <w:top w:val="single" w:sz="6" w:space="0" w:color="000000"/>
              <w:left w:val="nil"/>
              <w:bottom w:val="single" w:sz="6" w:space="0" w:color="000000"/>
              <w:right w:val="nil"/>
            </w:tcBorders>
            <w:shd w:val="clear" w:color="auto" w:fill="auto"/>
            <w:hideMark/>
          </w:tcPr>
          <w:p w14:paraId="05AC83A5"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45-49 </w:t>
            </w:r>
          </w:p>
        </w:tc>
        <w:tc>
          <w:tcPr>
            <w:tcW w:w="752" w:type="dxa"/>
            <w:tcBorders>
              <w:top w:val="single" w:sz="6" w:space="0" w:color="000000"/>
              <w:left w:val="nil"/>
              <w:bottom w:val="single" w:sz="6" w:space="0" w:color="000000"/>
              <w:right w:val="nil"/>
            </w:tcBorders>
            <w:shd w:val="clear" w:color="auto" w:fill="auto"/>
            <w:hideMark/>
          </w:tcPr>
          <w:p w14:paraId="464301B8"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50-54 </w:t>
            </w:r>
          </w:p>
        </w:tc>
        <w:tc>
          <w:tcPr>
            <w:tcW w:w="752" w:type="dxa"/>
            <w:tcBorders>
              <w:top w:val="single" w:sz="6" w:space="0" w:color="000000"/>
              <w:left w:val="nil"/>
              <w:bottom w:val="single" w:sz="6" w:space="0" w:color="000000"/>
              <w:right w:val="nil"/>
            </w:tcBorders>
            <w:shd w:val="clear" w:color="auto" w:fill="auto"/>
            <w:hideMark/>
          </w:tcPr>
          <w:p w14:paraId="13A5D334"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55-59 </w:t>
            </w:r>
          </w:p>
        </w:tc>
        <w:tc>
          <w:tcPr>
            <w:tcW w:w="733" w:type="dxa"/>
            <w:tcBorders>
              <w:top w:val="single" w:sz="6" w:space="0" w:color="000000"/>
              <w:left w:val="nil"/>
              <w:bottom w:val="single" w:sz="6" w:space="0" w:color="000000"/>
              <w:right w:val="nil"/>
            </w:tcBorders>
            <w:shd w:val="clear" w:color="auto" w:fill="auto"/>
            <w:hideMark/>
          </w:tcPr>
          <w:p w14:paraId="5BA41FD2"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60-64 </w:t>
            </w:r>
          </w:p>
        </w:tc>
        <w:tc>
          <w:tcPr>
            <w:tcW w:w="733" w:type="dxa"/>
            <w:tcBorders>
              <w:top w:val="single" w:sz="6" w:space="0" w:color="000000"/>
              <w:left w:val="nil"/>
              <w:bottom w:val="single" w:sz="6" w:space="0" w:color="000000"/>
              <w:right w:val="nil"/>
            </w:tcBorders>
            <w:shd w:val="clear" w:color="auto" w:fill="auto"/>
            <w:hideMark/>
          </w:tcPr>
          <w:p w14:paraId="4265A264"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65-69 </w:t>
            </w:r>
          </w:p>
        </w:tc>
        <w:tc>
          <w:tcPr>
            <w:tcW w:w="733" w:type="dxa"/>
            <w:tcBorders>
              <w:top w:val="single" w:sz="6" w:space="0" w:color="000000"/>
              <w:left w:val="nil"/>
              <w:bottom w:val="single" w:sz="6" w:space="0" w:color="000000"/>
              <w:right w:val="nil"/>
            </w:tcBorders>
            <w:shd w:val="clear" w:color="auto" w:fill="auto"/>
            <w:hideMark/>
          </w:tcPr>
          <w:p w14:paraId="5013ADC5"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70-74 </w:t>
            </w:r>
          </w:p>
        </w:tc>
        <w:tc>
          <w:tcPr>
            <w:tcW w:w="733" w:type="dxa"/>
            <w:tcBorders>
              <w:top w:val="single" w:sz="6" w:space="0" w:color="000000"/>
              <w:left w:val="nil"/>
              <w:bottom w:val="single" w:sz="6" w:space="0" w:color="000000"/>
              <w:right w:val="nil"/>
            </w:tcBorders>
            <w:shd w:val="clear" w:color="auto" w:fill="auto"/>
            <w:hideMark/>
          </w:tcPr>
          <w:p w14:paraId="1DFE376F"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75-79 </w:t>
            </w:r>
          </w:p>
        </w:tc>
        <w:tc>
          <w:tcPr>
            <w:tcW w:w="583" w:type="dxa"/>
            <w:tcBorders>
              <w:top w:val="single" w:sz="6" w:space="0" w:color="000000"/>
              <w:left w:val="nil"/>
              <w:bottom w:val="single" w:sz="6" w:space="0" w:color="000000"/>
              <w:right w:val="nil"/>
            </w:tcBorders>
            <w:shd w:val="clear" w:color="auto" w:fill="auto"/>
            <w:hideMark/>
          </w:tcPr>
          <w:p w14:paraId="3CA16123"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80+ </w:t>
            </w:r>
          </w:p>
        </w:tc>
        <w:tc>
          <w:tcPr>
            <w:tcW w:w="1299" w:type="dxa"/>
            <w:tcBorders>
              <w:top w:val="single" w:sz="6" w:space="0" w:color="000000"/>
              <w:left w:val="nil"/>
              <w:bottom w:val="single" w:sz="6" w:space="0" w:color="000000"/>
              <w:right w:val="nil"/>
            </w:tcBorders>
            <w:shd w:val="clear" w:color="auto" w:fill="auto"/>
            <w:hideMark/>
          </w:tcPr>
          <w:p w14:paraId="16183DF4" w14:textId="77777777" w:rsidR="00BC7912" w:rsidRPr="00151B48" w:rsidRDefault="00BC7912" w:rsidP="00617949">
            <w:pPr>
              <w:spacing w:after="0" w:line="240" w:lineRule="auto"/>
              <w:jc w:val="right"/>
              <w:textAlignment w:val="baseline"/>
              <w:rPr>
                <w:rFonts w:eastAsia="Times New Roman" w:cs="Times New Roman"/>
                <w:b/>
                <w:bCs/>
                <w:color w:val="000000"/>
                <w:sz w:val="20"/>
                <w:szCs w:val="20"/>
                <w:lang w:eastAsia="en-AU"/>
              </w:rPr>
            </w:pPr>
            <w:r w:rsidRPr="00151B48">
              <w:rPr>
                <w:rFonts w:eastAsia="Times New Roman" w:cs="Times New Roman"/>
                <w:b/>
                <w:bCs/>
                <w:color w:val="000000"/>
                <w:sz w:val="20"/>
                <w:szCs w:val="20"/>
                <w:lang w:eastAsia="en-AU"/>
              </w:rPr>
              <w:t>Grand Total </w:t>
            </w:r>
          </w:p>
        </w:tc>
      </w:tr>
      <w:tr w:rsidR="00AB403C" w:rsidRPr="00151B48" w14:paraId="2EE3746A" w14:textId="77777777" w:rsidTr="00617949">
        <w:trPr>
          <w:trHeight w:val="300"/>
          <w:jc w:val="right"/>
        </w:trPr>
        <w:tc>
          <w:tcPr>
            <w:tcW w:w="997" w:type="dxa"/>
            <w:tcBorders>
              <w:top w:val="nil"/>
              <w:left w:val="nil"/>
              <w:bottom w:val="nil"/>
              <w:right w:val="nil"/>
            </w:tcBorders>
            <w:shd w:val="clear" w:color="auto" w:fill="CCCCCC"/>
            <w:hideMark/>
          </w:tcPr>
          <w:p w14:paraId="106743CF" w14:textId="2A0FFFE2"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9</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10 </w:t>
            </w:r>
          </w:p>
        </w:tc>
        <w:tc>
          <w:tcPr>
            <w:tcW w:w="583" w:type="dxa"/>
            <w:tcBorders>
              <w:top w:val="nil"/>
              <w:left w:val="nil"/>
              <w:bottom w:val="nil"/>
              <w:right w:val="nil"/>
            </w:tcBorders>
            <w:shd w:val="clear" w:color="auto" w:fill="CCCCCC"/>
            <w:hideMark/>
          </w:tcPr>
          <w:p w14:paraId="64A1278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28 </w:t>
            </w:r>
          </w:p>
        </w:tc>
        <w:tc>
          <w:tcPr>
            <w:tcW w:w="796" w:type="dxa"/>
            <w:tcBorders>
              <w:top w:val="nil"/>
              <w:left w:val="nil"/>
              <w:bottom w:val="nil"/>
              <w:right w:val="nil"/>
            </w:tcBorders>
            <w:shd w:val="clear" w:color="auto" w:fill="CCCCCC"/>
            <w:hideMark/>
          </w:tcPr>
          <w:p w14:paraId="1575486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32 </w:t>
            </w:r>
          </w:p>
        </w:tc>
        <w:tc>
          <w:tcPr>
            <w:tcW w:w="752" w:type="dxa"/>
            <w:tcBorders>
              <w:top w:val="nil"/>
              <w:left w:val="nil"/>
              <w:bottom w:val="nil"/>
              <w:right w:val="nil"/>
            </w:tcBorders>
            <w:shd w:val="clear" w:color="auto" w:fill="CCCCCC"/>
            <w:hideMark/>
          </w:tcPr>
          <w:p w14:paraId="4F671DF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313 </w:t>
            </w:r>
          </w:p>
        </w:tc>
        <w:tc>
          <w:tcPr>
            <w:tcW w:w="752" w:type="dxa"/>
            <w:tcBorders>
              <w:top w:val="nil"/>
              <w:left w:val="nil"/>
              <w:bottom w:val="nil"/>
              <w:right w:val="nil"/>
            </w:tcBorders>
            <w:shd w:val="clear" w:color="auto" w:fill="CCCCCC"/>
            <w:hideMark/>
          </w:tcPr>
          <w:p w14:paraId="41F4527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298 </w:t>
            </w:r>
          </w:p>
        </w:tc>
        <w:tc>
          <w:tcPr>
            <w:tcW w:w="752" w:type="dxa"/>
            <w:tcBorders>
              <w:top w:val="nil"/>
              <w:left w:val="nil"/>
              <w:bottom w:val="nil"/>
              <w:right w:val="nil"/>
            </w:tcBorders>
            <w:shd w:val="clear" w:color="auto" w:fill="CCCCCC"/>
            <w:hideMark/>
          </w:tcPr>
          <w:p w14:paraId="550C3D4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251 </w:t>
            </w:r>
          </w:p>
        </w:tc>
        <w:tc>
          <w:tcPr>
            <w:tcW w:w="752" w:type="dxa"/>
            <w:tcBorders>
              <w:top w:val="nil"/>
              <w:left w:val="nil"/>
              <w:bottom w:val="nil"/>
              <w:right w:val="nil"/>
            </w:tcBorders>
            <w:shd w:val="clear" w:color="auto" w:fill="CCCCCC"/>
            <w:hideMark/>
          </w:tcPr>
          <w:p w14:paraId="5197A06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294 </w:t>
            </w:r>
          </w:p>
        </w:tc>
        <w:tc>
          <w:tcPr>
            <w:tcW w:w="752" w:type="dxa"/>
            <w:tcBorders>
              <w:top w:val="nil"/>
              <w:left w:val="nil"/>
              <w:bottom w:val="nil"/>
              <w:right w:val="nil"/>
            </w:tcBorders>
            <w:shd w:val="clear" w:color="auto" w:fill="CCCCCC"/>
            <w:hideMark/>
          </w:tcPr>
          <w:p w14:paraId="40F1D14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296 </w:t>
            </w:r>
          </w:p>
        </w:tc>
        <w:tc>
          <w:tcPr>
            <w:tcW w:w="752" w:type="dxa"/>
            <w:tcBorders>
              <w:top w:val="nil"/>
              <w:left w:val="nil"/>
              <w:bottom w:val="nil"/>
              <w:right w:val="nil"/>
            </w:tcBorders>
            <w:shd w:val="clear" w:color="auto" w:fill="CCCCCC"/>
            <w:hideMark/>
          </w:tcPr>
          <w:p w14:paraId="17F5A72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260 </w:t>
            </w:r>
          </w:p>
        </w:tc>
        <w:tc>
          <w:tcPr>
            <w:tcW w:w="752" w:type="dxa"/>
            <w:tcBorders>
              <w:top w:val="nil"/>
              <w:left w:val="nil"/>
              <w:bottom w:val="nil"/>
              <w:right w:val="nil"/>
            </w:tcBorders>
            <w:shd w:val="clear" w:color="auto" w:fill="CCCCCC"/>
            <w:hideMark/>
          </w:tcPr>
          <w:p w14:paraId="461A0BE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279 </w:t>
            </w:r>
          </w:p>
        </w:tc>
        <w:tc>
          <w:tcPr>
            <w:tcW w:w="752" w:type="dxa"/>
            <w:tcBorders>
              <w:top w:val="nil"/>
              <w:left w:val="nil"/>
              <w:bottom w:val="nil"/>
              <w:right w:val="nil"/>
            </w:tcBorders>
            <w:shd w:val="clear" w:color="auto" w:fill="CCCCCC"/>
            <w:hideMark/>
          </w:tcPr>
          <w:p w14:paraId="7048B35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162 </w:t>
            </w:r>
          </w:p>
        </w:tc>
        <w:tc>
          <w:tcPr>
            <w:tcW w:w="752" w:type="dxa"/>
            <w:tcBorders>
              <w:top w:val="nil"/>
              <w:left w:val="nil"/>
              <w:bottom w:val="nil"/>
              <w:right w:val="nil"/>
            </w:tcBorders>
            <w:shd w:val="clear" w:color="auto" w:fill="CCCCCC"/>
            <w:hideMark/>
          </w:tcPr>
          <w:p w14:paraId="30147FB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116 </w:t>
            </w:r>
          </w:p>
        </w:tc>
        <w:tc>
          <w:tcPr>
            <w:tcW w:w="733" w:type="dxa"/>
            <w:tcBorders>
              <w:top w:val="nil"/>
              <w:left w:val="nil"/>
              <w:bottom w:val="nil"/>
              <w:right w:val="nil"/>
            </w:tcBorders>
            <w:shd w:val="clear" w:color="auto" w:fill="CCCCCC"/>
            <w:hideMark/>
          </w:tcPr>
          <w:p w14:paraId="1D75A15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84 </w:t>
            </w:r>
          </w:p>
        </w:tc>
        <w:tc>
          <w:tcPr>
            <w:tcW w:w="733" w:type="dxa"/>
            <w:tcBorders>
              <w:top w:val="nil"/>
              <w:left w:val="nil"/>
              <w:bottom w:val="nil"/>
              <w:right w:val="nil"/>
            </w:tcBorders>
            <w:shd w:val="clear" w:color="auto" w:fill="CCCCCC"/>
            <w:hideMark/>
          </w:tcPr>
          <w:p w14:paraId="44BAA5F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26 </w:t>
            </w:r>
          </w:p>
        </w:tc>
        <w:tc>
          <w:tcPr>
            <w:tcW w:w="733" w:type="dxa"/>
            <w:tcBorders>
              <w:top w:val="nil"/>
              <w:left w:val="nil"/>
              <w:bottom w:val="nil"/>
              <w:right w:val="nil"/>
            </w:tcBorders>
            <w:shd w:val="clear" w:color="auto" w:fill="CCCCCC"/>
            <w:hideMark/>
          </w:tcPr>
          <w:p w14:paraId="477D28F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21 </w:t>
            </w:r>
          </w:p>
        </w:tc>
        <w:tc>
          <w:tcPr>
            <w:tcW w:w="733" w:type="dxa"/>
            <w:tcBorders>
              <w:top w:val="nil"/>
              <w:left w:val="nil"/>
              <w:bottom w:val="nil"/>
              <w:right w:val="nil"/>
            </w:tcBorders>
            <w:shd w:val="clear" w:color="auto" w:fill="CCCCCC"/>
            <w:hideMark/>
          </w:tcPr>
          <w:p w14:paraId="2799E68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17 </w:t>
            </w:r>
          </w:p>
        </w:tc>
        <w:tc>
          <w:tcPr>
            <w:tcW w:w="583" w:type="dxa"/>
            <w:tcBorders>
              <w:top w:val="nil"/>
              <w:left w:val="nil"/>
              <w:bottom w:val="nil"/>
              <w:right w:val="nil"/>
            </w:tcBorders>
            <w:shd w:val="clear" w:color="auto" w:fill="CCCCCC"/>
            <w:hideMark/>
          </w:tcPr>
          <w:p w14:paraId="562D652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10 </w:t>
            </w:r>
          </w:p>
        </w:tc>
        <w:tc>
          <w:tcPr>
            <w:tcW w:w="1299" w:type="dxa"/>
            <w:tcBorders>
              <w:top w:val="nil"/>
              <w:left w:val="nil"/>
              <w:bottom w:val="nil"/>
              <w:right w:val="nil"/>
            </w:tcBorders>
            <w:shd w:val="clear" w:color="auto" w:fill="CCCCCC"/>
            <w:hideMark/>
          </w:tcPr>
          <w:p w14:paraId="268DF45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2487 </w:t>
            </w:r>
          </w:p>
        </w:tc>
      </w:tr>
      <w:tr w:rsidR="00AB403C" w:rsidRPr="00151B48" w14:paraId="7F85B529" w14:textId="77777777" w:rsidTr="00617949">
        <w:trPr>
          <w:trHeight w:val="300"/>
          <w:jc w:val="right"/>
        </w:trPr>
        <w:tc>
          <w:tcPr>
            <w:tcW w:w="997" w:type="dxa"/>
            <w:tcBorders>
              <w:top w:val="nil"/>
              <w:left w:val="nil"/>
              <w:bottom w:val="nil"/>
              <w:right w:val="nil"/>
            </w:tcBorders>
            <w:shd w:val="clear" w:color="auto" w:fill="auto"/>
            <w:hideMark/>
          </w:tcPr>
          <w:p w14:paraId="66F5D2EF" w14:textId="010BC264"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10</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11 </w:t>
            </w:r>
          </w:p>
        </w:tc>
        <w:tc>
          <w:tcPr>
            <w:tcW w:w="583" w:type="dxa"/>
            <w:tcBorders>
              <w:top w:val="nil"/>
              <w:left w:val="nil"/>
              <w:bottom w:val="nil"/>
              <w:right w:val="nil"/>
            </w:tcBorders>
            <w:shd w:val="clear" w:color="auto" w:fill="auto"/>
            <w:hideMark/>
          </w:tcPr>
          <w:p w14:paraId="7FA9FF2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22 </w:t>
            </w:r>
          </w:p>
        </w:tc>
        <w:tc>
          <w:tcPr>
            <w:tcW w:w="796" w:type="dxa"/>
            <w:tcBorders>
              <w:top w:val="nil"/>
              <w:left w:val="nil"/>
              <w:bottom w:val="nil"/>
              <w:right w:val="nil"/>
            </w:tcBorders>
            <w:shd w:val="clear" w:color="auto" w:fill="auto"/>
            <w:hideMark/>
          </w:tcPr>
          <w:p w14:paraId="37AE5D5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49 </w:t>
            </w:r>
          </w:p>
        </w:tc>
        <w:tc>
          <w:tcPr>
            <w:tcW w:w="752" w:type="dxa"/>
            <w:tcBorders>
              <w:top w:val="nil"/>
              <w:left w:val="nil"/>
              <w:bottom w:val="nil"/>
              <w:right w:val="nil"/>
            </w:tcBorders>
            <w:shd w:val="clear" w:color="auto" w:fill="auto"/>
            <w:hideMark/>
          </w:tcPr>
          <w:p w14:paraId="373F113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332 </w:t>
            </w:r>
          </w:p>
        </w:tc>
        <w:tc>
          <w:tcPr>
            <w:tcW w:w="752" w:type="dxa"/>
            <w:tcBorders>
              <w:top w:val="nil"/>
              <w:left w:val="nil"/>
              <w:bottom w:val="nil"/>
              <w:right w:val="nil"/>
            </w:tcBorders>
            <w:shd w:val="clear" w:color="auto" w:fill="auto"/>
            <w:hideMark/>
          </w:tcPr>
          <w:p w14:paraId="09836F0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302 </w:t>
            </w:r>
          </w:p>
        </w:tc>
        <w:tc>
          <w:tcPr>
            <w:tcW w:w="752" w:type="dxa"/>
            <w:tcBorders>
              <w:top w:val="nil"/>
              <w:left w:val="nil"/>
              <w:bottom w:val="nil"/>
              <w:right w:val="nil"/>
            </w:tcBorders>
            <w:shd w:val="clear" w:color="auto" w:fill="auto"/>
            <w:hideMark/>
          </w:tcPr>
          <w:p w14:paraId="12480EE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256 </w:t>
            </w:r>
          </w:p>
        </w:tc>
        <w:tc>
          <w:tcPr>
            <w:tcW w:w="752" w:type="dxa"/>
            <w:tcBorders>
              <w:top w:val="nil"/>
              <w:left w:val="nil"/>
              <w:bottom w:val="nil"/>
              <w:right w:val="nil"/>
            </w:tcBorders>
            <w:shd w:val="clear" w:color="auto" w:fill="auto"/>
            <w:hideMark/>
          </w:tcPr>
          <w:p w14:paraId="717185B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273 </w:t>
            </w:r>
          </w:p>
        </w:tc>
        <w:tc>
          <w:tcPr>
            <w:tcW w:w="752" w:type="dxa"/>
            <w:tcBorders>
              <w:top w:val="nil"/>
              <w:left w:val="nil"/>
              <w:bottom w:val="nil"/>
              <w:right w:val="nil"/>
            </w:tcBorders>
            <w:shd w:val="clear" w:color="auto" w:fill="auto"/>
            <w:hideMark/>
          </w:tcPr>
          <w:p w14:paraId="2B22D13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278 </w:t>
            </w:r>
          </w:p>
        </w:tc>
        <w:tc>
          <w:tcPr>
            <w:tcW w:w="752" w:type="dxa"/>
            <w:tcBorders>
              <w:top w:val="nil"/>
              <w:left w:val="nil"/>
              <w:bottom w:val="nil"/>
              <w:right w:val="nil"/>
            </w:tcBorders>
            <w:shd w:val="clear" w:color="auto" w:fill="auto"/>
            <w:hideMark/>
          </w:tcPr>
          <w:p w14:paraId="71C0CC7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243 </w:t>
            </w:r>
          </w:p>
        </w:tc>
        <w:tc>
          <w:tcPr>
            <w:tcW w:w="752" w:type="dxa"/>
            <w:tcBorders>
              <w:top w:val="nil"/>
              <w:left w:val="nil"/>
              <w:bottom w:val="nil"/>
              <w:right w:val="nil"/>
            </w:tcBorders>
            <w:shd w:val="clear" w:color="auto" w:fill="auto"/>
            <w:hideMark/>
          </w:tcPr>
          <w:p w14:paraId="0C711F3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211 </w:t>
            </w:r>
          </w:p>
        </w:tc>
        <w:tc>
          <w:tcPr>
            <w:tcW w:w="752" w:type="dxa"/>
            <w:tcBorders>
              <w:top w:val="nil"/>
              <w:left w:val="nil"/>
              <w:bottom w:val="nil"/>
              <w:right w:val="nil"/>
            </w:tcBorders>
            <w:shd w:val="clear" w:color="auto" w:fill="auto"/>
            <w:hideMark/>
          </w:tcPr>
          <w:p w14:paraId="6AC7522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141 </w:t>
            </w:r>
          </w:p>
        </w:tc>
        <w:tc>
          <w:tcPr>
            <w:tcW w:w="752" w:type="dxa"/>
            <w:tcBorders>
              <w:top w:val="nil"/>
              <w:left w:val="nil"/>
              <w:bottom w:val="nil"/>
              <w:right w:val="nil"/>
            </w:tcBorders>
            <w:shd w:val="clear" w:color="auto" w:fill="auto"/>
            <w:hideMark/>
          </w:tcPr>
          <w:p w14:paraId="7BA68AF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101 </w:t>
            </w:r>
          </w:p>
        </w:tc>
        <w:tc>
          <w:tcPr>
            <w:tcW w:w="733" w:type="dxa"/>
            <w:tcBorders>
              <w:top w:val="nil"/>
              <w:left w:val="nil"/>
              <w:bottom w:val="nil"/>
              <w:right w:val="nil"/>
            </w:tcBorders>
            <w:shd w:val="clear" w:color="auto" w:fill="auto"/>
            <w:hideMark/>
          </w:tcPr>
          <w:p w14:paraId="3F2DEA9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69 </w:t>
            </w:r>
          </w:p>
        </w:tc>
        <w:tc>
          <w:tcPr>
            <w:tcW w:w="733" w:type="dxa"/>
            <w:tcBorders>
              <w:top w:val="nil"/>
              <w:left w:val="nil"/>
              <w:bottom w:val="nil"/>
              <w:right w:val="nil"/>
            </w:tcBorders>
            <w:shd w:val="clear" w:color="auto" w:fill="auto"/>
            <w:hideMark/>
          </w:tcPr>
          <w:p w14:paraId="5F8D79F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38 </w:t>
            </w:r>
          </w:p>
        </w:tc>
        <w:tc>
          <w:tcPr>
            <w:tcW w:w="733" w:type="dxa"/>
            <w:tcBorders>
              <w:top w:val="nil"/>
              <w:left w:val="nil"/>
              <w:bottom w:val="nil"/>
              <w:right w:val="nil"/>
            </w:tcBorders>
            <w:shd w:val="clear" w:color="auto" w:fill="auto"/>
            <w:hideMark/>
          </w:tcPr>
          <w:p w14:paraId="518E0EF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9 </w:t>
            </w:r>
          </w:p>
        </w:tc>
        <w:tc>
          <w:tcPr>
            <w:tcW w:w="733" w:type="dxa"/>
            <w:tcBorders>
              <w:top w:val="nil"/>
              <w:left w:val="nil"/>
              <w:bottom w:val="nil"/>
              <w:right w:val="nil"/>
            </w:tcBorders>
            <w:shd w:val="clear" w:color="auto" w:fill="auto"/>
            <w:hideMark/>
          </w:tcPr>
          <w:p w14:paraId="51E1FA9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14 </w:t>
            </w:r>
          </w:p>
        </w:tc>
        <w:tc>
          <w:tcPr>
            <w:tcW w:w="583" w:type="dxa"/>
            <w:tcBorders>
              <w:top w:val="nil"/>
              <w:left w:val="nil"/>
              <w:bottom w:val="nil"/>
              <w:right w:val="nil"/>
            </w:tcBorders>
            <w:shd w:val="clear" w:color="auto" w:fill="auto"/>
            <w:hideMark/>
          </w:tcPr>
          <w:p w14:paraId="655673C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24 </w:t>
            </w:r>
          </w:p>
        </w:tc>
        <w:tc>
          <w:tcPr>
            <w:tcW w:w="1299" w:type="dxa"/>
            <w:tcBorders>
              <w:top w:val="nil"/>
              <w:left w:val="nil"/>
              <w:bottom w:val="nil"/>
              <w:right w:val="nil"/>
            </w:tcBorders>
            <w:shd w:val="clear" w:color="auto" w:fill="auto"/>
            <w:hideMark/>
          </w:tcPr>
          <w:p w14:paraId="40A470B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2362 </w:t>
            </w:r>
          </w:p>
        </w:tc>
      </w:tr>
      <w:tr w:rsidR="00AB403C" w:rsidRPr="00151B48" w14:paraId="1425991F" w14:textId="77777777" w:rsidTr="00617949">
        <w:trPr>
          <w:trHeight w:val="300"/>
          <w:jc w:val="right"/>
        </w:trPr>
        <w:tc>
          <w:tcPr>
            <w:tcW w:w="997" w:type="dxa"/>
            <w:tcBorders>
              <w:top w:val="nil"/>
              <w:left w:val="nil"/>
              <w:bottom w:val="nil"/>
              <w:right w:val="nil"/>
            </w:tcBorders>
            <w:shd w:val="clear" w:color="auto" w:fill="CCCCCC"/>
            <w:hideMark/>
          </w:tcPr>
          <w:p w14:paraId="4783D011" w14:textId="4E67787C"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11</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12 </w:t>
            </w:r>
          </w:p>
        </w:tc>
        <w:tc>
          <w:tcPr>
            <w:tcW w:w="583" w:type="dxa"/>
            <w:tcBorders>
              <w:top w:val="nil"/>
              <w:left w:val="nil"/>
              <w:bottom w:val="nil"/>
              <w:right w:val="nil"/>
            </w:tcBorders>
            <w:shd w:val="clear" w:color="auto" w:fill="CCCCCC"/>
            <w:hideMark/>
          </w:tcPr>
          <w:p w14:paraId="26D204D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20 </w:t>
            </w:r>
          </w:p>
        </w:tc>
        <w:tc>
          <w:tcPr>
            <w:tcW w:w="796" w:type="dxa"/>
            <w:tcBorders>
              <w:top w:val="nil"/>
              <w:left w:val="nil"/>
              <w:bottom w:val="nil"/>
              <w:right w:val="nil"/>
            </w:tcBorders>
            <w:shd w:val="clear" w:color="auto" w:fill="CCCCCC"/>
            <w:hideMark/>
          </w:tcPr>
          <w:p w14:paraId="6210EF8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47 </w:t>
            </w:r>
          </w:p>
        </w:tc>
        <w:tc>
          <w:tcPr>
            <w:tcW w:w="752" w:type="dxa"/>
            <w:tcBorders>
              <w:top w:val="nil"/>
              <w:left w:val="nil"/>
              <w:bottom w:val="nil"/>
              <w:right w:val="nil"/>
            </w:tcBorders>
            <w:shd w:val="clear" w:color="auto" w:fill="CCCCCC"/>
            <w:hideMark/>
          </w:tcPr>
          <w:p w14:paraId="3EC1905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376 </w:t>
            </w:r>
          </w:p>
        </w:tc>
        <w:tc>
          <w:tcPr>
            <w:tcW w:w="752" w:type="dxa"/>
            <w:tcBorders>
              <w:top w:val="nil"/>
              <w:left w:val="nil"/>
              <w:bottom w:val="nil"/>
              <w:right w:val="nil"/>
            </w:tcBorders>
            <w:shd w:val="clear" w:color="auto" w:fill="CCCCCC"/>
            <w:hideMark/>
          </w:tcPr>
          <w:p w14:paraId="22CC31D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327 </w:t>
            </w:r>
          </w:p>
        </w:tc>
        <w:tc>
          <w:tcPr>
            <w:tcW w:w="752" w:type="dxa"/>
            <w:tcBorders>
              <w:top w:val="nil"/>
              <w:left w:val="nil"/>
              <w:bottom w:val="nil"/>
              <w:right w:val="nil"/>
            </w:tcBorders>
            <w:shd w:val="clear" w:color="auto" w:fill="CCCCCC"/>
            <w:hideMark/>
          </w:tcPr>
          <w:p w14:paraId="0EA0570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265 </w:t>
            </w:r>
          </w:p>
        </w:tc>
        <w:tc>
          <w:tcPr>
            <w:tcW w:w="752" w:type="dxa"/>
            <w:tcBorders>
              <w:top w:val="nil"/>
              <w:left w:val="nil"/>
              <w:bottom w:val="nil"/>
              <w:right w:val="nil"/>
            </w:tcBorders>
            <w:shd w:val="clear" w:color="auto" w:fill="CCCCCC"/>
            <w:hideMark/>
          </w:tcPr>
          <w:p w14:paraId="3837662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248 </w:t>
            </w:r>
          </w:p>
        </w:tc>
        <w:tc>
          <w:tcPr>
            <w:tcW w:w="752" w:type="dxa"/>
            <w:tcBorders>
              <w:top w:val="nil"/>
              <w:left w:val="nil"/>
              <w:bottom w:val="nil"/>
              <w:right w:val="nil"/>
            </w:tcBorders>
            <w:shd w:val="clear" w:color="auto" w:fill="CCCCCC"/>
            <w:hideMark/>
          </w:tcPr>
          <w:p w14:paraId="4057ED3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295 </w:t>
            </w:r>
          </w:p>
        </w:tc>
        <w:tc>
          <w:tcPr>
            <w:tcW w:w="752" w:type="dxa"/>
            <w:tcBorders>
              <w:top w:val="nil"/>
              <w:left w:val="nil"/>
              <w:bottom w:val="nil"/>
              <w:right w:val="nil"/>
            </w:tcBorders>
            <w:shd w:val="clear" w:color="auto" w:fill="CCCCCC"/>
            <w:hideMark/>
          </w:tcPr>
          <w:p w14:paraId="0834568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243 </w:t>
            </w:r>
          </w:p>
        </w:tc>
        <w:tc>
          <w:tcPr>
            <w:tcW w:w="752" w:type="dxa"/>
            <w:tcBorders>
              <w:top w:val="nil"/>
              <w:left w:val="nil"/>
              <w:bottom w:val="nil"/>
              <w:right w:val="nil"/>
            </w:tcBorders>
            <w:shd w:val="clear" w:color="auto" w:fill="CCCCCC"/>
            <w:hideMark/>
          </w:tcPr>
          <w:p w14:paraId="5AE798E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243 </w:t>
            </w:r>
          </w:p>
        </w:tc>
        <w:tc>
          <w:tcPr>
            <w:tcW w:w="752" w:type="dxa"/>
            <w:tcBorders>
              <w:top w:val="nil"/>
              <w:left w:val="nil"/>
              <w:bottom w:val="nil"/>
              <w:right w:val="nil"/>
            </w:tcBorders>
            <w:shd w:val="clear" w:color="auto" w:fill="CCCCCC"/>
            <w:hideMark/>
          </w:tcPr>
          <w:p w14:paraId="01E1FAC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145 </w:t>
            </w:r>
          </w:p>
        </w:tc>
        <w:tc>
          <w:tcPr>
            <w:tcW w:w="752" w:type="dxa"/>
            <w:tcBorders>
              <w:top w:val="nil"/>
              <w:left w:val="nil"/>
              <w:bottom w:val="nil"/>
              <w:right w:val="nil"/>
            </w:tcBorders>
            <w:shd w:val="clear" w:color="auto" w:fill="CCCCCC"/>
            <w:hideMark/>
          </w:tcPr>
          <w:p w14:paraId="555DD5B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106 </w:t>
            </w:r>
          </w:p>
        </w:tc>
        <w:tc>
          <w:tcPr>
            <w:tcW w:w="733" w:type="dxa"/>
            <w:tcBorders>
              <w:top w:val="nil"/>
              <w:left w:val="nil"/>
              <w:bottom w:val="nil"/>
              <w:right w:val="nil"/>
            </w:tcBorders>
            <w:shd w:val="clear" w:color="auto" w:fill="CCCCCC"/>
            <w:hideMark/>
          </w:tcPr>
          <w:p w14:paraId="0BDBD2C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68 </w:t>
            </w:r>
          </w:p>
        </w:tc>
        <w:tc>
          <w:tcPr>
            <w:tcW w:w="733" w:type="dxa"/>
            <w:tcBorders>
              <w:top w:val="nil"/>
              <w:left w:val="nil"/>
              <w:bottom w:val="nil"/>
              <w:right w:val="nil"/>
            </w:tcBorders>
            <w:shd w:val="clear" w:color="auto" w:fill="CCCCCC"/>
            <w:hideMark/>
          </w:tcPr>
          <w:p w14:paraId="0B30EC5D"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30 </w:t>
            </w:r>
          </w:p>
        </w:tc>
        <w:tc>
          <w:tcPr>
            <w:tcW w:w="733" w:type="dxa"/>
            <w:tcBorders>
              <w:top w:val="nil"/>
              <w:left w:val="nil"/>
              <w:bottom w:val="nil"/>
              <w:right w:val="nil"/>
            </w:tcBorders>
            <w:shd w:val="clear" w:color="auto" w:fill="CCCCCC"/>
            <w:hideMark/>
          </w:tcPr>
          <w:p w14:paraId="6EE872BD"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19 </w:t>
            </w:r>
          </w:p>
        </w:tc>
        <w:tc>
          <w:tcPr>
            <w:tcW w:w="733" w:type="dxa"/>
            <w:tcBorders>
              <w:top w:val="nil"/>
              <w:left w:val="nil"/>
              <w:bottom w:val="nil"/>
              <w:right w:val="nil"/>
            </w:tcBorders>
            <w:shd w:val="clear" w:color="auto" w:fill="CCCCCC"/>
            <w:hideMark/>
          </w:tcPr>
          <w:p w14:paraId="6686BD6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18 </w:t>
            </w:r>
          </w:p>
        </w:tc>
        <w:tc>
          <w:tcPr>
            <w:tcW w:w="583" w:type="dxa"/>
            <w:tcBorders>
              <w:top w:val="nil"/>
              <w:left w:val="nil"/>
              <w:bottom w:val="nil"/>
              <w:right w:val="nil"/>
            </w:tcBorders>
            <w:shd w:val="clear" w:color="auto" w:fill="CCCCCC"/>
            <w:hideMark/>
          </w:tcPr>
          <w:p w14:paraId="5A1C5B3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15 </w:t>
            </w:r>
          </w:p>
        </w:tc>
        <w:tc>
          <w:tcPr>
            <w:tcW w:w="1299" w:type="dxa"/>
            <w:tcBorders>
              <w:top w:val="nil"/>
              <w:left w:val="nil"/>
              <w:bottom w:val="nil"/>
              <w:right w:val="nil"/>
            </w:tcBorders>
            <w:shd w:val="clear" w:color="auto" w:fill="CCCCCC"/>
            <w:hideMark/>
          </w:tcPr>
          <w:p w14:paraId="0CE3A45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2465 </w:t>
            </w:r>
          </w:p>
        </w:tc>
      </w:tr>
      <w:tr w:rsidR="00AB403C" w:rsidRPr="00151B48" w14:paraId="44524C1A" w14:textId="77777777" w:rsidTr="00617949">
        <w:trPr>
          <w:trHeight w:val="300"/>
          <w:jc w:val="right"/>
        </w:trPr>
        <w:tc>
          <w:tcPr>
            <w:tcW w:w="997" w:type="dxa"/>
            <w:tcBorders>
              <w:top w:val="nil"/>
              <w:left w:val="nil"/>
              <w:bottom w:val="nil"/>
              <w:right w:val="nil"/>
            </w:tcBorders>
            <w:shd w:val="clear" w:color="auto" w:fill="auto"/>
            <w:hideMark/>
          </w:tcPr>
          <w:p w14:paraId="016FEE1E" w14:textId="195E942D"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12</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13 </w:t>
            </w:r>
          </w:p>
        </w:tc>
        <w:tc>
          <w:tcPr>
            <w:tcW w:w="583" w:type="dxa"/>
            <w:tcBorders>
              <w:top w:val="nil"/>
              <w:left w:val="nil"/>
              <w:bottom w:val="nil"/>
              <w:right w:val="nil"/>
            </w:tcBorders>
            <w:shd w:val="clear" w:color="auto" w:fill="auto"/>
            <w:hideMark/>
          </w:tcPr>
          <w:p w14:paraId="3E0E9CB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13 </w:t>
            </w:r>
          </w:p>
        </w:tc>
        <w:tc>
          <w:tcPr>
            <w:tcW w:w="796" w:type="dxa"/>
            <w:tcBorders>
              <w:top w:val="nil"/>
              <w:left w:val="nil"/>
              <w:bottom w:val="nil"/>
              <w:right w:val="nil"/>
            </w:tcBorders>
            <w:shd w:val="clear" w:color="auto" w:fill="auto"/>
            <w:hideMark/>
          </w:tcPr>
          <w:p w14:paraId="519DD0B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70 </w:t>
            </w:r>
          </w:p>
        </w:tc>
        <w:tc>
          <w:tcPr>
            <w:tcW w:w="752" w:type="dxa"/>
            <w:tcBorders>
              <w:top w:val="nil"/>
              <w:left w:val="nil"/>
              <w:bottom w:val="nil"/>
              <w:right w:val="nil"/>
            </w:tcBorders>
            <w:shd w:val="clear" w:color="auto" w:fill="auto"/>
            <w:hideMark/>
          </w:tcPr>
          <w:p w14:paraId="2E5D24C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435 </w:t>
            </w:r>
          </w:p>
        </w:tc>
        <w:tc>
          <w:tcPr>
            <w:tcW w:w="752" w:type="dxa"/>
            <w:tcBorders>
              <w:top w:val="nil"/>
              <w:left w:val="nil"/>
              <w:bottom w:val="nil"/>
              <w:right w:val="nil"/>
            </w:tcBorders>
            <w:shd w:val="clear" w:color="auto" w:fill="auto"/>
            <w:hideMark/>
          </w:tcPr>
          <w:p w14:paraId="4658720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301 </w:t>
            </w:r>
          </w:p>
        </w:tc>
        <w:tc>
          <w:tcPr>
            <w:tcW w:w="752" w:type="dxa"/>
            <w:tcBorders>
              <w:top w:val="nil"/>
              <w:left w:val="nil"/>
              <w:bottom w:val="nil"/>
              <w:right w:val="nil"/>
            </w:tcBorders>
            <w:shd w:val="clear" w:color="auto" w:fill="auto"/>
            <w:hideMark/>
          </w:tcPr>
          <w:p w14:paraId="4A1C70C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279 </w:t>
            </w:r>
          </w:p>
        </w:tc>
        <w:tc>
          <w:tcPr>
            <w:tcW w:w="752" w:type="dxa"/>
            <w:tcBorders>
              <w:top w:val="nil"/>
              <w:left w:val="nil"/>
              <w:bottom w:val="nil"/>
              <w:right w:val="nil"/>
            </w:tcBorders>
            <w:shd w:val="clear" w:color="auto" w:fill="auto"/>
            <w:hideMark/>
          </w:tcPr>
          <w:p w14:paraId="401F7F8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233 </w:t>
            </w:r>
          </w:p>
        </w:tc>
        <w:tc>
          <w:tcPr>
            <w:tcW w:w="752" w:type="dxa"/>
            <w:tcBorders>
              <w:top w:val="nil"/>
              <w:left w:val="nil"/>
              <w:bottom w:val="nil"/>
              <w:right w:val="nil"/>
            </w:tcBorders>
            <w:shd w:val="clear" w:color="auto" w:fill="auto"/>
            <w:hideMark/>
          </w:tcPr>
          <w:p w14:paraId="136B18F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282 </w:t>
            </w:r>
          </w:p>
        </w:tc>
        <w:tc>
          <w:tcPr>
            <w:tcW w:w="752" w:type="dxa"/>
            <w:tcBorders>
              <w:top w:val="nil"/>
              <w:left w:val="nil"/>
              <w:bottom w:val="nil"/>
              <w:right w:val="nil"/>
            </w:tcBorders>
            <w:shd w:val="clear" w:color="auto" w:fill="auto"/>
            <w:hideMark/>
          </w:tcPr>
          <w:p w14:paraId="0EAA39F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233 </w:t>
            </w:r>
          </w:p>
        </w:tc>
        <w:tc>
          <w:tcPr>
            <w:tcW w:w="752" w:type="dxa"/>
            <w:tcBorders>
              <w:top w:val="nil"/>
              <w:left w:val="nil"/>
              <w:bottom w:val="nil"/>
              <w:right w:val="nil"/>
            </w:tcBorders>
            <w:shd w:val="clear" w:color="auto" w:fill="auto"/>
            <w:hideMark/>
          </w:tcPr>
          <w:p w14:paraId="337E77F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230 </w:t>
            </w:r>
          </w:p>
        </w:tc>
        <w:tc>
          <w:tcPr>
            <w:tcW w:w="752" w:type="dxa"/>
            <w:tcBorders>
              <w:top w:val="nil"/>
              <w:left w:val="nil"/>
              <w:bottom w:val="nil"/>
              <w:right w:val="nil"/>
            </w:tcBorders>
            <w:shd w:val="clear" w:color="auto" w:fill="auto"/>
            <w:hideMark/>
          </w:tcPr>
          <w:p w14:paraId="15CD4AA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180 </w:t>
            </w:r>
          </w:p>
        </w:tc>
        <w:tc>
          <w:tcPr>
            <w:tcW w:w="752" w:type="dxa"/>
            <w:tcBorders>
              <w:top w:val="nil"/>
              <w:left w:val="nil"/>
              <w:bottom w:val="nil"/>
              <w:right w:val="nil"/>
            </w:tcBorders>
            <w:shd w:val="clear" w:color="auto" w:fill="auto"/>
            <w:hideMark/>
          </w:tcPr>
          <w:p w14:paraId="7FB4945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102 </w:t>
            </w:r>
          </w:p>
        </w:tc>
        <w:tc>
          <w:tcPr>
            <w:tcW w:w="733" w:type="dxa"/>
            <w:tcBorders>
              <w:top w:val="nil"/>
              <w:left w:val="nil"/>
              <w:bottom w:val="nil"/>
              <w:right w:val="nil"/>
            </w:tcBorders>
            <w:shd w:val="clear" w:color="auto" w:fill="auto"/>
            <w:hideMark/>
          </w:tcPr>
          <w:p w14:paraId="4DAAF07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67 </w:t>
            </w:r>
          </w:p>
        </w:tc>
        <w:tc>
          <w:tcPr>
            <w:tcW w:w="733" w:type="dxa"/>
            <w:tcBorders>
              <w:top w:val="nil"/>
              <w:left w:val="nil"/>
              <w:bottom w:val="nil"/>
              <w:right w:val="nil"/>
            </w:tcBorders>
            <w:shd w:val="clear" w:color="auto" w:fill="auto"/>
            <w:hideMark/>
          </w:tcPr>
          <w:p w14:paraId="31D80DF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34 </w:t>
            </w:r>
          </w:p>
        </w:tc>
        <w:tc>
          <w:tcPr>
            <w:tcW w:w="733" w:type="dxa"/>
            <w:tcBorders>
              <w:top w:val="nil"/>
              <w:left w:val="nil"/>
              <w:bottom w:val="nil"/>
              <w:right w:val="nil"/>
            </w:tcBorders>
            <w:shd w:val="clear" w:color="auto" w:fill="auto"/>
            <w:hideMark/>
          </w:tcPr>
          <w:p w14:paraId="489CF64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21 </w:t>
            </w:r>
          </w:p>
        </w:tc>
        <w:tc>
          <w:tcPr>
            <w:tcW w:w="733" w:type="dxa"/>
            <w:tcBorders>
              <w:top w:val="nil"/>
              <w:left w:val="nil"/>
              <w:bottom w:val="nil"/>
              <w:right w:val="nil"/>
            </w:tcBorders>
            <w:shd w:val="clear" w:color="auto" w:fill="auto"/>
            <w:hideMark/>
          </w:tcPr>
          <w:p w14:paraId="489FEB9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26 </w:t>
            </w:r>
          </w:p>
        </w:tc>
        <w:tc>
          <w:tcPr>
            <w:tcW w:w="583" w:type="dxa"/>
            <w:tcBorders>
              <w:top w:val="nil"/>
              <w:left w:val="nil"/>
              <w:bottom w:val="nil"/>
              <w:right w:val="nil"/>
            </w:tcBorders>
            <w:shd w:val="clear" w:color="auto" w:fill="auto"/>
            <w:hideMark/>
          </w:tcPr>
          <w:p w14:paraId="3A1CC5E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28 </w:t>
            </w:r>
          </w:p>
        </w:tc>
        <w:tc>
          <w:tcPr>
            <w:tcW w:w="1299" w:type="dxa"/>
            <w:tcBorders>
              <w:top w:val="nil"/>
              <w:left w:val="nil"/>
              <w:bottom w:val="nil"/>
              <w:right w:val="nil"/>
            </w:tcBorders>
            <w:shd w:val="clear" w:color="auto" w:fill="auto"/>
            <w:hideMark/>
          </w:tcPr>
          <w:p w14:paraId="7CE04F6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2534 </w:t>
            </w:r>
          </w:p>
        </w:tc>
      </w:tr>
      <w:tr w:rsidR="00AB403C" w:rsidRPr="00151B48" w14:paraId="60D086B4" w14:textId="77777777" w:rsidTr="00617949">
        <w:trPr>
          <w:trHeight w:val="300"/>
          <w:jc w:val="right"/>
        </w:trPr>
        <w:tc>
          <w:tcPr>
            <w:tcW w:w="997" w:type="dxa"/>
            <w:tcBorders>
              <w:top w:val="nil"/>
              <w:left w:val="nil"/>
              <w:bottom w:val="nil"/>
              <w:right w:val="nil"/>
            </w:tcBorders>
            <w:shd w:val="clear" w:color="auto" w:fill="CCCCCC"/>
            <w:hideMark/>
          </w:tcPr>
          <w:p w14:paraId="243E51B2" w14:textId="00549CA3"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13</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14 </w:t>
            </w:r>
          </w:p>
        </w:tc>
        <w:tc>
          <w:tcPr>
            <w:tcW w:w="583" w:type="dxa"/>
            <w:tcBorders>
              <w:top w:val="nil"/>
              <w:left w:val="nil"/>
              <w:bottom w:val="nil"/>
              <w:right w:val="nil"/>
            </w:tcBorders>
            <w:shd w:val="clear" w:color="auto" w:fill="CCCCCC"/>
            <w:hideMark/>
          </w:tcPr>
          <w:p w14:paraId="05D0E1C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20 </w:t>
            </w:r>
          </w:p>
        </w:tc>
        <w:tc>
          <w:tcPr>
            <w:tcW w:w="796" w:type="dxa"/>
            <w:tcBorders>
              <w:top w:val="nil"/>
              <w:left w:val="nil"/>
              <w:bottom w:val="nil"/>
              <w:right w:val="nil"/>
            </w:tcBorders>
            <w:shd w:val="clear" w:color="auto" w:fill="CCCCCC"/>
            <w:hideMark/>
          </w:tcPr>
          <w:p w14:paraId="39712C3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54 </w:t>
            </w:r>
          </w:p>
        </w:tc>
        <w:tc>
          <w:tcPr>
            <w:tcW w:w="752" w:type="dxa"/>
            <w:tcBorders>
              <w:top w:val="nil"/>
              <w:left w:val="nil"/>
              <w:bottom w:val="nil"/>
              <w:right w:val="nil"/>
            </w:tcBorders>
            <w:shd w:val="clear" w:color="auto" w:fill="CCCCCC"/>
            <w:hideMark/>
          </w:tcPr>
          <w:p w14:paraId="45B8F21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342 </w:t>
            </w:r>
          </w:p>
        </w:tc>
        <w:tc>
          <w:tcPr>
            <w:tcW w:w="752" w:type="dxa"/>
            <w:tcBorders>
              <w:top w:val="nil"/>
              <w:left w:val="nil"/>
              <w:bottom w:val="nil"/>
              <w:right w:val="nil"/>
            </w:tcBorders>
            <w:shd w:val="clear" w:color="auto" w:fill="CCCCCC"/>
            <w:hideMark/>
          </w:tcPr>
          <w:p w14:paraId="632B851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335 </w:t>
            </w:r>
          </w:p>
        </w:tc>
        <w:tc>
          <w:tcPr>
            <w:tcW w:w="752" w:type="dxa"/>
            <w:tcBorders>
              <w:top w:val="nil"/>
              <w:left w:val="nil"/>
              <w:bottom w:val="nil"/>
              <w:right w:val="nil"/>
            </w:tcBorders>
            <w:shd w:val="clear" w:color="auto" w:fill="CCCCCC"/>
            <w:hideMark/>
          </w:tcPr>
          <w:p w14:paraId="179C9F9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250 </w:t>
            </w:r>
          </w:p>
        </w:tc>
        <w:tc>
          <w:tcPr>
            <w:tcW w:w="752" w:type="dxa"/>
            <w:tcBorders>
              <w:top w:val="nil"/>
              <w:left w:val="nil"/>
              <w:bottom w:val="nil"/>
              <w:right w:val="nil"/>
            </w:tcBorders>
            <w:shd w:val="clear" w:color="auto" w:fill="CCCCCC"/>
            <w:hideMark/>
          </w:tcPr>
          <w:p w14:paraId="6EA22E9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253 </w:t>
            </w:r>
          </w:p>
        </w:tc>
        <w:tc>
          <w:tcPr>
            <w:tcW w:w="752" w:type="dxa"/>
            <w:tcBorders>
              <w:top w:val="nil"/>
              <w:left w:val="nil"/>
              <w:bottom w:val="nil"/>
              <w:right w:val="nil"/>
            </w:tcBorders>
            <w:shd w:val="clear" w:color="auto" w:fill="CCCCCC"/>
            <w:hideMark/>
          </w:tcPr>
          <w:p w14:paraId="5EE2BB3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299 </w:t>
            </w:r>
          </w:p>
        </w:tc>
        <w:tc>
          <w:tcPr>
            <w:tcW w:w="752" w:type="dxa"/>
            <w:tcBorders>
              <w:top w:val="nil"/>
              <w:left w:val="nil"/>
              <w:bottom w:val="nil"/>
              <w:right w:val="nil"/>
            </w:tcBorders>
            <w:shd w:val="clear" w:color="auto" w:fill="CCCCCC"/>
            <w:hideMark/>
          </w:tcPr>
          <w:p w14:paraId="3B35DF3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240 </w:t>
            </w:r>
          </w:p>
        </w:tc>
        <w:tc>
          <w:tcPr>
            <w:tcW w:w="752" w:type="dxa"/>
            <w:tcBorders>
              <w:top w:val="nil"/>
              <w:left w:val="nil"/>
              <w:bottom w:val="nil"/>
              <w:right w:val="nil"/>
            </w:tcBorders>
            <w:shd w:val="clear" w:color="auto" w:fill="CCCCCC"/>
            <w:hideMark/>
          </w:tcPr>
          <w:p w14:paraId="1CC1027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268 </w:t>
            </w:r>
          </w:p>
        </w:tc>
        <w:tc>
          <w:tcPr>
            <w:tcW w:w="752" w:type="dxa"/>
            <w:tcBorders>
              <w:top w:val="nil"/>
              <w:left w:val="nil"/>
              <w:bottom w:val="nil"/>
              <w:right w:val="nil"/>
            </w:tcBorders>
            <w:shd w:val="clear" w:color="auto" w:fill="CCCCCC"/>
            <w:hideMark/>
          </w:tcPr>
          <w:p w14:paraId="338885F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198 </w:t>
            </w:r>
          </w:p>
        </w:tc>
        <w:tc>
          <w:tcPr>
            <w:tcW w:w="752" w:type="dxa"/>
            <w:tcBorders>
              <w:top w:val="nil"/>
              <w:left w:val="nil"/>
              <w:bottom w:val="nil"/>
              <w:right w:val="nil"/>
            </w:tcBorders>
            <w:shd w:val="clear" w:color="auto" w:fill="CCCCCC"/>
            <w:hideMark/>
          </w:tcPr>
          <w:p w14:paraId="1789374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102 </w:t>
            </w:r>
          </w:p>
        </w:tc>
        <w:tc>
          <w:tcPr>
            <w:tcW w:w="733" w:type="dxa"/>
            <w:tcBorders>
              <w:top w:val="nil"/>
              <w:left w:val="nil"/>
              <w:bottom w:val="nil"/>
              <w:right w:val="nil"/>
            </w:tcBorders>
            <w:shd w:val="clear" w:color="auto" w:fill="CCCCCC"/>
            <w:hideMark/>
          </w:tcPr>
          <w:p w14:paraId="061AFFC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71 </w:t>
            </w:r>
          </w:p>
        </w:tc>
        <w:tc>
          <w:tcPr>
            <w:tcW w:w="733" w:type="dxa"/>
            <w:tcBorders>
              <w:top w:val="nil"/>
              <w:left w:val="nil"/>
              <w:bottom w:val="nil"/>
              <w:right w:val="nil"/>
            </w:tcBorders>
            <w:shd w:val="clear" w:color="auto" w:fill="CCCCCC"/>
            <w:hideMark/>
          </w:tcPr>
          <w:p w14:paraId="54D4473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64 </w:t>
            </w:r>
          </w:p>
        </w:tc>
        <w:tc>
          <w:tcPr>
            <w:tcW w:w="733" w:type="dxa"/>
            <w:tcBorders>
              <w:top w:val="nil"/>
              <w:left w:val="nil"/>
              <w:bottom w:val="nil"/>
              <w:right w:val="nil"/>
            </w:tcBorders>
            <w:shd w:val="clear" w:color="auto" w:fill="CCCCCC"/>
            <w:hideMark/>
          </w:tcPr>
          <w:p w14:paraId="6EBD10D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29 </w:t>
            </w:r>
          </w:p>
        </w:tc>
        <w:tc>
          <w:tcPr>
            <w:tcW w:w="733" w:type="dxa"/>
            <w:tcBorders>
              <w:top w:val="nil"/>
              <w:left w:val="nil"/>
              <w:bottom w:val="nil"/>
              <w:right w:val="nil"/>
            </w:tcBorders>
            <w:shd w:val="clear" w:color="auto" w:fill="CCCCCC"/>
            <w:hideMark/>
          </w:tcPr>
          <w:p w14:paraId="663B548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15 </w:t>
            </w:r>
          </w:p>
        </w:tc>
        <w:tc>
          <w:tcPr>
            <w:tcW w:w="583" w:type="dxa"/>
            <w:tcBorders>
              <w:top w:val="nil"/>
              <w:left w:val="nil"/>
              <w:bottom w:val="nil"/>
              <w:right w:val="nil"/>
            </w:tcBorders>
            <w:shd w:val="clear" w:color="auto" w:fill="CCCCCC"/>
            <w:hideMark/>
          </w:tcPr>
          <w:p w14:paraId="0D27A6A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30 </w:t>
            </w:r>
          </w:p>
        </w:tc>
        <w:tc>
          <w:tcPr>
            <w:tcW w:w="1299" w:type="dxa"/>
            <w:tcBorders>
              <w:top w:val="nil"/>
              <w:left w:val="nil"/>
              <w:bottom w:val="nil"/>
              <w:right w:val="nil"/>
            </w:tcBorders>
            <w:shd w:val="clear" w:color="auto" w:fill="CCCCCC"/>
            <w:hideMark/>
          </w:tcPr>
          <w:p w14:paraId="4530163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2570 </w:t>
            </w:r>
          </w:p>
        </w:tc>
      </w:tr>
      <w:tr w:rsidR="00AB403C" w:rsidRPr="00151B48" w14:paraId="67E22B3C" w14:textId="77777777" w:rsidTr="00617949">
        <w:trPr>
          <w:trHeight w:val="300"/>
          <w:jc w:val="right"/>
        </w:trPr>
        <w:tc>
          <w:tcPr>
            <w:tcW w:w="997" w:type="dxa"/>
            <w:tcBorders>
              <w:top w:val="nil"/>
              <w:left w:val="nil"/>
              <w:bottom w:val="nil"/>
              <w:right w:val="nil"/>
            </w:tcBorders>
            <w:shd w:val="clear" w:color="auto" w:fill="auto"/>
            <w:hideMark/>
          </w:tcPr>
          <w:p w14:paraId="3ACCA1F9" w14:textId="16D9412B"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14</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15 </w:t>
            </w:r>
          </w:p>
        </w:tc>
        <w:tc>
          <w:tcPr>
            <w:tcW w:w="583" w:type="dxa"/>
            <w:tcBorders>
              <w:top w:val="nil"/>
              <w:left w:val="nil"/>
              <w:bottom w:val="nil"/>
              <w:right w:val="nil"/>
            </w:tcBorders>
            <w:shd w:val="clear" w:color="auto" w:fill="auto"/>
            <w:hideMark/>
          </w:tcPr>
          <w:p w14:paraId="576EAD9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30 </w:t>
            </w:r>
          </w:p>
        </w:tc>
        <w:tc>
          <w:tcPr>
            <w:tcW w:w="796" w:type="dxa"/>
            <w:tcBorders>
              <w:top w:val="nil"/>
              <w:left w:val="nil"/>
              <w:bottom w:val="nil"/>
              <w:right w:val="nil"/>
            </w:tcBorders>
            <w:shd w:val="clear" w:color="auto" w:fill="auto"/>
            <w:hideMark/>
          </w:tcPr>
          <w:p w14:paraId="4C06556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72 </w:t>
            </w:r>
          </w:p>
        </w:tc>
        <w:tc>
          <w:tcPr>
            <w:tcW w:w="752" w:type="dxa"/>
            <w:tcBorders>
              <w:top w:val="nil"/>
              <w:left w:val="nil"/>
              <w:bottom w:val="nil"/>
              <w:right w:val="nil"/>
            </w:tcBorders>
            <w:shd w:val="clear" w:color="auto" w:fill="auto"/>
            <w:hideMark/>
          </w:tcPr>
          <w:p w14:paraId="2A07C25D"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362 </w:t>
            </w:r>
          </w:p>
        </w:tc>
        <w:tc>
          <w:tcPr>
            <w:tcW w:w="752" w:type="dxa"/>
            <w:tcBorders>
              <w:top w:val="nil"/>
              <w:left w:val="nil"/>
              <w:bottom w:val="nil"/>
              <w:right w:val="nil"/>
            </w:tcBorders>
            <w:shd w:val="clear" w:color="auto" w:fill="auto"/>
            <w:hideMark/>
          </w:tcPr>
          <w:p w14:paraId="06B8311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357 </w:t>
            </w:r>
          </w:p>
        </w:tc>
        <w:tc>
          <w:tcPr>
            <w:tcW w:w="752" w:type="dxa"/>
            <w:tcBorders>
              <w:top w:val="nil"/>
              <w:left w:val="nil"/>
              <w:bottom w:val="nil"/>
              <w:right w:val="nil"/>
            </w:tcBorders>
            <w:shd w:val="clear" w:color="auto" w:fill="auto"/>
            <w:hideMark/>
          </w:tcPr>
          <w:p w14:paraId="634122BD"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281 </w:t>
            </w:r>
          </w:p>
        </w:tc>
        <w:tc>
          <w:tcPr>
            <w:tcW w:w="752" w:type="dxa"/>
            <w:tcBorders>
              <w:top w:val="nil"/>
              <w:left w:val="nil"/>
              <w:bottom w:val="nil"/>
              <w:right w:val="nil"/>
            </w:tcBorders>
            <w:shd w:val="clear" w:color="auto" w:fill="auto"/>
            <w:hideMark/>
          </w:tcPr>
          <w:p w14:paraId="54DE9A8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299 </w:t>
            </w:r>
          </w:p>
        </w:tc>
        <w:tc>
          <w:tcPr>
            <w:tcW w:w="752" w:type="dxa"/>
            <w:tcBorders>
              <w:top w:val="nil"/>
              <w:left w:val="nil"/>
              <w:bottom w:val="nil"/>
              <w:right w:val="nil"/>
            </w:tcBorders>
            <w:shd w:val="clear" w:color="auto" w:fill="auto"/>
            <w:hideMark/>
          </w:tcPr>
          <w:p w14:paraId="7ADA2BA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276 </w:t>
            </w:r>
          </w:p>
        </w:tc>
        <w:tc>
          <w:tcPr>
            <w:tcW w:w="752" w:type="dxa"/>
            <w:tcBorders>
              <w:top w:val="nil"/>
              <w:left w:val="nil"/>
              <w:bottom w:val="nil"/>
              <w:right w:val="nil"/>
            </w:tcBorders>
            <w:shd w:val="clear" w:color="auto" w:fill="auto"/>
            <w:hideMark/>
          </w:tcPr>
          <w:p w14:paraId="1EC9182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312 </w:t>
            </w:r>
          </w:p>
        </w:tc>
        <w:tc>
          <w:tcPr>
            <w:tcW w:w="752" w:type="dxa"/>
            <w:tcBorders>
              <w:top w:val="nil"/>
              <w:left w:val="nil"/>
              <w:bottom w:val="nil"/>
              <w:right w:val="nil"/>
            </w:tcBorders>
            <w:shd w:val="clear" w:color="auto" w:fill="auto"/>
            <w:hideMark/>
          </w:tcPr>
          <w:p w14:paraId="23B1823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219 </w:t>
            </w:r>
          </w:p>
        </w:tc>
        <w:tc>
          <w:tcPr>
            <w:tcW w:w="752" w:type="dxa"/>
            <w:tcBorders>
              <w:top w:val="nil"/>
              <w:left w:val="nil"/>
              <w:bottom w:val="nil"/>
              <w:right w:val="nil"/>
            </w:tcBorders>
            <w:shd w:val="clear" w:color="auto" w:fill="auto"/>
            <w:hideMark/>
          </w:tcPr>
          <w:p w14:paraId="6BDE3CB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237 </w:t>
            </w:r>
          </w:p>
        </w:tc>
        <w:tc>
          <w:tcPr>
            <w:tcW w:w="752" w:type="dxa"/>
            <w:tcBorders>
              <w:top w:val="nil"/>
              <w:left w:val="nil"/>
              <w:bottom w:val="nil"/>
              <w:right w:val="nil"/>
            </w:tcBorders>
            <w:shd w:val="clear" w:color="auto" w:fill="auto"/>
            <w:hideMark/>
          </w:tcPr>
          <w:p w14:paraId="47CC418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142 </w:t>
            </w:r>
          </w:p>
        </w:tc>
        <w:tc>
          <w:tcPr>
            <w:tcW w:w="733" w:type="dxa"/>
            <w:tcBorders>
              <w:top w:val="nil"/>
              <w:left w:val="nil"/>
              <w:bottom w:val="nil"/>
              <w:right w:val="nil"/>
            </w:tcBorders>
            <w:shd w:val="clear" w:color="auto" w:fill="auto"/>
            <w:hideMark/>
          </w:tcPr>
          <w:p w14:paraId="01FA941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79 </w:t>
            </w:r>
          </w:p>
        </w:tc>
        <w:tc>
          <w:tcPr>
            <w:tcW w:w="733" w:type="dxa"/>
            <w:tcBorders>
              <w:top w:val="nil"/>
              <w:left w:val="nil"/>
              <w:bottom w:val="nil"/>
              <w:right w:val="nil"/>
            </w:tcBorders>
            <w:shd w:val="clear" w:color="auto" w:fill="auto"/>
            <w:hideMark/>
          </w:tcPr>
          <w:p w14:paraId="050EF04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57 </w:t>
            </w:r>
          </w:p>
        </w:tc>
        <w:tc>
          <w:tcPr>
            <w:tcW w:w="733" w:type="dxa"/>
            <w:tcBorders>
              <w:top w:val="nil"/>
              <w:left w:val="nil"/>
              <w:bottom w:val="nil"/>
              <w:right w:val="nil"/>
            </w:tcBorders>
            <w:shd w:val="clear" w:color="auto" w:fill="auto"/>
            <w:hideMark/>
          </w:tcPr>
          <w:p w14:paraId="292370D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30 </w:t>
            </w:r>
          </w:p>
        </w:tc>
        <w:tc>
          <w:tcPr>
            <w:tcW w:w="733" w:type="dxa"/>
            <w:tcBorders>
              <w:top w:val="nil"/>
              <w:left w:val="nil"/>
              <w:bottom w:val="nil"/>
              <w:right w:val="nil"/>
            </w:tcBorders>
            <w:shd w:val="clear" w:color="auto" w:fill="auto"/>
            <w:hideMark/>
          </w:tcPr>
          <w:p w14:paraId="4FACAB4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16 </w:t>
            </w:r>
          </w:p>
        </w:tc>
        <w:tc>
          <w:tcPr>
            <w:tcW w:w="583" w:type="dxa"/>
            <w:tcBorders>
              <w:top w:val="nil"/>
              <w:left w:val="nil"/>
              <w:bottom w:val="nil"/>
              <w:right w:val="nil"/>
            </w:tcBorders>
            <w:shd w:val="clear" w:color="auto" w:fill="auto"/>
            <w:hideMark/>
          </w:tcPr>
          <w:p w14:paraId="2E34BDA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26 </w:t>
            </w:r>
          </w:p>
        </w:tc>
        <w:tc>
          <w:tcPr>
            <w:tcW w:w="1299" w:type="dxa"/>
            <w:tcBorders>
              <w:top w:val="nil"/>
              <w:left w:val="nil"/>
              <w:bottom w:val="nil"/>
              <w:right w:val="nil"/>
            </w:tcBorders>
            <w:shd w:val="clear" w:color="auto" w:fill="auto"/>
            <w:hideMark/>
          </w:tcPr>
          <w:p w14:paraId="385D21B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2795 </w:t>
            </w:r>
          </w:p>
        </w:tc>
      </w:tr>
      <w:tr w:rsidR="00AB403C" w:rsidRPr="00151B48" w14:paraId="77F1C089" w14:textId="77777777" w:rsidTr="00617949">
        <w:trPr>
          <w:trHeight w:val="300"/>
          <w:jc w:val="right"/>
        </w:trPr>
        <w:tc>
          <w:tcPr>
            <w:tcW w:w="997" w:type="dxa"/>
            <w:tcBorders>
              <w:top w:val="nil"/>
              <w:left w:val="nil"/>
              <w:bottom w:val="nil"/>
              <w:right w:val="nil"/>
            </w:tcBorders>
            <w:shd w:val="clear" w:color="auto" w:fill="CCCCCC"/>
            <w:hideMark/>
          </w:tcPr>
          <w:p w14:paraId="6AA195E1" w14:textId="1EEB758C"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15</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16 </w:t>
            </w:r>
          </w:p>
        </w:tc>
        <w:tc>
          <w:tcPr>
            <w:tcW w:w="583" w:type="dxa"/>
            <w:tcBorders>
              <w:top w:val="nil"/>
              <w:left w:val="nil"/>
              <w:bottom w:val="nil"/>
              <w:right w:val="nil"/>
            </w:tcBorders>
            <w:shd w:val="clear" w:color="auto" w:fill="CCCCCC"/>
            <w:hideMark/>
          </w:tcPr>
          <w:p w14:paraId="53FFC6F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21 </w:t>
            </w:r>
          </w:p>
        </w:tc>
        <w:tc>
          <w:tcPr>
            <w:tcW w:w="796" w:type="dxa"/>
            <w:tcBorders>
              <w:top w:val="nil"/>
              <w:left w:val="nil"/>
              <w:bottom w:val="nil"/>
              <w:right w:val="nil"/>
            </w:tcBorders>
            <w:shd w:val="clear" w:color="auto" w:fill="CCCCCC"/>
            <w:hideMark/>
          </w:tcPr>
          <w:p w14:paraId="1680864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49 </w:t>
            </w:r>
          </w:p>
        </w:tc>
        <w:tc>
          <w:tcPr>
            <w:tcW w:w="752" w:type="dxa"/>
            <w:tcBorders>
              <w:top w:val="nil"/>
              <w:left w:val="nil"/>
              <w:bottom w:val="nil"/>
              <w:right w:val="nil"/>
            </w:tcBorders>
            <w:shd w:val="clear" w:color="auto" w:fill="CCCCCC"/>
            <w:hideMark/>
          </w:tcPr>
          <w:p w14:paraId="5BAB895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466 </w:t>
            </w:r>
          </w:p>
        </w:tc>
        <w:tc>
          <w:tcPr>
            <w:tcW w:w="752" w:type="dxa"/>
            <w:tcBorders>
              <w:top w:val="nil"/>
              <w:left w:val="nil"/>
              <w:bottom w:val="nil"/>
              <w:right w:val="nil"/>
            </w:tcBorders>
            <w:shd w:val="clear" w:color="auto" w:fill="CCCCCC"/>
            <w:hideMark/>
          </w:tcPr>
          <w:p w14:paraId="5EC08FA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412 </w:t>
            </w:r>
          </w:p>
        </w:tc>
        <w:tc>
          <w:tcPr>
            <w:tcW w:w="752" w:type="dxa"/>
            <w:tcBorders>
              <w:top w:val="nil"/>
              <w:left w:val="nil"/>
              <w:bottom w:val="nil"/>
              <w:right w:val="nil"/>
            </w:tcBorders>
            <w:shd w:val="clear" w:color="auto" w:fill="CCCCCC"/>
            <w:hideMark/>
          </w:tcPr>
          <w:p w14:paraId="1C5379E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379 </w:t>
            </w:r>
          </w:p>
        </w:tc>
        <w:tc>
          <w:tcPr>
            <w:tcW w:w="752" w:type="dxa"/>
            <w:tcBorders>
              <w:top w:val="nil"/>
              <w:left w:val="nil"/>
              <w:bottom w:val="nil"/>
              <w:right w:val="nil"/>
            </w:tcBorders>
            <w:shd w:val="clear" w:color="auto" w:fill="CCCCCC"/>
            <w:hideMark/>
          </w:tcPr>
          <w:p w14:paraId="49780E9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312 </w:t>
            </w:r>
          </w:p>
        </w:tc>
        <w:tc>
          <w:tcPr>
            <w:tcW w:w="752" w:type="dxa"/>
            <w:tcBorders>
              <w:top w:val="nil"/>
              <w:left w:val="nil"/>
              <w:bottom w:val="nil"/>
              <w:right w:val="nil"/>
            </w:tcBorders>
            <w:shd w:val="clear" w:color="auto" w:fill="CCCCCC"/>
            <w:hideMark/>
          </w:tcPr>
          <w:p w14:paraId="1DD3E2B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284 </w:t>
            </w:r>
          </w:p>
        </w:tc>
        <w:tc>
          <w:tcPr>
            <w:tcW w:w="752" w:type="dxa"/>
            <w:tcBorders>
              <w:top w:val="nil"/>
              <w:left w:val="nil"/>
              <w:bottom w:val="nil"/>
              <w:right w:val="nil"/>
            </w:tcBorders>
            <w:shd w:val="clear" w:color="auto" w:fill="CCCCCC"/>
            <w:hideMark/>
          </w:tcPr>
          <w:p w14:paraId="64AD3AA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297 </w:t>
            </w:r>
          </w:p>
        </w:tc>
        <w:tc>
          <w:tcPr>
            <w:tcW w:w="752" w:type="dxa"/>
            <w:tcBorders>
              <w:top w:val="nil"/>
              <w:left w:val="nil"/>
              <w:bottom w:val="nil"/>
              <w:right w:val="nil"/>
            </w:tcBorders>
            <w:shd w:val="clear" w:color="auto" w:fill="CCCCCC"/>
            <w:hideMark/>
          </w:tcPr>
          <w:p w14:paraId="64AF1C8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287 </w:t>
            </w:r>
          </w:p>
        </w:tc>
        <w:tc>
          <w:tcPr>
            <w:tcW w:w="752" w:type="dxa"/>
            <w:tcBorders>
              <w:top w:val="nil"/>
              <w:left w:val="nil"/>
              <w:bottom w:val="nil"/>
              <w:right w:val="nil"/>
            </w:tcBorders>
            <w:shd w:val="clear" w:color="auto" w:fill="CCCCCC"/>
            <w:hideMark/>
          </w:tcPr>
          <w:p w14:paraId="2CE5A84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241 </w:t>
            </w:r>
          </w:p>
        </w:tc>
        <w:tc>
          <w:tcPr>
            <w:tcW w:w="752" w:type="dxa"/>
            <w:tcBorders>
              <w:top w:val="nil"/>
              <w:left w:val="nil"/>
              <w:bottom w:val="nil"/>
              <w:right w:val="nil"/>
            </w:tcBorders>
            <w:shd w:val="clear" w:color="auto" w:fill="CCCCCC"/>
            <w:hideMark/>
          </w:tcPr>
          <w:p w14:paraId="0174973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125 </w:t>
            </w:r>
          </w:p>
        </w:tc>
        <w:tc>
          <w:tcPr>
            <w:tcW w:w="733" w:type="dxa"/>
            <w:tcBorders>
              <w:top w:val="nil"/>
              <w:left w:val="nil"/>
              <w:bottom w:val="nil"/>
              <w:right w:val="nil"/>
            </w:tcBorders>
            <w:shd w:val="clear" w:color="auto" w:fill="CCCCCC"/>
            <w:hideMark/>
          </w:tcPr>
          <w:p w14:paraId="70D9C50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74 </w:t>
            </w:r>
          </w:p>
        </w:tc>
        <w:tc>
          <w:tcPr>
            <w:tcW w:w="733" w:type="dxa"/>
            <w:tcBorders>
              <w:top w:val="nil"/>
              <w:left w:val="nil"/>
              <w:bottom w:val="nil"/>
              <w:right w:val="nil"/>
            </w:tcBorders>
            <w:shd w:val="clear" w:color="auto" w:fill="CCCCCC"/>
            <w:hideMark/>
          </w:tcPr>
          <w:p w14:paraId="6D68E2F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51 </w:t>
            </w:r>
          </w:p>
        </w:tc>
        <w:tc>
          <w:tcPr>
            <w:tcW w:w="733" w:type="dxa"/>
            <w:tcBorders>
              <w:top w:val="nil"/>
              <w:left w:val="nil"/>
              <w:bottom w:val="nil"/>
              <w:right w:val="nil"/>
            </w:tcBorders>
            <w:shd w:val="clear" w:color="auto" w:fill="CCCCCC"/>
            <w:hideMark/>
          </w:tcPr>
          <w:p w14:paraId="6BD88E2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29 </w:t>
            </w:r>
          </w:p>
        </w:tc>
        <w:tc>
          <w:tcPr>
            <w:tcW w:w="733" w:type="dxa"/>
            <w:tcBorders>
              <w:top w:val="nil"/>
              <w:left w:val="nil"/>
              <w:bottom w:val="nil"/>
              <w:right w:val="nil"/>
            </w:tcBorders>
            <w:shd w:val="clear" w:color="auto" w:fill="CCCCCC"/>
            <w:hideMark/>
          </w:tcPr>
          <w:p w14:paraId="6DD329D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26 </w:t>
            </w:r>
          </w:p>
        </w:tc>
        <w:tc>
          <w:tcPr>
            <w:tcW w:w="583" w:type="dxa"/>
            <w:tcBorders>
              <w:top w:val="nil"/>
              <w:left w:val="nil"/>
              <w:bottom w:val="nil"/>
              <w:right w:val="nil"/>
            </w:tcBorders>
            <w:shd w:val="clear" w:color="auto" w:fill="CCCCCC"/>
            <w:hideMark/>
          </w:tcPr>
          <w:p w14:paraId="58F900A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33 </w:t>
            </w:r>
          </w:p>
        </w:tc>
        <w:tc>
          <w:tcPr>
            <w:tcW w:w="1299" w:type="dxa"/>
            <w:tcBorders>
              <w:top w:val="nil"/>
              <w:left w:val="nil"/>
              <w:bottom w:val="nil"/>
              <w:right w:val="nil"/>
            </w:tcBorders>
            <w:shd w:val="clear" w:color="auto" w:fill="CCCCCC"/>
            <w:hideMark/>
          </w:tcPr>
          <w:p w14:paraId="639C22D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3086 </w:t>
            </w:r>
          </w:p>
        </w:tc>
      </w:tr>
      <w:tr w:rsidR="00AB403C" w:rsidRPr="00151B48" w14:paraId="1655D0F8" w14:textId="77777777" w:rsidTr="00617949">
        <w:trPr>
          <w:trHeight w:val="300"/>
          <w:jc w:val="right"/>
        </w:trPr>
        <w:tc>
          <w:tcPr>
            <w:tcW w:w="997" w:type="dxa"/>
            <w:tcBorders>
              <w:top w:val="nil"/>
              <w:left w:val="nil"/>
              <w:bottom w:val="nil"/>
              <w:right w:val="nil"/>
            </w:tcBorders>
            <w:shd w:val="clear" w:color="auto" w:fill="auto"/>
            <w:hideMark/>
          </w:tcPr>
          <w:p w14:paraId="10744295" w14:textId="5F8BEF57"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16</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17 </w:t>
            </w:r>
          </w:p>
        </w:tc>
        <w:tc>
          <w:tcPr>
            <w:tcW w:w="583" w:type="dxa"/>
            <w:tcBorders>
              <w:top w:val="nil"/>
              <w:left w:val="nil"/>
              <w:bottom w:val="nil"/>
              <w:right w:val="nil"/>
            </w:tcBorders>
            <w:shd w:val="clear" w:color="auto" w:fill="auto"/>
            <w:hideMark/>
          </w:tcPr>
          <w:p w14:paraId="572AF68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18 </w:t>
            </w:r>
          </w:p>
        </w:tc>
        <w:tc>
          <w:tcPr>
            <w:tcW w:w="796" w:type="dxa"/>
            <w:tcBorders>
              <w:top w:val="nil"/>
              <w:left w:val="nil"/>
              <w:bottom w:val="nil"/>
              <w:right w:val="nil"/>
            </w:tcBorders>
            <w:shd w:val="clear" w:color="auto" w:fill="auto"/>
            <w:hideMark/>
          </w:tcPr>
          <w:p w14:paraId="263FFC1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80 </w:t>
            </w:r>
          </w:p>
        </w:tc>
        <w:tc>
          <w:tcPr>
            <w:tcW w:w="752" w:type="dxa"/>
            <w:tcBorders>
              <w:top w:val="nil"/>
              <w:left w:val="nil"/>
              <w:bottom w:val="nil"/>
              <w:right w:val="nil"/>
            </w:tcBorders>
            <w:shd w:val="clear" w:color="auto" w:fill="auto"/>
            <w:hideMark/>
          </w:tcPr>
          <w:p w14:paraId="7FB806C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499 </w:t>
            </w:r>
          </w:p>
        </w:tc>
        <w:tc>
          <w:tcPr>
            <w:tcW w:w="752" w:type="dxa"/>
            <w:tcBorders>
              <w:top w:val="nil"/>
              <w:left w:val="nil"/>
              <w:bottom w:val="nil"/>
              <w:right w:val="nil"/>
            </w:tcBorders>
            <w:shd w:val="clear" w:color="auto" w:fill="auto"/>
            <w:hideMark/>
          </w:tcPr>
          <w:p w14:paraId="51E7FD9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433 </w:t>
            </w:r>
          </w:p>
        </w:tc>
        <w:tc>
          <w:tcPr>
            <w:tcW w:w="752" w:type="dxa"/>
            <w:tcBorders>
              <w:top w:val="nil"/>
              <w:left w:val="nil"/>
              <w:bottom w:val="nil"/>
              <w:right w:val="nil"/>
            </w:tcBorders>
            <w:shd w:val="clear" w:color="auto" w:fill="auto"/>
            <w:hideMark/>
          </w:tcPr>
          <w:p w14:paraId="4BF978A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314 </w:t>
            </w:r>
          </w:p>
        </w:tc>
        <w:tc>
          <w:tcPr>
            <w:tcW w:w="752" w:type="dxa"/>
            <w:tcBorders>
              <w:top w:val="nil"/>
              <w:left w:val="nil"/>
              <w:bottom w:val="nil"/>
              <w:right w:val="nil"/>
            </w:tcBorders>
            <w:shd w:val="clear" w:color="auto" w:fill="auto"/>
            <w:hideMark/>
          </w:tcPr>
          <w:p w14:paraId="3C95975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274 </w:t>
            </w:r>
          </w:p>
        </w:tc>
        <w:tc>
          <w:tcPr>
            <w:tcW w:w="752" w:type="dxa"/>
            <w:tcBorders>
              <w:top w:val="nil"/>
              <w:left w:val="nil"/>
              <w:bottom w:val="nil"/>
              <w:right w:val="nil"/>
            </w:tcBorders>
            <w:shd w:val="clear" w:color="auto" w:fill="auto"/>
            <w:hideMark/>
          </w:tcPr>
          <w:p w14:paraId="51DC098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286 </w:t>
            </w:r>
          </w:p>
        </w:tc>
        <w:tc>
          <w:tcPr>
            <w:tcW w:w="752" w:type="dxa"/>
            <w:tcBorders>
              <w:top w:val="nil"/>
              <w:left w:val="nil"/>
              <w:bottom w:val="nil"/>
              <w:right w:val="nil"/>
            </w:tcBorders>
            <w:shd w:val="clear" w:color="auto" w:fill="auto"/>
            <w:hideMark/>
          </w:tcPr>
          <w:p w14:paraId="01662B8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278 </w:t>
            </w:r>
          </w:p>
        </w:tc>
        <w:tc>
          <w:tcPr>
            <w:tcW w:w="752" w:type="dxa"/>
            <w:tcBorders>
              <w:top w:val="nil"/>
              <w:left w:val="nil"/>
              <w:bottom w:val="nil"/>
              <w:right w:val="nil"/>
            </w:tcBorders>
            <w:shd w:val="clear" w:color="auto" w:fill="auto"/>
            <w:hideMark/>
          </w:tcPr>
          <w:p w14:paraId="479FB4D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298 </w:t>
            </w:r>
          </w:p>
        </w:tc>
        <w:tc>
          <w:tcPr>
            <w:tcW w:w="752" w:type="dxa"/>
            <w:tcBorders>
              <w:top w:val="nil"/>
              <w:left w:val="nil"/>
              <w:bottom w:val="nil"/>
              <w:right w:val="nil"/>
            </w:tcBorders>
            <w:shd w:val="clear" w:color="auto" w:fill="auto"/>
            <w:hideMark/>
          </w:tcPr>
          <w:p w14:paraId="54E8EF0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239 </w:t>
            </w:r>
          </w:p>
        </w:tc>
        <w:tc>
          <w:tcPr>
            <w:tcW w:w="752" w:type="dxa"/>
            <w:tcBorders>
              <w:top w:val="nil"/>
              <w:left w:val="nil"/>
              <w:bottom w:val="nil"/>
              <w:right w:val="nil"/>
            </w:tcBorders>
            <w:shd w:val="clear" w:color="auto" w:fill="auto"/>
            <w:hideMark/>
          </w:tcPr>
          <w:p w14:paraId="0725AAF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138 </w:t>
            </w:r>
          </w:p>
        </w:tc>
        <w:tc>
          <w:tcPr>
            <w:tcW w:w="733" w:type="dxa"/>
            <w:tcBorders>
              <w:top w:val="nil"/>
              <w:left w:val="nil"/>
              <w:bottom w:val="nil"/>
              <w:right w:val="nil"/>
            </w:tcBorders>
            <w:shd w:val="clear" w:color="auto" w:fill="auto"/>
            <w:hideMark/>
          </w:tcPr>
          <w:p w14:paraId="4B1CA90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97 </w:t>
            </w:r>
          </w:p>
        </w:tc>
        <w:tc>
          <w:tcPr>
            <w:tcW w:w="733" w:type="dxa"/>
            <w:tcBorders>
              <w:top w:val="nil"/>
              <w:left w:val="nil"/>
              <w:bottom w:val="nil"/>
              <w:right w:val="nil"/>
            </w:tcBorders>
            <w:shd w:val="clear" w:color="auto" w:fill="auto"/>
            <w:hideMark/>
          </w:tcPr>
          <w:p w14:paraId="258CA56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73 </w:t>
            </w:r>
          </w:p>
        </w:tc>
        <w:tc>
          <w:tcPr>
            <w:tcW w:w="733" w:type="dxa"/>
            <w:tcBorders>
              <w:top w:val="nil"/>
              <w:left w:val="nil"/>
              <w:bottom w:val="nil"/>
              <w:right w:val="nil"/>
            </w:tcBorders>
            <w:shd w:val="clear" w:color="auto" w:fill="auto"/>
            <w:hideMark/>
          </w:tcPr>
          <w:p w14:paraId="1FB2BEB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35 </w:t>
            </w:r>
          </w:p>
        </w:tc>
        <w:tc>
          <w:tcPr>
            <w:tcW w:w="733" w:type="dxa"/>
            <w:tcBorders>
              <w:top w:val="nil"/>
              <w:left w:val="nil"/>
              <w:bottom w:val="nil"/>
              <w:right w:val="nil"/>
            </w:tcBorders>
            <w:shd w:val="clear" w:color="auto" w:fill="auto"/>
            <w:hideMark/>
          </w:tcPr>
          <w:p w14:paraId="274BE30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24 </w:t>
            </w:r>
          </w:p>
        </w:tc>
        <w:tc>
          <w:tcPr>
            <w:tcW w:w="583" w:type="dxa"/>
            <w:tcBorders>
              <w:top w:val="nil"/>
              <w:left w:val="nil"/>
              <w:bottom w:val="nil"/>
              <w:right w:val="nil"/>
            </w:tcBorders>
            <w:shd w:val="clear" w:color="auto" w:fill="auto"/>
            <w:hideMark/>
          </w:tcPr>
          <w:p w14:paraId="2550536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35 </w:t>
            </w:r>
          </w:p>
        </w:tc>
        <w:tc>
          <w:tcPr>
            <w:tcW w:w="1299" w:type="dxa"/>
            <w:tcBorders>
              <w:top w:val="nil"/>
              <w:left w:val="nil"/>
              <w:bottom w:val="nil"/>
              <w:right w:val="nil"/>
            </w:tcBorders>
            <w:shd w:val="clear" w:color="auto" w:fill="auto"/>
            <w:hideMark/>
          </w:tcPr>
          <w:p w14:paraId="159BD56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3121 </w:t>
            </w:r>
          </w:p>
        </w:tc>
      </w:tr>
      <w:tr w:rsidR="00AB403C" w:rsidRPr="00151B48" w14:paraId="65D6B23F" w14:textId="77777777" w:rsidTr="00617949">
        <w:trPr>
          <w:trHeight w:val="300"/>
          <w:jc w:val="right"/>
        </w:trPr>
        <w:tc>
          <w:tcPr>
            <w:tcW w:w="997" w:type="dxa"/>
            <w:tcBorders>
              <w:top w:val="nil"/>
              <w:left w:val="nil"/>
              <w:bottom w:val="nil"/>
              <w:right w:val="nil"/>
            </w:tcBorders>
            <w:shd w:val="clear" w:color="auto" w:fill="CCCCCC"/>
            <w:hideMark/>
          </w:tcPr>
          <w:p w14:paraId="753E6EB1" w14:textId="73DBDECD"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17</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18 </w:t>
            </w:r>
          </w:p>
        </w:tc>
        <w:tc>
          <w:tcPr>
            <w:tcW w:w="583" w:type="dxa"/>
            <w:tcBorders>
              <w:top w:val="nil"/>
              <w:left w:val="nil"/>
              <w:bottom w:val="nil"/>
              <w:right w:val="nil"/>
            </w:tcBorders>
            <w:shd w:val="clear" w:color="auto" w:fill="CCCCCC"/>
            <w:hideMark/>
          </w:tcPr>
          <w:p w14:paraId="772969C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16 </w:t>
            </w:r>
          </w:p>
        </w:tc>
        <w:tc>
          <w:tcPr>
            <w:tcW w:w="796" w:type="dxa"/>
            <w:tcBorders>
              <w:top w:val="nil"/>
              <w:left w:val="nil"/>
              <w:bottom w:val="nil"/>
              <w:right w:val="nil"/>
            </w:tcBorders>
            <w:shd w:val="clear" w:color="auto" w:fill="CCCCCC"/>
            <w:hideMark/>
          </w:tcPr>
          <w:p w14:paraId="0ACB92F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55 </w:t>
            </w:r>
          </w:p>
        </w:tc>
        <w:tc>
          <w:tcPr>
            <w:tcW w:w="752" w:type="dxa"/>
            <w:tcBorders>
              <w:top w:val="nil"/>
              <w:left w:val="nil"/>
              <w:bottom w:val="nil"/>
              <w:right w:val="nil"/>
            </w:tcBorders>
            <w:shd w:val="clear" w:color="auto" w:fill="CCCCCC"/>
            <w:hideMark/>
          </w:tcPr>
          <w:p w14:paraId="3ED1027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389 </w:t>
            </w:r>
          </w:p>
        </w:tc>
        <w:tc>
          <w:tcPr>
            <w:tcW w:w="752" w:type="dxa"/>
            <w:tcBorders>
              <w:top w:val="nil"/>
              <w:left w:val="nil"/>
              <w:bottom w:val="nil"/>
              <w:right w:val="nil"/>
            </w:tcBorders>
            <w:shd w:val="clear" w:color="auto" w:fill="CCCCCC"/>
            <w:hideMark/>
          </w:tcPr>
          <w:p w14:paraId="7357693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334 </w:t>
            </w:r>
          </w:p>
        </w:tc>
        <w:tc>
          <w:tcPr>
            <w:tcW w:w="752" w:type="dxa"/>
            <w:tcBorders>
              <w:top w:val="nil"/>
              <w:left w:val="nil"/>
              <w:bottom w:val="nil"/>
              <w:right w:val="nil"/>
            </w:tcBorders>
            <w:shd w:val="clear" w:color="auto" w:fill="CCCCCC"/>
            <w:hideMark/>
          </w:tcPr>
          <w:p w14:paraId="7B6B42D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271 </w:t>
            </w:r>
          </w:p>
        </w:tc>
        <w:tc>
          <w:tcPr>
            <w:tcW w:w="752" w:type="dxa"/>
            <w:tcBorders>
              <w:top w:val="nil"/>
              <w:left w:val="nil"/>
              <w:bottom w:val="nil"/>
              <w:right w:val="nil"/>
            </w:tcBorders>
            <w:shd w:val="clear" w:color="auto" w:fill="CCCCCC"/>
            <w:hideMark/>
          </w:tcPr>
          <w:p w14:paraId="5CF0C57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229 </w:t>
            </w:r>
          </w:p>
        </w:tc>
        <w:tc>
          <w:tcPr>
            <w:tcW w:w="752" w:type="dxa"/>
            <w:tcBorders>
              <w:top w:val="nil"/>
              <w:left w:val="nil"/>
              <w:bottom w:val="nil"/>
              <w:right w:val="nil"/>
            </w:tcBorders>
            <w:shd w:val="clear" w:color="auto" w:fill="CCCCCC"/>
            <w:hideMark/>
          </w:tcPr>
          <w:p w14:paraId="1BD4547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230 </w:t>
            </w:r>
          </w:p>
        </w:tc>
        <w:tc>
          <w:tcPr>
            <w:tcW w:w="752" w:type="dxa"/>
            <w:tcBorders>
              <w:top w:val="nil"/>
              <w:left w:val="nil"/>
              <w:bottom w:val="nil"/>
              <w:right w:val="nil"/>
            </w:tcBorders>
            <w:shd w:val="clear" w:color="auto" w:fill="CCCCCC"/>
            <w:hideMark/>
          </w:tcPr>
          <w:p w14:paraId="3BB8A10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205 </w:t>
            </w:r>
          </w:p>
        </w:tc>
        <w:tc>
          <w:tcPr>
            <w:tcW w:w="752" w:type="dxa"/>
            <w:tcBorders>
              <w:top w:val="nil"/>
              <w:left w:val="nil"/>
              <w:bottom w:val="nil"/>
              <w:right w:val="nil"/>
            </w:tcBorders>
            <w:shd w:val="clear" w:color="auto" w:fill="CCCCCC"/>
            <w:hideMark/>
          </w:tcPr>
          <w:p w14:paraId="3506A74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234 </w:t>
            </w:r>
          </w:p>
        </w:tc>
        <w:tc>
          <w:tcPr>
            <w:tcW w:w="752" w:type="dxa"/>
            <w:tcBorders>
              <w:top w:val="nil"/>
              <w:left w:val="nil"/>
              <w:bottom w:val="nil"/>
              <w:right w:val="nil"/>
            </w:tcBorders>
            <w:shd w:val="clear" w:color="auto" w:fill="CCCCCC"/>
            <w:hideMark/>
          </w:tcPr>
          <w:p w14:paraId="5B4BC31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160 </w:t>
            </w:r>
          </w:p>
        </w:tc>
        <w:tc>
          <w:tcPr>
            <w:tcW w:w="752" w:type="dxa"/>
            <w:tcBorders>
              <w:top w:val="nil"/>
              <w:left w:val="nil"/>
              <w:bottom w:val="nil"/>
              <w:right w:val="nil"/>
            </w:tcBorders>
            <w:shd w:val="clear" w:color="auto" w:fill="CCCCCC"/>
            <w:hideMark/>
          </w:tcPr>
          <w:p w14:paraId="0488AFC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122 </w:t>
            </w:r>
          </w:p>
        </w:tc>
        <w:tc>
          <w:tcPr>
            <w:tcW w:w="733" w:type="dxa"/>
            <w:tcBorders>
              <w:top w:val="nil"/>
              <w:left w:val="nil"/>
              <w:bottom w:val="nil"/>
              <w:right w:val="nil"/>
            </w:tcBorders>
            <w:shd w:val="clear" w:color="auto" w:fill="CCCCCC"/>
            <w:hideMark/>
          </w:tcPr>
          <w:p w14:paraId="0ACB943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80 </w:t>
            </w:r>
          </w:p>
        </w:tc>
        <w:tc>
          <w:tcPr>
            <w:tcW w:w="733" w:type="dxa"/>
            <w:tcBorders>
              <w:top w:val="nil"/>
              <w:left w:val="nil"/>
              <w:bottom w:val="nil"/>
              <w:right w:val="nil"/>
            </w:tcBorders>
            <w:shd w:val="clear" w:color="auto" w:fill="CCCCCC"/>
            <w:hideMark/>
          </w:tcPr>
          <w:p w14:paraId="3F02140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37 </w:t>
            </w:r>
          </w:p>
        </w:tc>
        <w:tc>
          <w:tcPr>
            <w:tcW w:w="733" w:type="dxa"/>
            <w:tcBorders>
              <w:top w:val="nil"/>
              <w:left w:val="nil"/>
              <w:bottom w:val="nil"/>
              <w:right w:val="nil"/>
            </w:tcBorders>
            <w:shd w:val="clear" w:color="auto" w:fill="CCCCCC"/>
            <w:hideMark/>
          </w:tcPr>
          <w:p w14:paraId="4DC6B7F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22 </w:t>
            </w:r>
          </w:p>
        </w:tc>
        <w:tc>
          <w:tcPr>
            <w:tcW w:w="733" w:type="dxa"/>
            <w:tcBorders>
              <w:top w:val="nil"/>
              <w:left w:val="nil"/>
              <w:bottom w:val="nil"/>
              <w:right w:val="nil"/>
            </w:tcBorders>
            <w:shd w:val="clear" w:color="auto" w:fill="CCCCCC"/>
            <w:hideMark/>
          </w:tcPr>
          <w:p w14:paraId="5B8C68C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23 </w:t>
            </w:r>
          </w:p>
        </w:tc>
        <w:tc>
          <w:tcPr>
            <w:tcW w:w="583" w:type="dxa"/>
            <w:tcBorders>
              <w:top w:val="nil"/>
              <w:left w:val="nil"/>
              <w:bottom w:val="nil"/>
              <w:right w:val="nil"/>
            </w:tcBorders>
            <w:shd w:val="clear" w:color="auto" w:fill="CCCCCC"/>
            <w:hideMark/>
          </w:tcPr>
          <w:p w14:paraId="349B8EC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28 </w:t>
            </w:r>
          </w:p>
        </w:tc>
        <w:tc>
          <w:tcPr>
            <w:tcW w:w="1299" w:type="dxa"/>
            <w:tcBorders>
              <w:top w:val="nil"/>
              <w:left w:val="nil"/>
              <w:bottom w:val="nil"/>
              <w:right w:val="nil"/>
            </w:tcBorders>
            <w:shd w:val="clear" w:color="auto" w:fill="CCCCCC"/>
            <w:hideMark/>
          </w:tcPr>
          <w:p w14:paraId="4EC139E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2435 </w:t>
            </w:r>
          </w:p>
        </w:tc>
      </w:tr>
      <w:tr w:rsidR="00AB403C" w:rsidRPr="00151B48" w14:paraId="6CB8E3DD" w14:textId="77777777" w:rsidTr="00617949">
        <w:trPr>
          <w:trHeight w:val="300"/>
          <w:jc w:val="right"/>
        </w:trPr>
        <w:tc>
          <w:tcPr>
            <w:tcW w:w="997" w:type="dxa"/>
            <w:tcBorders>
              <w:top w:val="nil"/>
              <w:left w:val="nil"/>
              <w:bottom w:val="nil"/>
              <w:right w:val="nil"/>
            </w:tcBorders>
            <w:shd w:val="clear" w:color="auto" w:fill="auto"/>
            <w:hideMark/>
          </w:tcPr>
          <w:p w14:paraId="78811398" w14:textId="64F997EB"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18</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19 </w:t>
            </w:r>
          </w:p>
        </w:tc>
        <w:tc>
          <w:tcPr>
            <w:tcW w:w="583" w:type="dxa"/>
            <w:tcBorders>
              <w:top w:val="nil"/>
              <w:left w:val="nil"/>
              <w:bottom w:val="nil"/>
              <w:right w:val="nil"/>
            </w:tcBorders>
            <w:shd w:val="clear" w:color="auto" w:fill="auto"/>
            <w:hideMark/>
          </w:tcPr>
          <w:p w14:paraId="0AD99FF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18 </w:t>
            </w:r>
          </w:p>
        </w:tc>
        <w:tc>
          <w:tcPr>
            <w:tcW w:w="796" w:type="dxa"/>
            <w:tcBorders>
              <w:top w:val="nil"/>
              <w:left w:val="nil"/>
              <w:bottom w:val="nil"/>
              <w:right w:val="nil"/>
            </w:tcBorders>
            <w:shd w:val="clear" w:color="auto" w:fill="auto"/>
            <w:hideMark/>
          </w:tcPr>
          <w:p w14:paraId="59DA700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33 </w:t>
            </w:r>
          </w:p>
        </w:tc>
        <w:tc>
          <w:tcPr>
            <w:tcW w:w="752" w:type="dxa"/>
            <w:tcBorders>
              <w:top w:val="nil"/>
              <w:left w:val="nil"/>
              <w:bottom w:val="nil"/>
              <w:right w:val="nil"/>
            </w:tcBorders>
            <w:shd w:val="clear" w:color="auto" w:fill="auto"/>
            <w:hideMark/>
          </w:tcPr>
          <w:p w14:paraId="2C082684"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243 </w:t>
            </w:r>
          </w:p>
        </w:tc>
        <w:tc>
          <w:tcPr>
            <w:tcW w:w="752" w:type="dxa"/>
            <w:tcBorders>
              <w:top w:val="nil"/>
              <w:left w:val="nil"/>
              <w:bottom w:val="nil"/>
              <w:right w:val="nil"/>
            </w:tcBorders>
            <w:shd w:val="clear" w:color="auto" w:fill="auto"/>
            <w:hideMark/>
          </w:tcPr>
          <w:p w14:paraId="4FBA605B"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249 </w:t>
            </w:r>
          </w:p>
        </w:tc>
        <w:tc>
          <w:tcPr>
            <w:tcW w:w="752" w:type="dxa"/>
            <w:tcBorders>
              <w:top w:val="nil"/>
              <w:left w:val="nil"/>
              <w:bottom w:val="nil"/>
              <w:right w:val="nil"/>
            </w:tcBorders>
            <w:shd w:val="clear" w:color="auto" w:fill="auto"/>
            <w:hideMark/>
          </w:tcPr>
          <w:p w14:paraId="3C0F6B0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177 </w:t>
            </w:r>
          </w:p>
        </w:tc>
        <w:tc>
          <w:tcPr>
            <w:tcW w:w="752" w:type="dxa"/>
            <w:tcBorders>
              <w:top w:val="nil"/>
              <w:left w:val="nil"/>
              <w:bottom w:val="nil"/>
              <w:right w:val="nil"/>
            </w:tcBorders>
            <w:shd w:val="clear" w:color="auto" w:fill="auto"/>
            <w:hideMark/>
          </w:tcPr>
          <w:p w14:paraId="368AFCC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155 </w:t>
            </w:r>
          </w:p>
        </w:tc>
        <w:tc>
          <w:tcPr>
            <w:tcW w:w="752" w:type="dxa"/>
            <w:tcBorders>
              <w:top w:val="nil"/>
              <w:left w:val="nil"/>
              <w:bottom w:val="nil"/>
              <w:right w:val="nil"/>
            </w:tcBorders>
            <w:shd w:val="clear" w:color="auto" w:fill="auto"/>
            <w:hideMark/>
          </w:tcPr>
          <w:p w14:paraId="0D1078CC"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137 </w:t>
            </w:r>
          </w:p>
        </w:tc>
        <w:tc>
          <w:tcPr>
            <w:tcW w:w="752" w:type="dxa"/>
            <w:tcBorders>
              <w:top w:val="nil"/>
              <w:left w:val="nil"/>
              <w:bottom w:val="nil"/>
              <w:right w:val="nil"/>
            </w:tcBorders>
            <w:shd w:val="clear" w:color="auto" w:fill="auto"/>
            <w:hideMark/>
          </w:tcPr>
          <w:p w14:paraId="4BF6F26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143 </w:t>
            </w:r>
          </w:p>
        </w:tc>
        <w:tc>
          <w:tcPr>
            <w:tcW w:w="752" w:type="dxa"/>
            <w:tcBorders>
              <w:top w:val="nil"/>
              <w:left w:val="nil"/>
              <w:bottom w:val="nil"/>
              <w:right w:val="nil"/>
            </w:tcBorders>
            <w:shd w:val="clear" w:color="auto" w:fill="auto"/>
            <w:hideMark/>
          </w:tcPr>
          <w:p w14:paraId="5BBEB13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172 </w:t>
            </w:r>
          </w:p>
        </w:tc>
        <w:tc>
          <w:tcPr>
            <w:tcW w:w="752" w:type="dxa"/>
            <w:tcBorders>
              <w:top w:val="nil"/>
              <w:left w:val="nil"/>
              <w:bottom w:val="nil"/>
              <w:right w:val="nil"/>
            </w:tcBorders>
            <w:shd w:val="clear" w:color="auto" w:fill="auto"/>
            <w:hideMark/>
          </w:tcPr>
          <w:p w14:paraId="3DA14341"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129 </w:t>
            </w:r>
          </w:p>
        </w:tc>
        <w:tc>
          <w:tcPr>
            <w:tcW w:w="752" w:type="dxa"/>
            <w:tcBorders>
              <w:top w:val="nil"/>
              <w:left w:val="nil"/>
              <w:bottom w:val="nil"/>
              <w:right w:val="nil"/>
            </w:tcBorders>
            <w:shd w:val="clear" w:color="auto" w:fill="auto"/>
            <w:hideMark/>
          </w:tcPr>
          <w:p w14:paraId="6E9DD7E5"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94 </w:t>
            </w:r>
          </w:p>
        </w:tc>
        <w:tc>
          <w:tcPr>
            <w:tcW w:w="733" w:type="dxa"/>
            <w:tcBorders>
              <w:top w:val="nil"/>
              <w:left w:val="nil"/>
              <w:bottom w:val="nil"/>
              <w:right w:val="nil"/>
            </w:tcBorders>
            <w:shd w:val="clear" w:color="auto" w:fill="auto"/>
            <w:hideMark/>
          </w:tcPr>
          <w:p w14:paraId="387070BE"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73 </w:t>
            </w:r>
          </w:p>
        </w:tc>
        <w:tc>
          <w:tcPr>
            <w:tcW w:w="733" w:type="dxa"/>
            <w:tcBorders>
              <w:top w:val="nil"/>
              <w:left w:val="nil"/>
              <w:bottom w:val="nil"/>
              <w:right w:val="nil"/>
            </w:tcBorders>
            <w:shd w:val="clear" w:color="auto" w:fill="auto"/>
            <w:hideMark/>
          </w:tcPr>
          <w:p w14:paraId="4CA1E8F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51 </w:t>
            </w:r>
          </w:p>
        </w:tc>
        <w:tc>
          <w:tcPr>
            <w:tcW w:w="733" w:type="dxa"/>
            <w:tcBorders>
              <w:top w:val="nil"/>
              <w:left w:val="nil"/>
              <w:bottom w:val="nil"/>
              <w:right w:val="nil"/>
            </w:tcBorders>
            <w:shd w:val="clear" w:color="auto" w:fill="auto"/>
            <w:hideMark/>
          </w:tcPr>
          <w:p w14:paraId="7A7216B3"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38 </w:t>
            </w:r>
          </w:p>
        </w:tc>
        <w:tc>
          <w:tcPr>
            <w:tcW w:w="733" w:type="dxa"/>
            <w:tcBorders>
              <w:top w:val="nil"/>
              <w:left w:val="nil"/>
              <w:bottom w:val="nil"/>
              <w:right w:val="nil"/>
            </w:tcBorders>
            <w:shd w:val="clear" w:color="auto" w:fill="auto"/>
            <w:hideMark/>
          </w:tcPr>
          <w:p w14:paraId="05DDD73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18 </w:t>
            </w:r>
          </w:p>
        </w:tc>
        <w:tc>
          <w:tcPr>
            <w:tcW w:w="583" w:type="dxa"/>
            <w:tcBorders>
              <w:top w:val="nil"/>
              <w:left w:val="nil"/>
              <w:bottom w:val="nil"/>
              <w:right w:val="nil"/>
            </w:tcBorders>
            <w:shd w:val="clear" w:color="auto" w:fill="auto"/>
            <w:hideMark/>
          </w:tcPr>
          <w:p w14:paraId="2A968BD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33 </w:t>
            </w:r>
          </w:p>
        </w:tc>
        <w:tc>
          <w:tcPr>
            <w:tcW w:w="1299" w:type="dxa"/>
            <w:tcBorders>
              <w:top w:val="nil"/>
              <w:left w:val="nil"/>
              <w:bottom w:val="nil"/>
              <w:right w:val="nil"/>
            </w:tcBorders>
            <w:shd w:val="clear" w:color="auto" w:fill="auto"/>
            <w:hideMark/>
          </w:tcPr>
          <w:p w14:paraId="6C7F5A5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1763 </w:t>
            </w:r>
          </w:p>
        </w:tc>
      </w:tr>
      <w:tr w:rsidR="00AB403C" w:rsidRPr="00151B48" w14:paraId="47D80108" w14:textId="77777777" w:rsidTr="00617949">
        <w:trPr>
          <w:trHeight w:val="300"/>
          <w:jc w:val="right"/>
        </w:trPr>
        <w:tc>
          <w:tcPr>
            <w:tcW w:w="997" w:type="dxa"/>
            <w:tcBorders>
              <w:top w:val="nil"/>
              <w:left w:val="nil"/>
              <w:bottom w:val="single" w:sz="6" w:space="0" w:color="000000"/>
              <w:right w:val="nil"/>
            </w:tcBorders>
            <w:shd w:val="clear" w:color="auto" w:fill="CCCCCC"/>
            <w:hideMark/>
          </w:tcPr>
          <w:p w14:paraId="0C0A7AAB" w14:textId="57355ABD" w:rsidR="00AB403C" w:rsidRPr="00151B48" w:rsidRDefault="00AB403C" w:rsidP="00AB403C">
            <w:pPr>
              <w:spacing w:after="0" w:line="240" w:lineRule="auto"/>
              <w:jc w:val="right"/>
              <w:textAlignment w:val="baseline"/>
              <w:rPr>
                <w:rFonts w:eastAsia="Times New Roman" w:cs="Times New Roman"/>
                <w:b/>
                <w:bCs/>
                <w:color w:val="000000"/>
                <w:sz w:val="20"/>
                <w:szCs w:val="20"/>
                <w:lang w:eastAsia="en-AU"/>
              </w:rPr>
            </w:pPr>
            <w:r w:rsidRPr="005C74AB">
              <w:rPr>
                <w:rFonts w:eastAsia="Times New Roman" w:cs="Times New Roman"/>
                <w:b/>
                <w:bCs/>
                <w:color w:val="000000"/>
                <w:sz w:val="20"/>
                <w:szCs w:val="20"/>
                <w:lang w:eastAsia="en-AU"/>
              </w:rPr>
              <w:t>19</w:t>
            </w:r>
            <w:r>
              <w:rPr>
                <w:rFonts w:eastAsia="Times New Roman" w:cs="Times New Roman"/>
                <w:b/>
                <w:bCs/>
                <w:color w:val="000000"/>
                <w:sz w:val="20"/>
                <w:szCs w:val="20"/>
                <w:lang w:eastAsia="en-AU"/>
              </w:rPr>
              <w:t>-</w:t>
            </w:r>
            <w:r w:rsidRPr="005C74AB">
              <w:rPr>
                <w:rFonts w:eastAsia="Times New Roman" w:cs="Times New Roman"/>
                <w:b/>
                <w:bCs/>
                <w:color w:val="000000"/>
                <w:sz w:val="20"/>
                <w:szCs w:val="20"/>
                <w:lang w:eastAsia="en-AU"/>
              </w:rPr>
              <w:t>20 </w:t>
            </w:r>
          </w:p>
        </w:tc>
        <w:tc>
          <w:tcPr>
            <w:tcW w:w="583" w:type="dxa"/>
            <w:tcBorders>
              <w:top w:val="nil"/>
              <w:left w:val="nil"/>
              <w:bottom w:val="single" w:sz="6" w:space="0" w:color="000000"/>
              <w:right w:val="nil"/>
            </w:tcBorders>
            <w:shd w:val="clear" w:color="auto" w:fill="CCCCCC"/>
            <w:hideMark/>
          </w:tcPr>
          <w:p w14:paraId="09109C76"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17 </w:t>
            </w:r>
          </w:p>
        </w:tc>
        <w:tc>
          <w:tcPr>
            <w:tcW w:w="796" w:type="dxa"/>
            <w:tcBorders>
              <w:top w:val="nil"/>
              <w:left w:val="nil"/>
              <w:bottom w:val="single" w:sz="6" w:space="0" w:color="000000"/>
              <w:right w:val="nil"/>
            </w:tcBorders>
            <w:shd w:val="clear" w:color="auto" w:fill="CCCCCC"/>
            <w:hideMark/>
          </w:tcPr>
          <w:p w14:paraId="5D4F000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23 </w:t>
            </w:r>
          </w:p>
        </w:tc>
        <w:tc>
          <w:tcPr>
            <w:tcW w:w="752" w:type="dxa"/>
            <w:tcBorders>
              <w:top w:val="nil"/>
              <w:left w:val="nil"/>
              <w:bottom w:val="single" w:sz="6" w:space="0" w:color="000000"/>
              <w:right w:val="nil"/>
            </w:tcBorders>
            <w:shd w:val="clear" w:color="auto" w:fill="CCCCCC"/>
            <w:hideMark/>
          </w:tcPr>
          <w:p w14:paraId="3AC11058"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168 </w:t>
            </w:r>
          </w:p>
        </w:tc>
        <w:tc>
          <w:tcPr>
            <w:tcW w:w="752" w:type="dxa"/>
            <w:tcBorders>
              <w:top w:val="nil"/>
              <w:left w:val="nil"/>
              <w:bottom w:val="single" w:sz="6" w:space="0" w:color="000000"/>
              <w:right w:val="nil"/>
            </w:tcBorders>
            <w:shd w:val="clear" w:color="auto" w:fill="CCCCCC"/>
            <w:hideMark/>
          </w:tcPr>
          <w:p w14:paraId="1B9CC6DA"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210 </w:t>
            </w:r>
          </w:p>
        </w:tc>
        <w:tc>
          <w:tcPr>
            <w:tcW w:w="752" w:type="dxa"/>
            <w:tcBorders>
              <w:top w:val="nil"/>
              <w:left w:val="nil"/>
              <w:bottom w:val="single" w:sz="6" w:space="0" w:color="000000"/>
              <w:right w:val="nil"/>
            </w:tcBorders>
            <w:shd w:val="clear" w:color="auto" w:fill="CCCCCC"/>
            <w:hideMark/>
          </w:tcPr>
          <w:p w14:paraId="68856C9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160 </w:t>
            </w:r>
          </w:p>
        </w:tc>
        <w:tc>
          <w:tcPr>
            <w:tcW w:w="752" w:type="dxa"/>
            <w:tcBorders>
              <w:top w:val="nil"/>
              <w:left w:val="nil"/>
              <w:bottom w:val="single" w:sz="6" w:space="0" w:color="000000"/>
              <w:right w:val="nil"/>
            </w:tcBorders>
            <w:shd w:val="clear" w:color="auto" w:fill="CCCCCC"/>
            <w:hideMark/>
          </w:tcPr>
          <w:p w14:paraId="61A3BD1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140 </w:t>
            </w:r>
          </w:p>
        </w:tc>
        <w:tc>
          <w:tcPr>
            <w:tcW w:w="752" w:type="dxa"/>
            <w:tcBorders>
              <w:top w:val="nil"/>
              <w:left w:val="nil"/>
              <w:bottom w:val="single" w:sz="6" w:space="0" w:color="000000"/>
              <w:right w:val="nil"/>
            </w:tcBorders>
            <w:shd w:val="clear" w:color="auto" w:fill="CCCCCC"/>
            <w:hideMark/>
          </w:tcPr>
          <w:p w14:paraId="6198F15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121 </w:t>
            </w:r>
          </w:p>
        </w:tc>
        <w:tc>
          <w:tcPr>
            <w:tcW w:w="752" w:type="dxa"/>
            <w:tcBorders>
              <w:top w:val="nil"/>
              <w:left w:val="nil"/>
              <w:bottom w:val="single" w:sz="6" w:space="0" w:color="000000"/>
              <w:right w:val="nil"/>
            </w:tcBorders>
            <w:shd w:val="clear" w:color="auto" w:fill="CCCCCC"/>
            <w:hideMark/>
          </w:tcPr>
          <w:p w14:paraId="436F915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114 </w:t>
            </w:r>
          </w:p>
        </w:tc>
        <w:tc>
          <w:tcPr>
            <w:tcW w:w="752" w:type="dxa"/>
            <w:tcBorders>
              <w:top w:val="nil"/>
              <w:left w:val="nil"/>
              <w:bottom w:val="single" w:sz="6" w:space="0" w:color="000000"/>
              <w:right w:val="nil"/>
            </w:tcBorders>
            <w:shd w:val="clear" w:color="auto" w:fill="CCCCCC"/>
            <w:hideMark/>
          </w:tcPr>
          <w:p w14:paraId="2A277E5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129 </w:t>
            </w:r>
          </w:p>
        </w:tc>
        <w:tc>
          <w:tcPr>
            <w:tcW w:w="752" w:type="dxa"/>
            <w:tcBorders>
              <w:top w:val="nil"/>
              <w:left w:val="nil"/>
              <w:bottom w:val="single" w:sz="6" w:space="0" w:color="000000"/>
              <w:right w:val="nil"/>
            </w:tcBorders>
            <w:shd w:val="clear" w:color="auto" w:fill="CCCCCC"/>
            <w:hideMark/>
          </w:tcPr>
          <w:p w14:paraId="4825966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123 </w:t>
            </w:r>
          </w:p>
        </w:tc>
        <w:tc>
          <w:tcPr>
            <w:tcW w:w="752" w:type="dxa"/>
            <w:tcBorders>
              <w:top w:val="nil"/>
              <w:left w:val="nil"/>
              <w:bottom w:val="single" w:sz="6" w:space="0" w:color="000000"/>
              <w:right w:val="nil"/>
            </w:tcBorders>
            <w:shd w:val="clear" w:color="auto" w:fill="CCCCCC"/>
            <w:hideMark/>
          </w:tcPr>
          <w:p w14:paraId="650706D7"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111 </w:t>
            </w:r>
          </w:p>
        </w:tc>
        <w:tc>
          <w:tcPr>
            <w:tcW w:w="733" w:type="dxa"/>
            <w:tcBorders>
              <w:top w:val="nil"/>
              <w:left w:val="nil"/>
              <w:bottom w:val="single" w:sz="6" w:space="0" w:color="000000"/>
              <w:right w:val="nil"/>
            </w:tcBorders>
            <w:shd w:val="clear" w:color="auto" w:fill="CCCCCC"/>
            <w:hideMark/>
          </w:tcPr>
          <w:p w14:paraId="599E4CC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63 </w:t>
            </w:r>
          </w:p>
        </w:tc>
        <w:tc>
          <w:tcPr>
            <w:tcW w:w="733" w:type="dxa"/>
            <w:tcBorders>
              <w:top w:val="nil"/>
              <w:left w:val="nil"/>
              <w:bottom w:val="single" w:sz="6" w:space="0" w:color="000000"/>
              <w:right w:val="nil"/>
            </w:tcBorders>
            <w:shd w:val="clear" w:color="auto" w:fill="CCCCCC"/>
            <w:hideMark/>
          </w:tcPr>
          <w:p w14:paraId="28F38279"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38 </w:t>
            </w:r>
          </w:p>
        </w:tc>
        <w:tc>
          <w:tcPr>
            <w:tcW w:w="733" w:type="dxa"/>
            <w:tcBorders>
              <w:top w:val="nil"/>
              <w:left w:val="nil"/>
              <w:bottom w:val="single" w:sz="6" w:space="0" w:color="000000"/>
              <w:right w:val="nil"/>
            </w:tcBorders>
            <w:shd w:val="clear" w:color="auto" w:fill="CCCCCC"/>
            <w:hideMark/>
          </w:tcPr>
          <w:p w14:paraId="20E12730"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21 </w:t>
            </w:r>
          </w:p>
        </w:tc>
        <w:tc>
          <w:tcPr>
            <w:tcW w:w="733" w:type="dxa"/>
            <w:tcBorders>
              <w:top w:val="nil"/>
              <w:left w:val="nil"/>
              <w:bottom w:val="single" w:sz="6" w:space="0" w:color="000000"/>
              <w:right w:val="nil"/>
            </w:tcBorders>
            <w:shd w:val="clear" w:color="auto" w:fill="CCCCCC"/>
            <w:hideMark/>
          </w:tcPr>
          <w:p w14:paraId="78A91DF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28 </w:t>
            </w:r>
          </w:p>
        </w:tc>
        <w:tc>
          <w:tcPr>
            <w:tcW w:w="583" w:type="dxa"/>
            <w:tcBorders>
              <w:top w:val="nil"/>
              <w:left w:val="nil"/>
              <w:bottom w:val="single" w:sz="6" w:space="0" w:color="000000"/>
              <w:right w:val="nil"/>
            </w:tcBorders>
            <w:shd w:val="clear" w:color="auto" w:fill="CCCCCC"/>
            <w:hideMark/>
          </w:tcPr>
          <w:p w14:paraId="0AF0BD5F"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45 </w:t>
            </w:r>
          </w:p>
        </w:tc>
        <w:tc>
          <w:tcPr>
            <w:tcW w:w="1299" w:type="dxa"/>
            <w:tcBorders>
              <w:top w:val="nil"/>
              <w:left w:val="nil"/>
              <w:bottom w:val="single" w:sz="6" w:space="0" w:color="000000"/>
              <w:right w:val="nil"/>
            </w:tcBorders>
            <w:shd w:val="clear" w:color="auto" w:fill="CCCCCC"/>
            <w:hideMark/>
          </w:tcPr>
          <w:p w14:paraId="509D9132" w14:textId="77777777" w:rsidR="00AB403C" w:rsidRPr="00151B48" w:rsidRDefault="00AB403C" w:rsidP="00AB403C">
            <w:pPr>
              <w:spacing w:after="0" w:line="240" w:lineRule="auto"/>
              <w:jc w:val="right"/>
              <w:textAlignment w:val="baseline"/>
              <w:rPr>
                <w:rFonts w:eastAsia="Times New Roman" w:cs="Times New Roman"/>
                <w:color w:val="000000"/>
                <w:sz w:val="20"/>
                <w:szCs w:val="20"/>
                <w:lang w:eastAsia="en-AU"/>
              </w:rPr>
            </w:pPr>
            <w:r w:rsidRPr="00151B48">
              <w:rPr>
                <w:rFonts w:eastAsia="Times New Roman" w:cs="Times New Roman"/>
                <w:color w:val="000000"/>
                <w:sz w:val="20"/>
                <w:szCs w:val="20"/>
                <w:lang w:eastAsia="en-AU"/>
              </w:rPr>
              <w:t>1511 </w:t>
            </w:r>
          </w:p>
        </w:tc>
      </w:tr>
    </w:tbl>
    <w:p w14:paraId="30294596" w14:textId="24A59E07" w:rsidR="00AA4FFC" w:rsidRDefault="00AA4FFC" w:rsidP="006367A1">
      <w:pPr>
        <w:pStyle w:val="Heading5"/>
      </w:pPr>
      <w:r>
        <w:t>Monthly totals of paracetamol poisoning admissions in Australia (by age group) (AIHW NHMD 2009-2020)</w:t>
      </w:r>
    </w:p>
    <w:tbl>
      <w:tblPr>
        <w:tblStyle w:val="ListTable2"/>
        <w:tblW w:w="5000" w:type="pct"/>
        <w:tblLook w:val="04A0" w:firstRow="1" w:lastRow="0" w:firstColumn="1" w:lastColumn="0" w:noHBand="0" w:noVBand="1"/>
      </w:tblPr>
      <w:tblGrid>
        <w:gridCol w:w="930"/>
        <w:gridCol w:w="930"/>
        <w:gridCol w:w="930"/>
        <w:gridCol w:w="930"/>
        <w:gridCol w:w="930"/>
        <w:gridCol w:w="930"/>
        <w:gridCol w:w="930"/>
        <w:gridCol w:w="931"/>
        <w:gridCol w:w="931"/>
        <w:gridCol w:w="931"/>
        <w:gridCol w:w="931"/>
        <w:gridCol w:w="931"/>
        <w:gridCol w:w="931"/>
        <w:gridCol w:w="931"/>
        <w:gridCol w:w="931"/>
      </w:tblGrid>
      <w:tr w:rsidR="00AA4FFC" w:rsidRPr="00E86DCF" w14:paraId="4E144390" w14:textId="77777777" w:rsidTr="00EE564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A5F475C" w14:textId="77777777" w:rsidR="00AA4FFC" w:rsidRPr="00EE5644" w:rsidRDefault="00AA4FFC" w:rsidP="00617949">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 </w:t>
            </w:r>
          </w:p>
        </w:tc>
        <w:tc>
          <w:tcPr>
            <w:tcW w:w="960" w:type="dxa"/>
            <w:noWrap/>
            <w:hideMark/>
          </w:tcPr>
          <w:p w14:paraId="74417347"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&lt;15</w:t>
            </w:r>
          </w:p>
        </w:tc>
        <w:tc>
          <w:tcPr>
            <w:tcW w:w="960" w:type="dxa"/>
            <w:noWrap/>
            <w:hideMark/>
          </w:tcPr>
          <w:p w14:paraId="0DF0695A"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15--19</w:t>
            </w:r>
          </w:p>
        </w:tc>
        <w:tc>
          <w:tcPr>
            <w:tcW w:w="960" w:type="dxa"/>
            <w:noWrap/>
            <w:hideMark/>
          </w:tcPr>
          <w:p w14:paraId="5B064D3A"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20-24</w:t>
            </w:r>
          </w:p>
        </w:tc>
        <w:tc>
          <w:tcPr>
            <w:tcW w:w="960" w:type="dxa"/>
            <w:noWrap/>
            <w:hideMark/>
          </w:tcPr>
          <w:p w14:paraId="1BCD985E"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25-29</w:t>
            </w:r>
          </w:p>
        </w:tc>
        <w:tc>
          <w:tcPr>
            <w:tcW w:w="960" w:type="dxa"/>
            <w:noWrap/>
            <w:hideMark/>
          </w:tcPr>
          <w:p w14:paraId="395B1003"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30-34</w:t>
            </w:r>
          </w:p>
        </w:tc>
        <w:tc>
          <w:tcPr>
            <w:tcW w:w="960" w:type="dxa"/>
            <w:noWrap/>
            <w:hideMark/>
          </w:tcPr>
          <w:p w14:paraId="75820FF7"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35-39</w:t>
            </w:r>
          </w:p>
        </w:tc>
        <w:tc>
          <w:tcPr>
            <w:tcW w:w="960" w:type="dxa"/>
            <w:noWrap/>
            <w:hideMark/>
          </w:tcPr>
          <w:p w14:paraId="19AB5E82"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40-44</w:t>
            </w:r>
          </w:p>
        </w:tc>
        <w:tc>
          <w:tcPr>
            <w:tcW w:w="960" w:type="dxa"/>
            <w:noWrap/>
            <w:hideMark/>
          </w:tcPr>
          <w:p w14:paraId="5E556ABB"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45-49</w:t>
            </w:r>
          </w:p>
        </w:tc>
        <w:tc>
          <w:tcPr>
            <w:tcW w:w="960" w:type="dxa"/>
            <w:noWrap/>
            <w:hideMark/>
          </w:tcPr>
          <w:p w14:paraId="0DEC690B"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50-54</w:t>
            </w:r>
          </w:p>
        </w:tc>
        <w:tc>
          <w:tcPr>
            <w:tcW w:w="960" w:type="dxa"/>
            <w:noWrap/>
            <w:hideMark/>
          </w:tcPr>
          <w:p w14:paraId="41868E0F"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55-59</w:t>
            </w:r>
          </w:p>
        </w:tc>
        <w:tc>
          <w:tcPr>
            <w:tcW w:w="960" w:type="dxa"/>
            <w:noWrap/>
            <w:hideMark/>
          </w:tcPr>
          <w:p w14:paraId="62049EBA"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60-64</w:t>
            </w:r>
          </w:p>
        </w:tc>
        <w:tc>
          <w:tcPr>
            <w:tcW w:w="960" w:type="dxa"/>
            <w:noWrap/>
            <w:hideMark/>
          </w:tcPr>
          <w:p w14:paraId="664A3822"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65-69</w:t>
            </w:r>
          </w:p>
        </w:tc>
        <w:tc>
          <w:tcPr>
            <w:tcW w:w="960" w:type="dxa"/>
            <w:noWrap/>
            <w:hideMark/>
          </w:tcPr>
          <w:p w14:paraId="48586623"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2533B3D"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Total</w:t>
            </w:r>
          </w:p>
        </w:tc>
      </w:tr>
      <w:tr w:rsidR="00AA4FFC" w:rsidRPr="00E86DCF" w14:paraId="1D0462D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70D230"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Jul-09</w:t>
            </w:r>
          </w:p>
        </w:tc>
        <w:tc>
          <w:tcPr>
            <w:tcW w:w="960" w:type="dxa"/>
            <w:noWrap/>
            <w:hideMark/>
          </w:tcPr>
          <w:p w14:paraId="553C7B5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0C5494D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124</w:t>
            </w:r>
          </w:p>
        </w:tc>
        <w:tc>
          <w:tcPr>
            <w:tcW w:w="960" w:type="dxa"/>
            <w:noWrap/>
            <w:hideMark/>
          </w:tcPr>
          <w:p w14:paraId="23DEECF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c>
          <w:tcPr>
            <w:tcW w:w="960" w:type="dxa"/>
            <w:noWrap/>
            <w:hideMark/>
          </w:tcPr>
          <w:p w14:paraId="3A34EEE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1BBD2E5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43A6A79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6B779D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66E3FA5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5306FC5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4E0CA7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56837F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0DBD01F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270255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1F911CA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696</w:t>
            </w:r>
          </w:p>
        </w:tc>
      </w:tr>
      <w:tr w:rsidR="00AA4FFC" w:rsidRPr="00E86DCF" w14:paraId="06160C97"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51CDB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Aug-09</w:t>
            </w:r>
          </w:p>
        </w:tc>
        <w:tc>
          <w:tcPr>
            <w:tcW w:w="960" w:type="dxa"/>
            <w:noWrap/>
            <w:hideMark/>
          </w:tcPr>
          <w:p w14:paraId="794CE0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154CBF1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164</w:t>
            </w:r>
          </w:p>
        </w:tc>
        <w:tc>
          <w:tcPr>
            <w:tcW w:w="960" w:type="dxa"/>
            <w:noWrap/>
            <w:hideMark/>
          </w:tcPr>
          <w:p w14:paraId="3C4B276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105</w:t>
            </w:r>
          </w:p>
        </w:tc>
        <w:tc>
          <w:tcPr>
            <w:tcW w:w="960" w:type="dxa"/>
            <w:noWrap/>
            <w:hideMark/>
          </w:tcPr>
          <w:p w14:paraId="2A344D2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3381834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0A95082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12670BE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16404B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3BA9AC4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774201D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A4D993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4DFB42B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w:t>
            </w:r>
          </w:p>
        </w:tc>
        <w:tc>
          <w:tcPr>
            <w:tcW w:w="960" w:type="dxa"/>
            <w:noWrap/>
            <w:hideMark/>
          </w:tcPr>
          <w:p w14:paraId="3B3B7D1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743A929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734</w:t>
            </w:r>
          </w:p>
        </w:tc>
      </w:tr>
      <w:tr w:rsidR="00AA4FFC" w:rsidRPr="00E86DCF" w14:paraId="20A5031C"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6EDA1A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Sep-09</w:t>
            </w:r>
          </w:p>
        </w:tc>
        <w:tc>
          <w:tcPr>
            <w:tcW w:w="960" w:type="dxa"/>
            <w:noWrap/>
            <w:hideMark/>
          </w:tcPr>
          <w:p w14:paraId="355F17E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1C24AE0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141</w:t>
            </w:r>
          </w:p>
        </w:tc>
        <w:tc>
          <w:tcPr>
            <w:tcW w:w="960" w:type="dxa"/>
            <w:noWrap/>
            <w:hideMark/>
          </w:tcPr>
          <w:p w14:paraId="4635AD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144E92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2561660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494324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64597A7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57BB718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4CFE590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54A927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85D0C7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24B3856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16116A0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351C7AE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690</w:t>
            </w:r>
          </w:p>
        </w:tc>
      </w:tr>
      <w:tr w:rsidR="00AA4FFC" w:rsidRPr="00E86DCF" w14:paraId="6CDEF62C"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5750C4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Oct-09</w:t>
            </w:r>
          </w:p>
        </w:tc>
        <w:tc>
          <w:tcPr>
            <w:tcW w:w="960" w:type="dxa"/>
            <w:noWrap/>
            <w:hideMark/>
          </w:tcPr>
          <w:p w14:paraId="266602F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328BEC6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159</w:t>
            </w:r>
          </w:p>
        </w:tc>
        <w:tc>
          <w:tcPr>
            <w:tcW w:w="960" w:type="dxa"/>
            <w:noWrap/>
            <w:hideMark/>
          </w:tcPr>
          <w:p w14:paraId="3CFA351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w:t>
            </w:r>
          </w:p>
        </w:tc>
        <w:tc>
          <w:tcPr>
            <w:tcW w:w="960" w:type="dxa"/>
            <w:noWrap/>
            <w:hideMark/>
          </w:tcPr>
          <w:p w14:paraId="65D39A3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01D0B2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3E564C1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FB290D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506C2BB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0D6564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19BA097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1108E76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DA137F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4CED2D1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41E798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744</w:t>
            </w:r>
          </w:p>
        </w:tc>
      </w:tr>
      <w:tr w:rsidR="00AA4FFC" w:rsidRPr="00E86DCF" w14:paraId="3E6B50A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096EB2C"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Nov-09</w:t>
            </w:r>
          </w:p>
        </w:tc>
        <w:tc>
          <w:tcPr>
            <w:tcW w:w="960" w:type="dxa"/>
            <w:noWrap/>
            <w:hideMark/>
          </w:tcPr>
          <w:p w14:paraId="78C8D41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4B7E7A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151</w:t>
            </w:r>
          </w:p>
        </w:tc>
        <w:tc>
          <w:tcPr>
            <w:tcW w:w="960" w:type="dxa"/>
            <w:noWrap/>
            <w:hideMark/>
          </w:tcPr>
          <w:p w14:paraId="4E337CE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103</w:t>
            </w:r>
          </w:p>
        </w:tc>
        <w:tc>
          <w:tcPr>
            <w:tcW w:w="960" w:type="dxa"/>
            <w:noWrap/>
            <w:hideMark/>
          </w:tcPr>
          <w:p w14:paraId="284AB06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545D87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3365CA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778C926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66D8AA2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210420B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3666D23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219B26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80EAE2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w:t>
            </w:r>
          </w:p>
        </w:tc>
        <w:tc>
          <w:tcPr>
            <w:tcW w:w="960" w:type="dxa"/>
            <w:noWrap/>
            <w:hideMark/>
          </w:tcPr>
          <w:p w14:paraId="463C500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12D632E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756</w:t>
            </w:r>
          </w:p>
        </w:tc>
      </w:tr>
      <w:tr w:rsidR="00AA4FFC" w:rsidRPr="00E86DCF" w14:paraId="52580FDA"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032D1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Dec-09</w:t>
            </w:r>
          </w:p>
        </w:tc>
        <w:tc>
          <w:tcPr>
            <w:tcW w:w="960" w:type="dxa"/>
            <w:noWrap/>
            <w:hideMark/>
          </w:tcPr>
          <w:p w14:paraId="32E53A7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1F01F9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108</w:t>
            </w:r>
          </w:p>
        </w:tc>
        <w:tc>
          <w:tcPr>
            <w:tcW w:w="960" w:type="dxa"/>
            <w:noWrap/>
            <w:hideMark/>
          </w:tcPr>
          <w:p w14:paraId="29BA26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657064D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3D94D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26E718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4205EE2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788F460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2B7D98C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0C5A492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7EB6497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322D5FA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11BC5D0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24955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673</w:t>
            </w:r>
          </w:p>
        </w:tc>
      </w:tr>
      <w:tr w:rsidR="00AA4FFC" w:rsidRPr="00E86DCF" w14:paraId="21FF8A8B"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765005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Jan-10</w:t>
            </w:r>
          </w:p>
        </w:tc>
        <w:tc>
          <w:tcPr>
            <w:tcW w:w="960" w:type="dxa"/>
            <w:noWrap/>
            <w:hideMark/>
          </w:tcPr>
          <w:p w14:paraId="18CB6B9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4EEB531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141</w:t>
            </w:r>
          </w:p>
        </w:tc>
        <w:tc>
          <w:tcPr>
            <w:tcW w:w="960" w:type="dxa"/>
            <w:noWrap/>
            <w:hideMark/>
          </w:tcPr>
          <w:p w14:paraId="34DFDEB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112</w:t>
            </w:r>
          </w:p>
        </w:tc>
        <w:tc>
          <w:tcPr>
            <w:tcW w:w="960" w:type="dxa"/>
            <w:noWrap/>
            <w:hideMark/>
          </w:tcPr>
          <w:p w14:paraId="0B6FFD4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2537A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37851E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08F1B70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3C075D0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018905C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00AF5F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62E286C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27587D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08DF11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70A917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746</w:t>
            </w:r>
          </w:p>
        </w:tc>
      </w:tr>
      <w:tr w:rsidR="00AA4FFC" w:rsidRPr="00E86DCF" w14:paraId="52875A1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72BFD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Feb-10</w:t>
            </w:r>
          </w:p>
        </w:tc>
        <w:tc>
          <w:tcPr>
            <w:tcW w:w="960" w:type="dxa"/>
            <w:noWrap/>
            <w:hideMark/>
          </w:tcPr>
          <w:p w14:paraId="4436E15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08709E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w:t>
            </w:r>
          </w:p>
        </w:tc>
        <w:tc>
          <w:tcPr>
            <w:tcW w:w="960" w:type="dxa"/>
            <w:noWrap/>
            <w:hideMark/>
          </w:tcPr>
          <w:p w14:paraId="637B90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126</w:t>
            </w:r>
          </w:p>
        </w:tc>
        <w:tc>
          <w:tcPr>
            <w:tcW w:w="960" w:type="dxa"/>
            <w:noWrap/>
            <w:hideMark/>
          </w:tcPr>
          <w:p w14:paraId="1669E9B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w:t>
            </w:r>
          </w:p>
        </w:tc>
        <w:tc>
          <w:tcPr>
            <w:tcW w:w="960" w:type="dxa"/>
            <w:noWrap/>
            <w:hideMark/>
          </w:tcPr>
          <w:p w14:paraId="78387D3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2A281E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602D337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411BBED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6075CFF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22B832F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F87E75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6BC3355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3AE16B8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74E6BA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733</w:t>
            </w:r>
          </w:p>
        </w:tc>
      </w:tr>
      <w:tr w:rsidR="00AA4FFC" w:rsidRPr="00E86DCF" w14:paraId="0E01EA0B"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98377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Mar-10</w:t>
            </w:r>
          </w:p>
        </w:tc>
        <w:tc>
          <w:tcPr>
            <w:tcW w:w="960" w:type="dxa"/>
            <w:noWrap/>
            <w:hideMark/>
          </w:tcPr>
          <w:p w14:paraId="4393B30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1448109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160</w:t>
            </w:r>
          </w:p>
        </w:tc>
        <w:tc>
          <w:tcPr>
            <w:tcW w:w="960" w:type="dxa"/>
            <w:noWrap/>
            <w:hideMark/>
          </w:tcPr>
          <w:p w14:paraId="2BB19D7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111</w:t>
            </w:r>
          </w:p>
        </w:tc>
        <w:tc>
          <w:tcPr>
            <w:tcW w:w="960" w:type="dxa"/>
            <w:noWrap/>
            <w:hideMark/>
          </w:tcPr>
          <w:p w14:paraId="57F3B16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AEAADD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581AF12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1CA186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7BBB9F6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67DF5E4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7F31A42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2E7494B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4979EAD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w:t>
            </w:r>
          </w:p>
        </w:tc>
        <w:tc>
          <w:tcPr>
            <w:tcW w:w="960" w:type="dxa"/>
            <w:noWrap/>
            <w:hideMark/>
          </w:tcPr>
          <w:p w14:paraId="653373C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01ED772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733</w:t>
            </w:r>
          </w:p>
        </w:tc>
      </w:tr>
      <w:tr w:rsidR="00AA4FFC" w:rsidRPr="00E86DCF" w14:paraId="0D45DE43"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7C62A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Apr-10</w:t>
            </w:r>
          </w:p>
        </w:tc>
        <w:tc>
          <w:tcPr>
            <w:tcW w:w="960" w:type="dxa"/>
            <w:noWrap/>
            <w:hideMark/>
          </w:tcPr>
          <w:p w14:paraId="10E20D3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4B21E1C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w:t>
            </w:r>
          </w:p>
        </w:tc>
        <w:tc>
          <w:tcPr>
            <w:tcW w:w="960" w:type="dxa"/>
            <w:noWrap/>
            <w:hideMark/>
          </w:tcPr>
          <w:p w14:paraId="6DDE7CB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w:t>
            </w:r>
          </w:p>
        </w:tc>
        <w:tc>
          <w:tcPr>
            <w:tcW w:w="960" w:type="dxa"/>
            <w:noWrap/>
            <w:hideMark/>
          </w:tcPr>
          <w:p w14:paraId="0B64070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176F2D9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1F3549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5A4DFA2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7C82FFD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489E9C9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07EB69C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6D461EA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3613F12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3617F7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507E02F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706</w:t>
            </w:r>
          </w:p>
        </w:tc>
      </w:tr>
      <w:tr w:rsidR="00AA4FFC" w:rsidRPr="00E86DCF" w14:paraId="2FECB30D"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6C59D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May-10</w:t>
            </w:r>
          </w:p>
        </w:tc>
        <w:tc>
          <w:tcPr>
            <w:tcW w:w="960" w:type="dxa"/>
            <w:noWrap/>
            <w:hideMark/>
          </w:tcPr>
          <w:p w14:paraId="73BFCBC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1FFA35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159</w:t>
            </w:r>
          </w:p>
        </w:tc>
        <w:tc>
          <w:tcPr>
            <w:tcW w:w="960" w:type="dxa"/>
            <w:noWrap/>
            <w:hideMark/>
          </w:tcPr>
          <w:p w14:paraId="5CE3CB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w:t>
            </w:r>
          </w:p>
        </w:tc>
        <w:tc>
          <w:tcPr>
            <w:tcW w:w="960" w:type="dxa"/>
            <w:noWrap/>
            <w:hideMark/>
          </w:tcPr>
          <w:p w14:paraId="2A0AFF4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02EF16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94FC31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73FD05C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4CD396C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6C4B66D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23B63D0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2150CC8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33C22D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3B65FE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52EED8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673</w:t>
            </w:r>
          </w:p>
        </w:tc>
      </w:tr>
      <w:tr w:rsidR="00AA4FFC" w:rsidRPr="00E86DCF" w14:paraId="182DBF0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9DD29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Jun-10</w:t>
            </w:r>
          </w:p>
        </w:tc>
        <w:tc>
          <w:tcPr>
            <w:tcW w:w="960" w:type="dxa"/>
            <w:noWrap/>
            <w:hideMark/>
          </w:tcPr>
          <w:p w14:paraId="0FA4AE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3BCD985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595ACAC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w:t>
            </w:r>
          </w:p>
        </w:tc>
        <w:tc>
          <w:tcPr>
            <w:tcW w:w="960" w:type="dxa"/>
            <w:noWrap/>
            <w:hideMark/>
          </w:tcPr>
          <w:p w14:paraId="0B22077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33852B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16E3EF4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4160303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2226A69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3FD2BFC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3153B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30A4B6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39E873C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25AF54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525B6B3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625</w:t>
            </w:r>
          </w:p>
        </w:tc>
      </w:tr>
      <w:tr w:rsidR="00AA4FFC" w:rsidRPr="00E86DCF" w14:paraId="0CD9E1C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064E6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Jul-10</w:t>
            </w:r>
          </w:p>
        </w:tc>
        <w:tc>
          <w:tcPr>
            <w:tcW w:w="960" w:type="dxa"/>
            <w:noWrap/>
            <w:hideMark/>
          </w:tcPr>
          <w:p w14:paraId="42FA9D9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37D3B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147</w:t>
            </w:r>
          </w:p>
        </w:tc>
        <w:tc>
          <w:tcPr>
            <w:tcW w:w="960" w:type="dxa"/>
            <w:noWrap/>
            <w:hideMark/>
          </w:tcPr>
          <w:p w14:paraId="1660381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w:t>
            </w:r>
          </w:p>
        </w:tc>
        <w:tc>
          <w:tcPr>
            <w:tcW w:w="960" w:type="dxa"/>
            <w:noWrap/>
            <w:hideMark/>
          </w:tcPr>
          <w:p w14:paraId="0455036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4C715F7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34681D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1933B2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6F4BBF8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47FEDD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177FB5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19637CA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18B18A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6E26B18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D75D7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664</w:t>
            </w:r>
          </w:p>
        </w:tc>
      </w:tr>
      <w:tr w:rsidR="00AA4FFC" w:rsidRPr="00E86DCF" w14:paraId="4F49549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DB8898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Aug-10</w:t>
            </w:r>
          </w:p>
        </w:tc>
        <w:tc>
          <w:tcPr>
            <w:tcW w:w="960" w:type="dxa"/>
            <w:noWrap/>
            <w:hideMark/>
          </w:tcPr>
          <w:p w14:paraId="4B80FD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E8047B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204</w:t>
            </w:r>
          </w:p>
        </w:tc>
        <w:tc>
          <w:tcPr>
            <w:tcW w:w="960" w:type="dxa"/>
            <w:noWrap/>
            <w:hideMark/>
          </w:tcPr>
          <w:p w14:paraId="0A4CB5B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3BE3ECB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1FD345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59CEFF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751C383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56A59EA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2AC42C2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42DDE8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562A49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2F4FE4C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&lt;5</w:t>
            </w:r>
          </w:p>
        </w:tc>
        <w:tc>
          <w:tcPr>
            <w:tcW w:w="960" w:type="dxa"/>
            <w:noWrap/>
            <w:hideMark/>
          </w:tcPr>
          <w:p w14:paraId="27080A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7A98B44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783</w:t>
            </w:r>
          </w:p>
        </w:tc>
      </w:tr>
      <w:tr w:rsidR="00AA4FFC" w:rsidRPr="00E86DCF" w14:paraId="4233FB7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3E4F3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Sep-10</w:t>
            </w:r>
          </w:p>
        </w:tc>
        <w:tc>
          <w:tcPr>
            <w:tcW w:w="960" w:type="dxa"/>
            <w:noWrap/>
            <w:hideMark/>
          </w:tcPr>
          <w:p w14:paraId="3071B33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14F534B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156</w:t>
            </w:r>
          </w:p>
        </w:tc>
        <w:tc>
          <w:tcPr>
            <w:tcW w:w="960" w:type="dxa"/>
            <w:noWrap/>
            <w:hideMark/>
          </w:tcPr>
          <w:p w14:paraId="1DF38A3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106</w:t>
            </w:r>
          </w:p>
        </w:tc>
        <w:tc>
          <w:tcPr>
            <w:tcW w:w="960" w:type="dxa"/>
            <w:noWrap/>
            <w:hideMark/>
          </w:tcPr>
          <w:p w14:paraId="230991D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412C60E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5E8E9D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204C061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1F92D7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5F6FC02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5D2C737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D564C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42AFCA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w:t>
            </w:r>
          </w:p>
        </w:tc>
        <w:tc>
          <w:tcPr>
            <w:tcW w:w="960" w:type="dxa"/>
            <w:noWrap/>
            <w:hideMark/>
          </w:tcPr>
          <w:p w14:paraId="6D027E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13B5D83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700</w:t>
            </w:r>
          </w:p>
        </w:tc>
      </w:tr>
      <w:tr w:rsidR="00AA4FFC" w:rsidRPr="00E86DCF" w14:paraId="045C02E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F42BD0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Oct-10</w:t>
            </w:r>
          </w:p>
        </w:tc>
        <w:tc>
          <w:tcPr>
            <w:tcW w:w="960" w:type="dxa"/>
            <w:noWrap/>
            <w:hideMark/>
          </w:tcPr>
          <w:p w14:paraId="1E5A83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1169C93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164</w:t>
            </w:r>
          </w:p>
        </w:tc>
        <w:tc>
          <w:tcPr>
            <w:tcW w:w="960" w:type="dxa"/>
            <w:noWrap/>
            <w:hideMark/>
          </w:tcPr>
          <w:p w14:paraId="225978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5D71D7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736B81E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7E6453E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69F30F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CB1C0F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3A4515A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075D8C6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2AE01D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72CE94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7A23456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362A00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727</w:t>
            </w:r>
          </w:p>
        </w:tc>
      </w:tr>
      <w:tr w:rsidR="00AA4FFC" w:rsidRPr="00E86DCF" w14:paraId="308B9B9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E8A7C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Nov-10</w:t>
            </w:r>
          </w:p>
        </w:tc>
        <w:tc>
          <w:tcPr>
            <w:tcW w:w="960" w:type="dxa"/>
            <w:noWrap/>
            <w:hideMark/>
          </w:tcPr>
          <w:p w14:paraId="707905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6DD351F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154</w:t>
            </w:r>
          </w:p>
        </w:tc>
        <w:tc>
          <w:tcPr>
            <w:tcW w:w="960" w:type="dxa"/>
            <w:noWrap/>
            <w:hideMark/>
          </w:tcPr>
          <w:p w14:paraId="5EFD33B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32B7025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31E0FF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1FA821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014526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76AA62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018D14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1C48326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18C1C1C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5C32DA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w:t>
            </w:r>
          </w:p>
        </w:tc>
        <w:tc>
          <w:tcPr>
            <w:tcW w:w="960" w:type="dxa"/>
            <w:noWrap/>
            <w:hideMark/>
          </w:tcPr>
          <w:p w14:paraId="25F61A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6D7159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726</w:t>
            </w:r>
          </w:p>
        </w:tc>
      </w:tr>
      <w:tr w:rsidR="00AA4FFC" w:rsidRPr="00E86DCF" w14:paraId="10991F7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DDEA0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Dec-10</w:t>
            </w:r>
          </w:p>
        </w:tc>
        <w:tc>
          <w:tcPr>
            <w:tcW w:w="960" w:type="dxa"/>
            <w:noWrap/>
            <w:hideMark/>
          </w:tcPr>
          <w:p w14:paraId="3A6791B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324CFF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133</w:t>
            </w:r>
          </w:p>
        </w:tc>
        <w:tc>
          <w:tcPr>
            <w:tcW w:w="960" w:type="dxa"/>
            <w:noWrap/>
            <w:hideMark/>
          </w:tcPr>
          <w:p w14:paraId="4EE1881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98</w:t>
            </w:r>
          </w:p>
        </w:tc>
        <w:tc>
          <w:tcPr>
            <w:tcW w:w="960" w:type="dxa"/>
            <w:noWrap/>
            <w:hideMark/>
          </w:tcPr>
          <w:p w14:paraId="3D2DAEB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1C93B73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69E75BB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6BB66CE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507D73B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77CD5FE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1CE485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5F35FC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64ADCDA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AB7454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63E984D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659</w:t>
            </w:r>
          </w:p>
        </w:tc>
      </w:tr>
      <w:tr w:rsidR="00AA4FFC" w:rsidRPr="00E86DCF" w14:paraId="6CAA0963"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58F46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Jan-11</w:t>
            </w:r>
          </w:p>
        </w:tc>
        <w:tc>
          <w:tcPr>
            <w:tcW w:w="960" w:type="dxa"/>
            <w:noWrap/>
            <w:hideMark/>
          </w:tcPr>
          <w:p w14:paraId="38A48A3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1B56B9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139</w:t>
            </w:r>
          </w:p>
        </w:tc>
        <w:tc>
          <w:tcPr>
            <w:tcW w:w="960" w:type="dxa"/>
            <w:noWrap/>
            <w:hideMark/>
          </w:tcPr>
          <w:p w14:paraId="691BBC3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112</w:t>
            </w:r>
          </w:p>
        </w:tc>
        <w:tc>
          <w:tcPr>
            <w:tcW w:w="960" w:type="dxa"/>
            <w:noWrap/>
            <w:hideMark/>
          </w:tcPr>
          <w:p w14:paraId="681141D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791761C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110E90C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76D587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78BC05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602AFA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6BD3313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201452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46AB80E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3C7D258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2815F02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730</w:t>
            </w:r>
          </w:p>
        </w:tc>
      </w:tr>
      <w:tr w:rsidR="00AA4FFC" w:rsidRPr="00E86DCF" w14:paraId="5F77CB11"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370E4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Feb-11</w:t>
            </w:r>
          </w:p>
        </w:tc>
        <w:tc>
          <w:tcPr>
            <w:tcW w:w="960" w:type="dxa"/>
            <w:noWrap/>
            <w:hideMark/>
          </w:tcPr>
          <w:p w14:paraId="252BA8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16F05B5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w:t>
            </w:r>
          </w:p>
        </w:tc>
        <w:tc>
          <w:tcPr>
            <w:tcW w:w="960" w:type="dxa"/>
            <w:noWrap/>
            <w:hideMark/>
          </w:tcPr>
          <w:p w14:paraId="1DEBE2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100</w:t>
            </w:r>
          </w:p>
        </w:tc>
        <w:tc>
          <w:tcPr>
            <w:tcW w:w="960" w:type="dxa"/>
            <w:noWrap/>
            <w:hideMark/>
          </w:tcPr>
          <w:p w14:paraId="7D5B66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3679934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7113C7D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1EE71E3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237DD43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2D42B4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7318EB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1DFDDB5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2ED36F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006910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59990C4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687</w:t>
            </w:r>
          </w:p>
        </w:tc>
      </w:tr>
      <w:tr w:rsidR="00AA4FFC" w:rsidRPr="00E86DCF" w14:paraId="1E246311"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B62EE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Mar-11</w:t>
            </w:r>
          </w:p>
        </w:tc>
        <w:tc>
          <w:tcPr>
            <w:tcW w:w="960" w:type="dxa"/>
            <w:noWrap/>
            <w:hideMark/>
          </w:tcPr>
          <w:p w14:paraId="15324B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45762A9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177</w:t>
            </w:r>
          </w:p>
        </w:tc>
        <w:tc>
          <w:tcPr>
            <w:tcW w:w="960" w:type="dxa"/>
            <w:noWrap/>
            <w:hideMark/>
          </w:tcPr>
          <w:p w14:paraId="614C6F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126</w:t>
            </w:r>
          </w:p>
        </w:tc>
        <w:tc>
          <w:tcPr>
            <w:tcW w:w="960" w:type="dxa"/>
            <w:noWrap/>
            <w:hideMark/>
          </w:tcPr>
          <w:p w14:paraId="4C5C2FA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079DA95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4676FA0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5D629C9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2B1DE94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358A366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12552A4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684426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1991A97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041E30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1537F0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793</w:t>
            </w:r>
          </w:p>
        </w:tc>
      </w:tr>
      <w:tr w:rsidR="00AA4FFC" w:rsidRPr="00E86DCF" w14:paraId="37A1382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4F9382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Apr-11</w:t>
            </w:r>
          </w:p>
        </w:tc>
        <w:tc>
          <w:tcPr>
            <w:tcW w:w="960" w:type="dxa"/>
            <w:noWrap/>
            <w:hideMark/>
          </w:tcPr>
          <w:p w14:paraId="17EBF3C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51F306F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166</w:t>
            </w:r>
          </w:p>
        </w:tc>
        <w:tc>
          <w:tcPr>
            <w:tcW w:w="960" w:type="dxa"/>
            <w:noWrap/>
            <w:hideMark/>
          </w:tcPr>
          <w:p w14:paraId="735EC8A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1644C53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674E0C3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3837A04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490BA44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5EA9CFE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339A56F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3063CF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615D61F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568313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7D8A0B0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33D6199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637</w:t>
            </w:r>
          </w:p>
        </w:tc>
      </w:tr>
      <w:tr w:rsidR="00AA4FFC" w:rsidRPr="00E86DCF" w14:paraId="75AE840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EF34E9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May-11</w:t>
            </w:r>
          </w:p>
        </w:tc>
        <w:tc>
          <w:tcPr>
            <w:tcW w:w="960" w:type="dxa"/>
            <w:noWrap/>
            <w:hideMark/>
          </w:tcPr>
          <w:p w14:paraId="171BA3D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1A6961E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w:t>
            </w:r>
          </w:p>
        </w:tc>
        <w:tc>
          <w:tcPr>
            <w:tcW w:w="960" w:type="dxa"/>
            <w:noWrap/>
            <w:hideMark/>
          </w:tcPr>
          <w:p w14:paraId="57DD72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112</w:t>
            </w:r>
          </w:p>
        </w:tc>
        <w:tc>
          <w:tcPr>
            <w:tcW w:w="960" w:type="dxa"/>
            <w:noWrap/>
            <w:hideMark/>
          </w:tcPr>
          <w:p w14:paraId="657F3A7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CF30BD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731A602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5E73C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2317BB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607CA6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90D293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78F1ED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742B8A8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456D7DF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4860D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724</w:t>
            </w:r>
          </w:p>
        </w:tc>
      </w:tr>
      <w:tr w:rsidR="00AA4FFC" w:rsidRPr="00E86DCF" w14:paraId="173CB3E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0C137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Jun-11</w:t>
            </w:r>
          </w:p>
        </w:tc>
        <w:tc>
          <w:tcPr>
            <w:tcW w:w="960" w:type="dxa"/>
            <w:noWrap/>
            <w:hideMark/>
          </w:tcPr>
          <w:p w14:paraId="415410C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51156E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178</w:t>
            </w:r>
          </w:p>
        </w:tc>
        <w:tc>
          <w:tcPr>
            <w:tcW w:w="960" w:type="dxa"/>
            <w:noWrap/>
            <w:hideMark/>
          </w:tcPr>
          <w:p w14:paraId="3E3833E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0D2C661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7B5517C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A7F34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D0ACD0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32677AE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46E3AE9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27AD9E3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4A9A6E4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218587A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1AB15CF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214961E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689</w:t>
            </w:r>
          </w:p>
        </w:tc>
      </w:tr>
      <w:tr w:rsidR="00AA4FFC" w:rsidRPr="00E86DCF" w14:paraId="6C6BA78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ECE837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Jul-11</w:t>
            </w:r>
          </w:p>
        </w:tc>
        <w:tc>
          <w:tcPr>
            <w:tcW w:w="960" w:type="dxa"/>
            <w:noWrap/>
            <w:hideMark/>
          </w:tcPr>
          <w:p w14:paraId="2396C20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699D5C4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159</w:t>
            </w:r>
          </w:p>
        </w:tc>
        <w:tc>
          <w:tcPr>
            <w:tcW w:w="960" w:type="dxa"/>
            <w:noWrap/>
            <w:hideMark/>
          </w:tcPr>
          <w:p w14:paraId="54EB02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56BED95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72A43D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21E052E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5D9FF7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072AB9B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0D22BB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087A55C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83A2E6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4B120CB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0E7E9B4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2A17C1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621</w:t>
            </w:r>
          </w:p>
        </w:tc>
      </w:tr>
      <w:tr w:rsidR="00AA4FFC" w:rsidRPr="00E86DCF" w14:paraId="5B68EFB0"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907042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Aug-11</w:t>
            </w:r>
          </w:p>
        </w:tc>
        <w:tc>
          <w:tcPr>
            <w:tcW w:w="960" w:type="dxa"/>
            <w:noWrap/>
            <w:hideMark/>
          </w:tcPr>
          <w:p w14:paraId="1D36BD1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5801A1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190</w:t>
            </w:r>
          </w:p>
        </w:tc>
        <w:tc>
          <w:tcPr>
            <w:tcW w:w="960" w:type="dxa"/>
            <w:noWrap/>
            <w:hideMark/>
          </w:tcPr>
          <w:p w14:paraId="519EA7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w:t>
            </w:r>
          </w:p>
        </w:tc>
        <w:tc>
          <w:tcPr>
            <w:tcW w:w="960" w:type="dxa"/>
            <w:noWrap/>
            <w:hideMark/>
          </w:tcPr>
          <w:p w14:paraId="4E8857A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5F97A7F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58128F3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5B0CC91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48BFD6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598453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4489BF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7392D38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62C9FC7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79E76F5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3EA858F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705</w:t>
            </w:r>
          </w:p>
        </w:tc>
      </w:tr>
      <w:tr w:rsidR="00AA4FFC" w:rsidRPr="00E86DCF" w14:paraId="70AE22DE"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C0207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Sep-11</w:t>
            </w:r>
          </w:p>
        </w:tc>
        <w:tc>
          <w:tcPr>
            <w:tcW w:w="960" w:type="dxa"/>
            <w:noWrap/>
            <w:hideMark/>
          </w:tcPr>
          <w:p w14:paraId="5CAAFDF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6DD495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125458D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c>
          <w:tcPr>
            <w:tcW w:w="960" w:type="dxa"/>
            <w:noWrap/>
            <w:hideMark/>
          </w:tcPr>
          <w:p w14:paraId="48E0103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56DAA9A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1DAA604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2C3D498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4639CA6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3216CAE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2F71DE1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3E614B8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359C59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4A20B3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638B43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689</w:t>
            </w:r>
          </w:p>
        </w:tc>
      </w:tr>
      <w:tr w:rsidR="00AA4FFC" w:rsidRPr="00E86DCF" w14:paraId="79E0B039"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37CA55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Oct-11</w:t>
            </w:r>
          </w:p>
        </w:tc>
        <w:tc>
          <w:tcPr>
            <w:tcW w:w="960" w:type="dxa"/>
            <w:noWrap/>
            <w:hideMark/>
          </w:tcPr>
          <w:p w14:paraId="3FE0F7C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348DF44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202</w:t>
            </w:r>
          </w:p>
        </w:tc>
        <w:tc>
          <w:tcPr>
            <w:tcW w:w="960" w:type="dxa"/>
            <w:noWrap/>
            <w:hideMark/>
          </w:tcPr>
          <w:p w14:paraId="44E0BB4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7C7D862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769188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482B7ED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47AE9FD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1137578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1326582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4111604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52A885B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261FE2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w:t>
            </w:r>
          </w:p>
        </w:tc>
        <w:tc>
          <w:tcPr>
            <w:tcW w:w="960" w:type="dxa"/>
            <w:noWrap/>
            <w:hideMark/>
          </w:tcPr>
          <w:p w14:paraId="303E5AF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6334C11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772</w:t>
            </w:r>
          </w:p>
        </w:tc>
      </w:tr>
      <w:tr w:rsidR="00AA4FFC" w:rsidRPr="00E86DCF" w14:paraId="40645DE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D57A3C"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Nov-11</w:t>
            </w:r>
          </w:p>
        </w:tc>
        <w:tc>
          <w:tcPr>
            <w:tcW w:w="960" w:type="dxa"/>
            <w:noWrap/>
            <w:hideMark/>
          </w:tcPr>
          <w:p w14:paraId="07BF2F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4C93198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182</w:t>
            </w:r>
          </w:p>
        </w:tc>
        <w:tc>
          <w:tcPr>
            <w:tcW w:w="960" w:type="dxa"/>
            <w:noWrap/>
            <w:hideMark/>
          </w:tcPr>
          <w:p w14:paraId="4247AC1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125</w:t>
            </w:r>
          </w:p>
        </w:tc>
        <w:tc>
          <w:tcPr>
            <w:tcW w:w="960" w:type="dxa"/>
            <w:noWrap/>
            <w:hideMark/>
          </w:tcPr>
          <w:p w14:paraId="52A2740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3D492F4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3BA81D6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3B7D95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5BDDEE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6C184B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7B1F57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7C64E85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4631EA1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03EEF6F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0184029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815</w:t>
            </w:r>
          </w:p>
        </w:tc>
      </w:tr>
      <w:tr w:rsidR="00AA4FFC" w:rsidRPr="00E86DCF" w14:paraId="4D71973D"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735B3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Dec-11</w:t>
            </w:r>
          </w:p>
        </w:tc>
        <w:tc>
          <w:tcPr>
            <w:tcW w:w="960" w:type="dxa"/>
            <w:noWrap/>
            <w:hideMark/>
          </w:tcPr>
          <w:p w14:paraId="157EE1F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3FAF6ED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134</w:t>
            </w:r>
          </w:p>
        </w:tc>
        <w:tc>
          <w:tcPr>
            <w:tcW w:w="960" w:type="dxa"/>
            <w:noWrap/>
            <w:hideMark/>
          </w:tcPr>
          <w:p w14:paraId="483AF03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181F235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7D9C5A0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7236EE6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4064A4E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701646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2191B8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6E4EAA8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5AF1EFA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w:t>
            </w:r>
          </w:p>
        </w:tc>
        <w:tc>
          <w:tcPr>
            <w:tcW w:w="960" w:type="dxa"/>
            <w:noWrap/>
            <w:hideMark/>
          </w:tcPr>
          <w:p w14:paraId="0E8329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58D5C2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1B8EB99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710</w:t>
            </w:r>
          </w:p>
        </w:tc>
      </w:tr>
      <w:tr w:rsidR="00AA4FFC" w:rsidRPr="00E86DCF" w14:paraId="6F1C2D8E"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C3D56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Jan-12</w:t>
            </w:r>
          </w:p>
        </w:tc>
        <w:tc>
          <w:tcPr>
            <w:tcW w:w="960" w:type="dxa"/>
            <w:noWrap/>
            <w:hideMark/>
          </w:tcPr>
          <w:p w14:paraId="08DEACE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619B13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189</w:t>
            </w:r>
          </w:p>
        </w:tc>
        <w:tc>
          <w:tcPr>
            <w:tcW w:w="960" w:type="dxa"/>
            <w:noWrap/>
            <w:hideMark/>
          </w:tcPr>
          <w:p w14:paraId="15396ED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136</w:t>
            </w:r>
          </w:p>
        </w:tc>
        <w:tc>
          <w:tcPr>
            <w:tcW w:w="960" w:type="dxa"/>
            <w:noWrap/>
            <w:hideMark/>
          </w:tcPr>
          <w:p w14:paraId="575F15F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75DB4E7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795F31D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54078E2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40E6071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53AA3C9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44E455A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6B618B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2DE2D4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707B8A4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4E74BA4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800</w:t>
            </w:r>
          </w:p>
        </w:tc>
      </w:tr>
      <w:tr w:rsidR="00AA4FFC" w:rsidRPr="00E86DCF" w14:paraId="455F6763"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0C9E0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Feb-12</w:t>
            </w:r>
          </w:p>
        </w:tc>
        <w:tc>
          <w:tcPr>
            <w:tcW w:w="960" w:type="dxa"/>
            <w:noWrap/>
            <w:hideMark/>
          </w:tcPr>
          <w:p w14:paraId="2A16DBF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A025F4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172</w:t>
            </w:r>
          </w:p>
        </w:tc>
        <w:tc>
          <w:tcPr>
            <w:tcW w:w="960" w:type="dxa"/>
            <w:noWrap/>
            <w:hideMark/>
          </w:tcPr>
          <w:p w14:paraId="580D6B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15EE595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73E72B3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06719C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4F7D364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119836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1770D91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5F4557D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246CE9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16F11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4CFC556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0764E98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809</w:t>
            </w:r>
          </w:p>
        </w:tc>
      </w:tr>
      <w:tr w:rsidR="00AA4FFC" w:rsidRPr="00E86DCF" w14:paraId="31B2D6A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0E132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Mar-12</w:t>
            </w:r>
          </w:p>
        </w:tc>
        <w:tc>
          <w:tcPr>
            <w:tcW w:w="960" w:type="dxa"/>
            <w:noWrap/>
            <w:hideMark/>
          </w:tcPr>
          <w:p w14:paraId="4F01EFB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18557DC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202</w:t>
            </w:r>
          </w:p>
        </w:tc>
        <w:tc>
          <w:tcPr>
            <w:tcW w:w="960" w:type="dxa"/>
            <w:noWrap/>
            <w:hideMark/>
          </w:tcPr>
          <w:p w14:paraId="22C6BCF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125</w:t>
            </w:r>
          </w:p>
        </w:tc>
        <w:tc>
          <w:tcPr>
            <w:tcW w:w="960" w:type="dxa"/>
            <w:noWrap/>
            <w:hideMark/>
          </w:tcPr>
          <w:p w14:paraId="3D4B43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0B5F654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65BC769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0A1F0C2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421E09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02B242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0BB85CB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AC936C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5446D1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w:t>
            </w:r>
          </w:p>
        </w:tc>
        <w:tc>
          <w:tcPr>
            <w:tcW w:w="960" w:type="dxa"/>
            <w:noWrap/>
            <w:hideMark/>
          </w:tcPr>
          <w:p w14:paraId="3BE81FD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531A44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840</w:t>
            </w:r>
          </w:p>
        </w:tc>
      </w:tr>
      <w:tr w:rsidR="00AA4FFC" w:rsidRPr="00E86DCF" w14:paraId="0D161F3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E2D77C"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Apr-12</w:t>
            </w:r>
          </w:p>
        </w:tc>
        <w:tc>
          <w:tcPr>
            <w:tcW w:w="960" w:type="dxa"/>
            <w:noWrap/>
            <w:hideMark/>
          </w:tcPr>
          <w:p w14:paraId="7D7176B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04E3BC4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189</w:t>
            </w:r>
          </w:p>
        </w:tc>
        <w:tc>
          <w:tcPr>
            <w:tcW w:w="960" w:type="dxa"/>
            <w:noWrap/>
            <w:hideMark/>
          </w:tcPr>
          <w:p w14:paraId="2FB983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117</w:t>
            </w:r>
          </w:p>
        </w:tc>
        <w:tc>
          <w:tcPr>
            <w:tcW w:w="960" w:type="dxa"/>
            <w:noWrap/>
            <w:hideMark/>
          </w:tcPr>
          <w:p w14:paraId="7AECD0D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A15AB5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5C5B089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2B6556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69B38D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284508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7B62280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7FA65E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2C92720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w:t>
            </w:r>
          </w:p>
        </w:tc>
        <w:tc>
          <w:tcPr>
            <w:tcW w:w="960" w:type="dxa"/>
            <w:noWrap/>
            <w:hideMark/>
          </w:tcPr>
          <w:p w14:paraId="092DF28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42BDF9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738</w:t>
            </w:r>
          </w:p>
        </w:tc>
      </w:tr>
      <w:tr w:rsidR="00AA4FFC" w:rsidRPr="00E86DCF" w14:paraId="5E615F6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B8544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May-12</w:t>
            </w:r>
          </w:p>
        </w:tc>
        <w:tc>
          <w:tcPr>
            <w:tcW w:w="960" w:type="dxa"/>
            <w:noWrap/>
            <w:hideMark/>
          </w:tcPr>
          <w:p w14:paraId="4E86E73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2860E94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259</w:t>
            </w:r>
          </w:p>
        </w:tc>
        <w:tc>
          <w:tcPr>
            <w:tcW w:w="960" w:type="dxa"/>
            <w:noWrap/>
            <w:hideMark/>
          </w:tcPr>
          <w:p w14:paraId="28E1D01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79F7C1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30B5848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3EAB39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9C58A3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3A5363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C2F30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295378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024E4A0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1079FA0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3279CD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05CB2B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822</w:t>
            </w:r>
          </w:p>
        </w:tc>
      </w:tr>
      <w:tr w:rsidR="00AA4FFC" w:rsidRPr="00E86DCF" w14:paraId="7999FB4A"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8956AE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Jun-12</w:t>
            </w:r>
          </w:p>
        </w:tc>
        <w:tc>
          <w:tcPr>
            <w:tcW w:w="960" w:type="dxa"/>
            <w:noWrap/>
            <w:hideMark/>
          </w:tcPr>
          <w:p w14:paraId="7733D9A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1B3156B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182</w:t>
            </w:r>
          </w:p>
        </w:tc>
        <w:tc>
          <w:tcPr>
            <w:tcW w:w="960" w:type="dxa"/>
            <w:noWrap/>
            <w:hideMark/>
          </w:tcPr>
          <w:p w14:paraId="4ED8D1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108</w:t>
            </w:r>
          </w:p>
        </w:tc>
        <w:tc>
          <w:tcPr>
            <w:tcW w:w="960" w:type="dxa"/>
            <w:noWrap/>
            <w:hideMark/>
          </w:tcPr>
          <w:p w14:paraId="6EEF89F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768DDA6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3B01328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7FC686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693DAE2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7E4DEDB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0EA6965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27E2A5C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3CFEAE2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116B75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628DEBB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728</w:t>
            </w:r>
          </w:p>
        </w:tc>
      </w:tr>
      <w:tr w:rsidR="00AA4FFC" w:rsidRPr="00E86DCF" w14:paraId="31CE0281"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4A3E3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Jul-12</w:t>
            </w:r>
          </w:p>
        </w:tc>
        <w:tc>
          <w:tcPr>
            <w:tcW w:w="960" w:type="dxa"/>
            <w:noWrap/>
            <w:hideMark/>
          </w:tcPr>
          <w:p w14:paraId="7241B9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5E72235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174</w:t>
            </w:r>
          </w:p>
        </w:tc>
        <w:tc>
          <w:tcPr>
            <w:tcW w:w="960" w:type="dxa"/>
            <w:noWrap/>
            <w:hideMark/>
          </w:tcPr>
          <w:p w14:paraId="5BC3B8A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w:t>
            </w:r>
          </w:p>
        </w:tc>
        <w:tc>
          <w:tcPr>
            <w:tcW w:w="960" w:type="dxa"/>
            <w:noWrap/>
            <w:hideMark/>
          </w:tcPr>
          <w:p w14:paraId="7E906B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56810B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045616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75A8D93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69A1710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717A5BA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7E1C144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1641C6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7473669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0A33350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698516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716</w:t>
            </w:r>
          </w:p>
        </w:tc>
      </w:tr>
      <w:tr w:rsidR="00AA4FFC" w:rsidRPr="00E86DCF" w14:paraId="1D179F31"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42D85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Aug-12</w:t>
            </w:r>
          </w:p>
        </w:tc>
        <w:tc>
          <w:tcPr>
            <w:tcW w:w="960" w:type="dxa"/>
            <w:noWrap/>
            <w:hideMark/>
          </w:tcPr>
          <w:p w14:paraId="6A736F4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697FFA0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208</w:t>
            </w:r>
          </w:p>
        </w:tc>
        <w:tc>
          <w:tcPr>
            <w:tcW w:w="960" w:type="dxa"/>
            <w:noWrap/>
            <w:hideMark/>
          </w:tcPr>
          <w:p w14:paraId="6DA81AE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w:t>
            </w:r>
          </w:p>
        </w:tc>
        <w:tc>
          <w:tcPr>
            <w:tcW w:w="960" w:type="dxa"/>
            <w:noWrap/>
            <w:hideMark/>
          </w:tcPr>
          <w:p w14:paraId="651D4F3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30749A1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0449400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0929F8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2A3B9D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4C258C4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5784103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006F925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534E8E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07C209E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3A02EB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758</w:t>
            </w:r>
          </w:p>
        </w:tc>
      </w:tr>
      <w:tr w:rsidR="00AA4FFC" w:rsidRPr="00E86DCF" w14:paraId="7E0B40A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42EAC0"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Sep-12</w:t>
            </w:r>
          </w:p>
        </w:tc>
        <w:tc>
          <w:tcPr>
            <w:tcW w:w="960" w:type="dxa"/>
            <w:noWrap/>
            <w:hideMark/>
          </w:tcPr>
          <w:p w14:paraId="58349A5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75111C1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203</w:t>
            </w:r>
          </w:p>
        </w:tc>
        <w:tc>
          <w:tcPr>
            <w:tcW w:w="960" w:type="dxa"/>
            <w:noWrap/>
            <w:hideMark/>
          </w:tcPr>
          <w:p w14:paraId="2C6EC8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w:t>
            </w:r>
          </w:p>
        </w:tc>
        <w:tc>
          <w:tcPr>
            <w:tcW w:w="960" w:type="dxa"/>
            <w:noWrap/>
            <w:hideMark/>
          </w:tcPr>
          <w:p w14:paraId="30FCF7E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73BE612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69A317D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30D7B1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5DB162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790E23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2E83B9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0E7004B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7A70E60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58363BD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33A28D1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783</w:t>
            </w:r>
          </w:p>
        </w:tc>
      </w:tr>
      <w:tr w:rsidR="00AA4FFC" w:rsidRPr="00E86DCF" w14:paraId="126898A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0BB772C"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Oct-12</w:t>
            </w:r>
          </w:p>
        </w:tc>
        <w:tc>
          <w:tcPr>
            <w:tcW w:w="960" w:type="dxa"/>
            <w:noWrap/>
            <w:hideMark/>
          </w:tcPr>
          <w:p w14:paraId="02D7914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22EC1BE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240</w:t>
            </w:r>
          </w:p>
        </w:tc>
        <w:tc>
          <w:tcPr>
            <w:tcW w:w="960" w:type="dxa"/>
            <w:noWrap/>
            <w:hideMark/>
          </w:tcPr>
          <w:p w14:paraId="56F7CDC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115</w:t>
            </w:r>
          </w:p>
        </w:tc>
        <w:tc>
          <w:tcPr>
            <w:tcW w:w="960" w:type="dxa"/>
            <w:noWrap/>
            <w:hideMark/>
          </w:tcPr>
          <w:p w14:paraId="7B9E401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010E2C7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17CCB75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23A30E0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415D099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2945405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60C2AD1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2777108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1DC1648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1F3A815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227F8D9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865</w:t>
            </w:r>
          </w:p>
        </w:tc>
      </w:tr>
      <w:tr w:rsidR="00AA4FFC" w:rsidRPr="00E86DCF" w14:paraId="0BCE597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B5FA1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Nov-12</w:t>
            </w:r>
          </w:p>
        </w:tc>
        <w:tc>
          <w:tcPr>
            <w:tcW w:w="960" w:type="dxa"/>
            <w:noWrap/>
            <w:hideMark/>
          </w:tcPr>
          <w:p w14:paraId="4D491F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94A39B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231</w:t>
            </w:r>
          </w:p>
        </w:tc>
        <w:tc>
          <w:tcPr>
            <w:tcW w:w="960" w:type="dxa"/>
            <w:noWrap/>
            <w:hideMark/>
          </w:tcPr>
          <w:p w14:paraId="7F9598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290EBAE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35240CC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430BDDC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3947015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740A4FD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4AA626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631A218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7C85729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68AD5D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373972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1E07AA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861</w:t>
            </w:r>
          </w:p>
        </w:tc>
      </w:tr>
      <w:tr w:rsidR="00AA4FFC" w:rsidRPr="00E86DCF" w14:paraId="74E673E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64B33A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Dec-12</w:t>
            </w:r>
          </w:p>
        </w:tc>
        <w:tc>
          <w:tcPr>
            <w:tcW w:w="960" w:type="dxa"/>
            <w:noWrap/>
            <w:hideMark/>
          </w:tcPr>
          <w:p w14:paraId="0E09461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14D2B19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150</w:t>
            </w:r>
          </w:p>
        </w:tc>
        <w:tc>
          <w:tcPr>
            <w:tcW w:w="960" w:type="dxa"/>
            <w:noWrap/>
            <w:hideMark/>
          </w:tcPr>
          <w:p w14:paraId="71F350B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1E6C16B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33AFE7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7E4D6F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7BC7D2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3BF025D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6E8C2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2A68A2B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0B364E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3D7AA5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251AF0F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159AF64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754</w:t>
            </w:r>
          </w:p>
        </w:tc>
      </w:tr>
      <w:tr w:rsidR="00AA4FFC" w:rsidRPr="00E86DCF" w14:paraId="7B89302A"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7FA5A8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Jan-13</w:t>
            </w:r>
          </w:p>
        </w:tc>
        <w:tc>
          <w:tcPr>
            <w:tcW w:w="960" w:type="dxa"/>
            <w:noWrap/>
            <w:hideMark/>
          </w:tcPr>
          <w:p w14:paraId="6A6F208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44403C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170</w:t>
            </w:r>
          </w:p>
        </w:tc>
        <w:tc>
          <w:tcPr>
            <w:tcW w:w="960" w:type="dxa"/>
            <w:noWrap/>
            <w:hideMark/>
          </w:tcPr>
          <w:p w14:paraId="6F6C490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w:t>
            </w:r>
          </w:p>
        </w:tc>
        <w:tc>
          <w:tcPr>
            <w:tcW w:w="960" w:type="dxa"/>
            <w:noWrap/>
            <w:hideMark/>
          </w:tcPr>
          <w:p w14:paraId="283B2B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010EF4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35B4D7E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75CCBD6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4A8BB6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6CD68D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7E059AC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380EE2D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2E20136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1F9598C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4913113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782</w:t>
            </w:r>
          </w:p>
        </w:tc>
      </w:tr>
      <w:tr w:rsidR="00AA4FFC" w:rsidRPr="00E86DCF" w14:paraId="68291C46"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909C7B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Feb-13</w:t>
            </w:r>
          </w:p>
        </w:tc>
        <w:tc>
          <w:tcPr>
            <w:tcW w:w="960" w:type="dxa"/>
            <w:noWrap/>
            <w:hideMark/>
          </w:tcPr>
          <w:p w14:paraId="6740DA6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3E07907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201</w:t>
            </w:r>
          </w:p>
        </w:tc>
        <w:tc>
          <w:tcPr>
            <w:tcW w:w="960" w:type="dxa"/>
            <w:noWrap/>
            <w:hideMark/>
          </w:tcPr>
          <w:p w14:paraId="433DE00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37C91CC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3960DD4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5415930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5AB57FA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7FEE1D6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6CEAD1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076301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7C489E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08F12D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2767C8E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5393CCE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782</w:t>
            </w:r>
          </w:p>
        </w:tc>
      </w:tr>
      <w:tr w:rsidR="00AA4FFC" w:rsidRPr="00E86DCF" w14:paraId="7BDB7CF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C2E9F8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Mar-13</w:t>
            </w:r>
          </w:p>
        </w:tc>
        <w:tc>
          <w:tcPr>
            <w:tcW w:w="960" w:type="dxa"/>
            <w:noWrap/>
            <w:hideMark/>
          </w:tcPr>
          <w:p w14:paraId="73AA6EF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6C707FD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212</w:t>
            </w:r>
          </w:p>
        </w:tc>
        <w:tc>
          <w:tcPr>
            <w:tcW w:w="960" w:type="dxa"/>
            <w:noWrap/>
            <w:hideMark/>
          </w:tcPr>
          <w:p w14:paraId="32E4D08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108</w:t>
            </w:r>
          </w:p>
        </w:tc>
        <w:tc>
          <w:tcPr>
            <w:tcW w:w="960" w:type="dxa"/>
            <w:noWrap/>
            <w:hideMark/>
          </w:tcPr>
          <w:p w14:paraId="0F2126F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05E0634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0C4CEE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7E66E40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4C4651C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40BC47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121EAE5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3E127E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6685C7C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354E77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E53471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856</w:t>
            </w:r>
          </w:p>
        </w:tc>
      </w:tr>
      <w:tr w:rsidR="00AA4FFC" w:rsidRPr="00E86DCF" w14:paraId="7081C1BF"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553B3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Apr-13</w:t>
            </w:r>
          </w:p>
        </w:tc>
        <w:tc>
          <w:tcPr>
            <w:tcW w:w="960" w:type="dxa"/>
            <w:noWrap/>
            <w:hideMark/>
          </w:tcPr>
          <w:p w14:paraId="16CD64A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09B32E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209</w:t>
            </w:r>
          </w:p>
        </w:tc>
        <w:tc>
          <w:tcPr>
            <w:tcW w:w="960" w:type="dxa"/>
            <w:noWrap/>
            <w:hideMark/>
          </w:tcPr>
          <w:p w14:paraId="3CFDD3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w:t>
            </w:r>
          </w:p>
        </w:tc>
        <w:tc>
          <w:tcPr>
            <w:tcW w:w="960" w:type="dxa"/>
            <w:noWrap/>
            <w:hideMark/>
          </w:tcPr>
          <w:p w14:paraId="70AC113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141E3DE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6738D02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09966C3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AC16F9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19E2BAE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A2877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6D88A5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2E31AD2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&lt;5</w:t>
            </w:r>
          </w:p>
        </w:tc>
        <w:tc>
          <w:tcPr>
            <w:tcW w:w="960" w:type="dxa"/>
            <w:noWrap/>
            <w:hideMark/>
          </w:tcPr>
          <w:p w14:paraId="42CDB17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681E612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843</w:t>
            </w:r>
          </w:p>
        </w:tc>
      </w:tr>
      <w:tr w:rsidR="00AA4FFC" w:rsidRPr="00E86DCF" w14:paraId="747F451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F2BF8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May-13</w:t>
            </w:r>
          </w:p>
        </w:tc>
        <w:tc>
          <w:tcPr>
            <w:tcW w:w="960" w:type="dxa"/>
            <w:noWrap/>
            <w:hideMark/>
          </w:tcPr>
          <w:p w14:paraId="47A9D9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5A0EFBE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240</w:t>
            </w:r>
          </w:p>
        </w:tc>
        <w:tc>
          <w:tcPr>
            <w:tcW w:w="960" w:type="dxa"/>
            <w:noWrap/>
            <w:hideMark/>
          </w:tcPr>
          <w:p w14:paraId="0BE2EE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1BDA76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270B50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782AEED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2219171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3798236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6293E46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5EAE8BD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6937FF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45BC65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w:t>
            </w:r>
          </w:p>
        </w:tc>
        <w:tc>
          <w:tcPr>
            <w:tcW w:w="960" w:type="dxa"/>
            <w:noWrap/>
            <w:hideMark/>
          </w:tcPr>
          <w:p w14:paraId="6FD3C92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2AD97C3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846</w:t>
            </w:r>
          </w:p>
        </w:tc>
      </w:tr>
      <w:tr w:rsidR="00AA4FFC" w:rsidRPr="00E86DCF" w14:paraId="40736B7D"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8A478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Jun-13</w:t>
            </w:r>
          </w:p>
        </w:tc>
        <w:tc>
          <w:tcPr>
            <w:tcW w:w="960" w:type="dxa"/>
            <w:noWrap/>
            <w:hideMark/>
          </w:tcPr>
          <w:p w14:paraId="40E75E5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071BD87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215</w:t>
            </w:r>
          </w:p>
        </w:tc>
        <w:tc>
          <w:tcPr>
            <w:tcW w:w="960" w:type="dxa"/>
            <w:noWrap/>
            <w:hideMark/>
          </w:tcPr>
          <w:p w14:paraId="524C66C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580F014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52B11B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6F685B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11838A0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7E537F3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64445C2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2D9082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1BE7D71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2833DBE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688931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7236EEC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733</w:t>
            </w:r>
          </w:p>
        </w:tc>
      </w:tr>
      <w:tr w:rsidR="00AA4FFC" w:rsidRPr="00E86DCF" w14:paraId="470440C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6EF659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Jul-13</w:t>
            </w:r>
          </w:p>
        </w:tc>
        <w:tc>
          <w:tcPr>
            <w:tcW w:w="960" w:type="dxa"/>
            <w:noWrap/>
            <w:hideMark/>
          </w:tcPr>
          <w:p w14:paraId="4918264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3E81008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215</w:t>
            </w:r>
          </w:p>
        </w:tc>
        <w:tc>
          <w:tcPr>
            <w:tcW w:w="960" w:type="dxa"/>
            <w:noWrap/>
            <w:hideMark/>
          </w:tcPr>
          <w:p w14:paraId="75FF191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567312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79E5AA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3109241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46BA7B9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7B25408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5F28621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2B48D6D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2467BE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3B01CC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4F2015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CF390B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770</w:t>
            </w:r>
          </w:p>
        </w:tc>
      </w:tr>
      <w:tr w:rsidR="00AA4FFC" w:rsidRPr="00E86DCF" w14:paraId="5763635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361340"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Aug-13</w:t>
            </w:r>
          </w:p>
        </w:tc>
        <w:tc>
          <w:tcPr>
            <w:tcW w:w="960" w:type="dxa"/>
            <w:noWrap/>
            <w:hideMark/>
          </w:tcPr>
          <w:p w14:paraId="7A8D228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1371F88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231</w:t>
            </w:r>
          </w:p>
        </w:tc>
        <w:tc>
          <w:tcPr>
            <w:tcW w:w="960" w:type="dxa"/>
            <w:noWrap/>
            <w:hideMark/>
          </w:tcPr>
          <w:p w14:paraId="1656F23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960" w:type="dxa"/>
            <w:noWrap/>
            <w:hideMark/>
          </w:tcPr>
          <w:p w14:paraId="2095CA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2D975F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2338D86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56D27B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63D5CB2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1BE0819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0ED894E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25D58FA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0CF5C24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w:t>
            </w:r>
          </w:p>
        </w:tc>
        <w:tc>
          <w:tcPr>
            <w:tcW w:w="960" w:type="dxa"/>
            <w:noWrap/>
            <w:hideMark/>
          </w:tcPr>
          <w:p w14:paraId="4B2BF7B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70CBD9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833</w:t>
            </w:r>
          </w:p>
        </w:tc>
      </w:tr>
      <w:tr w:rsidR="00AA4FFC" w:rsidRPr="00E86DCF" w14:paraId="436EB243"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E776E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Sep-13</w:t>
            </w:r>
          </w:p>
        </w:tc>
        <w:tc>
          <w:tcPr>
            <w:tcW w:w="960" w:type="dxa"/>
            <w:noWrap/>
            <w:hideMark/>
          </w:tcPr>
          <w:p w14:paraId="3CC90B0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07B9E61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196</w:t>
            </w:r>
          </w:p>
        </w:tc>
        <w:tc>
          <w:tcPr>
            <w:tcW w:w="960" w:type="dxa"/>
            <w:noWrap/>
            <w:hideMark/>
          </w:tcPr>
          <w:p w14:paraId="01BCB73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112</w:t>
            </w:r>
          </w:p>
        </w:tc>
        <w:tc>
          <w:tcPr>
            <w:tcW w:w="960" w:type="dxa"/>
            <w:noWrap/>
            <w:hideMark/>
          </w:tcPr>
          <w:p w14:paraId="3FCD1E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B0D9D3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145456E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0296268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554F9C6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A309D3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660D6BB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2BE9AED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EE5F8E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178B6F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5B32B5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838</w:t>
            </w:r>
          </w:p>
        </w:tc>
      </w:tr>
      <w:tr w:rsidR="00AA4FFC" w:rsidRPr="00E86DCF" w14:paraId="3EBF7B37"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B986D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Oct-13</w:t>
            </w:r>
          </w:p>
        </w:tc>
        <w:tc>
          <w:tcPr>
            <w:tcW w:w="960" w:type="dxa"/>
            <w:noWrap/>
            <w:hideMark/>
          </w:tcPr>
          <w:p w14:paraId="507699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70DA9BB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208</w:t>
            </w:r>
          </w:p>
        </w:tc>
        <w:tc>
          <w:tcPr>
            <w:tcW w:w="960" w:type="dxa"/>
            <w:noWrap/>
            <w:hideMark/>
          </w:tcPr>
          <w:p w14:paraId="0D943EA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w:t>
            </w:r>
          </w:p>
        </w:tc>
        <w:tc>
          <w:tcPr>
            <w:tcW w:w="960" w:type="dxa"/>
            <w:noWrap/>
            <w:hideMark/>
          </w:tcPr>
          <w:p w14:paraId="0B3372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FB2808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0DF88F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3A1772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3463B5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7046505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5485B3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2840A2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52B377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49EE1E3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4F099C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796</w:t>
            </w:r>
          </w:p>
        </w:tc>
      </w:tr>
      <w:tr w:rsidR="00AA4FFC" w:rsidRPr="00E86DCF" w14:paraId="5247AD6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E6BD0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Nov-13</w:t>
            </w:r>
          </w:p>
        </w:tc>
        <w:tc>
          <w:tcPr>
            <w:tcW w:w="960" w:type="dxa"/>
            <w:noWrap/>
            <w:hideMark/>
          </w:tcPr>
          <w:p w14:paraId="78EDA8E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5075821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w:t>
            </w:r>
          </w:p>
        </w:tc>
        <w:tc>
          <w:tcPr>
            <w:tcW w:w="960" w:type="dxa"/>
            <w:noWrap/>
            <w:hideMark/>
          </w:tcPr>
          <w:p w14:paraId="470C234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37B2A8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5BF8D4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73FB5E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0D757C7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F33EC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3612D71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0BD3650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47D884A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5866E2B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7E13BE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5681F2A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781</w:t>
            </w:r>
          </w:p>
        </w:tc>
      </w:tr>
      <w:tr w:rsidR="00AA4FFC" w:rsidRPr="00E86DCF" w14:paraId="3A534450"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2D3A74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Dec-13</w:t>
            </w:r>
          </w:p>
        </w:tc>
        <w:tc>
          <w:tcPr>
            <w:tcW w:w="960" w:type="dxa"/>
            <w:noWrap/>
            <w:hideMark/>
          </w:tcPr>
          <w:p w14:paraId="2CC603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38F661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153</w:t>
            </w:r>
          </w:p>
        </w:tc>
        <w:tc>
          <w:tcPr>
            <w:tcW w:w="960" w:type="dxa"/>
            <w:noWrap/>
            <w:hideMark/>
          </w:tcPr>
          <w:p w14:paraId="6F4D5A2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0588481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584142C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5AAC02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13FAB7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1469961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31B035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5000F8A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504F8B9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16A9E0F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0E2737E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11991F5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730</w:t>
            </w:r>
          </w:p>
        </w:tc>
      </w:tr>
      <w:tr w:rsidR="00AA4FFC" w:rsidRPr="00E86DCF" w14:paraId="6D1B162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707B6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Jan-14</w:t>
            </w:r>
          </w:p>
        </w:tc>
        <w:tc>
          <w:tcPr>
            <w:tcW w:w="960" w:type="dxa"/>
            <w:noWrap/>
            <w:hideMark/>
          </w:tcPr>
          <w:p w14:paraId="213A8C5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5E2787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149</w:t>
            </w:r>
          </w:p>
        </w:tc>
        <w:tc>
          <w:tcPr>
            <w:tcW w:w="960" w:type="dxa"/>
            <w:noWrap/>
            <w:hideMark/>
          </w:tcPr>
          <w:p w14:paraId="2D94902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376A80E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BE017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2EE7E8D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11DC084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4136378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57FDF9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4548905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0BD51B1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097C12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77CC48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7306F61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706</w:t>
            </w:r>
          </w:p>
        </w:tc>
      </w:tr>
      <w:tr w:rsidR="00AA4FFC" w:rsidRPr="00E86DCF" w14:paraId="09CBF890"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32D117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Feb-14</w:t>
            </w:r>
          </w:p>
        </w:tc>
        <w:tc>
          <w:tcPr>
            <w:tcW w:w="960" w:type="dxa"/>
            <w:noWrap/>
            <w:hideMark/>
          </w:tcPr>
          <w:p w14:paraId="3303A0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2D22D7A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180</w:t>
            </w:r>
          </w:p>
        </w:tc>
        <w:tc>
          <w:tcPr>
            <w:tcW w:w="960" w:type="dxa"/>
            <w:noWrap/>
            <w:hideMark/>
          </w:tcPr>
          <w:p w14:paraId="2CB8B87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4589F5B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58A5303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5436D48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5683AA7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142E666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531B3D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57127D2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7B577F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66BBBA2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4AE0B2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29324D4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773</w:t>
            </w:r>
          </w:p>
        </w:tc>
      </w:tr>
      <w:tr w:rsidR="00AA4FFC" w:rsidRPr="00E86DCF" w14:paraId="286F1FA5"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0B564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Mar-14</w:t>
            </w:r>
          </w:p>
        </w:tc>
        <w:tc>
          <w:tcPr>
            <w:tcW w:w="960" w:type="dxa"/>
            <w:noWrap/>
            <w:hideMark/>
          </w:tcPr>
          <w:p w14:paraId="5AF98A7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32425C7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234</w:t>
            </w:r>
          </w:p>
        </w:tc>
        <w:tc>
          <w:tcPr>
            <w:tcW w:w="960" w:type="dxa"/>
            <w:noWrap/>
            <w:hideMark/>
          </w:tcPr>
          <w:p w14:paraId="36E100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130</w:t>
            </w:r>
          </w:p>
        </w:tc>
        <w:tc>
          <w:tcPr>
            <w:tcW w:w="960" w:type="dxa"/>
            <w:noWrap/>
            <w:hideMark/>
          </w:tcPr>
          <w:p w14:paraId="70E35AA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w:t>
            </w:r>
          </w:p>
        </w:tc>
        <w:tc>
          <w:tcPr>
            <w:tcW w:w="960" w:type="dxa"/>
            <w:noWrap/>
            <w:hideMark/>
          </w:tcPr>
          <w:p w14:paraId="5D191A1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270B06B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6D0DD8A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473D324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1BF46E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7210F09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0EEA28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482520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36CCA4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0F9A2AF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953</w:t>
            </w:r>
          </w:p>
        </w:tc>
      </w:tr>
      <w:tr w:rsidR="00AA4FFC" w:rsidRPr="00E86DCF" w14:paraId="45836C50"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1DD59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Apr-14</w:t>
            </w:r>
          </w:p>
        </w:tc>
        <w:tc>
          <w:tcPr>
            <w:tcW w:w="960" w:type="dxa"/>
            <w:noWrap/>
            <w:hideMark/>
          </w:tcPr>
          <w:p w14:paraId="75978A6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1A539A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171</w:t>
            </w:r>
          </w:p>
        </w:tc>
        <w:tc>
          <w:tcPr>
            <w:tcW w:w="960" w:type="dxa"/>
            <w:noWrap/>
            <w:hideMark/>
          </w:tcPr>
          <w:p w14:paraId="4AA1AA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960" w:type="dxa"/>
            <w:noWrap/>
            <w:hideMark/>
          </w:tcPr>
          <w:p w14:paraId="371089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1088E78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6F27CF8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5508C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5E277E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C29CCC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5AA0C19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642F572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073068B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672CEDC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41AA837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778</w:t>
            </w:r>
          </w:p>
        </w:tc>
      </w:tr>
      <w:tr w:rsidR="00AA4FFC" w:rsidRPr="00E86DCF" w14:paraId="5871BE7E"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DF165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May-14</w:t>
            </w:r>
          </w:p>
        </w:tc>
        <w:tc>
          <w:tcPr>
            <w:tcW w:w="960" w:type="dxa"/>
            <w:noWrap/>
            <w:hideMark/>
          </w:tcPr>
          <w:p w14:paraId="526933A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28EEF63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189</w:t>
            </w:r>
          </w:p>
        </w:tc>
        <w:tc>
          <w:tcPr>
            <w:tcW w:w="960" w:type="dxa"/>
            <w:noWrap/>
            <w:hideMark/>
          </w:tcPr>
          <w:p w14:paraId="72687B7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2D54614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19241E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19B7F7C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1A97FB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1E952A9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5B904CB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49DB91C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0774207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0D0F20C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1869ED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32BEAFF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789</w:t>
            </w:r>
          </w:p>
        </w:tc>
      </w:tr>
      <w:tr w:rsidR="00AA4FFC" w:rsidRPr="00E86DCF" w14:paraId="37B61D0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A5DC3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Jun-14</w:t>
            </w:r>
          </w:p>
        </w:tc>
        <w:tc>
          <w:tcPr>
            <w:tcW w:w="960" w:type="dxa"/>
            <w:noWrap/>
            <w:hideMark/>
          </w:tcPr>
          <w:p w14:paraId="5BFDE7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36B2515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178</w:t>
            </w:r>
          </w:p>
        </w:tc>
        <w:tc>
          <w:tcPr>
            <w:tcW w:w="960" w:type="dxa"/>
            <w:noWrap/>
            <w:hideMark/>
          </w:tcPr>
          <w:p w14:paraId="71E6E3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w:t>
            </w:r>
          </w:p>
        </w:tc>
        <w:tc>
          <w:tcPr>
            <w:tcW w:w="960" w:type="dxa"/>
            <w:noWrap/>
            <w:hideMark/>
          </w:tcPr>
          <w:p w14:paraId="41B832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5284474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7AFB72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6B1221C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31A64A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539051D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62A0AE3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4948A9F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3ADE3E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410C764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16222A1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711</w:t>
            </w:r>
          </w:p>
        </w:tc>
      </w:tr>
      <w:tr w:rsidR="00AA4FFC" w:rsidRPr="00E86DCF" w14:paraId="1AD9E98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83AF5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Jul-14</w:t>
            </w:r>
          </w:p>
        </w:tc>
        <w:tc>
          <w:tcPr>
            <w:tcW w:w="960" w:type="dxa"/>
            <w:noWrap/>
            <w:hideMark/>
          </w:tcPr>
          <w:p w14:paraId="36EA7FB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5D33350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173</w:t>
            </w:r>
          </w:p>
        </w:tc>
        <w:tc>
          <w:tcPr>
            <w:tcW w:w="960" w:type="dxa"/>
            <w:noWrap/>
            <w:hideMark/>
          </w:tcPr>
          <w:p w14:paraId="108700D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103</w:t>
            </w:r>
          </w:p>
        </w:tc>
        <w:tc>
          <w:tcPr>
            <w:tcW w:w="960" w:type="dxa"/>
            <w:noWrap/>
            <w:hideMark/>
          </w:tcPr>
          <w:p w14:paraId="263774F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388F318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686BBC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083C4C8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0C50D53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1410C10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61CAE54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3FCB32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7157AB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4B4E6F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B25F94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749</w:t>
            </w:r>
          </w:p>
        </w:tc>
      </w:tr>
      <w:tr w:rsidR="00AA4FFC" w:rsidRPr="00E86DCF" w14:paraId="6D841AB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E0786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Aug-14</w:t>
            </w:r>
          </w:p>
        </w:tc>
        <w:tc>
          <w:tcPr>
            <w:tcW w:w="960" w:type="dxa"/>
            <w:noWrap/>
            <w:hideMark/>
          </w:tcPr>
          <w:p w14:paraId="227795C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0BAD4E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210</w:t>
            </w:r>
          </w:p>
        </w:tc>
        <w:tc>
          <w:tcPr>
            <w:tcW w:w="960" w:type="dxa"/>
            <w:noWrap/>
            <w:hideMark/>
          </w:tcPr>
          <w:p w14:paraId="7A859B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111</w:t>
            </w:r>
          </w:p>
        </w:tc>
        <w:tc>
          <w:tcPr>
            <w:tcW w:w="960" w:type="dxa"/>
            <w:noWrap/>
            <w:hideMark/>
          </w:tcPr>
          <w:p w14:paraId="72B6B5B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666597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6261A84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578115E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0E328A5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43F2581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432A497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48503AC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48EBF67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1F5B8EC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1680FD5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845</w:t>
            </w:r>
          </w:p>
        </w:tc>
      </w:tr>
      <w:tr w:rsidR="00AA4FFC" w:rsidRPr="00E86DCF" w14:paraId="071DB90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002DBF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Sep-14</w:t>
            </w:r>
          </w:p>
        </w:tc>
        <w:tc>
          <w:tcPr>
            <w:tcW w:w="960" w:type="dxa"/>
            <w:noWrap/>
            <w:hideMark/>
          </w:tcPr>
          <w:p w14:paraId="08BC7C3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41F58D9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172</w:t>
            </w:r>
          </w:p>
        </w:tc>
        <w:tc>
          <w:tcPr>
            <w:tcW w:w="960" w:type="dxa"/>
            <w:noWrap/>
            <w:hideMark/>
          </w:tcPr>
          <w:p w14:paraId="0445B21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116</w:t>
            </w:r>
          </w:p>
        </w:tc>
        <w:tc>
          <w:tcPr>
            <w:tcW w:w="960" w:type="dxa"/>
            <w:noWrap/>
            <w:hideMark/>
          </w:tcPr>
          <w:p w14:paraId="00CE141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7CE59A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0F5ACE8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29B1270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C32C3D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128F942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29326FF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0EFEE0A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62FD32C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692849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5DF47AF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812</w:t>
            </w:r>
          </w:p>
        </w:tc>
      </w:tr>
      <w:tr w:rsidR="00AA4FFC" w:rsidRPr="00E86DCF" w14:paraId="70CDEE6A"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A50524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Oct-14</w:t>
            </w:r>
          </w:p>
        </w:tc>
        <w:tc>
          <w:tcPr>
            <w:tcW w:w="960" w:type="dxa"/>
            <w:noWrap/>
            <w:hideMark/>
          </w:tcPr>
          <w:p w14:paraId="167251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3AAC98A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197</w:t>
            </w:r>
          </w:p>
        </w:tc>
        <w:tc>
          <w:tcPr>
            <w:tcW w:w="960" w:type="dxa"/>
            <w:noWrap/>
            <w:hideMark/>
          </w:tcPr>
          <w:p w14:paraId="0A69F92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w:t>
            </w:r>
          </w:p>
        </w:tc>
        <w:tc>
          <w:tcPr>
            <w:tcW w:w="960" w:type="dxa"/>
            <w:noWrap/>
            <w:hideMark/>
          </w:tcPr>
          <w:p w14:paraId="1E87C12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590AD92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1039860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09D7CB1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3696A6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4C8C5C0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3FB265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39EE04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7B1F15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286169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1D1CB1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829</w:t>
            </w:r>
          </w:p>
        </w:tc>
      </w:tr>
      <w:tr w:rsidR="00AA4FFC" w:rsidRPr="00E86DCF" w14:paraId="4F65EB9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740555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Nov-14</w:t>
            </w:r>
          </w:p>
        </w:tc>
        <w:tc>
          <w:tcPr>
            <w:tcW w:w="960" w:type="dxa"/>
            <w:noWrap/>
            <w:hideMark/>
          </w:tcPr>
          <w:p w14:paraId="6A16B5C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0447B47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196</w:t>
            </w:r>
          </w:p>
        </w:tc>
        <w:tc>
          <w:tcPr>
            <w:tcW w:w="960" w:type="dxa"/>
            <w:noWrap/>
            <w:hideMark/>
          </w:tcPr>
          <w:p w14:paraId="4DE1E1D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106</w:t>
            </w:r>
          </w:p>
        </w:tc>
        <w:tc>
          <w:tcPr>
            <w:tcW w:w="960" w:type="dxa"/>
            <w:noWrap/>
            <w:hideMark/>
          </w:tcPr>
          <w:p w14:paraId="6DA0BA1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4A0FA97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55E450F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330298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05B37DB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51EADFF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3A9E3A8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633831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7DC80BC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7E796D1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35C1A3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854</w:t>
            </w:r>
          </w:p>
        </w:tc>
      </w:tr>
      <w:tr w:rsidR="00AA4FFC" w:rsidRPr="00E86DCF" w14:paraId="62DE65C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40B201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Dec-14</w:t>
            </w:r>
          </w:p>
        </w:tc>
        <w:tc>
          <w:tcPr>
            <w:tcW w:w="960" w:type="dxa"/>
            <w:noWrap/>
            <w:hideMark/>
          </w:tcPr>
          <w:p w14:paraId="09DB33A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395A507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w:t>
            </w:r>
          </w:p>
        </w:tc>
        <w:tc>
          <w:tcPr>
            <w:tcW w:w="960" w:type="dxa"/>
            <w:noWrap/>
            <w:hideMark/>
          </w:tcPr>
          <w:p w14:paraId="58CD85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126</w:t>
            </w:r>
          </w:p>
        </w:tc>
        <w:tc>
          <w:tcPr>
            <w:tcW w:w="960" w:type="dxa"/>
            <w:noWrap/>
            <w:hideMark/>
          </w:tcPr>
          <w:p w14:paraId="5F93CA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43B9D78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4B8EAC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3B6ACC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0B33642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4D95DAF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08FF56A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6AB513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3557154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68D71E8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1FBAF89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823</w:t>
            </w:r>
          </w:p>
        </w:tc>
      </w:tr>
      <w:tr w:rsidR="00AA4FFC" w:rsidRPr="00E86DCF" w14:paraId="496F734A"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F38FB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Jan-15</w:t>
            </w:r>
          </w:p>
        </w:tc>
        <w:tc>
          <w:tcPr>
            <w:tcW w:w="960" w:type="dxa"/>
            <w:noWrap/>
            <w:hideMark/>
          </w:tcPr>
          <w:p w14:paraId="02DCFBB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72B1FAC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153</w:t>
            </w:r>
          </w:p>
        </w:tc>
        <w:tc>
          <w:tcPr>
            <w:tcW w:w="960" w:type="dxa"/>
            <w:noWrap/>
            <w:hideMark/>
          </w:tcPr>
          <w:p w14:paraId="30EE162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131</w:t>
            </w:r>
          </w:p>
        </w:tc>
        <w:tc>
          <w:tcPr>
            <w:tcW w:w="960" w:type="dxa"/>
            <w:noWrap/>
            <w:hideMark/>
          </w:tcPr>
          <w:p w14:paraId="38D3FA8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373F07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0814654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117D708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145336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57635F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1A51E25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526537D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101B0B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88EEE3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1E554CC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824</w:t>
            </w:r>
          </w:p>
        </w:tc>
      </w:tr>
      <w:tr w:rsidR="00AA4FFC" w:rsidRPr="00E86DCF" w14:paraId="122C78D1"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A6C78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Feb-15</w:t>
            </w:r>
          </w:p>
        </w:tc>
        <w:tc>
          <w:tcPr>
            <w:tcW w:w="960" w:type="dxa"/>
            <w:noWrap/>
            <w:hideMark/>
          </w:tcPr>
          <w:p w14:paraId="40418A9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2D6EA90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191</w:t>
            </w:r>
          </w:p>
        </w:tc>
        <w:tc>
          <w:tcPr>
            <w:tcW w:w="960" w:type="dxa"/>
            <w:noWrap/>
            <w:hideMark/>
          </w:tcPr>
          <w:p w14:paraId="095875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w:t>
            </w:r>
          </w:p>
        </w:tc>
        <w:tc>
          <w:tcPr>
            <w:tcW w:w="960" w:type="dxa"/>
            <w:noWrap/>
            <w:hideMark/>
          </w:tcPr>
          <w:p w14:paraId="218D3E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42A70C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1D98A9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w:t>
            </w:r>
          </w:p>
        </w:tc>
        <w:tc>
          <w:tcPr>
            <w:tcW w:w="960" w:type="dxa"/>
            <w:noWrap/>
            <w:hideMark/>
          </w:tcPr>
          <w:p w14:paraId="04BADD5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0FCACF1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72786A5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10939D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9FB520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0986E3D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16E038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32E18EB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875</w:t>
            </w:r>
          </w:p>
        </w:tc>
      </w:tr>
      <w:tr w:rsidR="00AA4FFC" w:rsidRPr="00E86DCF" w14:paraId="3B7D312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23B33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Mar-15</w:t>
            </w:r>
          </w:p>
        </w:tc>
        <w:tc>
          <w:tcPr>
            <w:tcW w:w="960" w:type="dxa"/>
            <w:noWrap/>
            <w:hideMark/>
          </w:tcPr>
          <w:p w14:paraId="279EC4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10E38BE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w:t>
            </w:r>
          </w:p>
        </w:tc>
        <w:tc>
          <w:tcPr>
            <w:tcW w:w="960" w:type="dxa"/>
            <w:noWrap/>
            <w:hideMark/>
          </w:tcPr>
          <w:p w14:paraId="047BF1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122</w:t>
            </w:r>
          </w:p>
        </w:tc>
        <w:tc>
          <w:tcPr>
            <w:tcW w:w="960" w:type="dxa"/>
            <w:noWrap/>
            <w:hideMark/>
          </w:tcPr>
          <w:p w14:paraId="21F1112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382C5F2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194A844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5AC0707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3A7E15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7A7DC64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462DCBD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65F2F78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3510291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4804AEF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76B93D9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860</w:t>
            </w:r>
          </w:p>
        </w:tc>
      </w:tr>
      <w:tr w:rsidR="00AA4FFC" w:rsidRPr="00E86DCF" w14:paraId="363F261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CD3C13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Apr-15</w:t>
            </w:r>
          </w:p>
        </w:tc>
        <w:tc>
          <w:tcPr>
            <w:tcW w:w="960" w:type="dxa"/>
            <w:noWrap/>
            <w:hideMark/>
          </w:tcPr>
          <w:p w14:paraId="72A94F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644B66C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3BB339F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126</w:t>
            </w:r>
          </w:p>
        </w:tc>
        <w:tc>
          <w:tcPr>
            <w:tcW w:w="960" w:type="dxa"/>
            <w:noWrap/>
            <w:hideMark/>
          </w:tcPr>
          <w:p w14:paraId="65C35F6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w:t>
            </w:r>
          </w:p>
        </w:tc>
        <w:tc>
          <w:tcPr>
            <w:tcW w:w="960" w:type="dxa"/>
            <w:noWrap/>
            <w:hideMark/>
          </w:tcPr>
          <w:p w14:paraId="132F750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1EA9E83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773D2DF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01191C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3B755D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20804F0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7563F25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1655D68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7614569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054B56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772</w:t>
            </w:r>
          </w:p>
        </w:tc>
      </w:tr>
      <w:tr w:rsidR="00AA4FFC" w:rsidRPr="00E86DCF" w14:paraId="668B25A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A5AE7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May-15</w:t>
            </w:r>
          </w:p>
        </w:tc>
        <w:tc>
          <w:tcPr>
            <w:tcW w:w="960" w:type="dxa"/>
            <w:noWrap/>
            <w:hideMark/>
          </w:tcPr>
          <w:p w14:paraId="022361E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26F9DC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228</w:t>
            </w:r>
          </w:p>
        </w:tc>
        <w:tc>
          <w:tcPr>
            <w:tcW w:w="960" w:type="dxa"/>
            <w:noWrap/>
            <w:hideMark/>
          </w:tcPr>
          <w:p w14:paraId="2F03CF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124</w:t>
            </w:r>
          </w:p>
        </w:tc>
        <w:tc>
          <w:tcPr>
            <w:tcW w:w="960" w:type="dxa"/>
            <w:noWrap/>
            <w:hideMark/>
          </w:tcPr>
          <w:p w14:paraId="4049CDC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6A679D6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240FA53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0742B69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2563260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7B7BC3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0EBBFD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5D08F0D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3B0C6B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66832AF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5113254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891</w:t>
            </w:r>
          </w:p>
        </w:tc>
      </w:tr>
      <w:tr w:rsidR="00AA4FFC" w:rsidRPr="00E86DCF" w14:paraId="74B7357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33095B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Jun-15</w:t>
            </w:r>
          </w:p>
        </w:tc>
        <w:tc>
          <w:tcPr>
            <w:tcW w:w="960" w:type="dxa"/>
            <w:noWrap/>
            <w:hideMark/>
          </w:tcPr>
          <w:p w14:paraId="79EB843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5B3BEE7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168</w:t>
            </w:r>
          </w:p>
        </w:tc>
        <w:tc>
          <w:tcPr>
            <w:tcW w:w="960" w:type="dxa"/>
            <w:noWrap/>
            <w:hideMark/>
          </w:tcPr>
          <w:p w14:paraId="253792A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98</w:t>
            </w:r>
          </w:p>
        </w:tc>
        <w:tc>
          <w:tcPr>
            <w:tcW w:w="960" w:type="dxa"/>
            <w:noWrap/>
            <w:hideMark/>
          </w:tcPr>
          <w:p w14:paraId="600231E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4F41B3A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2695D8B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5DA8F1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3540CF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1264993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3855E22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51D143C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6422658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69D373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285C370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819</w:t>
            </w:r>
          </w:p>
        </w:tc>
      </w:tr>
      <w:tr w:rsidR="00AA4FFC" w:rsidRPr="00E86DCF" w14:paraId="08BD80A5"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38C26F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Jul-15</w:t>
            </w:r>
          </w:p>
        </w:tc>
        <w:tc>
          <w:tcPr>
            <w:tcW w:w="960" w:type="dxa"/>
            <w:noWrap/>
            <w:hideMark/>
          </w:tcPr>
          <w:p w14:paraId="22BEFBA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13C8815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187</w:t>
            </w:r>
          </w:p>
        </w:tc>
        <w:tc>
          <w:tcPr>
            <w:tcW w:w="960" w:type="dxa"/>
            <w:noWrap/>
            <w:hideMark/>
          </w:tcPr>
          <w:p w14:paraId="0E17D53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w:t>
            </w:r>
          </w:p>
        </w:tc>
        <w:tc>
          <w:tcPr>
            <w:tcW w:w="960" w:type="dxa"/>
            <w:noWrap/>
            <w:hideMark/>
          </w:tcPr>
          <w:p w14:paraId="435C09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3CDFC87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701B5AD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6478FED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10D5470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1120DD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CA8C89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4224358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022557E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6DA9073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08859B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834</w:t>
            </w:r>
          </w:p>
        </w:tc>
      </w:tr>
      <w:tr w:rsidR="00AA4FFC" w:rsidRPr="00E86DCF" w14:paraId="2804C726"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FCDD9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Aug-15</w:t>
            </w:r>
          </w:p>
        </w:tc>
        <w:tc>
          <w:tcPr>
            <w:tcW w:w="960" w:type="dxa"/>
            <w:noWrap/>
            <w:hideMark/>
          </w:tcPr>
          <w:p w14:paraId="47CE6E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557EADF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217</w:t>
            </w:r>
          </w:p>
        </w:tc>
        <w:tc>
          <w:tcPr>
            <w:tcW w:w="960" w:type="dxa"/>
            <w:noWrap/>
            <w:hideMark/>
          </w:tcPr>
          <w:p w14:paraId="77E45BE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124</w:t>
            </w:r>
          </w:p>
        </w:tc>
        <w:tc>
          <w:tcPr>
            <w:tcW w:w="960" w:type="dxa"/>
            <w:noWrap/>
            <w:hideMark/>
          </w:tcPr>
          <w:p w14:paraId="0EA6AD3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2B4F2FC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17E9C71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7E88256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480FF5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274541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26F2E0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4E989ED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5013B2B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EBC114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2FF0128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873</w:t>
            </w:r>
          </w:p>
        </w:tc>
      </w:tr>
      <w:tr w:rsidR="00AA4FFC" w:rsidRPr="00E86DCF" w14:paraId="40EAD09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58D66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Sep-15</w:t>
            </w:r>
          </w:p>
        </w:tc>
        <w:tc>
          <w:tcPr>
            <w:tcW w:w="960" w:type="dxa"/>
            <w:noWrap/>
            <w:hideMark/>
          </w:tcPr>
          <w:p w14:paraId="1D26AA0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6F54A7C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174</w:t>
            </w:r>
          </w:p>
        </w:tc>
        <w:tc>
          <w:tcPr>
            <w:tcW w:w="960" w:type="dxa"/>
            <w:noWrap/>
            <w:hideMark/>
          </w:tcPr>
          <w:p w14:paraId="1DB4643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2C75686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2F31EEE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29A737C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0F13FD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0CEC202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99AF8B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2944A8A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4A06C12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002D78C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6B7FEC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259ADBB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829</w:t>
            </w:r>
          </w:p>
        </w:tc>
      </w:tr>
      <w:tr w:rsidR="00AA4FFC" w:rsidRPr="00E86DCF" w14:paraId="77803A7F"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503E8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Oct-15</w:t>
            </w:r>
          </w:p>
        </w:tc>
        <w:tc>
          <w:tcPr>
            <w:tcW w:w="960" w:type="dxa"/>
            <w:noWrap/>
            <w:hideMark/>
          </w:tcPr>
          <w:p w14:paraId="207B20C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2EA4349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240</w:t>
            </w:r>
          </w:p>
        </w:tc>
        <w:tc>
          <w:tcPr>
            <w:tcW w:w="960" w:type="dxa"/>
            <w:noWrap/>
            <w:hideMark/>
          </w:tcPr>
          <w:p w14:paraId="6C81C8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122</w:t>
            </w:r>
          </w:p>
        </w:tc>
        <w:tc>
          <w:tcPr>
            <w:tcW w:w="960" w:type="dxa"/>
            <w:noWrap/>
            <w:hideMark/>
          </w:tcPr>
          <w:p w14:paraId="49F7278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29B363E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620C0E7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039420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64A937B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4ACA60D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50F1BBE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64C31F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2CA8F2B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687423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4A74A23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957</w:t>
            </w:r>
          </w:p>
        </w:tc>
      </w:tr>
      <w:tr w:rsidR="00AA4FFC" w:rsidRPr="00E86DCF" w14:paraId="2E54E71C"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51198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Nov-15</w:t>
            </w:r>
          </w:p>
        </w:tc>
        <w:tc>
          <w:tcPr>
            <w:tcW w:w="960" w:type="dxa"/>
            <w:noWrap/>
            <w:hideMark/>
          </w:tcPr>
          <w:p w14:paraId="7B4CAEB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7D6E96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228</w:t>
            </w:r>
          </w:p>
        </w:tc>
        <w:tc>
          <w:tcPr>
            <w:tcW w:w="960" w:type="dxa"/>
            <w:noWrap/>
            <w:hideMark/>
          </w:tcPr>
          <w:p w14:paraId="1AC4453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143</w:t>
            </w:r>
          </w:p>
        </w:tc>
        <w:tc>
          <w:tcPr>
            <w:tcW w:w="960" w:type="dxa"/>
            <w:noWrap/>
            <w:hideMark/>
          </w:tcPr>
          <w:p w14:paraId="76A04F6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7F132F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1E0CA98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66D0501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609CACF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75A34A5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14675B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5C3C4E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109AAD2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18F28CE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C14A04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942</w:t>
            </w:r>
          </w:p>
        </w:tc>
      </w:tr>
      <w:tr w:rsidR="00AA4FFC" w:rsidRPr="00E86DCF" w14:paraId="11D0A204"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A32DC9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Dec-15</w:t>
            </w:r>
          </w:p>
        </w:tc>
        <w:tc>
          <w:tcPr>
            <w:tcW w:w="960" w:type="dxa"/>
            <w:noWrap/>
            <w:hideMark/>
          </w:tcPr>
          <w:p w14:paraId="5C444D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435AB1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140</w:t>
            </w:r>
          </w:p>
        </w:tc>
        <w:tc>
          <w:tcPr>
            <w:tcW w:w="960" w:type="dxa"/>
            <w:noWrap/>
            <w:hideMark/>
          </w:tcPr>
          <w:p w14:paraId="0964CF1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121</w:t>
            </w:r>
          </w:p>
        </w:tc>
        <w:tc>
          <w:tcPr>
            <w:tcW w:w="960" w:type="dxa"/>
            <w:noWrap/>
            <w:hideMark/>
          </w:tcPr>
          <w:p w14:paraId="7B6933E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100</w:t>
            </w:r>
          </w:p>
        </w:tc>
        <w:tc>
          <w:tcPr>
            <w:tcW w:w="960" w:type="dxa"/>
            <w:noWrap/>
            <w:hideMark/>
          </w:tcPr>
          <w:p w14:paraId="0DF894D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1471A11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663DCB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c>
          <w:tcPr>
            <w:tcW w:w="960" w:type="dxa"/>
            <w:noWrap/>
            <w:hideMark/>
          </w:tcPr>
          <w:p w14:paraId="6BBB309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074315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339D906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3EBA317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080763F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E93B3A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35F15B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858</w:t>
            </w:r>
          </w:p>
        </w:tc>
      </w:tr>
      <w:tr w:rsidR="00AA4FFC" w:rsidRPr="00E86DCF" w14:paraId="217BE4C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E41E1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Jan-16</w:t>
            </w:r>
          </w:p>
        </w:tc>
        <w:tc>
          <w:tcPr>
            <w:tcW w:w="960" w:type="dxa"/>
            <w:noWrap/>
            <w:hideMark/>
          </w:tcPr>
          <w:p w14:paraId="4963196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79D204A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173</w:t>
            </w:r>
          </w:p>
        </w:tc>
        <w:tc>
          <w:tcPr>
            <w:tcW w:w="960" w:type="dxa"/>
            <w:noWrap/>
            <w:hideMark/>
          </w:tcPr>
          <w:p w14:paraId="0908F65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121</w:t>
            </w:r>
          </w:p>
        </w:tc>
        <w:tc>
          <w:tcPr>
            <w:tcW w:w="960" w:type="dxa"/>
            <w:noWrap/>
            <w:hideMark/>
          </w:tcPr>
          <w:p w14:paraId="37DE939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70D1B0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375E770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3E09BC7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1690B29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481F567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7545F63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1804738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7DD0D52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4F8D8A6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0403D1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920</w:t>
            </w:r>
          </w:p>
        </w:tc>
      </w:tr>
      <w:tr w:rsidR="00AA4FFC" w:rsidRPr="00E86DCF" w14:paraId="087796C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90408F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Feb-16</w:t>
            </w:r>
          </w:p>
        </w:tc>
        <w:tc>
          <w:tcPr>
            <w:tcW w:w="960" w:type="dxa"/>
            <w:noWrap/>
            <w:hideMark/>
          </w:tcPr>
          <w:p w14:paraId="1AD9F7A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6FE93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212</w:t>
            </w:r>
          </w:p>
        </w:tc>
        <w:tc>
          <w:tcPr>
            <w:tcW w:w="960" w:type="dxa"/>
            <w:noWrap/>
            <w:hideMark/>
          </w:tcPr>
          <w:p w14:paraId="5F6A29D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117</w:t>
            </w:r>
          </w:p>
        </w:tc>
        <w:tc>
          <w:tcPr>
            <w:tcW w:w="960" w:type="dxa"/>
            <w:noWrap/>
            <w:hideMark/>
          </w:tcPr>
          <w:p w14:paraId="06D4F3C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w:t>
            </w:r>
          </w:p>
        </w:tc>
        <w:tc>
          <w:tcPr>
            <w:tcW w:w="960" w:type="dxa"/>
            <w:noWrap/>
            <w:hideMark/>
          </w:tcPr>
          <w:p w14:paraId="3297FF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w:t>
            </w:r>
          </w:p>
        </w:tc>
        <w:tc>
          <w:tcPr>
            <w:tcW w:w="960" w:type="dxa"/>
            <w:noWrap/>
            <w:hideMark/>
          </w:tcPr>
          <w:p w14:paraId="0C27B5F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6A7D2A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5ED2C74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573319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5E614F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56212FC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5233EC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2D0484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216A5C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978</w:t>
            </w:r>
          </w:p>
        </w:tc>
      </w:tr>
      <w:tr w:rsidR="00AA4FFC" w:rsidRPr="00E86DCF" w14:paraId="13BE0C9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E0AD8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Mar-16</w:t>
            </w:r>
          </w:p>
        </w:tc>
        <w:tc>
          <w:tcPr>
            <w:tcW w:w="960" w:type="dxa"/>
            <w:noWrap/>
            <w:hideMark/>
          </w:tcPr>
          <w:p w14:paraId="3C6F093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0AC03FC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219</w:t>
            </w:r>
          </w:p>
        </w:tc>
        <w:tc>
          <w:tcPr>
            <w:tcW w:w="960" w:type="dxa"/>
            <w:noWrap/>
            <w:hideMark/>
          </w:tcPr>
          <w:p w14:paraId="0C5C21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w:t>
            </w:r>
          </w:p>
        </w:tc>
        <w:tc>
          <w:tcPr>
            <w:tcW w:w="960" w:type="dxa"/>
            <w:noWrap/>
            <w:hideMark/>
          </w:tcPr>
          <w:p w14:paraId="458DFFA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7396586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69C9547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6BBAEB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7CE54D1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87</w:t>
            </w:r>
          </w:p>
        </w:tc>
        <w:tc>
          <w:tcPr>
            <w:tcW w:w="960" w:type="dxa"/>
            <w:noWrap/>
            <w:hideMark/>
          </w:tcPr>
          <w:p w14:paraId="03CA7B3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09E4BD9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274981C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4A046CC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26CF1FE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7307F7E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1047</w:t>
            </w:r>
          </w:p>
        </w:tc>
      </w:tr>
      <w:tr w:rsidR="00AA4FFC" w:rsidRPr="00E86DCF" w14:paraId="362FEA39"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F6F01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Apr-16</w:t>
            </w:r>
          </w:p>
        </w:tc>
        <w:tc>
          <w:tcPr>
            <w:tcW w:w="960" w:type="dxa"/>
            <w:noWrap/>
            <w:hideMark/>
          </w:tcPr>
          <w:p w14:paraId="2866D69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0C43261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205</w:t>
            </w:r>
          </w:p>
        </w:tc>
        <w:tc>
          <w:tcPr>
            <w:tcW w:w="960" w:type="dxa"/>
            <w:noWrap/>
            <w:hideMark/>
          </w:tcPr>
          <w:p w14:paraId="0719F66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w:t>
            </w:r>
          </w:p>
        </w:tc>
        <w:tc>
          <w:tcPr>
            <w:tcW w:w="960" w:type="dxa"/>
            <w:noWrap/>
            <w:hideMark/>
          </w:tcPr>
          <w:p w14:paraId="0A0EE5C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7890B4C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6274928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2D2559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0CD6EB3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2C09A6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09574EB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757375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695E8B3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6B1014B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62F6EEB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867</w:t>
            </w:r>
          </w:p>
        </w:tc>
      </w:tr>
      <w:tr w:rsidR="00AA4FFC" w:rsidRPr="00E86DCF" w14:paraId="51E17B5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39521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May-16</w:t>
            </w:r>
          </w:p>
        </w:tc>
        <w:tc>
          <w:tcPr>
            <w:tcW w:w="960" w:type="dxa"/>
            <w:noWrap/>
            <w:hideMark/>
          </w:tcPr>
          <w:p w14:paraId="1D0F1DD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7F880A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266</w:t>
            </w:r>
          </w:p>
        </w:tc>
        <w:tc>
          <w:tcPr>
            <w:tcW w:w="960" w:type="dxa"/>
            <w:noWrap/>
            <w:hideMark/>
          </w:tcPr>
          <w:p w14:paraId="436C14F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136</w:t>
            </w:r>
          </w:p>
        </w:tc>
        <w:tc>
          <w:tcPr>
            <w:tcW w:w="960" w:type="dxa"/>
            <w:noWrap/>
            <w:hideMark/>
          </w:tcPr>
          <w:p w14:paraId="246DAF4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1EE95B2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795AE1B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2E9362E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674553B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69AA591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4729BD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2756A22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41985C4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w:t>
            </w:r>
          </w:p>
        </w:tc>
        <w:tc>
          <w:tcPr>
            <w:tcW w:w="960" w:type="dxa"/>
            <w:noWrap/>
            <w:hideMark/>
          </w:tcPr>
          <w:p w14:paraId="0D1A12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3C52DC7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972</w:t>
            </w:r>
          </w:p>
        </w:tc>
      </w:tr>
      <w:tr w:rsidR="00AA4FFC" w:rsidRPr="00E86DCF" w14:paraId="760F44BA"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245302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Jun-16</w:t>
            </w:r>
          </w:p>
        </w:tc>
        <w:tc>
          <w:tcPr>
            <w:tcW w:w="960" w:type="dxa"/>
            <w:noWrap/>
            <w:hideMark/>
          </w:tcPr>
          <w:p w14:paraId="43549AC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1FC201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228</w:t>
            </w:r>
          </w:p>
        </w:tc>
        <w:tc>
          <w:tcPr>
            <w:tcW w:w="960" w:type="dxa"/>
            <w:noWrap/>
            <w:hideMark/>
          </w:tcPr>
          <w:p w14:paraId="70CD1D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126</w:t>
            </w:r>
          </w:p>
        </w:tc>
        <w:tc>
          <w:tcPr>
            <w:tcW w:w="960" w:type="dxa"/>
            <w:noWrap/>
            <w:hideMark/>
          </w:tcPr>
          <w:p w14:paraId="07FCF7A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0EB55B5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5E7F0A9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4AC68D8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3E30A79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6B996D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781CAC7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7F1053D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306E96B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D9891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0124A65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902</w:t>
            </w:r>
          </w:p>
        </w:tc>
      </w:tr>
      <w:tr w:rsidR="00AA4FFC" w:rsidRPr="00E86DCF" w14:paraId="7E041290"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CC98F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Jul-16</w:t>
            </w:r>
          </w:p>
        </w:tc>
        <w:tc>
          <w:tcPr>
            <w:tcW w:w="960" w:type="dxa"/>
            <w:noWrap/>
            <w:hideMark/>
          </w:tcPr>
          <w:p w14:paraId="3E14473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2AFCF7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246</w:t>
            </w:r>
          </w:p>
        </w:tc>
        <w:tc>
          <w:tcPr>
            <w:tcW w:w="960" w:type="dxa"/>
            <w:noWrap/>
            <w:hideMark/>
          </w:tcPr>
          <w:p w14:paraId="45BE1F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29CFE90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282BC2A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31D860D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55079A2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1FB0BA2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59E2660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5D70D7A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4D0F36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5BB65BB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7DE893D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5E7D0A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896</w:t>
            </w:r>
          </w:p>
        </w:tc>
      </w:tr>
      <w:tr w:rsidR="00AA4FFC" w:rsidRPr="00E86DCF" w14:paraId="686D9569"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490AA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Aug-16</w:t>
            </w:r>
          </w:p>
        </w:tc>
        <w:tc>
          <w:tcPr>
            <w:tcW w:w="960" w:type="dxa"/>
            <w:noWrap/>
            <w:hideMark/>
          </w:tcPr>
          <w:p w14:paraId="762AC20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6163194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258</w:t>
            </w:r>
          </w:p>
        </w:tc>
        <w:tc>
          <w:tcPr>
            <w:tcW w:w="960" w:type="dxa"/>
            <w:noWrap/>
            <w:hideMark/>
          </w:tcPr>
          <w:p w14:paraId="31CEA22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129</w:t>
            </w:r>
          </w:p>
        </w:tc>
        <w:tc>
          <w:tcPr>
            <w:tcW w:w="960" w:type="dxa"/>
            <w:noWrap/>
            <w:hideMark/>
          </w:tcPr>
          <w:p w14:paraId="5F304DD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5B274B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0D9507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2951043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241AD1E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33F429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38F5240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F73BFA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068BB8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3938338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3C1E108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916</w:t>
            </w:r>
          </w:p>
        </w:tc>
      </w:tr>
      <w:tr w:rsidR="00AA4FFC" w:rsidRPr="00E86DCF" w14:paraId="5657F795"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09D31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Sep-16</w:t>
            </w:r>
          </w:p>
        </w:tc>
        <w:tc>
          <w:tcPr>
            <w:tcW w:w="960" w:type="dxa"/>
            <w:noWrap/>
            <w:hideMark/>
          </w:tcPr>
          <w:p w14:paraId="46F3A2B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BB661B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226</w:t>
            </w:r>
          </w:p>
        </w:tc>
        <w:tc>
          <w:tcPr>
            <w:tcW w:w="960" w:type="dxa"/>
            <w:noWrap/>
            <w:hideMark/>
          </w:tcPr>
          <w:p w14:paraId="6ED02A8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145</w:t>
            </w:r>
          </w:p>
        </w:tc>
        <w:tc>
          <w:tcPr>
            <w:tcW w:w="960" w:type="dxa"/>
            <w:noWrap/>
            <w:hideMark/>
          </w:tcPr>
          <w:p w14:paraId="42FD91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14CF6E5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74C9E0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7FB7160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DD4B79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549362A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353DBD1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1C8B522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27DB6A4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787E90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24045C5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984</w:t>
            </w:r>
          </w:p>
        </w:tc>
      </w:tr>
      <w:tr w:rsidR="00AA4FFC" w:rsidRPr="00E86DCF" w14:paraId="0EFBD4B5"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7C1F7E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Oct-16</w:t>
            </w:r>
          </w:p>
        </w:tc>
        <w:tc>
          <w:tcPr>
            <w:tcW w:w="960" w:type="dxa"/>
            <w:noWrap/>
            <w:hideMark/>
          </w:tcPr>
          <w:p w14:paraId="374F4A0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77D7DF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237</w:t>
            </w:r>
          </w:p>
        </w:tc>
        <w:tc>
          <w:tcPr>
            <w:tcW w:w="960" w:type="dxa"/>
            <w:noWrap/>
            <w:hideMark/>
          </w:tcPr>
          <w:p w14:paraId="2FB2E0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111</w:t>
            </w:r>
          </w:p>
        </w:tc>
        <w:tc>
          <w:tcPr>
            <w:tcW w:w="960" w:type="dxa"/>
            <w:noWrap/>
            <w:hideMark/>
          </w:tcPr>
          <w:p w14:paraId="7C66B3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0B07A4D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F4C11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643E4D6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452BD55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3DA32BB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37CFDFA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CC4901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5BD7BA0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7E09C22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5769C01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962</w:t>
            </w:r>
          </w:p>
        </w:tc>
      </w:tr>
      <w:tr w:rsidR="00AA4FFC" w:rsidRPr="00E86DCF" w14:paraId="2BFF4F15"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E1BD1C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Nov-16</w:t>
            </w:r>
          </w:p>
        </w:tc>
        <w:tc>
          <w:tcPr>
            <w:tcW w:w="960" w:type="dxa"/>
            <w:noWrap/>
            <w:hideMark/>
          </w:tcPr>
          <w:p w14:paraId="3C4AED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2187E74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242</w:t>
            </w:r>
          </w:p>
        </w:tc>
        <w:tc>
          <w:tcPr>
            <w:tcW w:w="960" w:type="dxa"/>
            <w:noWrap/>
            <w:hideMark/>
          </w:tcPr>
          <w:p w14:paraId="75BF88D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140</w:t>
            </w:r>
          </w:p>
        </w:tc>
        <w:tc>
          <w:tcPr>
            <w:tcW w:w="960" w:type="dxa"/>
            <w:noWrap/>
            <w:hideMark/>
          </w:tcPr>
          <w:p w14:paraId="4FF0C2D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100</w:t>
            </w:r>
          </w:p>
        </w:tc>
        <w:tc>
          <w:tcPr>
            <w:tcW w:w="960" w:type="dxa"/>
            <w:noWrap/>
            <w:hideMark/>
          </w:tcPr>
          <w:p w14:paraId="626EC6B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4ECAE8F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595867A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2F8D71A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604DAA1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1E825A4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09CEBC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5B1C78A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6E4D5BB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28C5169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991</w:t>
            </w:r>
          </w:p>
        </w:tc>
      </w:tr>
      <w:tr w:rsidR="00AA4FFC" w:rsidRPr="00E86DCF" w14:paraId="3B19D9E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89980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Dec-16</w:t>
            </w:r>
          </w:p>
        </w:tc>
        <w:tc>
          <w:tcPr>
            <w:tcW w:w="960" w:type="dxa"/>
            <w:noWrap/>
            <w:hideMark/>
          </w:tcPr>
          <w:p w14:paraId="4599C4E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372441C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178</w:t>
            </w:r>
          </w:p>
        </w:tc>
        <w:tc>
          <w:tcPr>
            <w:tcW w:w="960" w:type="dxa"/>
            <w:noWrap/>
            <w:hideMark/>
          </w:tcPr>
          <w:p w14:paraId="04FBC0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132</w:t>
            </w:r>
          </w:p>
        </w:tc>
        <w:tc>
          <w:tcPr>
            <w:tcW w:w="960" w:type="dxa"/>
            <w:noWrap/>
            <w:hideMark/>
          </w:tcPr>
          <w:p w14:paraId="490ABB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3BC05C5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5DA2D6C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4B17AA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65ED23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5574725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6F5490A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1A3F722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0F0BF1B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844598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512CB4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862</w:t>
            </w:r>
          </w:p>
        </w:tc>
      </w:tr>
      <w:tr w:rsidR="00AA4FFC" w:rsidRPr="00E86DCF" w14:paraId="477081CD"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9CA52B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Jan-17</w:t>
            </w:r>
          </w:p>
        </w:tc>
        <w:tc>
          <w:tcPr>
            <w:tcW w:w="960" w:type="dxa"/>
            <w:noWrap/>
            <w:hideMark/>
          </w:tcPr>
          <w:p w14:paraId="11D3BC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02E11CF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200</w:t>
            </w:r>
          </w:p>
        </w:tc>
        <w:tc>
          <w:tcPr>
            <w:tcW w:w="960" w:type="dxa"/>
            <w:noWrap/>
            <w:hideMark/>
          </w:tcPr>
          <w:p w14:paraId="1120904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139</w:t>
            </w:r>
          </w:p>
        </w:tc>
        <w:tc>
          <w:tcPr>
            <w:tcW w:w="960" w:type="dxa"/>
            <w:noWrap/>
            <w:hideMark/>
          </w:tcPr>
          <w:p w14:paraId="294B291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w:t>
            </w:r>
          </w:p>
        </w:tc>
        <w:tc>
          <w:tcPr>
            <w:tcW w:w="960" w:type="dxa"/>
            <w:noWrap/>
            <w:hideMark/>
          </w:tcPr>
          <w:p w14:paraId="4374448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5E75BB7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65A5CE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50015E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0F54A3B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3D19A62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1C081DF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7E72EA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19A17CB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633A1CD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916</w:t>
            </w:r>
          </w:p>
        </w:tc>
      </w:tr>
      <w:tr w:rsidR="00AA4FFC" w:rsidRPr="00E86DCF" w14:paraId="55804A5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230635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Feb-17</w:t>
            </w:r>
          </w:p>
        </w:tc>
        <w:tc>
          <w:tcPr>
            <w:tcW w:w="960" w:type="dxa"/>
            <w:noWrap/>
            <w:hideMark/>
          </w:tcPr>
          <w:p w14:paraId="555F366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40B7D42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247</w:t>
            </w:r>
          </w:p>
        </w:tc>
        <w:tc>
          <w:tcPr>
            <w:tcW w:w="960" w:type="dxa"/>
            <w:noWrap/>
            <w:hideMark/>
          </w:tcPr>
          <w:p w14:paraId="6753C7B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143</w:t>
            </w:r>
          </w:p>
        </w:tc>
        <w:tc>
          <w:tcPr>
            <w:tcW w:w="960" w:type="dxa"/>
            <w:noWrap/>
            <w:hideMark/>
          </w:tcPr>
          <w:p w14:paraId="1421C3F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6E67F10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2496CE5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4876EB5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152F85F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5B32CC9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46DE91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638EDE8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7AFB6B3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1A4DAB4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30AF709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969</w:t>
            </w:r>
          </w:p>
        </w:tc>
      </w:tr>
      <w:tr w:rsidR="00AA4FFC" w:rsidRPr="00E86DCF" w14:paraId="120E75DB"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B0EFD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Mar-17</w:t>
            </w:r>
          </w:p>
        </w:tc>
        <w:tc>
          <w:tcPr>
            <w:tcW w:w="960" w:type="dxa"/>
            <w:noWrap/>
            <w:hideMark/>
          </w:tcPr>
          <w:p w14:paraId="5FEE6E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c>
          <w:tcPr>
            <w:tcW w:w="960" w:type="dxa"/>
            <w:noWrap/>
            <w:hideMark/>
          </w:tcPr>
          <w:p w14:paraId="5920DB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330</w:t>
            </w:r>
          </w:p>
        </w:tc>
        <w:tc>
          <w:tcPr>
            <w:tcW w:w="960" w:type="dxa"/>
            <w:noWrap/>
            <w:hideMark/>
          </w:tcPr>
          <w:p w14:paraId="5C91799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152</w:t>
            </w:r>
          </w:p>
        </w:tc>
        <w:tc>
          <w:tcPr>
            <w:tcW w:w="960" w:type="dxa"/>
            <w:noWrap/>
            <w:hideMark/>
          </w:tcPr>
          <w:p w14:paraId="53F2899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1A96649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169DC7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E06E03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28D532B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92</w:t>
            </w:r>
          </w:p>
        </w:tc>
        <w:tc>
          <w:tcPr>
            <w:tcW w:w="960" w:type="dxa"/>
            <w:noWrap/>
            <w:hideMark/>
          </w:tcPr>
          <w:p w14:paraId="1606826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12C6461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5B7AFC6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1831C96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4908EB1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762F5CF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1190</w:t>
            </w:r>
          </w:p>
        </w:tc>
      </w:tr>
      <w:tr w:rsidR="00AA4FFC" w:rsidRPr="00E86DCF" w14:paraId="7E513EC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CC0B6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Apr-17</w:t>
            </w:r>
          </w:p>
        </w:tc>
        <w:tc>
          <w:tcPr>
            <w:tcW w:w="960" w:type="dxa"/>
            <w:noWrap/>
            <w:hideMark/>
          </w:tcPr>
          <w:p w14:paraId="61DF4FA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4EFEB71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243</w:t>
            </w:r>
          </w:p>
        </w:tc>
        <w:tc>
          <w:tcPr>
            <w:tcW w:w="960" w:type="dxa"/>
            <w:noWrap/>
            <w:hideMark/>
          </w:tcPr>
          <w:p w14:paraId="1CC1F06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136</w:t>
            </w:r>
          </w:p>
        </w:tc>
        <w:tc>
          <w:tcPr>
            <w:tcW w:w="960" w:type="dxa"/>
            <w:noWrap/>
            <w:hideMark/>
          </w:tcPr>
          <w:p w14:paraId="572F6D9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518CF89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829FA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D72159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4CB3C9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84721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4BD837D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40E316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62DEA14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11DE7F1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1FBF05E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953</w:t>
            </w:r>
          </w:p>
        </w:tc>
      </w:tr>
      <w:tr w:rsidR="00AA4FFC" w:rsidRPr="00E86DCF" w14:paraId="658C3931"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DE1974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May-17</w:t>
            </w:r>
          </w:p>
        </w:tc>
        <w:tc>
          <w:tcPr>
            <w:tcW w:w="960" w:type="dxa"/>
            <w:noWrap/>
            <w:hideMark/>
          </w:tcPr>
          <w:p w14:paraId="22747F5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w:t>
            </w:r>
          </w:p>
        </w:tc>
        <w:tc>
          <w:tcPr>
            <w:tcW w:w="960" w:type="dxa"/>
            <w:noWrap/>
            <w:hideMark/>
          </w:tcPr>
          <w:p w14:paraId="6A46079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272</w:t>
            </w:r>
          </w:p>
        </w:tc>
        <w:tc>
          <w:tcPr>
            <w:tcW w:w="960" w:type="dxa"/>
            <w:noWrap/>
            <w:hideMark/>
          </w:tcPr>
          <w:p w14:paraId="1B9D332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137</w:t>
            </w:r>
          </w:p>
        </w:tc>
        <w:tc>
          <w:tcPr>
            <w:tcW w:w="960" w:type="dxa"/>
            <w:noWrap/>
            <w:hideMark/>
          </w:tcPr>
          <w:p w14:paraId="78BFFAB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78031E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2AC40E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3E6870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7A0D5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0029BEB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5C85A0A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D713FC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4CA76E2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4E38EFD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7955A44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994</w:t>
            </w:r>
          </w:p>
        </w:tc>
      </w:tr>
      <w:tr w:rsidR="00AA4FFC" w:rsidRPr="00E86DCF" w14:paraId="4FE9E27C"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7B0150"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Jun-17</w:t>
            </w:r>
          </w:p>
        </w:tc>
        <w:tc>
          <w:tcPr>
            <w:tcW w:w="960" w:type="dxa"/>
            <w:noWrap/>
            <w:hideMark/>
          </w:tcPr>
          <w:p w14:paraId="3CEE453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1BE1F8B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269</w:t>
            </w:r>
          </w:p>
        </w:tc>
        <w:tc>
          <w:tcPr>
            <w:tcW w:w="960" w:type="dxa"/>
            <w:noWrap/>
            <w:hideMark/>
          </w:tcPr>
          <w:p w14:paraId="470F64F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132</w:t>
            </w:r>
          </w:p>
        </w:tc>
        <w:tc>
          <w:tcPr>
            <w:tcW w:w="960" w:type="dxa"/>
            <w:noWrap/>
            <w:hideMark/>
          </w:tcPr>
          <w:p w14:paraId="34A215F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w:t>
            </w:r>
          </w:p>
        </w:tc>
        <w:tc>
          <w:tcPr>
            <w:tcW w:w="960" w:type="dxa"/>
            <w:noWrap/>
            <w:hideMark/>
          </w:tcPr>
          <w:p w14:paraId="4930F5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764805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43FE2D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0923C1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BC6AC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4FC1564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47182A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0510290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5802C2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7CD9F07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975</w:t>
            </w:r>
          </w:p>
        </w:tc>
      </w:tr>
      <w:tr w:rsidR="00AA4FFC" w:rsidRPr="00E86DCF" w14:paraId="124490E2"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A29B2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Jul-17</w:t>
            </w:r>
          </w:p>
        </w:tc>
        <w:tc>
          <w:tcPr>
            <w:tcW w:w="960" w:type="dxa"/>
            <w:noWrap/>
            <w:hideMark/>
          </w:tcPr>
          <w:p w14:paraId="2B279E9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9FB8B6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217</w:t>
            </w:r>
          </w:p>
        </w:tc>
        <w:tc>
          <w:tcPr>
            <w:tcW w:w="960" w:type="dxa"/>
            <w:noWrap/>
            <w:hideMark/>
          </w:tcPr>
          <w:p w14:paraId="3220B18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w:t>
            </w:r>
          </w:p>
        </w:tc>
        <w:tc>
          <w:tcPr>
            <w:tcW w:w="960" w:type="dxa"/>
            <w:noWrap/>
            <w:hideMark/>
          </w:tcPr>
          <w:p w14:paraId="2B46AB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511D285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w:t>
            </w:r>
          </w:p>
        </w:tc>
        <w:tc>
          <w:tcPr>
            <w:tcW w:w="960" w:type="dxa"/>
            <w:noWrap/>
            <w:hideMark/>
          </w:tcPr>
          <w:p w14:paraId="66A0FC1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48F4464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5E3869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3541D7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39F5BE7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2397C69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10A9C0D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5B58680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699B9F8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853</w:t>
            </w:r>
          </w:p>
        </w:tc>
      </w:tr>
      <w:tr w:rsidR="00AA4FFC" w:rsidRPr="00E86DCF" w14:paraId="667CBB5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76EB7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Aug-17</w:t>
            </w:r>
          </w:p>
        </w:tc>
        <w:tc>
          <w:tcPr>
            <w:tcW w:w="960" w:type="dxa"/>
            <w:noWrap/>
            <w:hideMark/>
          </w:tcPr>
          <w:p w14:paraId="4C342B5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087087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254</w:t>
            </w:r>
          </w:p>
        </w:tc>
        <w:tc>
          <w:tcPr>
            <w:tcW w:w="960" w:type="dxa"/>
            <w:noWrap/>
            <w:hideMark/>
          </w:tcPr>
          <w:p w14:paraId="60165DF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123</w:t>
            </w:r>
          </w:p>
        </w:tc>
        <w:tc>
          <w:tcPr>
            <w:tcW w:w="960" w:type="dxa"/>
            <w:noWrap/>
            <w:hideMark/>
          </w:tcPr>
          <w:p w14:paraId="5520E5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69FE9B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679012D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1D2F0A3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30A7802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24EB228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6B98FC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672CB09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387EB72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7045B63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3D6BAA9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884</w:t>
            </w:r>
          </w:p>
        </w:tc>
      </w:tr>
      <w:tr w:rsidR="00AA4FFC" w:rsidRPr="00E86DCF" w14:paraId="1F38112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2B2FC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Sep-17</w:t>
            </w:r>
          </w:p>
        </w:tc>
        <w:tc>
          <w:tcPr>
            <w:tcW w:w="960" w:type="dxa"/>
            <w:noWrap/>
            <w:hideMark/>
          </w:tcPr>
          <w:p w14:paraId="45D4A9D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0A84F1C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200</w:t>
            </w:r>
          </w:p>
        </w:tc>
        <w:tc>
          <w:tcPr>
            <w:tcW w:w="960" w:type="dxa"/>
            <w:noWrap/>
            <w:hideMark/>
          </w:tcPr>
          <w:p w14:paraId="293B3F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130</w:t>
            </w:r>
          </w:p>
        </w:tc>
        <w:tc>
          <w:tcPr>
            <w:tcW w:w="960" w:type="dxa"/>
            <w:noWrap/>
            <w:hideMark/>
          </w:tcPr>
          <w:p w14:paraId="61048DA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06BC1A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7957A60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328A26B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78FB831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63E19A1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60E16B2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42D888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7EF7A8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w:t>
            </w:r>
          </w:p>
        </w:tc>
        <w:tc>
          <w:tcPr>
            <w:tcW w:w="960" w:type="dxa"/>
            <w:noWrap/>
            <w:hideMark/>
          </w:tcPr>
          <w:p w14:paraId="093C7C3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7076F8E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819</w:t>
            </w:r>
          </w:p>
        </w:tc>
      </w:tr>
      <w:tr w:rsidR="00AA4FFC" w:rsidRPr="00E86DCF" w14:paraId="13E6D479"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4F717F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Oct-17</w:t>
            </w:r>
          </w:p>
        </w:tc>
        <w:tc>
          <w:tcPr>
            <w:tcW w:w="960" w:type="dxa"/>
            <w:noWrap/>
            <w:hideMark/>
          </w:tcPr>
          <w:p w14:paraId="565EBF1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0BD67C5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263</w:t>
            </w:r>
          </w:p>
        </w:tc>
        <w:tc>
          <w:tcPr>
            <w:tcW w:w="960" w:type="dxa"/>
            <w:noWrap/>
            <w:hideMark/>
          </w:tcPr>
          <w:p w14:paraId="3E6D40B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123</w:t>
            </w:r>
          </w:p>
        </w:tc>
        <w:tc>
          <w:tcPr>
            <w:tcW w:w="960" w:type="dxa"/>
            <w:noWrap/>
            <w:hideMark/>
          </w:tcPr>
          <w:p w14:paraId="00598DC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w:t>
            </w:r>
          </w:p>
        </w:tc>
        <w:tc>
          <w:tcPr>
            <w:tcW w:w="960" w:type="dxa"/>
            <w:noWrap/>
            <w:hideMark/>
          </w:tcPr>
          <w:p w14:paraId="06A082C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6C4E4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5A8B828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w:t>
            </w:r>
          </w:p>
        </w:tc>
        <w:tc>
          <w:tcPr>
            <w:tcW w:w="960" w:type="dxa"/>
            <w:noWrap/>
            <w:hideMark/>
          </w:tcPr>
          <w:p w14:paraId="351A484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4C52EB0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4108B8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29C63F5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3577EE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5513E92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77E47EF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955</w:t>
            </w:r>
          </w:p>
        </w:tc>
      </w:tr>
      <w:tr w:rsidR="00AA4FFC" w:rsidRPr="00E86DCF" w14:paraId="4617C7A5"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71CF3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Nov-17</w:t>
            </w:r>
          </w:p>
        </w:tc>
        <w:tc>
          <w:tcPr>
            <w:tcW w:w="960" w:type="dxa"/>
            <w:noWrap/>
            <w:hideMark/>
          </w:tcPr>
          <w:p w14:paraId="3E285A9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2D27F6E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235</w:t>
            </w:r>
          </w:p>
        </w:tc>
        <w:tc>
          <w:tcPr>
            <w:tcW w:w="960" w:type="dxa"/>
            <w:noWrap/>
            <w:hideMark/>
          </w:tcPr>
          <w:p w14:paraId="7137973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176</w:t>
            </w:r>
          </w:p>
        </w:tc>
        <w:tc>
          <w:tcPr>
            <w:tcW w:w="960" w:type="dxa"/>
            <w:noWrap/>
            <w:hideMark/>
          </w:tcPr>
          <w:p w14:paraId="7CB0112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098E399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0433F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1ED5B0B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06E9D0D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52FCEEC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4C61A7C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596F5D4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205B60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6C925FF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679B4B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943</w:t>
            </w:r>
          </w:p>
        </w:tc>
      </w:tr>
      <w:tr w:rsidR="00AA4FFC" w:rsidRPr="00E86DCF" w14:paraId="5ADDAEE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952F0F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Dec-17</w:t>
            </w:r>
          </w:p>
        </w:tc>
        <w:tc>
          <w:tcPr>
            <w:tcW w:w="960" w:type="dxa"/>
            <w:noWrap/>
            <w:hideMark/>
          </w:tcPr>
          <w:p w14:paraId="1DF3F0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326DA35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159</w:t>
            </w:r>
          </w:p>
        </w:tc>
        <w:tc>
          <w:tcPr>
            <w:tcW w:w="960" w:type="dxa"/>
            <w:noWrap/>
            <w:hideMark/>
          </w:tcPr>
          <w:p w14:paraId="331FF6C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6C4B16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17B096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6C87AF6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C6030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011E2AF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7D63440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6436D6B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26D89CE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5F07082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2BD0A4A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7E493E0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848</w:t>
            </w:r>
          </w:p>
        </w:tc>
      </w:tr>
      <w:tr w:rsidR="00AA4FFC" w:rsidRPr="00E86DCF" w14:paraId="7AD6DD0E"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8C4A8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Jan-18</w:t>
            </w:r>
          </w:p>
        </w:tc>
        <w:tc>
          <w:tcPr>
            <w:tcW w:w="960" w:type="dxa"/>
            <w:noWrap/>
            <w:hideMark/>
          </w:tcPr>
          <w:p w14:paraId="72132E9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64EF877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166</w:t>
            </w:r>
          </w:p>
        </w:tc>
        <w:tc>
          <w:tcPr>
            <w:tcW w:w="960" w:type="dxa"/>
            <w:noWrap/>
            <w:hideMark/>
          </w:tcPr>
          <w:p w14:paraId="542C98A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122</w:t>
            </w:r>
          </w:p>
        </w:tc>
        <w:tc>
          <w:tcPr>
            <w:tcW w:w="960" w:type="dxa"/>
            <w:noWrap/>
            <w:hideMark/>
          </w:tcPr>
          <w:p w14:paraId="4DE90FE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011373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624D33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66</w:t>
            </w:r>
          </w:p>
        </w:tc>
        <w:tc>
          <w:tcPr>
            <w:tcW w:w="960" w:type="dxa"/>
            <w:noWrap/>
            <w:hideMark/>
          </w:tcPr>
          <w:p w14:paraId="46BE3ED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0B7CEA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524ADB5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1CCD04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00308EF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61E85A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29F39E2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0207A8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830</w:t>
            </w:r>
          </w:p>
        </w:tc>
      </w:tr>
      <w:tr w:rsidR="00AA4FFC" w:rsidRPr="00E86DCF" w14:paraId="47AF88E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FEB5DA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Feb-18</w:t>
            </w:r>
          </w:p>
        </w:tc>
        <w:tc>
          <w:tcPr>
            <w:tcW w:w="960" w:type="dxa"/>
            <w:noWrap/>
            <w:hideMark/>
          </w:tcPr>
          <w:p w14:paraId="2374619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42D02E0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173</w:t>
            </w:r>
          </w:p>
        </w:tc>
        <w:tc>
          <w:tcPr>
            <w:tcW w:w="960" w:type="dxa"/>
            <w:noWrap/>
            <w:hideMark/>
          </w:tcPr>
          <w:p w14:paraId="478386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960" w:type="dxa"/>
            <w:noWrap/>
            <w:hideMark/>
          </w:tcPr>
          <w:p w14:paraId="1BDB58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w:t>
            </w:r>
          </w:p>
        </w:tc>
        <w:tc>
          <w:tcPr>
            <w:tcW w:w="960" w:type="dxa"/>
            <w:noWrap/>
            <w:hideMark/>
          </w:tcPr>
          <w:p w14:paraId="48DE5D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w:t>
            </w:r>
          </w:p>
        </w:tc>
        <w:tc>
          <w:tcPr>
            <w:tcW w:w="960" w:type="dxa"/>
            <w:noWrap/>
            <w:hideMark/>
          </w:tcPr>
          <w:p w14:paraId="15B9742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06AAA1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w:t>
            </w:r>
          </w:p>
        </w:tc>
        <w:tc>
          <w:tcPr>
            <w:tcW w:w="960" w:type="dxa"/>
            <w:noWrap/>
            <w:hideMark/>
          </w:tcPr>
          <w:p w14:paraId="5B08BCE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7943514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269180C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705716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66DCA8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3A31860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18EFEEF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816</w:t>
            </w:r>
          </w:p>
        </w:tc>
      </w:tr>
      <w:tr w:rsidR="00AA4FFC" w:rsidRPr="00E86DCF" w14:paraId="06E05DE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4247DA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Mar-18</w:t>
            </w:r>
          </w:p>
        </w:tc>
        <w:tc>
          <w:tcPr>
            <w:tcW w:w="960" w:type="dxa"/>
            <w:noWrap/>
            <w:hideMark/>
          </w:tcPr>
          <w:p w14:paraId="76F476A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1B78FDD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212</w:t>
            </w:r>
          </w:p>
        </w:tc>
        <w:tc>
          <w:tcPr>
            <w:tcW w:w="960" w:type="dxa"/>
            <w:noWrap/>
            <w:hideMark/>
          </w:tcPr>
          <w:p w14:paraId="0BAE459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117</w:t>
            </w:r>
          </w:p>
        </w:tc>
        <w:tc>
          <w:tcPr>
            <w:tcW w:w="960" w:type="dxa"/>
            <w:noWrap/>
            <w:hideMark/>
          </w:tcPr>
          <w:p w14:paraId="37B1A08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98</w:t>
            </w:r>
          </w:p>
        </w:tc>
        <w:tc>
          <w:tcPr>
            <w:tcW w:w="960" w:type="dxa"/>
            <w:noWrap/>
            <w:hideMark/>
          </w:tcPr>
          <w:p w14:paraId="34693F7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44B507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6FF2A3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A6F85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335FB4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799287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05554BA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34443ED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392B19D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458B2A3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823</w:t>
            </w:r>
          </w:p>
        </w:tc>
      </w:tr>
      <w:tr w:rsidR="00AA4FFC" w:rsidRPr="00E86DCF" w14:paraId="3DCA29D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7EFE1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Apr-18</w:t>
            </w:r>
          </w:p>
        </w:tc>
        <w:tc>
          <w:tcPr>
            <w:tcW w:w="960" w:type="dxa"/>
            <w:noWrap/>
            <w:hideMark/>
          </w:tcPr>
          <w:p w14:paraId="6AE5D73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0E7F7C8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186</w:t>
            </w:r>
          </w:p>
        </w:tc>
        <w:tc>
          <w:tcPr>
            <w:tcW w:w="960" w:type="dxa"/>
            <w:noWrap/>
            <w:hideMark/>
          </w:tcPr>
          <w:p w14:paraId="4BD83B0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w:t>
            </w:r>
          </w:p>
        </w:tc>
        <w:tc>
          <w:tcPr>
            <w:tcW w:w="960" w:type="dxa"/>
            <w:noWrap/>
            <w:hideMark/>
          </w:tcPr>
          <w:p w14:paraId="415C5C8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0F572FC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1ED041E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367E05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1B97894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1F7A047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7093D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289726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49B9107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5BB99EB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7B09B0A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769</w:t>
            </w:r>
          </w:p>
        </w:tc>
      </w:tr>
      <w:tr w:rsidR="00AA4FFC" w:rsidRPr="00E86DCF" w14:paraId="496FC6E8"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B4FC9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May-18</w:t>
            </w:r>
          </w:p>
        </w:tc>
        <w:tc>
          <w:tcPr>
            <w:tcW w:w="960" w:type="dxa"/>
            <w:noWrap/>
            <w:hideMark/>
          </w:tcPr>
          <w:p w14:paraId="2D4B2FF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387C851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194</w:t>
            </w:r>
          </w:p>
        </w:tc>
        <w:tc>
          <w:tcPr>
            <w:tcW w:w="960" w:type="dxa"/>
            <w:noWrap/>
            <w:hideMark/>
          </w:tcPr>
          <w:p w14:paraId="1C0A22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w:t>
            </w:r>
          </w:p>
        </w:tc>
        <w:tc>
          <w:tcPr>
            <w:tcW w:w="960" w:type="dxa"/>
            <w:noWrap/>
            <w:hideMark/>
          </w:tcPr>
          <w:p w14:paraId="4BD60CC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6DB5F05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77D1E13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49BAE4C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21E8B89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77FE0EB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68881DA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48E5B9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018A1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3BE6CE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20827FD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783</w:t>
            </w:r>
          </w:p>
        </w:tc>
      </w:tr>
      <w:tr w:rsidR="00AA4FFC" w:rsidRPr="00E86DCF" w14:paraId="6C938529"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2E7DA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Jun-18</w:t>
            </w:r>
          </w:p>
        </w:tc>
        <w:tc>
          <w:tcPr>
            <w:tcW w:w="960" w:type="dxa"/>
            <w:noWrap/>
            <w:hideMark/>
          </w:tcPr>
          <w:p w14:paraId="72978BE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3ADE9F5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225</w:t>
            </w:r>
          </w:p>
        </w:tc>
        <w:tc>
          <w:tcPr>
            <w:tcW w:w="960" w:type="dxa"/>
            <w:noWrap/>
            <w:hideMark/>
          </w:tcPr>
          <w:p w14:paraId="0992B9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105</w:t>
            </w:r>
          </w:p>
        </w:tc>
        <w:tc>
          <w:tcPr>
            <w:tcW w:w="960" w:type="dxa"/>
            <w:noWrap/>
            <w:hideMark/>
          </w:tcPr>
          <w:p w14:paraId="5CD2CEC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1E5400C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17AE097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0AADDE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4B48CCF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42EB000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4C6E165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365CE29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246DE83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w:t>
            </w:r>
          </w:p>
        </w:tc>
        <w:tc>
          <w:tcPr>
            <w:tcW w:w="960" w:type="dxa"/>
            <w:noWrap/>
            <w:hideMark/>
          </w:tcPr>
          <w:p w14:paraId="2773522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0E22EAB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771</w:t>
            </w:r>
          </w:p>
        </w:tc>
      </w:tr>
      <w:tr w:rsidR="00AA4FFC" w:rsidRPr="00E86DCF" w14:paraId="677E90FB"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2685A7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Jul-18</w:t>
            </w:r>
          </w:p>
        </w:tc>
        <w:tc>
          <w:tcPr>
            <w:tcW w:w="960" w:type="dxa"/>
            <w:noWrap/>
            <w:hideMark/>
          </w:tcPr>
          <w:p w14:paraId="2862BEA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6F37D9A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w:t>
            </w:r>
          </w:p>
        </w:tc>
        <w:tc>
          <w:tcPr>
            <w:tcW w:w="960" w:type="dxa"/>
            <w:noWrap/>
            <w:hideMark/>
          </w:tcPr>
          <w:p w14:paraId="4CA62AE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98</w:t>
            </w:r>
          </w:p>
        </w:tc>
        <w:tc>
          <w:tcPr>
            <w:tcW w:w="960" w:type="dxa"/>
            <w:noWrap/>
            <w:hideMark/>
          </w:tcPr>
          <w:p w14:paraId="1DC9636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51F6F45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0A0918A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1A03B7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1BA1AF7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24D619C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44A829E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025B923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0E058DB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061A8CB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4395DE5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748</w:t>
            </w:r>
          </w:p>
        </w:tc>
      </w:tr>
      <w:tr w:rsidR="00AA4FFC" w:rsidRPr="00E86DCF" w14:paraId="45084ACB"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D8CD8E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Aug-18</w:t>
            </w:r>
          </w:p>
        </w:tc>
        <w:tc>
          <w:tcPr>
            <w:tcW w:w="960" w:type="dxa"/>
            <w:noWrap/>
            <w:hideMark/>
          </w:tcPr>
          <w:p w14:paraId="1F6B03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90</w:t>
            </w:r>
          </w:p>
        </w:tc>
        <w:tc>
          <w:tcPr>
            <w:tcW w:w="960" w:type="dxa"/>
            <w:noWrap/>
            <w:hideMark/>
          </w:tcPr>
          <w:p w14:paraId="67831A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w:t>
            </w:r>
          </w:p>
        </w:tc>
        <w:tc>
          <w:tcPr>
            <w:tcW w:w="960" w:type="dxa"/>
            <w:noWrap/>
            <w:hideMark/>
          </w:tcPr>
          <w:p w14:paraId="2B9D8F0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124</w:t>
            </w:r>
          </w:p>
        </w:tc>
        <w:tc>
          <w:tcPr>
            <w:tcW w:w="960" w:type="dxa"/>
            <w:noWrap/>
            <w:hideMark/>
          </w:tcPr>
          <w:p w14:paraId="5685AFA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61B1646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6D65941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6CF00E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5066490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7F0CA53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232B7C7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w:t>
            </w:r>
          </w:p>
        </w:tc>
        <w:tc>
          <w:tcPr>
            <w:tcW w:w="960" w:type="dxa"/>
            <w:noWrap/>
            <w:hideMark/>
          </w:tcPr>
          <w:p w14:paraId="56518A8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113D80C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w:t>
            </w:r>
          </w:p>
        </w:tc>
        <w:tc>
          <w:tcPr>
            <w:tcW w:w="960" w:type="dxa"/>
            <w:noWrap/>
            <w:hideMark/>
          </w:tcPr>
          <w:p w14:paraId="7F82B45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544DBAE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840</w:t>
            </w:r>
          </w:p>
        </w:tc>
      </w:tr>
      <w:tr w:rsidR="00AA4FFC" w:rsidRPr="00E86DCF" w14:paraId="5884453C"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2A38E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Sep-18</w:t>
            </w:r>
          </w:p>
        </w:tc>
        <w:tc>
          <w:tcPr>
            <w:tcW w:w="960" w:type="dxa"/>
            <w:noWrap/>
            <w:hideMark/>
          </w:tcPr>
          <w:p w14:paraId="70D5794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489AEC6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186</w:t>
            </w:r>
          </w:p>
        </w:tc>
        <w:tc>
          <w:tcPr>
            <w:tcW w:w="960" w:type="dxa"/>
            <w:noWrap/>
            <w:hideMark/>
          </w:tcPr>
          <w:p w14:paraId="7A6B905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w:t>
            </w:r>
          </w:p>
        </w:tc>
        <w:tc>
          <w:tcPr>
            <w:tcW w:w="960" w:type="dxa"/>
            <w:noWrap/>
            <w:hideMark/>
          </w:tcPr>
          <w:p w14:paraId="0B8E506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w:t>
            </w:r>
          </w:p>
        </w:tc>
        <w:tc>
          <w:tcPr>
            <w:tcW w:w="960" w:type="dxa"/>
            <w:noWrap/>
            <w:hideMark/>
          </w:tcPr>
          <w:p w14:paraId="6DAF226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72C7E95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7A4E93E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338BF54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1B4D9D3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0B94A9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6141577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22C5177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7E231D8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242FCAD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801</w:t>
            </w:r>
          </w:p>
        </w:tc>
      </w:tr>
      <w:tr w:rsidR="00AA4FFC" w:rsidRPr="00E86DCF" w14:paraId="3E805C8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560E70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Oct-18</w:t>
            </w:r>
          </w:p>
        </w:tc>
        <w:tc>
          <w:tcPr>
            <w:tcW w:w="960" w:type="dxa"/>
            <w:noWrap/>
            <w:hideMark/>
          </w:tcPr>
          <w:p w14:paraId="518D299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F81DC2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220</w:t>
            </w:r>
          </w:p>
        </w:tc>
        <w:tc>
          <w:tcPr>
            <w:tcW w:w="960" w:type="dxa"/>
            <w:noWrap/>
            <w:hideMark/>
          </w:tcPr>
          <w:p w14:paraId="23E78A8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w:t>
            </w:r>
          </w:p>
        </w:tc>
        <w:tc>
          <w:tcPr>
            <w:tcW w:w="960" w:type="dxa"/>
            <w:noWrap/>
            <w:hideMark/>
          </w:tcPr>
          <w:p w14:paraId="04BA260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74518AD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77496CE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56E4606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1252C14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0BCCCE2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4B0D8B7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61ABC07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1502D76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90EDCF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3A3FD94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809</w:t>
            </w:r>
          </w:p>
        </w:tc>
      </w:tr>
      <w:tr w:rsidR="00AA4FFC" w:rsidRPr="00E86DCF" w14:paraId="292A2B3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D6B778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Nov-18</w:t>
            </w:r>
          </w:p>
        </w:tc>
        <w:tc>
          <w:tcPr>
            <w:tcW w:w="960" w:type="dxa"/>
            <w:noWrap/>
            <w:hideMark/>
          </w:tcPr>
          <w:p w14:paraId="7ED606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73B2486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208</w:t>
            </w:r>
          </w:p>
        </w:tc>
        <w:tc>
          <w:tcPr>
            <w:tcW w:w="960" w:type="dxa"/>
            <w:noWrap/>
            <w:hideMark/>
          </w:tcPr>
          <w:p w14:paraId="198FAB9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117</w:t>
            </w:r>
          </w:p>
        </w:tc>
        <w:tc>
          <w:tcPr>
            <w:tcW w:w="960" w:type="dxa"/>
            <w:noWrap/>
            <w:hideMark/>
          </w:tcPr>
          <w:p w14:paraId="37B6D7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7C84E7F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11C4F4E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4BF3547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50FB8B2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5D164D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3B95FB0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03CC348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4C08EC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0D64C35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6DA68AD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808</w:t>
            </w:r>
          </w:p>
        </w:tc>
      </w:tr>
      <w:tr w:rsidR="00AA4FFC" w:rsidRPr="00E86DCF" w14:paraId="54F0230A"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C871E2"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Dec-18</w:t>
            </w:r>
          </w:p>
        </w:tc>
        <w:tc>
          <w:tcPr>
            <w:tcW w:w="960" w:type="dxa"/>
            <w:noWrap/>
            <w:hideMark/>
          </w:tcPr>
          <w:p w14:paraId="11C5DEF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6F0696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154</w:t>
            </w:r>
          </w:p>
        </w:tc>
        <w:tc>
          <w:tcPr>
            <w:tcW w:w="960" w:type="dxa"/>
            <w:noWrap/>
            <w:hideMark/>
          </w:tcPr>
          <w:p w14:paraId="6AC2A32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47FA12A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5FAAFB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3D7EF4A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4A7C896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26AF18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64B73D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37A7BF5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396379D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3845164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4D7462F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050612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717</w:t>
            </w:r>
          </w:p>
        </w:tc>
      </w:tr>
      <w:tr w:rsidR="00AA4FFC" w:rsidRPr="00E86DCF" w14:paraId="4524B80D"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7D230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Jan-19</w:t>
            </w:r>
          </w:p>
        </w:tc>
        <w:tc>
          <w:tcPr>
            <w:tcW w:w="960" w:type="dxa"/>
            <w:noWrap/>
            <w:hideMark/>
          </w:tcPr>
          <w:p w14:paraId="2AB6A38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3BAD65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155</w:t>
            </w:r>
          </w:p>
        </w:tc>
        <w:tc>
          <w:tcPr>
            <w:tcW w:w="960" w:type="dxa"/>
            <w:noWrap/>
            <w:hideMark/>
          </w:tcPr>
          <w:p w14:paraId="0625C84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117</w:t>
            </w:r>
          </w:p>
        </w:tc>
        <w:tc>
          <w:tcPr>
            <w:tcW w:w="960" w:type="dxa"/>
            <w:noWrap/>
            <w:hideMark/>
          </w:tcPr>
          <w:p w14:paraId="728013F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368BE1D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w:t>
            </w:r>
          </w:p>
        </w:tc>
        <w:tc>
          <w:tcPr>
            <w:tcW w:w="960" w:type="dxa"/>
            <w:noWrap/>
            <w:hideMark/>
          </w:tcPr>
          <w:p w14:paraId="2F631A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07FD230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1534AA2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2070EE1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2769CFB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2152EC5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054169F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w:t>
            </w:r>
          </w:p>
        </w:tc>
        <w:tc>
          <w:tcPr>
            <w:tcW w:w="960" w:type="dxa"/>
            <w:noWrap/>
            <w:hideMark/>
          </w:tcPr>
          <w:p w14:paraId="398A466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08BC91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761</w:t>
            </w:r>
          </w:p>
        </w:tc>
      </w:tr>
      <w:tr w:rsidR="00AA4FFC" w:rsidRPr="00E86DCF" w14:paraId="5576CF4D"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CB5AB4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Feb-19</w:t>
            </w:r>
          </w:p>
        </w:tc>
        <w:tc>
          <w:tcPr>
            <w:tcW w:w="960" w:type="dxa"/>
            <w:noWrap/>
            <w:hideMark/>
          </w:tcPr>
          <w:p w14:paraId="5079AE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67224C1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149</w:t>
            </w:r>
          </w:p>
        </w:tc>
        <w:tc>
          <w:tcPr>
            <w:tcW w:w="960" w:type="dxa"/>
            <w:noWrap/>
            <w:hideMark/>
          </w:tcPr>
          <w:p w14:paraId="29CE24A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116</w:t>
            </w:r>
          </w:p>
        </w:tc>
        <w:tc>
          <w:tcPr>
            <w:tcW w:w="960" w:type="dxa"/>
            <w:noWrap/>
            <w:hideMark/>
          </w:tcPr>
          <w:p w14:paraId="64614F7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043293E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360A83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4E21E84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05D98CC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05FB11C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0BE5C4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08AE62B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250DF8C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240C914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112F0F9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721</w:t>
            </w:r>
          </w:p>
        </w:tc>
      </w:tr>
      <w:tr w:rsidR="00AA4FFC" w:rsidRPr="00E86DCF" w14:paraId="0B362BD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FBB1EF"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Mar-19</w:t>
            </w:r>
          </w:p>
        </w:tc>
        <w:tc>
          <w:tcPr>
            <w:tcW w:w="960" w:type="dxa"/>
            <w:noWrap/>
            <w:hideMark/>
          </w:tcPr>
          <w:p w14:paraId="57E60C6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2F77429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191</w:t>
            </w:r>
          </w:p>
        </w:tc>
        <w:tc>
          <w:tcPr>
            <w:tcW w:w="960" w:type="dxa"/>
            <w:noWrap/>
            <w:hideMark/>
          </w:tcPr>
          <w:p w14:paraId="0D43171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112</w:t>
            </w:r>
          </w:p>
        </w:tc>
        <w:tc>
          <w:tcPr>
            <w:tcW w:w="960" w:type="dxa"/>
            <w:noWrap/>
            <w:hideMark/>
          </w:tcPr>
          <w:p w14:paraId="61D8AA1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88</w:t>
            </w:r>
          </w:p>
        </w:tc>
        <w:tc>
          <w:tcPr>
            <w:tcW w:w="960" w:type="dxa"/>
            <w:noWrap/>
            <w:hideMark/>
          </w:tcPr>
          <w:p w14:paraId="5001EFB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75557A7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6B4842A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4E31103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4B475C2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0BA7260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266A969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621ED8B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546DE75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1750A0D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835</w:t>
            </w:r>
          </w:p>
        </w:tc>
      </w:tr>
      <w:tr w:rsidR="00AA4FFC" w:rsidRPr="00E86DCF" w14:paraId="710A9C1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3CE6F8"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Apr-19</w:t>
            </w:r>
          </w:p>
        </w:tc>
        <w:tc>
          <w:tcPr>
            <w:tcW w:w="960" w:type="dxa"/>
            <w:noWrap/>
            <w:hideMark/>
          </w:tcPr>
          <w:p w14:paraId="1375885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1EFC600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182</w:t>
            </w:r>
          </w:p>
        </w:tc>
        <w:tc>
          <w:tcPr>
            <w:tcW w:w="960" w:type="dxa"/>
            <w:noWrap/>
            <w:hideMark/>
          </w:tcPr>
          <w:p w14:paraId="52FDA28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132</w:t>
            </w:r>
          </w:p>
        </w:tc>
        <w:tc>
          <w:tcPr>
            <w:tcW w:w="960" w:type="dxa"/>
            <w:noWrap/>
            <w:hideMark/>
          </w:tcPr>
          <w:p w14:paraId="6750B35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1DFBEC9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64B01F3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53AB64D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714770D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5CC14D9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7ECB41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56A061F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61DA795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156D3B0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1A7E0EC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782</w:t>
            </w:r>
          </w:p>
        </w:tc>
      </w:tr>
      <w:tr w:rsidR="00AA4FFC" w:rsidRPr="00E86DCF" w14:paraId="15869D2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F134BD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May-19</w:t>
            </w:r>
          </w:p>
        </w:tc>
        <w:tc>
          <w:tcPr>
            <w:tcW w:w="960" w:type="dxa"/>
            <w:noWrap/>
            <w:hideMark/>
          </w:tcPr>
          <w:p w14:paraId="6250579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3F3CD3F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185</w:t>
            </w:r>
          </w:p>
        </w:tc>
        <w:tc>
          <w:tcPr>
            <w:tcW w:w="960" w:type="dxa"/>
            <w:noWrap/>
            <w:hideMark/>
          </w:tcPr>
          <w:p w14:paraId="1B9D30C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96</w:t>
            </w:r>
          </w:p>
        </w:tc>
        <w:tc>
          <w:tcPr>
            <w:tcW w:w="960" w:type="dxa"/>
            <w:noWrap/>
            <w:hideMark/>
          </w:tcPr>
          <w:p w14:paraId="78643D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898F64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w:t>
            </w:r>
          </w:p>
        </w:tc>
        <w:tc>
          <w:tcPr>
            <w:tcW w:w="960" w:type="dxa"/>
            <w:noWrap/>
            <w:hideMark/>
          </w:tcPr>
          <w:p w14:paraId="5F2BD47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2F836DB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6014E90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1D3DCDA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670734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1A64629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1825FC9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0458E5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61730B5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740</w:t>
            </w:r>
          </w:p>
        </w:tc>
      </w:tr>
      <w:tr w:rsidR="00AA4FFC" w:rsidRPr="00E86DCF" w14:paraId="188CC6E4"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84718B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Jun-19</w:t>
            </w:r>
          </w:p>
        </w:tc>
        <w:tc>
          <w:tcPr>
            <w:tcW w:w="960" w:type="dxa"/>
            <w:noWrap/>
            <w:hideMark/>
          </w:tcPr>
          <w:p w14:paraId="0A8BE58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33F0EC4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191</w:t>
            </w:r>
          </w:p>
        </w:tc>
        <w:tc>
          <w:tcPr>
            <w:tcW w:w="960" w:type="dxa"/>
            <w:noWrap/>
            <w:hideMark/>
          </w:tcPr>
          <w:p w14:paraId="3CA4DB7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w:t>
            </w:r>
          </w:p>
        </w:tc>
        <w:tc>
          <w:tcPr>
            <w:tcW w:w="960" w:type="dxa"/>
            <w:noWrap/>
            <w:hideMark/>
          </w:tcPr>
          <w:p w14:paraId="1B83901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213B768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013E1CE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46E70B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28A2C29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070FD26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05069D9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69D7A4B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w:t>
            </w:r>
          </w:p>
        </w:tc>
        <w:tc>
          <w:tcPr>
            <w:tcW w:w="960" w:type="dxa"/>
            <w:noWrap/>
            <w:hideMark/>
          </w:tcPr>
          <w:p w14:paraId="10D6963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134D630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1ADC82A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711</w:t>
            </w:r>
          </w:p>
        </w:tc>
      </w:tr>
      <w:tr w:rsidR="00AA4FFC" w:rsidRPr="00E86DCF" w14:paraId="64923266"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BB6CF39"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Jul-19</w:t>
            </w:r>
          </w:p>
        </w:tc>
        <w:tc>
          <w:tcPr>
            <w:tcW w:w="960" w:type="dxa"/>
            <w:noWrap/>
            <w:hideMark/>
          </w:tcPr>
          <w:p w14:paraId="5F38B8F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1E1CADE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161</w:t>
            </w:r>
          </w:p>
        </w:tc>
        <w:tc>
          <w:tcPr>
            <w:tcW w:w="960" w:type="dxa"/>
            <w:noWrap/>
            <w:hideMark/>
          </w:tcPr>
          <w:p w14:paraId="4D4940E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960" w:type="dxa"/>
            <w:noWrap/>
            <w:hideMark/>
          </w:tcPr>
          <w:p w14:paraId="0E4BB5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0984E2C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49FC794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75C49CB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12BCD3C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c>
          <w:tcPr>
            <w:tcW w:w="960" w:type="dxa"/>
            <w:noWrap/>
            <w:hideMark/>
          </w:tcPr>
          <w:p w14:paraId="71143A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300D75B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0F6A9E8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084FF3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7E2B8C3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67AFF68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713</w:t>
            </w:r>
          </w:p>
        </w:tc>
      </w:tr>
      <w:tr w:rsidR="00AA4FFC" w:rsidRPr="00E86DCF" w14:paraId="7855DDE1"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7A44F37"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Aug-19</w:t>
            </w:r>
          </w:p>
        </w:tc>
        <w:tc>
          <w:tcPr>
            <w:tcW w:w="960" w:type="dxa"/>
            <w:noWrap/>
            <w:hideMark/>
          </w:tcPr>
          <w:p w14:paraId="557FDAD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24FBD04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164</w:t>
            </w:r>
          </w:p>
        </w:tc>
        <w:tc>
          <w:tcPr>
            <w:tcW w:w="960" w:type="dxa"/>
            <w:noWrap/>
            <w:hideMark/>
          </w:tcPr>
          <w:p w14:paraId="6B725A5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86</w:t>
            </w:r>
          </w:p>
        </w:tc>
        <w:tc>
          <w:tcPr>
            <w:tcW w:w="960" w:type="dxa"/>
            <w:noWrap/>
            <w:hideMark/>
          </w:tcPr>
          <w:p w14:paraId="1D014D1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55F76B4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0FDA9F2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5117EB9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1DB5CC9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627649F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6F0080C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0158B89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43AE6D8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15AC5A0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100704F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712</w:t>
            </w:r>
          </w:p>
        </w:tc>
      </w:tr>
      <w:tr w:rsidR="00AA4FFC" w:rsidRPr="00E86DCF" w14:paraId="05CD9AC0"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12DE765"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Sep-19</w:t>
            </w:r>
          </w:p>
        </w:tc>
        <w:tc>
          <w:tcPr>
            <w:tcW w:w="960" w:type="dxa"/>
            <w:noWrap/>
            <w:hideMark/>
          </w:tcPr>
          <w:p w14:paraId="2912BB7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4EAEEA1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179</w:t>
            </w:r>
          </w:p>
        </w:tc>
        <w:tc>
          <w:tcPr>
            <w:tcW w:w="960" w:type="dxa"/>
            <w:noWrap/>
            <w:hideMark/>
          </w:tcPr>
          <w:p w14:paraId="275886F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960" w:type="dxa"/>
            <w:noWrap/>
            <w:hideMark/>
          </w:tcPr>
          <w:p w14:paraId="0A3DCA0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w:t>
            </w:r>
          </w:p>
        </w:tc>
        <w:tc>
          <w:tcPr>
            <w:tcW w:w="960" w:type="dxa"/>
            <w:noWrap/>
            <w:hideMark/>
          </w:tcPr>
          <w:p w14:paraId="7F7C5FC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960" w:type="dxa"/>
            <w:noWrap/>
            <w:hideMark/>
          </w:tcPr>
          <w:p w14:paraId="617280E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00C8C9D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31F4B4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c>
          <w:tcPr>
            <w:tcW w:w="960" w:type="dxa"/>
            <w:noWrap/>
            <w:hideMark/>
          </w:tcPr>
          <w:p w14:paraId="13BE239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0069267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5CF4D4E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37981F7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61FCB0C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3616051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763</w:t>
            </w:r>
          </w:p>
        </w:tc>
      </w:tr>
      <w:tr w:rsidR="00AA4FFC" w:rsidRPr="00E86DCF" w14:paraId="51EA8517"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B659FE"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Oct-19</w:t>
            </w:r>
          </w:p>
        </w:tc>
        <w:tc>
          <w:tcPr>
            <w:tcW w:w="960" w:type="dxa"/>
            <w:noWrap/>
            <w:hideMark/>
          </w:tcPr>
          <w:p w14:paraId="5DA73F7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743B6C8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172</w:t>
            </w:r>
          </w:p>
        </w:tc>
        <w:tc>
          <w:tcPr>
            <w:tcW w:w="960" w:type="dxa"/>
            <w:noWrap/>
            <w:hideMark/>
          </w:tcPr>
          <w:p w14:paraId="26C0951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113</w:t>
            </w:r>
          </w:p>
        </w:tc>
        <w:tc>
          <w:tcPr>
            <w:tcW w:w="960" w:type="dxa"/>
            <w:noWrap/>
            <w:hideMark/>
          </w:tcPr>
          <w:p w14:paraId="4524B05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79</w:t>
            </w:r>
          </w:p>
        </w:tc>
        <w:tc>
          <w:tcPr>
            <w:tcW w:w="960" w:type="dxa"/>
            <w:noWrap/>
            <w:hideMark/>
          </w:tcPr>
          <w:p w14:paraId="2B8D74F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6CCCD12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0881234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5D325D2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702BF076"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60B4DC8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157CCBB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w:t>
            </w:r>
          </w:p>
        </w:tc>
        <w:tc>
          <w:tcPr>
            <w:tcW w:w="960" w:type="dxa"/>
            <w:noWrap/>
            <w:hideMark/>
          </w:tcPr>
          <w:p w14:paraId="6F9ECB9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39F569F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16EE602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732</w:t>
            </w:r>
          </w:p>
        </w:tc>
      </w:tr>
      <w:tr w:rsidR="00AA4FFC" w:rsidRPr="00E86DCF" w14:paraId="3A6F4889"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00988D"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Nov-19</w:t>
            </w:r>
          </w:p>
        </w:tc>
        <w:tc>
          <w:tcPr>
            <w:tcW w:w="960" w:type="dxa"/>
            <w:noWrap/>
            <w:hideMark/>
          </w:tcPr>
          <w:p w14:paraId="0AE920D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c>
          <w:tcPr>
            <w:tcW w:w="960" w:type="dxa"/>
            <w:noWrap/>
            <w:hideMark/>
          </w:tcPr>
          <w:p w14:paraId="2C9E3DE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169</w:t>
            </w:r>
          </w:p>
        </w:tc>
        <w:tc>
          <w:tcPr>
            <w:tcW w:w="960" w:type="dxa"/>
            <w:noWrap/>
            <w:hideMark/>
          </w:tcPr>
          <w:p w14:paraId="4DB9F10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116</w:t>
            </w:r>
          </w:p>
        </w:tc>
        <w:tc>
          <w:tcPr>
            <w:tcW w:w="960" w:type="dxa"/>
            <w:noWrap/>
            <w:hideMark/>
          </w:tcPr>
          <w:p w14:paraId="715F99A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7B96001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448E788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28B39F5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0DF5094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0C71AA8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7FA6FC2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4424C74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51FDB78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0D775E0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c>
          <w:tcPr>
            <w:tcW w:w="960" w:type="dxa"/>
            <w:noWrap/>
            <w:hideMark/>
          </w:tcPr>
          <w:p w14:paraId="375E5F00"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722</w:t>
            </w:r>
          </w:p>
        </w:tc>
      </w:tr>
      <w:tr w:rsidR="00AA4FFC" w:rsidRPr="00E86DCF" w14:paraId="13EE23C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A3E78D3"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Dec-19</w:t>
            </w:r>
          </w:p>
        </w:tc>
        <w:tc>
          <w:tcPr>
            <w:tcW w:w="960" w:type="dxa"/>
            <w:noWrap/>
            <w:hideMark/>
          </w:tcPr>
          <w:p w14:paraId="29AE145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164E1CD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133</w:t>
            </w:r>
          </w:p>
        </w:tc>
        <w:tc>
          <w:tcPr>
            <w:tcW w:w="960" w:type="dxa"/>
            <w:noWrap/>
            <w:hideMark/>
          </w:tcPr>
          <w:p w14:paraId="4DB59E3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w:t>
            </w:r>
          </w:p>
        </w:tc>
        <w:tc>
          <w:tcPr>
            <w:tcW w:w="960" w:type="dxa"/>
            <w:noWrap/>
            <w:hideMark/>
          </w:tcPr>
          <w:p w14:paraId="4B83F86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w:t>
            </w:r>
          </w:p>
        </w:tc>
        <w:tc>
          <w:tcPr>
            <w:tcW w:w="960" w:type="dxa"/>
            <w:noWrap/>
            <w:hideMark/>
          </w:tcPr>
          <w:p w14:paraId="20DD5F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67A115E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29D14C6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c>
          <w:tcPr>
            <w:tcW w:w="960" w:type="dxa"/>
            <w:noWrap/>
            <w:hideMark/>
          </w:tcPr>
          <w:p w14:paraId="5D6DDCD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5ABD3B5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289AEE7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w:t>
            </w:r>
          </w:p>
        </w:tc>
        <w:tc>
          <w:tcPr>
            <w:tcW w:w="960" w:type="dxa"/>
            <w:noWrap/>
            <w:hideMark/>
          </w:tcPr>
          <w:p w14:paraId="5ABA63D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3B94A2B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c>
          <w:tcPr>
            <w:tcW w:w="960" w:type="dxa"/>
            <w:noWrap/>
            <w:hideMark/>
          </w:tcPr>
          <w:p w14:paraId="50342DF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7CD50A0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671</w:t>
            </w:r>
          </w:p>
        </w:tc>
      </w:tr>
      <w:tr w:rsidR="00AA4FFC" w:rsidRPr="00E86DCF" w14:paraId="0189FAF4"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1DE76F6"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Jan-20</w:t>
            </w:r>
          </w:p>
        </w:tc>
        <w:tc>
          <w:tcPr>
            <w:tcW w:w="960" w:type="dxa"/>
            <w:noWrap/>
            <w:hideMark/>
          </w:tcPr>
          <w:p w14:paraId="3E8678A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47CFB53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06673C2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120</w:t>
            </w:r>
          </w:p>
        </w:tc>
        <w:tc>
          <w:tcPr>
            <w:tcW w:w="960" w:type="dxa"/>
            <w:noWrap/>
            <w:hideMark/>
          </w:tcPr>
          <w:p w14:paraId="417B306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2DFBEA6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345B6FB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68</w:t>
            </w:r>
          </w:p>
        </w:tc>
        <w:tc>
          <w:tcPr>
            <w:tcW w:w="960" w:type="dxa"/>
            <w:noWrap/>
            <w:hideMark/>
          </w:tcPr>
          <w:p w14:paraId="32D9AF9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64316A0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w:t>
            </w:r>
          </w:p>
        </w:tc>
        <w:tc>
          <w:tcPr>
            <w:tcW w:w="960" w:type="dxa"/>
            <w:noWrap/>
            <w:hideMark/>
          </w:tcPr>
          <w:p w14:paraId="56BE51C8"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c>
          <w:tcPr>
            <w:tcW w:w="960" w:type="dxa"/>
            <w:noWrap/>
            <w:hideMark/>
          </w:tcPr>
          <w:p w14:paraId="5E54566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6484553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43C6BD2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w:t>
            </w:r>
          </w:p>
        </w:tc>
        <w:tc>
          <w:tcPr>
            <w:tcW w:w="960" w:type="dxa"/>
            <w:noWrap/>
            <w:hideMark/>
          </w:tcPr>
          <w:p w14:paraId="3A528F2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w:t>
            </w:r>
          </w:p>
        </w:tc>
        <w:tc>
          <w:tcPr>
            <w:tcW w:w="960" w:type="dxa"/>
            <w:noWrap/>
            <w:hideMark/>
          </w:tcPr>
          <w:p w14:paraId="0C49AD4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731</w:t>
            </w:r>
          </w:p>
        </w:tc>
      </w:tr>
      <w:tr w:rsidR="00AA4FFC" w:rsidRPr="00E86DCF" w14:paraId="3AA3E368"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56D1AEA"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Feb-20</w:t>
            </w:r>
          </w:p>
        </w:tc>
        <w:tc>
          <w:tcPr>
            <w:tcW w:w="960" w:type="dxa"/>
            <w:noWrap/>
            <w:hideMark/>
          </w:tcPr>
          <w:p w14:paraId="65AE464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69CB94E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w:t>
            </w:r>
          </w:p>
        </w:tc>
        <w:tc>
          <w:tcPr>
            <w:tcW w:w="960" w:type="dxa"/>
            <w:noWrap/>
            <w:hideMark/>
          </w:tcPr>
          <w:p w14:paraId="421D635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94</w:t>
            </w:r>
          </w:p>
        </w:tc>
        <w:tc>
          <w:tcPr>
            <w:tcW w:w="960" w:type="dxa"/>
            <w:noWrap/>
            <w:hideMark/>
          </w:tcPr>
          <w:p w14:paraId="7C7934F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55</w:t>
            </w:r>
          </w:p>
        </w:tc>
        <w:tc>
          <w:tcPr>
            <w:tcW w:w="960" w:type="dxa"/>
            <w:noWrap/>
            <w:hideMark/>
          </w:tcPr>
          <w:p w14:paraId="50F17CD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w:t>
            </w:r>
          </w:p>
        </w:tc>
        <w:tc>
          <w:tcPr>
            <w:tcW w:w="960" w:type="dxa"/>
            <w:noWrap/>
            <w:hideMark/>
          </w:tcPr>
          <w:p w14:paraId="5B4FE67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w:t>
            </w:r>
          </w:p>
        </w:tc>
        <w:tc>
          <w:tcPr>
            <w:tcW w:w="960" w:type="dxa"/>
            <w:noWrap/>
            <w:hideMark/>
          </w:tcPr>
          <w:p w14:paraId="2348C48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39A79D4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6E4A3FE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318366B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1907C7C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5A8712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0ACD50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w:t>
            </w:r>
          </w:p>
        </w:tc>
        <w:tc>
          <w:tcPr>
            <w:tcW w:w="960" w:type="dxa"/>
            <w:noWrap/>
            <w:hideMark/>
          </w:tcPr>
          <w:p w14:paraId="019134D1"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739</w:t>
            </w:r>
          </w:p>
        </w:tc>
      </w:tr>
      <w:tr w:rsidR="00AA4FFC" w:rsidRPr="00E86DCF" w14:paraId="08FEB1EA"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57F070"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Mar-20</w:t>
            </w:r>
          </w:p>
        </w:tc>
        <w:tc>
          <w:tcPr>
            <w:tcW w:w="960" w:type="dxa"/>
            <w:noWrap/>
            <w:hideMark/>
          </w:tcPr>
          <w:p w14:paraId="14AFCDF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w:t>
            </w:r>
          </w:p>
        </w:tc>
        <w:tc>
          <w:tcPr>
            <w:tcW w:w="960" w:type="dxa"/>
            <w:noWrap/>
            <w:hideMark/>
          </w:tcPr>
          <w:p w14:paraId="377CFE9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173</w:t>
            </w:r>
          </w:p>
        </w:tc>
        <w:tc>
          <w:tcPr>
            <w:tcW w:w="960" w:type="dxa"/>
            <w:noWrap/>
            <w:hideMark/>
          </w:tcPr>
          <w:p w14:paraId="5140488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102</w:t>
            </w:r>
          </w:p>
        </w:tc>
        <w:tc>
          <w:tcPr>
            <w:tcW w:w="960" w:type="dxa"/>
            <w:noWrap/>
            <w:hideMark/>
          </w:tcPr>
          <w:p w14:paraId="2A2BB3D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69A02E6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w:t>
            </w:r>
          </w:p>
        </w:tc>
        <w:tc>
          <w:tcPr>
            <w:tcW w:w="960" w:type="dxa"/>
            <w:noWrap/>
            <w:hideMark/>
          </w:tcPr>
          <w:p w14:paraId="41210EB1"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2C3D7E02"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4E17E72C"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w:t>
            </w:r>
          </w:p>
        </w:tc>
        <w:tc>
          <w:tcPr>
            <w:tcW w:w="960" w:type="dxa"/>
            <w:noWrap/>
            <w:hideMark/>
          </w:tcPr>
          <w:p w14:paraId="060C51A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w:t>
            </w:r>
          </w:p>
        </w:tc>
        <w:tc>
          <w:tcPr>
            <w:tcW w:w="960" w:type="dxa"/>
            <w:noWrap/>
            <w:hideMark/>
          </w:tcPr>
          <w:p w14:paraId="21A58F99"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w:t>
            </w:r>
          </w:p>
        </w:tc>
        <w:tc>
          <w:tcPr>
            <w:tcW w:w="960" w:type="dxa"/>
            <w:noWrap/>
            <w:hideMark/>
          </w:tcPr>
          <w:p w14:paraId="678293D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w:t>
            </w:r>
          </w:p>
        </w:tc>
        <w:tc>
          <w:tcPr>
            <w:tcW w:w="960" w:type="dxa"/>
            <w:noWrap/>
            <w:hideMark/>
          </w:tcPr>
          <w:p w14:paraId="176E358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w:t>
            </w:r>
          </w:p>
        </w:tc>
        <w:tc>
          <w:tcPr>
            <w:tcW w:w="960" w:type="dxa"/>
            <w:noWrap/>
            <w:hideMark/>
          </w:tcPr>
          <w:p w14:paraId="7A07A1F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11DDE74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783</w:t>
            </w:r>
          </w:p>
        </w:tc>
      </w:tr>
      <w:tr w:rsidR="00AA4FFC" w:rsidRPr="00E86DCF" w14:paraId="6F108032"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FC220B"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Apr-20</w:t>
            </w:r>
          </w:p>
        </w:tc>
        <w:tc>
          <w:tcPr>
            <w:tcW w:w="960" w:type="dxa"/>
            <w:noWrap/>
            <w:hideMark/>
          </w:tcPr>
          <w:p w14:paraId="3CB2D72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w:t>
            </w:r>
          </w:p>
        </w:tc>
        <w:tc>
          <w:tcPr>
            <w:tcW w:w="960" w:type="dxa"/>
            <w:noWrap/>
            <w:hideMark/>
          </w:tcPr>
          <w:p w14:paraId="33F43D1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3BD7AFD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83</w:t>
            </w:r>
          </w:p>
        </w:tc>
        <w:tc>
          <w:tcPr>
            <w:tcW w:w="960" w:type="dxa"/>
            <w:noWrap/>
            <w:hideMark/>
          </w:tcPr>
          <w:p w14:paraId="5C8165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w:t>
            </w:r>
          </w:p>
        </w:tc>
        <w:tc>
          <w:tcPr>
            <w:tcW w:w="960" w:type="dxa"/>
            <w:noWrap/>
            <w:hideMark/>
          </w:tcPr>
          <w:p w14:paraId="6B1EF71F"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w:t>
            </w:r>
          </w:p>
        </w:tc>
        <w:tc>
          <w:tcPr>
            <w:tcW w:w="960" w:type="dxa"/>
            <w:noWrap/>
            <w:hideMark/>
          </w:tcPr>
          <w:p w14:paraId="1DFB5F7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4F8B28B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w:t>
            </w:r>
          </w:p>
        </w:tc>
        <w:tc>
          <w:tcPr>
            <w:tcW w:w="960" w:type="dxa"/>
            <w:noWrap/>
            <w:hideMark/>
          </w:tcPr>
          <w:p w14:paraId="28A6847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1734D71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w:t>
            </w:r>
          </w:p>
        </w:tc>
        <w:tc>
          <w:tcPr>
            <w:tcW w:w="960" w:type="dxa"/>
            <w:noWrap/>
            <w:hideMark/>
          </w:tcPr>
          <w:p w14:paraId="612BA17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61DDF02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w:t>
            </w:r>
          </w:p>
        </w:tc>
        <w:tc>
          <w:tcPr>
            <w:tcW w:w="960" w:type="dxa"/>
            <w:noWrap/>
            <w:hideMark/>
          </w:tcPr>
          <w:p w14:paraId="1A51E7A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5331887A"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2E4D85B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620</w:t>
            </w:r>
          </w:p>
        </w:tc>
      </w:tr>
      <w:tr w:rsidR="00AA4FFC" w:rsidRPr="00E86DCF" w14:paraId="45CB4ADF" w14:textId="77777777" w:rsidTr="00EE564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712E484"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May-20</w:t>
            </w:r>
          </w:p>
        </w:tc>
        <w:tc>
          <w:tcPr>
            <w:tcW w:w="960" w:type="dxa"/>
            <w:noWrap/>
            <w:hideMark/>
          </w:tcPr>
          <w:p w14:paraId="5AD57A96"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w:t>
            </w:r>
          </w:p>
        </w:tc>
        <w:tc>
          <w:tcPr>
            <w:tcW w:w="960" w:type="dxa"/>
            <w:noWrap/>
            <w:hideMark/>
          </w:tcPr>
          <w:p w14:paraId="4ACCB62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w:t>
            </w:r>
          </w:p>
        </w:tc>
        <w:tc>
          <w:tcPr>
            <w:tcW w:w="960" w:type="dxa"/>
            <w:noWrap/>
            <w:hideMark/>
          </w:tcPr>
          <w:p w14:paraId="2A74614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120</w:t>
            </w:r>
          </w:p>
        </w:tc>
        <w:tc>
          <w:tcPr>
            <w:tcW w:w="960" w:type="dxa"/>
            <w:noWrap/>
            <w:hideMark/>
          </w:tcPr>
          <w:p w14:paraId="4DC42D8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80</w:t>
            </w:r>
          </w:p>
        </w:tc>
        <w:tc>
          <w:tcPr>
            <w:tcW w:w="960" w:type="dxa"/>
            <w:noWrap/>
            <w:hideMark/>
          </w:tcPr>
          <w:p w14:paraId="7A13FE0A"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6C05CFF3"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3607831B"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593D76F4"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260947C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4D148985"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w:t>
            </w:r>
          </w:p>
        </w:tc>
        <w:tc>
          <w:tcPr>
            <w:tcW w:w="960" w:type="dxa"/>
            <w:noWrap/>
            <w:hideMark/>
          </w:tcPr>
          <w:p w14:paraId="27EC8B6F"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38ADEC2E"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21</w:t>
            </w:r>
          </w:p>
        </w:tc>
        <w:tc>
          <w:tcPr>
            <w:tcW w:w="960" w:type="dxa"/>
            <w:noWrap/>
            <w:hideMark/>
          </w:tcPr>
          <w:p w14:paraId="034A65CD"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583008B7" w14:textId="77777777" w:rsidR="00AA4FFC" w:rsidRPr="00EE5644" w:rsidRDefault="00AA4FFC" w:rsidP="005D4877">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757</w:t>
            </w:r>
          </w:p>
        </w:tc>
      </w:tr>
      <w:tr w:rsidR="00AA4FFC" w:rsidRPr="00E86DCF" w14:paraId="780D7C1E" w14:textId="77777777" w:rsidTr="00EE5644">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041731" w14:textId="77777777" w:rsidR="00AA4FFC" w:rsidRPr="00EE5644" w:rsidRDefault="00AA4FFC" w:rsidP="005D4877">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Jun-20</w:t>
            </w:r>
          </w:p>
        </w:tc>
        <w:tc>
          <w:tcPr>
            <w:tcW w:w="960" w:type="dxa"/>
            <w:noWrap/>
            <w:hideMark/>
          </w:tcPr>
          <w:p w14:paraId="6EFA85E5"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64</w:t>
            </w:r>
          </w:p>
        </w:tc>
        <w:tc>
          <w:tcPr>
            <w:tcW w:w="960" w:type="dxa"/>
            <w:noWrap/>
            <w:hideMark/>
          </w:tcPr>
          <w:p w14:paraId="1BEF8CE4"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175</w:t>
            </w:r>
          </w:p>
        </w:tc>
        <w:tc>
          <w:tcPr>
            <w:tcW w:w="960" w:type="dxa"/>
            <w:noWrap/>
            <w:hideMark/>
          </w:tcPr>
          <w:p w14:paraId="4FFCD37B"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91</w:t>
            </w:r>
          </w:p>
        </w:tc>
        <w:tc>
          <w:tcPr>
            <w:tcW w:w="960" w:type="dxa"/>
            <w:noWrap/>
            <w:hideMark/>
          </w:tcPr>
          <w:p w14:paraId="3149E88E"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w:t>
            </w:r>
          </w:p>
        </w:tc>
        <w:tc>
          <w:tcPr>
            <w:tcW w:w="960" w:type="dxa"/>
            <w:noWrap/>
            <w:hideMark/>
          </w:tcPr>
          <w:p w14:paraId="7B6B656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c>
          <w:tcPr>
            <w:tcW w:w="960" w:type="dxa"/>
            <w:noWrap/>
            <w:hideMark/>
          </w:tcPr>
          <w:p w14:paraId="621D1340"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w:t>
            </w:r>
          </w:p>
        </w:tc>
        <w:tc>
          <w:tcPr>
            <w:tcW w:w="960" w:type="dxa"/>
            <w:noWrap/>
            <w:hideMark/>
          </w:tcPr>
          <w:p w14:paraId="1078765D"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786187C7"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50A2CDC2"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c>
          <w:tcPr>
            <w:tcW w:w="960" w:type="dxa"/>
            <w:noWrap/>
            <w:hideMark/>
          </w:tcPr>
          <w:p w14:paraId="10BC7E0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w:t>
            </w:r>
          </w:p>
        </w:tc>
        <w:tc>
          <w:tcPr>
            <w:tcW w:w="960" w:type="dxa"/>
            <w:noWrap/>
            <w:hideMark/>
          </w:tcPr>
          <w:p w14:paraId="2A3C3B6C"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w:t>
            </w:r>
          </w:p>
        </w:tc>
        <w:tc>
          <w:tcPr>
            <w:tcW w:w="960" w:type="dxa"/>
            <w:noWrap/>
            <w:hideMark/>
          </w:tcPr>
          <w:p w14:paraId="63C06663"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w:t>
            </w:r>
          </w:p>
        </w:tc>
        <w:tc>
          <w:tcPr>
            <w:tcW w:w="960" w:type="dxa"/>
            <w:noWrap/>
            <w:hideMark/>
          </w:tcPr>
          <w:p w14:paraId="6724E118"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w:t>
            </w:r>
          </w:p>
        </w:tc>
        <w:tc>
          <w:tcPr>
            <w:tcW w:w="960" w:type="dxa"/>
            <w:noWrap/>
            <w:hideMark/>
          </w:tcPr>
          <w:p w14:paraId="0CDC3C99" w14:textId="77777777" w:rsidR="00AA4FFC" w:rsidRPr="00EE5644" w:rsidRDefault="00AA4FFC" w:rsidP="005D4877">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656</w:t>
            </w:r>
          </w:p>
        </w:tc>
      </w:tr>
    </w:tbl>
    <w:p w14:paraId="385F7021" w14:textId="77777777" w:rsidR="00AA4FFC" w:rsidRDefault="00AA4FFC" w:rsidP="00AA4FFC"/>
    <w:p w14:paraId="405D64C0" w14:textId="77777777" w:rsidR="00AA4FFC" w:rsidRDefault="00AA4FFC" w:rsidP="00AA4FFC">
      <w:pPr>
        <w:rPr>
          <w:rFonts w:asciiTheme="majorHAnsi" w:eastAsiaTheme="majorEastAsia" w:hAnsiTheme="majorHAnsi" w:cstheme="majorBidi"/>
          <w:color w:val="2F5496" w:themeColor="accent1" w:themeShade="BF"/>
          <w:sz w:val="26"/>
          <w:szCs w:val="26"/>
        </w:rPr>
      </w:pPr>
      <w:r>
        <w:br w:type="page"/>
      </w:r>
    </w:p>
    <w:p w14:paraId="59EEED85" w14:textId="5F7E2F31" w:rsidR="00AA4FFC" w:rsidRDefault="00AA4FFC" w:rsidP="00596E66">
      <w:pPr>
        <w:pStyle w:val="Heading5"/>
      </w:pPr>
      <w:r>
        <w:t>‘Other NSAID’ poisonings</w:t>
      </w:r>
      <w:r w:rsidRPr="00AF68C1">
        <w:t xml:space="preserve"> in Australia (by age group) (AIHW NHMD 2009-2020)</w:t>
      </w:r>
    </w:p>
    <w:tbl>
      <w:tblPr>
        <w:tblStyle w:val="ListTable2"/>
        <w:tblW w:w="5760" w:type="dxa"/>
        <w:tblLook w:val="04A0" w:firstRow="1" w:lastRow="0" w:firstColumn="1" w:lastColumn="0" w:noHBand="0" w:noVBand="1"/>
      </w:tblPr>
      <w:tblGrid>
        <w:gridCol w:w="1276"/>
        <w:gridCol w:w="644"/>
        <w:gridCol w:w="960"/>
        <w:gridCol w:w="960"/>
        <w:gridCol w:w="960"/>
        <w:gridCol w:w="960"/>
      </w:tblGrid>
      <w:tr w:rsidR="00AA4FFC" w:rsidRPr="00EE5644" w14:paraId="3242EAE5" w14:textId="77777777" w:rsidTr="005D48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E1AE401" w14:textId="77777777" w:rsidR="00AA4FFC" w:rsidRPr="00EE5644" w:rsidRDefault="00AA4FFC" w:rsidP="00DA7A59">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Total T393</w:t>
            </w:r>
          </w:p>
        </w:tc>
        <w:tc>
          <w:tcPr>
            <w:tcW w:w="644" w:type="dxa"/>
            <w:noWrap/>
            <w:hideMark/>
          </w:tcPr>
          <w:p w14:paraId="28A9C84A" w14:textId="77777777" w:rsidR="00AA4FFC" w:rsidRPr="00EE5644" w:rsidRDefault="00AA4FFC" w:rsidP="00DA7A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0-19</w:t>
            </w:r>
          </w:p>
        </w:tc>
        <w:tc>
          <w:tcPr>
            <w:tcW w:w="960" w:type="dxa"/>
            <w:noWrap/>
            <w:hideMark/>
          </w:tcPr>
          <w:p w14:paraId="14759521" w14:textId="77777777" w:rsidR="00AA4FFC" w:rsidRPr="00EE5644" w:rsidRDefault="00AA4FFC" w:rsidP="00DA7A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20-30</w:t>
            </w:r>
          </w:p>
        </w:tc>
        <w:tc>
          <w:tcPr>
            <w:tcW w:w="960" w:type="dxa"/>
            <w:noWrap/>
            <w:hideMark/>
          </w:tcPr>
          <w:p w14:paraId="7DE6C915" w14:textId="77777777" w:rsidR="00AA4FFC" w:rsidRPr="00EE5644" w:rsidRDefault="00AA4FFC" w:rsidP="00DA7A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30-50</w:t>
            </w:r>
          </w:p>
        </w:tc>
        <w:tc>
          <w:tcPr>
            <w:tcW w:w="960" w:type="dxa"/>
            <w:noWrap/>
            <w:hideMark/>
          </w:tcPr>
          <w:p w14:paraId="19BD3061" w14:textId="77777777" w:rsidR="00AA4FFC" w:rsidRPr="00EE5644" w:rsidRDefault="00AA4FFC" w:rsidP="00DA7A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09F5B58F" w14:textId="77777777" w:rsidR="00AA4FFC" w:rsidRPr="00EE5644" w:rsidRDefault="00AA4FFC" w:rsidP="00DA7A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Total</w:t>
            </w:r>
          </w:p>
        </w:tc>
      </w:tr>
      <w:tr w:rsidR="00AB403C" w:rsidRPr="00EE5644" w14:paraId="6E0407DC"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C3A12A8" w14:textId="3DD85429"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644" w:type="dxa"/>
            <w:noWrap/>
            <w:hideMark/>
          </w:tcPr>
          <w:p w14:paraId="6AEA8B19"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320</w:t>
            </w:r>
          </w:p>
        </w:tc>
        <w:tc>
          <w:tcPr>
            <w:tcW w:w="960" w:type="dxa"/>
            <w:noWrap/>
            <w:hideMark/>
          </w:tcPr>
          <w:p w14:paraId="42E736A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289</w:t>
            </w:r>
          </w:p>
        </w:tc>
        <w:tc>
          <w:tcPr>
            <w:tcW w:w="960" w:type="dxa"/>
            <w:noWrap/>
            <w:hideMark/>
          </w:tcPr>
          <w:p w14:paraId="3B281575"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308</w:t>
            </w:r>
          </w:p>
        </w:tc>
        <w:tc>
          <w:tcPr>
            <w:tcW w:w="960" w:type="dxa"/>
            <w:noWrap/>
            <w:hideMark/>
          </w:tcPr>
          <w:p w14:paraId="0BCC0837"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82</w:t>
            </w:r>
          </w:p>
        </w:tc>
        <w:tc>
          <w:tcPr>
            <w:tcW w:w="960" w:type="dxa"/>
            <w:noWrap/>
            <w:hideMark/>
          </w:tcPr>
          <w:p w14:paraId="2D63F03C"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999</w:t>
            </w:r>
          </w:p>
        </w:tc>
      </w:tr>
      <w:tr w:rsidR="00AB403C" w:rsidRPr="00EE5644" w14:paraId="34B56474"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BAE6980" w14:textId="35CBFF03"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644" w:type="dxa"/>
            <w:noWrap/>
            <w:hideMark/>
          </w:tcPr>
          <w:p w14:paraId="5D12209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388</w:t>
            </w:r>
          </w:p>
        </w:tc>
        <w:tc>
          <w:tcPr>
            <w:tcW w:w="960" w:type="dxa"/>
            <w:noWrap/>
            <w:hideMark/>
          </w:tcPr>
          <w:p w14:paraId="1B798A44"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298</w:t>
            </w:r>
          </w:p>
        </w:tc>
        <w:tc>
          <w:tcPr>
            <w:tcW w:w="960" w:type="dxa"/>
            <w:noWrap/>
            <w:hideMark/>
          </w:tcPr>
          <w:p w14:paraId="20BA0FC6"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309</w:t>
            </w:r>
          </w:p>
        </w:tc>
        <w:tc>
          <w:tcPr>
            <w:tcW w:w="960" w:type="dxa"/>
            <w:noWrap/>
            <w:hideMark/>
          </w:tcPr>
          <w:p w14:paraId="1CFBD3D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c>
          <w:tcPr>
            <w:tcW w:w="960" w:type="dxa"/>
            <w:noWrap/>
            <w:hideMark/>
          </w:tcPr>
          <w:p w14:paraId="03FA4F0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1096</w:t>
            </w:r>
          </w:p>
        </w:tc>
      </w:tr>
      <w:tr w:rsidR="00AB403C" w:rsidRPr="00EE5644" w14:paraId="03CCDE5D"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DDB8B7C" w14:textId="7D742067"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644" w:type="dxa"/>
            <w:noWrap/>
            <w:hideMark/>
          </w:tcPr>
          <w:p w14:paraId="5A82E99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406</w:t>
            </w:r>
          </w:p>
        </w:tc>
        <w:tc>
          <w:tcPr>
            <w:tcW w:w="960" w:type="dxa"/>
            <w:noWrap/>
            <w:hideMark/>
          </w:tcPr>
          <w:p w14:paraId="6B491682"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375</w:t>
            </w:r>
          </w:p>
        </w:tc>
        <w:tc>
          <w:tcPr>
            <w:tcW w:w="960" w:type="dxa"/>
            <w:noWrap/>
            <w:hideMark/>
          </w:tcPr>
          <w:p w14:paraId="6DF15756"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315</w:t>
            </w:r>
          </w:p>
        </w:tc>
        <w:tc>
          <w:tcPr>
            <w:tcW w:w="960" w:type="dxa"/>
            <w:noWrap/>
            <w:hideMark/>
          </w:tcPr>
          <w:p w14:paraId="5EB05D79"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97</w:t>
            </w:r>
          </w:p>
        </w:tc>
        <w:tc>
          <w:tcPr>
            <w:tcW w:w="960" w:type="dxa"/>
            <w:noWrap/>
            <w:hideMark/>
          </w:tcPr>
          <w:p w14:paraId="2EFEE611"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1193</w:t>
            </w:r>
          </w:p>
        </w:tc>
      </w:tr>
      <w:tr w:rsidR="00AB403C" w:rsidRPr="00EE5644" w14:paraId="525B36F5"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57B5480" w14:textId="48475DF1"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644" w:type="dxa"/>
            <w:noWrap/>
            <w:hideMark/>
          </w:tcPr>
          <w:p w14:paraId="47658D9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595</w:t>
            </w:r>
          </w:p>
        </w:tc>
        <w:tc>
          <w:tcPr>
            <w:tcW w:w="960" w:type="dxa"/>
            <w:noWrap/>
            <w:hideMark/>
          </w:tcPr>
          <w:p w14:paraId="1DF6951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343</w:t>
            </w:r>
          </w:p>
        </w:tc>
        <w:tc>
          <w:tcPr>
            <w:tcW w:w="960" w:type="dxa"/>
            <w:noWrap/>
            <w:hideMark/>
          </w:tcPr>
          <w:p w14:paraId="17C20054"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320</w:t>
            </w:r>
          </w:p>
        </w:tc>
        <w:tc>
          <w:tcPr>
            <w:tcW w:w="960" w:type="dxa"/>
            <w:noWrap/>
            <w:hideMark/>
          </w:tcPr>
          <w:p w14:paraId="089344C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c>
          <w:tcPr>
            <w:tcW w:w="960" w:type="dxa"/>
            <w:noWrap/>
            <w:hideMark/>
          </w:tcPr>
          <w:p w14:paraId="14C1300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1342</w:t>
            </w:r>
          </w:p>
        </w:tc>
      </w:tr>
      <w:tr w:rsidR="00AB403C" w:rsidRPr="00EE5644" w14:paraId="2C8EC650"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0582F5F" w14:textId="116EE2F4"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644" w:type="dxa"/>
            <w:noWrap/>
            <w:hideMark/>
          </w:tcPr>
          <w:p w14:paraId="221E053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473</w:t>
            </w:r>
          </w:p>
        </w:tc>
        <w:tc>
          <w:tcPr>
            <w:tcW w:w="960" w:type="dxa"/>
            <w:noWrap/>
            <w:hideMark/>
          </w:tcPr>
          <w:p w14:paraId="74BBB1B3"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324</w:t>
            </w:r>
          </w:p>
        </w:tc>
        <w:tc>
          <w:tcPr>
            <w:tcW w:w="960" w:type="dxa"/>
            <w:noWrap/>
            <w:hideMark/>
          </w:tcPr>
          <w:p w14:paraId="5F9D173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331</w:t>
            </w:r>
          </w:p>
        </w:tc>
        <w:tc>
          <w:tcPr>
            <w:tcW w:w="960" w:type="dxa"/>
            <w:noWrap/>
            <w:hideMark/>
          </w:tcPr>
          <w:p w14:paraId="289158B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115</w:t>
            </w:r>
          </w:p>
        </w:tc>
        <w:tc>
          <w:tcPr>
            <w:tcW w:w="960" w:type="dxa"/>
            <w:noWrap/>
            <w:hideMark/>
          </w:tcPr>
          <w:p w14:paraId="6B04A730"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1243</w:t>
            </w:r>
          </w:p>
        </w:tc>
      </w:tr>
      <w:tr w:rsidR="00AB403C" w:rsidRPr="00EE5644" w14:paraId="25212BB6"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C5AB7DC" w14:textId="79375CB4"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644" w:type="dxa"/>
            <w:noWrap/>
            <w:hideMark/>
          </w:tcPr>
          <w:p w14:paraId="3F4C7A18"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521</w:t>
            </w:r>
          </w:p>
        </w:tc>
        <w:tc>
          <w:tcPr>
            <w:tcW w:w="960" w:type="dxa"/>
            <w:noWrap/>
            <w:hideMark/>
          </w:tcPr>
          <w:p w14:paraId="73F4B844"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394</w:t>
            </w:r>
          </w:p>
        </w:tc>
        <w:tc>
          <w:tcPr>
            <w:tcW w:w="960" w:type="dxa"/>
            <w:noWrap/>
            <w:hideMark/>
          </w:tcPr>
          <w:p w14:paraId="0E4E08D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395</w:t>
            </w:r>
          </w:p>
        </w:tc>
        <w:tc>
          <w:tcPr>
            <w:tcW w:w="960" w:type="dxa"/>
            <w:noWrap/>
            <w:hideMark/>
          </w:tcPr>
          <w:p w14:paraId="62B59E3B"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140</w:t>
            </w:r>
          </w:p>
        </w:tc>
        <w:tc>
          <w:tcPr>
            <w:tcW w:w="960" w:type="dxa"/>
            <w:noWrap/>
            <w:hideMark/>
          </w:tcPr>
          <w:p w14:paraId="6C8428E1"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1450</w:t>
            </w:r>
          </w:p>
        </w:tc>
      </w:tr>
      <w:tr w:rsidR="00AB403C" w:rsidRPr="00EE5644" w14:paraId="66FEFE05"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496B538" w14:textId="14282AD1"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644" w:type="dxa"/>
            <w:noWrap/>
            <w:hideMark/>
          </w:tcPr>
          <w:p w14:paraId="24B2DF7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628</w:t>
            </w:r>
          </w:p>
        </w:tc>
        <w:tc>
          <w:tcPr>
            <w:tcW w:w="960" w:type="dxa"/>
            <w:noWrap/>
            <w:hideMark/>
          </w:tcPr>
          <w:p w14:paraId="7D349673"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484</w:t>
            </w:r>
          </w:p>
        </w:tc>
        <w:tc>
          <w:tcPr>
            <w:tcW w:w="960" w:type="dxa"/>
            <w:noWrap/>
            <w:hideMark/>
          </w:tcPr>
          <w:p w14:paraId="657CA406"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450</w:t>
            </w:r>
          </w:p>
        </w:tc>
        <w:tc>
          <w:tcPr>
            <w:tcW w:w="960" w:type="dxa"/>
            <w:noWrap/>
            <w:hideMark/>
          </w:tcPr>
          <w:p w14:paraId="79AD69E5"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132</w:t>
            </w:r>
          </w:p>
        </w:tc>
        <w:tc>
          <w:tcPr>
            <w:tcW w:w="960" w:type="dxa"/>
            <w:noWrap/>
            <w:hideMark/>
          </w:tcPr>
          <w:p w14:paraId="0CC46FBB"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1694</w:t>
            </w:r>
          </w:p>
        </w:tc>
      </w:tr>
      <w:tr w:rsidR="00AB403C" w:rsidRPr="00EE5644" w14:paraId="3B74A786"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F6402A5" w14:textId="5600CDF5"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644" w:type="dxa"/>
            <w:noWrap/>
            <w:hideMark/>
          </w:tcPr>
          <w:p w14:paraId="1AC6654F"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766</w:t>
            </w:r>
          </w:p>
        </w:tc>
        <w:tc>
          <w:tcPr>
            <w:tcW w:w="960" w:type="dxa"/>
            <w:noWrap/>
            <w:hideMark/>
          </w:tcPr>
          <w:p w14:paraId="48295AB8"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515</w:t>
            </w:r>
          </w:p>
        </w:tc>
        <w:tc>
          <w:tcPr>
            <w:tcW w:w="960" w:type="dxa"/>
            <w:noWrap/>
            <w:hideMark/>
          </w:tcPr>
          <w:p w14:paraId="758A2892"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418</w:t>
            </w:r>
          </w:p>
        </w:tc>
        <w:tc>
          <w:tcPr>
            <w:tcW w:w="960" w:type="dxa"/>
            <w:noWrap/>
            <w:hideMark/>
          </w:tcPr>
          <w:p w14:paraId="5043602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148</w:t>
            </w:r>
          </w:p>
        </w:tc>
        <w:tc>
          <w:tcPr>
            <w:tcW w:w="960" w:type="dxa"/>
            <w:noWrap/>
            <w:hideMark/>
          </w:tcPr>
          <w:p w14:paraId="43CD70FE"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1847</w:t>
            </w:r>
          </w:p>
        </w:tc>
      </w:tr>
      <w:tr w:rsidR="00AB403C" w:rsidRPr="00EE5644" w14:paraId="6585AE05"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54BA510" w14:textId="684C17DB"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644" w:type="dxa"/>
            <w:noWrap/>
            <w:hideMark/>
          </w:tcPr>
          <w:p w14:paraId="42080112"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618</w:t>
            </w:r>
          </w:p>
        </w:tc>
        <w:tc>
          <w:tcPr>
            <w:tcW w:w="960" w:type="dxa"/>
            <w:noWrap/>
            <w:hideMark/>
          </w:tcPr>
          <w:p w14:paraId="481DFA76"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478</w:t>
            </w:r>
          </w:p>
        </w:tc>
        <w:tc>
          <w:tcPr>
            <w:tcW w:w="960" w:type="dxa"/>
            <w:noWrap/>
            <w:hideMark/>
          </w:tcPr>
          <w:p w14:paraId="411E626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441</w:t>
            </w:r>
          </w:p>
        </w:tc>
        <w:tc>
          <w:tcPr>
            <w:tcW w:w="960" w:type="dxa"/>
            <w:noWrap/>
            <w:hideMark/>
          </w:tcPr>
          <w:p w14:paraId="45B2B61B"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145</w:t>
            </w:r>
          </w:p>
        </w:tc>
        <w:tc>
          <w:tcPr>
            <w:tcW w:w="960" w:type="dxa"/>
            <w:noWrap/>
            <w:hideMark/>
          </w:tcPr>
          <w:p w14:paraId="740100B9"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1682</w:t>
            </w:r>
          </w:p>
        </w:tc>
      </w:tr>
      <w:tr w:rsidR="00AB403C" w:rsidRPr="00EE5644" w14:paraId="631F19F9"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471D68C" w14:textId="7D38786E"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644" w:type="dxa"/>
            <w:noWrap/>
            <w:hideMark/>
          </w:tcPr>
          <w:p w14:paraId="2E40A5CE"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618</w:t>
            </w:r>
          </w:p>
        </w:tc>
        <w:tc>
          <w:tcPr>
            <w:tcW w:w="960" w:type="dxa"/>
            <w:noWrap/>
            <w:hideMark/>
          </w:tcPr>
          <w:p w14:paraId="0125ADB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488</w:t>
            </w:r>
          </w:p>
        </w:tc>
        <w:tc>
          <w:tcPr>
            <w:tcW w:w="960" w:type="dxa"/>
            <w:noWrap/>
            <w:hideMark/>
          </w:tcPr>
          <w:p w14:paraId="1D865C8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421</w:t>
            </w:r>
          </w:p>
        </w:tc>
        <w:tc>
          <w:tcPr>
            <w:tcW w:w="960" w:type="dxa"/>
            <w:noWrap/>
            <w:hideMark/>
          </w:tcPr>
          <w:p w14:paraId="4698D4CE"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153</w:t>
            </w:r>
          </w:p>
        </w:tc>
        <w:tc>
          <w:tcPr>
            <w:tcW w:w="960" w:type="dxa"/>
            <w:noWrap/>
            <w:hideMark/>
          </w:tcPr>
          <w:p w14:paraId="7028AA6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1680</w:t>
            </w:r>
          </w:p>
        </w:tc>
      </w:tr>
      <w:tr w:rsidR="00AB403C" w:rsidRPr="00EE5644" w14:paraId="501BFAFE"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B344165" w14:textId="5BFA8537"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644" w:type="dxa"/>
            <w:noWrap/>
            <w:hideMark/>
          </w:tcPr>
          <w:p w14:paraId="5EBD94A9"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539</w:t>
            </w:r>
          </w:p>
        </w:tc>
        <w:tc>
          <w:tcPr>
            <w:tcW w:w="960" w:type="dxa"/>
            <w:noWrap/>
            <w:hideMark/>
          </w:tcPr>
          <w:p w14:paraId="29FCF07C"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453</w:t>
            </w:r>
          </w:p>
        </w:tc>
        <w:tc>
          <w:tcPr>
            <w:tcW w:w="960" w:type="dxa"/>
            <w:noWrap/>
            <w:hideMark/>
          </w:tcPr>
          <w:p w14:paraId="67A29DC3"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410</w:t>
            </w:r>
          </w:p>
        </w:tc>
        <w:tc>
          <w:tcPr>
            <w:tcW w:w="960" w:type="dxa"/>
            <w:noWrap/>
            <w:hideMark/>
          </w:tcPr>
          <w:p w14:paraId="648B1E13"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153</w:t>
            </w:r>
          </w:p>
        </w:tc>
        <w:tc>
          <w:tcPr>
            <w:tcW w:w="960" w:type="dxa"/>
            <w:noWrap/>
            <w:hideMark/>
          </w:tcPr>
          <w:p w14:paraId="480DAFBF"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1555</w:t>
            </w:r>
          </w:p>
        </w:tc>
      </w:tr>
    </w:tbl>
    <w:p w14:paraId="5C78BC7C" w14:textId="77777777" w:rsidR="00AA4FFC" w:rsidRDefault="00AA4FFC" w:rsidP="00AA4FFC"/>
    <w:p w14:paraId="16D1AEFD" w14:textId="03EE33C1" w:rsidR="00DA7A59" w:rsidRDefault="00DA7A59" w:rsidP="00617949">
      <w:pPr>
        <w:pStyle w:val="Heading5"/>
      </w:pPr>
      <w:r>
        <w:t>‘Other NSAID’ poisonings</w:t>
      </w:r>
      <w:r w:rsidRPr="00AF68C1">
        <w:t xml:space="preserve"> </w:t>
      </w:r>
      <w:r>
        <w:t xml:space="preserve">in combination </w:t>
      </w:r>
      <w:r w:rsidR="00617949">
        <w:t xml:space="preserve">with ‘other opiates’ </w:t>
      </w:r>
      <w:r w:rsidRPr="00AF68C1">
        <w:t>in Australia (by age group) (AIHW NHMD 2009-2020).</w:t>
      </w:r>
    </w:p>
    <w:tbl>
      <w:tblPr>
        <w:tblStyle w:val="ListTable2"/>
        <w:tblW w:w="5809" w:type="dxa"/>
        <w:tblLook w:val="04A0" w:firstRow="1" w:lastRow="0" w:firstColumn="1" w:lastColumn="0" w:noHBand="0" w:noVBand="1"/>
      </w:tblPr>
      <w:tblGrid>
        <w:gridCol w:w="1418"/>
        <w:gridCol w:w="709"/>
        <w:gridCol w:w="802"/>
        <w:gridCol w:w="960"/>
        <w:gridCol w:w="960"/>
        <w:gridCol w:w="960"/>
      </w:tblGrid>
      <w:tr w:rsidR="00AA4FFC" w:rsidRPr="00EE5644" w14:paraId="5CB2EF66" w14:textId="77777777" w:rsidTr="005D487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EE3D590" w14:textId="77777777" w:rsidR="00AA4FFC" w:rsidRPr="00EE5644" w:rsidRDefault="00AA4FFC" w:rsidP="00617949">
            <w:pPr>
              <w:jc w:val="right"/>
              <w:rPr>
                <w:rFonts w:eastAsia="Times New Roman" w:cs="Times New Roman"/>
                <w:color w:val="000000"/>
                <w:sz w:val="20"/>
                <w:szCs w:val="20"/>
                <w:lang w:eastAsia="en-AU"/>
              </w:rPr>
            </w:pPr>
            <w:r w:rsidRPr="00EE5644">
              <w:rPr>
                <w:rFonts w:eastAsia="Times New Roman" w:cs="Times New Roman"/>
                <w:color w:val="000000"/>
                <w:sz w:val="20"/>
                <w:szCs w:val="20"/>
                <w:lang w:eastAsia="en-AU"/>
              </w:rPr>
              <w:t>T393 + T402</w:t>
            </w:r>
          </w:p>
        </w:tc>
        <w:tc>
          <w:tcPr>
            <w:tcW w:w="709" w:type="dxa"/>
            <w:noWrap/>
            <w:hideMark/>
          </w:tcPr>
          <w:p w14:paraId="2584BA19"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0-19</w:t>
            </w:r>
          </w:p>
        </w:tc>
        <w:tc>
          <w:tcPr>
            <w:tcW w:w="802" w:type="dxa"/>
            <w:noWrap/>
            <w:hideMark/>
          </w:tcPr>
          <w:p w14:paraId="6FE4212E"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20-30</w:t>
            </w:r>
          </w:p>
        </w:tc>
        <w:tc>
          <w:tcPr>
            <w:tcW w:w="960" w:type="dxa"/>
            <w:noWrap/>
            <w:hideMark/>
          </w:tcPr>
          <w:p w14:paraId="1DD9C239"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30-50</w:t>
            </w:r>
          </w:p>
        </w:tc>
        <w:tc>
          <w:tcPr>
            <w:tcW w:w="960" w:type="dxa"/>
            <w:noWrap/>
            <w:hideMark/>
          </w:tcPr>
          <w:p w14:paraId="45FCB662"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w:t>
            </w:r>
          </w:p>
        </w:tc>
        <w:tc>
          <w:tcPr>
            <w:tcW w:w="960" w:type="dxa"/>
            <w:noWrap/>
            <w:hideMark/>
          </w:tcPr>
          <w:p w14:paraId="0AEDB7DA" w14:textId="77777777" w:rsidR="00AA4FFC" w:rsidRPr="00EE5644" w:rsidRDefault="00AA4FFC" w:rsidP="0061794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Total</w:t>
            </w:r>
          </w:p>
        </w:tc>
      </w:tr>
      <w:tr w:rsidR="00AB403C" w:rsidRPr="00EE5644" w14:paraId="0F8A0038"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579707A7" w14:textId="7DD82535"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10 </w:t>
            </w:r>
          </w:p>
        </w:tc>
        <w:tc>
          <w:tcPr>
            <w:tcW w:w="709" w:type="dxa"/>
            <w:noWrap/>
            <w:hideMark/>
          </w:tcPr>
          <w:p w14:paraId="580D6536"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95</w:t>
            </w:r>
          </w:p>
        </w:tc>
        <w:tc>
          <w:tcPr>
            <w:tcW w:w="802" w:type="dxa"/>
            <w:noWrap/>
            <w:hideMark/>
          </w:tcPr>
          <w:p w14:paraId="14F0B6C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w:t>
            </w:r>
          </w:p>
        </w:tc>
        <w:tc>
          <w:tcPr>
            <w:tcW w:w="960" w:type="dxa"/>
            <w:noWrap/>
            <w:hideMark/>
          </w:tcPr>
          <w:p w14:paraId="71A03120"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165</w:t>
            </w:r>
          </w:p>
        </w:tc>
        <w:tc>
          <w:tcPr>
            <w:tcW w:w="960" w:type="dxa"/>
            <w:noWrap/>
            <w:hideMark/>
          </w:tcPr>
          <w:p w14:paraId="2989941C"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c>
          <w:tcPr>
            <w:tcW w:w="960" w:type="dxa"/>
            <w:noWrap/>
            <w:hideMark/>
          </w:tcPr>
          <w:p w14:paraId="1E03B6D6"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411</w:t>
            </w:r>
          </w:p>
        </w:tc>
      </w:tr>
      <w:tr w:rsidR="00AB403C" w:rsidRPr="00EE5644" w14:paraId="3A10823E"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C371AF8" w14:textId="09132503"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10</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11 </w:t>
            </w:r>
          </w:p>
        </w:tc>
        <w:tc>
          <w:tcPr>
            <w:tcW w:w="709" w:type="dxa"/>
            <w:noWrap/>
            <w:hideMark/>
          </w:tcPr>
          <w:p w14:paraId="29125F88"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109</w:t>
            </w:r>
          </w:p>
        </w:tc>
        <w:tc>
          <w:tcPr>
            <w:tcW w:w="802" w:type="dxa"/>
            <w:noWrap/>
            <w:hideMark/>
          </w:tcPr>
          <w:p w14:paraId="40E7AA2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1277EB39"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140</w:t>
            </w:r>
          </w:p>
        </w:tc>
        <w:tc>
          <w:tcPr>
            <w:tcW w:w="960" w:type="dxa"/>
            <w:noWrap/>
            <w:hideMark/>
          </w:tcPr>
          <w:p w14:paraId="1D8794A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37</w:t>
            </w:r>
          </w:p>
        </w:tc>
        <w:tc>
          <w:tcPr>
            <w:tcW w:w="960" w:type="dxa"/>
            <w:noWrap/>
            <w:hideMark/>
          </w:tcPr>
          <w:p w14:paraId="755E347C"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393</w:t>
            </w:r>
          </w:p>
        </w:tc>
      </w:tr>
      <w:tr w:rsidR="00AB403C" w:rsidRPr="00EE5644" w14:paraId="406EFEC9"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6614E7B" w14:textId="4119F983"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11</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12 </w:t>
            </w:r>
          </w:p>
        </w:tc>
        <w:tc>
          <w:tcPr>
            <w:tcW w:w="709" w:type="dxa"/>
            <w:noWrap/>
            <w:hideMark/>
          </w:tcPr>
          <w:p w14:paraId="7E0C82DF"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w:t>
            </w:r>
          </w:p>
        </w:tc>
        <w:tc>
          <w:tcPr>
            <w:tcW w:w="802" w:type="dxa"/>
            <w:noWrap/>
            <w:hideMark/>
          </w:tcPr>
          <w:p w14:paraId="41059C13"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150</w:t>
            </w:r>
          </w:p>
        </w:tc>
        <w:tc>
          <w:tcPr>
            <w:tcW w:w="960" w:type="dxa"/>
            <w:noWrap/>
            <w:hideMark/>
          </w:tcPr>
          <w:p w14:paraId="0F415082"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148</w:t>
            </w:r>
          </w:p>
        </w:tc>
        <w:tc>
          <w:tcPr>
            <w:tcW w:w="960" w:type="dxa"/>
            <w:noWrap/>
            <w:hideMark/>
          </w:tcPr>
          <w:p w14:paraId="57BA494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w:t>
            </w:r>
          </w:p>
        </w:tc>
        <w:tc>
          <w:tcPr>
            <w:tcW w:w="960" w:type="dxa"/>
            <w:noWrap/>
            <w:hideMark/>
          </w:tcPr>
          <w:p w14:paraId="20999ED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421</w:t>
            </w:r>
          </w:p>
        </w:tc>
      </w:tr>
      <w:tr w:rsidR="00AB403C" w:rsidRPr="00EE5644" w14:paraId="2615719A"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D3141B4" w14:textId="567CFF21"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12</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13 </w:t>
            </w:r>
          </w:p>
        </w:tc>
        <w:tc>
          <w:tcPr>
            <w:tcW w:w="709" w:type="dxa"/>
            <w:noWrap/>
            <w:hideMark/>
          </w:tcPr>
          <w:p w14:paraId="65B28AA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149</w:t>
            </w:r>
          </w:p>
        </w:tc>
        <w:tc>
          <w:tcPr>
            <w:tcW w:w="802" w:type="dxa"/>
            <w:noWrap/>
            <w:hideMark/>
          </w:tcPr>
          <w:p w14:paraId="0D7F0B7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135</w:t>
            </w:r>
          </w:p>
        </w:tc>
        <w:tc>
          <w:tcPr>
            <w:tcW w:w="960" w:type="dxa"/>
            <w:noWrap/>
            <w:hideMark/>
          </w:tcPr>
          <w:p w14:paraId="5DE73D9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142</w:t>
            </w:r>
          </w:p>
        </w:tc>
        <w:tc>
          <w:tcPr>
            <w:tcW w:w="960" w:type="dxa"/>
            <w:noWrap/>
            <w:hideMark/>
          </w:tcPr>
          <w:p w14:paraId="0B331C5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c>
          <w:tcPr>
            <w:tcW w:w="960" w:type="dxa"/>
            <w:noWrap/>
            <w:hideMark/>
          </w:tcPr>
          <w:p w14:paraId="42D2A51F"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459</w:t>
            </w:r>
          </w:p>
        </w:tc>
      </w:tr>
      <w:tr w:rsidR="00AB403C" w:rsidRPr="00EE5644" w14:paraId="2B83E801"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1FB3E488" w14:textId="0515B93C"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13</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14 </w:t>
            </w:r>
          </w:p>
        </w:tc>
        <w:tc>
          <w:tcPr>
            <w:tcW w:w="709" w:type="dxa"/>
            <w:noWrap/>
            <w:hideMark/>
          </w:tcPr>
          <w:p w14:paraId="5353091A"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111</w:t>
            </w:r>
          </w:p>
        </w:tc>
        <w:tc>
          <w:tcPr>
            <w:tcW w:w="802" w:type="dxa"/>
            <w:noWrap/>
            <w:hideMark/>
          </w:tcPr>
          <w:p w14:paraId="3391002A"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129</w:t>
            </w:r>
          </w:p>
        </w:tc>
        <w:tc>
          <w:tcPr>
            <w:tcW w:w="960" w:type="dxa"/>
            <w:noWrap/>
            <w:hideMark/>
          </w:tcPr>
          <w:p w14:paraId="5CC01D4E"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162</w:t>
            </w:r>
          </w:p>
        </w:tc>
        <w:tc>
          <w:tcPr>
            <w:tcW w:w="960" w:type="dxa"/>
            <w:noWrap/>
            <w:hideMark/>
          </w:tcPr>
          <w:p w14:paraId="51310F34"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w:t>
            </w:r>
          </w:p>
        </w:tc>
        <w:tc>
          <w:tcPr>
            <w:tcW w:w="960" w:type="dxa"/>
            <w:noWrap/>
            <w:hideMark/>
          </w:tcPr>
          <w:p w14:paraId="62211DDF"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441</w:t>
            </w:r>
          </w:p>
        </w:tc>
      </w:tr>
      <w:tr w:rsidR="00AB403C" w:rsidRPr="00EE5644" w14:paraId="54331364"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7E6828BB" w14:textId="3B3AA213"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14</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15 </w:t>
            </w:r>
          </w:p>
        </w:tc>
        <w:tc>
          <w:tcPr>
            <w:tcW w:w="709" w:type="dxa"/>
            <w:noWrap/>
            <w:hideMark/>
          </w:tcPr>
          <w:p w14:paraId="7CEF7AE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133</w:t>
            </w:r>
          </w:p>
        </w:tc>
        <w:tc>
          <w:tcPr>
            <w:tcW w:w="802" w:type="dxa"/>
            <w:noWrap/>
            <w:hideMark/>
          </w:tcPr>
          <w:p w14:paraId="0A49E7C7"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144</w:t>
            </w:r>
          </w:p>
        </w:tc>
        <w:tc>
          <w:tcPr>
            <w:tcW w:w="960" w:type="dxa"/>
            <w:noWrap/>
            <w:hideMark/>
          </w:tcPr>
          <w:p w14:paraId="504D6F4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173</w:t>
            </w:r>
          </w:p>
        </w:tc>
        <w:tc>
          <w:tcPr>
            <w:tcW w:w="960" w:type="dxa"/>
            <w:noWrap/>
            <w:hideMark/>
          </w:tcPr>
          <w:p w14:paraId="45B289D3"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77</w:t>
            </w:r>
          </w:p>
        </w:tc>
        <w:tc>
          <w:tcPr>
            <w:tcW w:w="960" w:type="dxa"/>
            <w:noWrap/>
            <w:hideMark/>
          </w:tcPr>
          <w:p w14:paraId="6D5E42BC"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527</w:t>
            </w:r>
          </w:p>
        </w:tc>
      </w:tr>
      <w:tr w:rsidR="00AB403C" w:rsidRPr="00EE5644" w14:paraId="066696AB"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7BCF26" w14:textId="6A42E558"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15</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16 </w:t>
            </w:r>
          </w:p>
        </w:tc>
        <w:tc>
          <w:tcPr>
            <w:tcW w:w="709" w:type="dxa"/>
            <w:noWrap/>
            <w:hideMark/>
          </w:tcPr>
          <w:p w14:paraId="16C6CD42"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150</w:t>
            </w:r>
          </w:p>
        </w:tc>
        <w:tc>
          <w:tcPr>
            <w:tcW w:w="802" w:type="dxa"/>
            <w:noWrap/>
            <w:hideMark/>
          </w:tcPr>
          <w:p w14:paraId="63BD1865"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w:t>
            </w:r>
          </w:p>
        </w:tc>
        <w:tc>
          <w:tcPr>
            <w:tcW w:w="960" w:type="dxa"/>
            <w:noWrap/>
            <w:hideMark/>
          </w:tcPr>
          <w:p w14:paraId="685DB61A"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189</w:t>
            </w:r>
          </w:p>
        </w:tc>
        <w:tc>
          <w:tcPr>
            <w:tcW w:w="960" w:type="dxa"/>
            <w:noWrap/>
            <w:hideMark/>
          </w:tcPr>
          <w:p w14:paraId="6E1FF45C"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w:t>
            </w:r>
          </w:p>
        </w:tc>
        <w:tc>
          <w:tcPr>
            <w:tcW w:w="960" w:type="dxa"/>
            <w:noWrap/>
            <w:hideMark/>
          </w:tcPr>
          <w:p w14:paraId="5AEE635C"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577</w:t>
            </w:r>
          </w:p>
        </w:tc>
      </w:tr>
      <w:tr w:rsidR="00AB403C" w:rsidRPr="00EE5644" w14:paraId="538515AB"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28AED439" w14:textId="00202B42"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16</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17 </w:t>
            </w:r>
          </w:p>
        </w:tc>
        <w:tc>
          <w:tcPr>
            <w:tcW w:w="709" w:type="dxa"/>
            <w:noWrap/>
            <w:hideMark/>
          </w:tcPr>
          <w:p w14:paraId="561047BA"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197</w:t>
            </w:r>
          </w:p>
        </w:tc>
        <w:tc>
          <w:tcPr>
            <w:tcW w:w="802" w:type="dxa"/>
            <w:noWrap/>
            <w:hideMark/>
          </w:tcPr>
          <w:p w14:paraId="499C8D2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169</w:t>
            </w:r>
          </w:p>
        </w:tc>
        <w:tc>
          <w:tcPr>
            <w:tcW w:w="960" w:type="dxa"/>
            <w:noWrap/>
            <w:hideMark/>
          </w:tcPr>
          <w:p w14:paraId="15E0D2B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169</w:t>
            </w:r>
          </w:p>
        </w:tc>
        <w:tc>
          <w:tcPr>
            <w:tcW w:w="960" w:type="dxa"/>
            <w:noWrap/>
            <w:hideMark/>
          </w:tcPr>
          <w:p w14:paraId="6CFF6D85"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70</w:t>
            </w:r>
          </w:p>
        </w:tc>
        <w:tc>
          <w:tcPr>
            <w:tcW w:w="960" w:type="dxa"/>
            <w:noWrap/>
            <w:hideMark/>
          </w:tcPr>
          <w:p w14:paraId="1E198161"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605</w:t>
            </w:r>
          </w:p>
        </w:tc>
      </w:tr>
      <w:tr w:rsidR="00AB403C" w:rsidRPr="00EE5644" w14:paraId="1BFC4893"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39D1A23" w14:textId="3CF9D814"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17</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18 </w:t>
            </w:r>
          </w:p>
        </w:tc>
        <w:tc>
          <w:tcPr>
            <w:tcW w:w="709" w:type="dxa"/>
            <w:noWrap/>
            <w:hideMark/>
          </w:tcPr>
          <w:p w14:paraId="2D008277"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148</w:t>
            </w:r>
          </w:p>
        </w:tc>
        <w:tc>
          <w:tcPr>
            <w:tcW w:w="802" w:type="dxa"/>
            <w:noWrap/>
            <w:hideMark/>
          </w:tcPr>
          <w:p w14:paraId="0799C93B"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145</w:t>
            </w:r>
          </w:p>
        </w:tc>
        <w:tc>
          <w:tcPr>
            <w:tcW w:w="960" w:type="dxa"/>
            <w:noWrap/>
            <w:hideMark/>
          </w:tcPr>
          <w:p w14:paraId="31C9802D"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w:t>
            </w:r>
          </w:p>
        </w:tc>
        <w:tc>
          <w:tcPr>
            <w:tcW w:w="960" w:type="dxa"/>
            <w:noWrap/>
            <w:hideMark/>
          </w:tcPr>
          <w:p w14:paraId="1A470A7A"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c>
          <w:tcPr>
            <w:tcW w:w="960" w:type="dxa"/>
            <w:noWrap/>
            <w:hideMark/>
          </w:tcPr>
          <w:p w14:paraId="3269B2C7"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529</w:t>
            </w:r>
          </w:p>
        </w:tc>
      </w:tr>
      <w:tr w:rsidR="00AB403C" w:rsidRPr="00EE5644" w14:paraId="7522791C" w14:textId="77777777" w:rsidTr="005D4877">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3878DF6F" w14:textId="469A0B42"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18</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19 </w:t>
            </w:r>
          </w:p>
        </w:tc>
        <w:tc>
          <w:tcPr>
            <w:tcW w:w="709" w:type="dxa"/>
            <w:noWrap/>
            <w:hideMark/>
          </w:tcPr>
          <w:p w14:paraId="1020695D"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103</w:t>
            </w:r>
          </w:p>
        </w:tc>
        <w:tc>
          <w:tcPr>
            <w:tcW w:w="802" w:type="dxa"/>
            <w:noWrap/>
            <w:hideMark/>
          </w:tcPr>
          <w:p w14:paraId="4676C590"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w:t>
            </w:r>
          </w:p>
        </w:tc>
        <w:tc>
          <w:tcPr>
            <w:tcW w:w="960" w:type="dxa"/>
            <w:noWrap/>
            <w:hideMark/>
          </w:tcPr>
          <w:p w14:paraId="558608AB"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125</w:t>
            </w:r>
          </w:p>
        </w:tc>
        <w:tc>
          <w:tcPr>
            <w:tcW w:w="960" w:type="dxa"/>
            <w:noWrap/>
            <w:hideMark/>
          </w:tcPr>
          <w:p w14:paraId="12075C6B"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w:t>
            </w:r>
          </w:p>
        </w:tc>
        <w:tc>
          <w:tcPr>
            <w:tcW w:w="960" w:type="dxa"/>
            <w:noWrap/>
            <w:hideMark/>
          </w:tcPr>
          <w:p w14:paraId="3F71359C" w14:textId="77777777" w:rsidR="00AB403C" w:rsidRPr="00EE5644" w:rsidRDefault="00AB403C" w:rsidP="00AB403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383</w:t>
            </w:r>
          </w:p>
        </w:tc>
      </w:tr>
      <w:tr w:rsidR="00AB403C" w:rsidRPr="00EE5644" w14:paraId="0538A46E" w14:textId="77777777" w:rsidTr="005D48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14:paraId="468D2666" w14:textId="2E7207EA" w:rsidR="00AB403C" w:rsidRPr="00EE5644" w:rsidRDefault="00AB403C" w:rsidP="00AB403C">
            <w:pPr>
              <w:jc w:val="right"/>
              <w:rPr>
                <w:rFonts w:eastAsia="Times New Roman" w:cs="Times New Roman"/>
                <w:color w:val="000000"/>
                <w:sz w:val="20"/>
                <w:szCs w:val="20"/>
                <w:lang w:eastAsia="en-AU"/>
              </w:rPr>
            </w:pPr>
            <w:r w:rsidRPr="005C74AB">
              <w:rPr>
                <w:rFonts w:eastAsia="Times New Roman" w:cs="Times New Roman"/>
                <w:color w:val="000000"/>
                <w:sz w:val="20"/>
                <w:szCs w:val="20"/>
                <w:lang w:eastAsia="en-AU"/>
              </w:rPr>
              <w:t>19</w:t>
            </w:r>
            <w:r>
              <w:rPr>
                <w:rFonts w:eastAsia="Times New Roman" w:cs="Times New Roman"/>
                <w:b w:val="0"/>
                <w:bCs w:val="0"/>
                <w:color w:val="000000"/>
                <w:sz w:val="20"/>
                <w:szCs w:val="20"/>
                <w:lang w:eastAsia="en-AU"/>
              </w:rPr>
              <w:t>-</w:t>
            </w:r>
            <w:r w:rsidRPr="005C74AB">
              <w:rPr>
                <w:rFonts w:eastAsia="Times New Roman" w:cs="Times New Roman"/>
                <w:color w:val="000000"/>
                <w:sz w:val="20"/>
                <w:szCs w:val="20"/>
                <w:lang w:eastAsia="en-AU"/>
              </w:rPr>
              <w:t>20 </w:t>
            </w:r>
          </w:p>
        </w:tc>
        <w:tc>
          <w:tcPr>
            <w:tcW w:w="709" w:type="dxa"/>
            <w:noWrap/>
            <w:hideMark/>
          </w:tcPr>
          <w:p w14:paraId="30070161"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w:t>
            </w:r>
          </w:p>
        </w:tc>
        <w:tc>
          <w:tcPr>
            <w:tcW w:w="802" w:type="dxa"/>
            <w:noWrap/>
            <w:hideMark/>
          </w:tcPr>
          <w:p w14:paraId="17CCB66A"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99</w:t>
            </w:r>
          </w:p>
        </w:tc>
        <w:tc>
          <w:tcPr>
            <w:tcW w:w="960" w:type="dxa"/>
            <w:noWrap/>
            <w:hideMark/>
          </w:tcPr>
          <w:p w14:paraId="237EC19F"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107</w:t>
            </w:r>
          </w:p>
        </w:tc>
        <w:tc>
          <w:tcPr>
            <w:tcW w:w="960" w:type="dxa"/>
            <w:noWrap/>
            <w:hideMark/>
          </w:tcPr>
          <w:p w14:paraId="50D6C4AE"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w:t>
            </w:r>
          </w:p>
        </w:tc>
        <w:tc>
          <w:tcPr>
            <w:tcW w:w="960" w:type="dxa"/>
            <w:noWrap/>
            <w:hideMark/>
          </w:tcPr>
          <w:p w14:paraId="5A4431D5" w14:textId="77777777" w:rsidR="00AB403C" w:rsidRPr="00EE5644" w:rsidRDefault="00AB403C" w:rsidP="00AB403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329</w:t>
            </w:r>
          </w:p>
        </w:tc>
      </w:tr>
    </w:tbl>
    <w:p w14:paraId="0373668B" w14:textId="77777777" w:rsidR="00E723F2" w:rsidRPr="0034427C" w:rsidRDefault="00E723F2" w:rsidP="0034427C"/>
    <w:p w14:paraId="26628F66" w14:textId="576A82E9" w:rsidR="00FC4963" w:rsidRPr="00186613" w:rsidRDefault="00FC4963" w:rsidP="0034427C">
      <w:pPr>
        <w:sectPr w:rsidR="00FC4963" w:rsidRPr="00186613" w:rsidSect="0034427C">
          <w:headerReference w:type="default" r:id="rId153"/>
          <w:pgSz w:w="16838" w:h="11906" w:orient="landscape"/>
          <w:pgMar w:top="1440" w:right="1440" w:bottom="1440" w:left="1440" w:header="709" w:footer="709" w:gutter="0"/>
          <w:cols w:space="708"/>
          <w:docGrid w:linePitch="360"/>
        </w:sectPr>
      </w:pPr>
    </w:p>
    <w:p w14:paraId="29E5725B" w14:textId="644430DA" w:rsidR="00F02C39" w:rsidRPr="00F02C39" w:rsidRDefault="00706FC3" w:rsidP="00F02C39">
      <w:pPr>
        <w:pStyle w:val="Heading2"/>
        <w:rPr>
          <w:rStyle w:val="BookTitle"/>
          <w:b w:val="0"/>
          <w:bCs w:val="0"/>
          <w:i w:val="0"/>
          <w:iCs w:val="0"/>
          <w:spacing w:val="0"/>
        </w:rPr>
      </w:pPr>
      <w:bookmarkStart w:id="178" w:name="_Toc112843958"/>
      <w:r w:rsidRPr="00497288">
        <w:rPr>
          <w:rStyle w:val="BookTitle"/>
          <w:b w:val="0"/>
          <w:bCs w:val="0"/>
          <w:i w:val="0"/>
          <w:iCs w:val="0"/>
          <w:spacing w:val="0"/>
        </w:rPr>
        <w:t>Appendix B</w:t>
      </w:r>
      <w:r w:rsidR="001B5D11">
        <w:rPr>
          <w:rStyle w:val="BookTitle"/>
          <w:b w:val="0"/>
          <w:bCs w:val="0"/>
          <w:i w:val="0"/>
          <w:iCs w:val="0"/>
          <w:spacing w:val="0"/>
        </w:rPr>
        <w:t>:</w:t>
      </w:r>
      <w:r w:rsidRPr="00497288">
        <w:rPr>
          <w:rStyle w:val="BookTitle"/>
          <w:b w:val="0"/>
          <w:bCs w:val="0"/>
          <w:i w:val="0"/>
          <w:iCs w:val="0"/>
          <w:spacing w:val="0"/>
        </w:rPr>
        <w:t xml:space="preserve"> Detailed longitudinal NSW PIC data i</w:t>
      </w:r>
      <w:r w:rsidRPr="00C03854">
        <w:rPr>
          <w:rStyle w:val="BookTitle"/>
          <w:b w:val="0"/>
          <w:bCs w:val="0"/>
          <w:i w:val="0"/>
          <w:iCs w:val="0"/>
          <w:spacing w:val="0"/>
        </w:rPr>
        <w:t>n Tables</w:t>
      </w:r>
      <w:bookmarkEnd w:id="178"/>
      <w:r w:rsidRPr="00C03854">
        <w:rPr>
          <w:rStyle w:val="BookTitle"/>
          <w:b w:val="0"/>
          <w:bCs w:val="0"/>
          <w:i w:val="0"/>
          <w:iCs w:val="0"/>
          <w:spacing w:val="0"/>
        </w:rPr>
        <w:t xml:space="preserve"> </w:t>
      </w:r>
    </w:p>
    <w:p w14:paraId="60A1245E" w14:textId="77777777" w:rsidR="007937EB" w:rsidRPr="007937EB" w:rsidRDefault="007937EB" w:rsidP="00596E66">
      <w:pPr>
        <w:pStyle w:val="Heading5"/>
        <w:rPr>
          <w:lang w:val="en-US"/>
        </w:rPr>
      </w:pPr>
      <w:r w:rsidRPr="007937EB">
        <w:t>Changes in poisoning exposure events, overall, for paracetamol and for comparable categories. (NSW PIC 2011-2021)</w:t>
      </w:r>
    </w:p>
    <w:tbl>
      <w:tblPr>
        <w:tblStyle w:val="ListTable2"/>
        <w:tblW w:w="6237" w:type="dxa"/>
        <w:tblLook w:val="04A0" w:firstRow="1" w:lastRow="0" w:firstColumn="1" w:lastColumn="0" w:noHBand="0" w:noVBand="1"/>
      </w:tblPr>
      <w:tblGrid>
        <w:gridCol w:w="1720"/>
        <w:gridCol w:w="1580"/>
        <w:gridCol w:w="1320"/>
        <w:gridCol w:w="1617"/>
      </w:tblGrid>
      <w:tr w:rsidR="007937EB" w:rsidRPr="00EE5644" w14:paraId="5C4BC9EA" w14:textId="77777777" w:rsidTr="007B6B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595959" w:themeFill="text1" w:themeFillTint="A6"/>
            <w:noWrap/>
            <w:hideMark/>
          </w:tcPr>
          <w:p w14:paraId="20FD1632" w14:textId="77777777" w:rsidR="007937EB" w:rsidRPr="00EE5644" w:rsidRDefault="007937EB" w:rsidP="007937EB">
            <w:pPr>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All exposures</w:t>
            </w:r>
          </w:p>
        </w:tc>
        <w:tc>
          <w:tcPr>
            <w:tcW w:w="1580" w:type="dxa"/>
            <w:shd w:val="clear" w:color="auto" w:fill="595959" w:themeFill="text1" w:themeFillTint="A6"/>
            <w:noWrap/>
            <w:hideMark/>
          </w:tcPr>
          <w:p w14:paraId="28495328" w14:textId="77777777" w:rsidR="007937EB" w:rsidRPr="00EE5644"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Unintentional</w:t>
            </w:r>
          </w:p>
        </w:tc>
        <w:tc>
          <w:tcPr>
            <w:tcW w:w="1320" w:type="dxa"/>
            <w:shd w:val="clear" w:color="auto" w:fill="595959" w:themeFill="text1" w:themeFillTint="A6"/>
            <w:noWrap/>
            <w:hideMark/>
          </w:tcPr>
          <w:p w14:paraId="2007FAF4" w14:textId="77777777" w:rsidR="007937EB" w:rsidRPr="00EE5644"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Intentional</w:t>
            </w:r>
          </w:p>
        </w:tc>
        <w:tc>
          <w:tcPr>
            <w:tcW w:w="1617" w:type="dxa"/>
            <w:shd w:val="clear" w:color="auto" w:fill="595959" w:themeFill="text1" w:themeFillTint="A6"/>
            <w:noWrap/>
            <w:hideMark/>
          </w:tcPr>
          <w:p w14:paraId="6D3318D0" w14:textId="77777777" w:rsidR="007937EB" w:rsidRPr="00EE5644"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Other/Unknown</w:t>
            </w:r>
          </w:p>
        </w:tc>
      </w:tr>
      <w:tr w:rsidR="007937EB" w:rsidRPr="00EE5644" w14:paraId="198E2559"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28DF4A4"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2011</w:t>
            </w:r>
          </w:p>
        </w:tc>
        <w:tc>
          <w:tcPr>
            <w:tcW w:w="1580" w:type="dxa"/>
            <w:noWrap/>
            <w:hideMark/>
          </w:tcPr>
          <w:p w14:paraId="7AEF2139"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63400</w:t>
            </w:r>
          </w:p>
        </w:tc>
        <w:tc>
          <w:tcPr>
            <w:tcW w:w="1320" w:type="dxa"/>
            <w:noWrap/>
            <w:hideMark/>
          </w:tcPr>
          <w:p w14:paraId="42DA8C4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11190</w:t>
            </w:r>
          </w:p>
        </w:tc>
        <w:tc>
          <w:tcPr>
            <w:tcW w:w="1617" w:type="dxa"/>
            <w:noWrap/>
            <w:hideMark/>
          </w:tcPr>
          <w:p w14:paraId="55437FE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258</w:t>
            </w:r>
          </w:p>
        </w:tc>
      </w:tr>
      <w:tr w:rsidR="007937EB" w:rsidRPr="00EE5644" w14:paraId="647FDBDD"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D3B80CC"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2012</w:t>
            </w:r>
          </w:p>
        </w:tc>
        <w:tc>
          <w:tcPr>
            <w:tcW w:w="1580" w:type="dxa"/>
            <w:noWrap/>
            <w:hideMark/>
          </w:tcPr>
          <w:p w14:paraId="6EC91E8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62069</w:t>
            </w:r>
          </w:p>
        </w:tc>
        <w:tc>
          <w:tcPr>
            <w:tcW w:w="1320" w:type="dxa"/>
            <w:noWrap/>
            <w:hideMark/>
          </w:tcPr>
          <w:p w14:paraId="34A4E3CE"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12252</w:t>
            </w:r>
          </w:p>
        </w:tc>
        <w:tc>
          <w:tcPr>
            <w:tcW w:w="1617" w:type="dxa"/>
            <w:noWrap/>
            <w:hideMark/>
          </w:tcPr>
          <w:p w14:paraId="34C429AF"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631</w:t>
            </w:r>
          </w:p>
        </w:tc>
      </w:tr>
      <w:tr w:rsidR="007937EB" w:rsidRPr="00EE5644" w14:paraId="641D4AC9"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8229D75"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2013</w:t>
            </w:r>
          </w:p>
        </w:tc>
        <w:tc>
          <w:tcPr>
            <w:tcW w:w="1580" w:type="dxa"/>
            <w:noWrap/>
            <w:hideMark/>
          </w:tcPr>
          <w:p w14:paraId="02FF41C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60995</w:t>
            </w:r>
          </w:p>
        </w:tc>
        <w:tc>
          <w:tcPr>
            <w:tcW w:w="1320" w:type="dxa"/>
            <w:noWrap/>
            <w:hideMark/>
          </w:tcPr>
          <w:p w14:paraId="158A886B"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12867</w:t>
            </w:r>
          </w:p>
        </w:tc>
        <w:tc>
          <w:tcPr>
            <w:tcW w:w="1617" w:type="dxa"/>
            <w:noWrap/>
            <w:hideMark/>
          </w:tcPr>
          <w:p w14:paraId="7EA03BA6"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453</w:t>
            </w:r>
          </w:p>
        </w:tc>
      </w:tr>
      <w:tr w:rsidR="007937EB" w:rsidRPr="00EE5644" w14:paraId="4E139140"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2CAE80C"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2014</w:t>
            </w:r>
          </w:p>
        </w:tc>
        <w:tc>
          <w:tcPr>
            <w:tcW w:w="1580" w:type="dxa"/>
            <w:noWrap/>
            <w:hideMark/>
          </w:tcPr>
          <w:p w14:paraId="4D34E4D5"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60213</w:t>
            </w:r>
          </w:p>
        </w:tc>
        <w:tc>
          <w:tcPr>
            <w:tcW w:w="1320" w:type="dxa"/>
            <w:noWrap/>
            <w:hideMark/>
          </w:tcPr>
          <w:p w14:paraId="013B9C5E"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13221</w:t>
            </w:r>
          </w:p>
        </w:tc>
        <w:tc>
          <w:tcPr>
            <w:tcW w:w="1617" w:type="dxa"/>
            <w:noWrap/>
            <w:hideMark/>
          </w:tcPr>
          <w:p w14:paraId="66EA8595"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368</w:t>
            </w:r>
          </w:p>
        </w:tc>
      </w:tr>
      <w:tr w:rsidR="007937EB" w:rsidRPr="00EE5644" w14:paraId="32CF1D3A"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FB82DAC"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2015</w:t>
            </w:r>
          </w:p>
        </w:tc>
        <w:tc>
          <w:tcPr>
            <w:tcW w:w="1580" w:type="dxa"/>
            <w:noWrap/>
            <w:hideMark/>
          </w:tcPr>
          <w:p w14:paraId="37BD0F2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61805</w:t>
            </w:r>
          </w:p>
        </w:tc>
        <w:tc>
          <w:tcPr>
            <w:tcW w:w="1320" w:type="dxa"/>
            <w:noWrap/>
            <w:hideMark/>
          </w:tcPr>
          <w:p w14:paraId="6AFA3130"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13609</w:t>
            </w:r>
          </w:p>
        </w:tc>
        <w:tc>
          <w:tcPr>
            <w:tcW w:w="1617" w:type="dxa"/>
            <w:noWrap/>
            <w:hideMark/>
          </w:tcPr>
          <w:p w14:paraId="1B3DF43A"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353</w:t>
            </w:r>
          </w:p>
        </w:tc>
      </w:tr>
      <w:tr w:rsidR="007937EB" w:rsidRPr="00EE5644" w14:paraId="5AB5D0CA"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EA110D6"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2016</w:t>
            </w:r>
          </w:p>
        </w:tc>
        <w:tc>
          <w:tcPr>
            <w:tcW w:w="1580" w:type="dxa"/>
            <w:noWrap/>
            <w:hideMark/>
          </w:tcPr>
          <w:p w14:paraId="140FC89F"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60768</w:t>
            </w:r>
          </w:p>
        </w:tc>
        <w:tc>
          <w:tcPr>
            <w:tcW w:w="1320" w:type="dxa"/>
            <w:noWrap/>
            <w:hideMark/>
          </w:tcPr>
          <w:p w14:paraId="3C903E4C"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14092</w:t>
            </w:r>
          </w:p>
        </w:tc>
        <w:tc>
          <w:tcPr>
            <w:tcW w:w="1617" w:type="dxa"/>
            <w:noWrap/>
            <w:hideMark/>
          </w:tcPr>
          <w:p w14:paraId="04B2CED7"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411</w:t>
            </w:r>
          </w:p>
        </w:tc>
      </w:tr>
      <w:tr w:rsidR="007937EB" w:rsidRPr="00EE5644" w14:paraId="2326A5F5"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C17C88D"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2017</w:t>
            </w:r>
          </w:p>
        </w:tc>
        <w:tc>
          <w:tcPr>
            <w:tcW w:w="1580" w:type="dxa"/>
            <w:noWrap/>
            <w:hideMark/>
          </w:tcPr>
          <w:p w14:paraId="077583A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59192</w:t>
            </w:r>
          </w:p>
        </w:tc>
        <w:tc>
          <w:tcPr>
            <w:tcW w:w="1320" w:type="dxa"/>
            <w:noWrap/>
            <w:hideMark/>
          </w:tcPr>
          <w:p w14:paraId="424904A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14448</w:t>
            </w:r>
          </w:p>
        </w:tc>
        <w:tc>
          <w:tcPr>
            <w:tcW w:w="1617" w:type="dxa"/>
            <w:noWrap/>
            <w:hideMark/>
          </w:tcPr>
          <w:p w14:paraId="0645144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465</w:t>
            </w:r>
          </w:p>
        </w:tc>
      </w:tr>
      <w:tr w:rsidR="007937EB" w:rsidRPr="00EE5644" w14:paraId="211FB446"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CB95F27"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2018</w:t>
            </w:r>
          </w:p>
        </w:tc>
        <w:tc>
          <w:tcPr>
            <w:tcW w:w="1580" w:type="dxa"/>
            <w:noWrap/>
            <w:hideMark/>
          </w:tcPr>
          <w:p w14:paraId="0E84290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58991</w:t>
            </w:r>
          </w:p>
        </w:tc>
        <w:tc>
          <w:tcPr>
            <w:tcW w:w="1320" w:type="dxa"/>
            <w:noWrap/>
            <w:hideMark/>
          </w:tcPr>
          <w:p w14:paraId="7F26741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14637</w:t>
            </w:r>
          </w:p>
        </w:tc>
        <w:tc>
          <w:tcPr>
            <w:tcW w:w="1617" w:type="dxa"/>
            <w:noWrap/>
            <w:hideMark/>
          </w:tcPr>
          <w:p w14:paraId="014076F1"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438</w:t>
            </w:r>
          </w:p>
        </w:tc>
      </w:tr>
      <w:tr w:rsidR="007937EB" w:rsidRPr="00EE5644" w14:paraId="4757BA01"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853A829"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2019</w:t>
            </w:r>
          </w:p>
        </w:tc>
        <w:tc>
          <w:tcPr>
            <w:tcW w:w="1580" w:type="dxa"/>
            <w:noWrap/>
            <w:hideMark/>
          </w:tcPr>
          <w:p w14:paraId="1C672438"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62587</w:t>
            </w:r>
          </w:p>
        </w:tc>
        <w:tc>
          <w:tcPr>
            <w:tcW w:w="1320" w:type="dxa"/>
            <w:noWrap/>
            <w:hideMark/>
          </w:tcPr>
          <w:p w14:paraId="3BE5491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15443</w:t>
            </w:r>
          </w:p>
        </w:tc>
        <w:tc>
          <w:tcPr>
            <w:tcW w:w="1617" w:type="dxa"/>
            <w:noWrap/>
            <w:hideMark/>
          </w:tcPr>
          <w:p w14:paraId="6632D66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601</w:t>
            </w:r>
          </w:p>
        </w:tc>
      </w:tr>
      <w:tr w:rsidR="007937EB" w:rsidRPr="00EE5644" w14:paraId="2C369070"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B87A5FD"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2020</w:t>
            </w:r>
          </w:p>
        </w:tc>
        <w:tc>
          <w:tcPr>
            <w:tcW w:w="1580" w:type="dxa"/>
            <w:noWrap/>
            <w:hideMark/>
          </w:tcPr>
          <w:p w14:paraId="6DF7846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65151</w:t>
            </w:r>
          </w:p>
        </w:tc>
        <w:tc>
          <w:tcPr>
            <w:tcW w:w="1320" w:type="dxa"/>
            <w:noWrap/>
            <w:hideMark/>
          </w:tcPr>
          <w:p w14:paraId="4B9FEED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17780</w:t>
            </w:r>
          </w:p>
        </w:tc>
        <w:tc>
          <w:tcPr>
            <w:tcW w:w="1617" w:type="dxa"/>
            <w:noWrap/>
            <w:hideMark/>
          </w:tcPr>
          <w:p w14:paraId="519A6C38"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699</w:t>
            </w:r>
          </w:p>
        </w:tc>
      </w:tr>
      <w:tr w:rsidR="007937EB" w:rsidRPr="00EE5644" w14:paraId="471B35BB"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44FE856"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2021</w:t>
            </w:r>
          </w:p>
        </w:tc>
        <w:tc>
          <w:tcPr>
            <w:tcW w:w="1580" w:type="dxa"/>
            <w:noWrap/>
            <w:hideMark/>
          </w:tcPr>
          <w:p w14:paraId="4891084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65945</w:t>
            </w:r>
          </w:p>
        </w:tc>
        <w:tc>
          <w:tcPr>
            <w:tcW w:w="1320" w:type="dxa"/>
            <w:noWrap/>
            <w:hideMark/>
          </w:tcPr>
          <w:p w14:paraId="7EF862B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19361</w:t>
            </w:r>
          </w:p>
        </w:tc>
        <w:tc>
          <w:tcPr>
            <w:tcW w:w="1617" w:type="dxa"/>
            <w:noWrap/>
            <w:hideMark/>
          </w:tcPr>
          <w:p w14:paraId="19F0D4AA"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753</w:t>
            </w:r>
          </w:p>
        </w:tc>
      </w:tr>
      <w:tr w:rsidR="007937EB" w:rsidRPr="00EE5644" w14:paraId="42B991B3"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595959" w:themeFill="text1" w:themeFillTint="A6"/>
            <w:noWrap/>
            <w:hideMark/>
          </w:tcPr>
          <w:p w14:paraId="79E914B5" w14:textId="77777777" w:rsidR="007937EB" w:rsidRPr="00EE5644" w:rsidRDefault="007937EB" w:rsidP="007937EB">
            <w:pPr>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Medicines</w:t>
            </w:r>
          </w:p>
        </w:tc>
        <w:tc>
          <w:tcPr>
            <w:tcW w:w="1580" w:type="dxa"/>
            <w:shd w:val="clear" w:color="auto" w:fill="595959" w:themeFill="text1" w:themeFillTint="A6"/>
            <w:noWrap/>
            <w:hideMark/>
          </w:tcPr>
          <w:p w14:paraId="7DCC526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320" w:type="dxa"/>
            <w:shd w:val="clear" w:color="auto" w:fill="595959" w:themeFill="text1" w:themeFillTint="A6"/>
            <w:noWrap/>
            <w:hideMark/>
          </w:tcPr>
          <w:p w14:paraId="2282DE0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617" w:type="dxa"/>
            <w:shd w:val="clear" w:color="auto" w:fill="595959" w:themeFill="text1" w:themeFillTint="A6"/>
            <w:noWrap/>
            <w:hideMark/>
          </w:tcPr>
          <w:p w14:paraId="118BFEC5"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EE5644" w14:paraId="6C5699D6"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4175A77"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2011</w:t>
            </w:r>
          </w:p>
        </w:tc>
        <w:tc>
          <w:tcPr>
            <w:tcW w:w="1580" w:type="dxa"/>
            <w:noWrap/>
            <w:hideMark/>
          </w:tcPr>
          <w:p w14:paraId="6EF66A48"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26417</w:t>
            </w:r>
          </w:p>
        </w:tc>
        <w:tc>
          <w:tcPr>
            <w:tcW w:w="1320" w:type="dxa"/>
            <w:noWrap/>
            <w:hideMark/>
          </w:tcPr>
          <w:p w14:paraId="7E58514D"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10151</w:t>
            </w:r>
          </w:p>
        </w:tc>
        <w:tc>
          <w:tcPr>
            <w:tcW w:w="1617" w:type="dxa"/>
            <w:noWrap/>
            <w:hideMark/>
          </w:tcPr>
          <w:p w14:paraId="1D33EEA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172</w:t>
            </w:r>
          </w:p>
        </w:tc>
      </w:tr>
      <w:tr w:rsidR="007937EB" w:rsidRPr="00EE5644" w14:paraId="7E446CEF"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158908A"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2012</w:t>
            </w:r>
          </w:p>
        </w:tc>
        <w:tc>
          <w:tcPr>
            <w:tcW w:w="1580" w:type="dxa"/>
            <w:noWrap/>
            <w:hideMark/>
          </w:tcPr>
          <w:p w14:paraId="4DADEA41"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26681</w:t>
            </w:r>
          </w:p>
        </w:tc>
        <w:tc>
          <w:tcPr>
            <w:tcW w:w="1320" w:type="dxa"/>
            <w:noWrap/>
            <w:hideMark/>
          </w:tcPr>
          <w:p w14:paraId="24009D9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11076</w:t>
            </w:r>
          </w:p>
        </w:tc>
        <w:tc>
          <w:tcPr>
            <w:tcW w:w="1617" w:type="dxa"/>
            <w:noWrap/>
            <w:hideMark/>
          </w:tcPr>
          <w:p w14:paraId="46A9E1B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444</w:t>
            </w:r>
          </w:p>
        </w:tc>
      </w:tr>
      <w:tr w:rsidR="007937EB" w:rsidRPr="00EE5644" w14:paraId="6F07C6B5"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2141605"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2013</w:t>
            </w:r>
          </w:p>
        </w:tc>
        <w:tc>
          <w:tcPr>
            <w:tcW w:w="1580" w:type="dxa"/>
            <w:noWrap/>
            <w:hideMark/>
          </w:tcPr>
          <w:p w14:paraId="779D87C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25760</w:t>
            </w:r>
          </w:p>
        </w:tc>
        <w:tc>
          <w:tcPr>
            <w:tcW w:w="1320" w:type="dxa"/>
            <w:noWrap/>
            <w:hideMark/>
          </w:tcPr>
          <w:p w14:paraId="716E751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11582</w:t>
            </w:r>
          </w:p>
        </w:tc>
        <w:tc>
          <w:tcPr>
            <w:tcW w:w="1617" w:type="dxa"/>
            <w:noWrap/>
            <w:hideMark/>
          </w:tcPr>
          <w:p w14:paraId="358FF71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310</w:t>
            </w:r>
          </w:p>
        </w:tc>
      </w:tr>
      <w:tr w:rsidR="007937EB" w:rsidRPr="00EE5644" w14:paraId="49BEFB90"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85F1048"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2014</w:t>
            </w:r>
          </w:p>
        </w:tc>
        <w:tc>
          <w:tcPr>
            <w:tcW w:w="1580" w:type="dxa"/>
            <w:noWrap/>
            <w:hideMark/>
          </w:tcPr>
          <w:p w14:paraId="12005DD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26536</w:t>
            </w:r>
          </w:p>
        </w:tc>
        <w:tc>
          <w:tcPr>
            <w:tcW w:w="1320" w:type="dxa"/>
            <w:noWrap/>
            <w:hideMark/>
          </w:tcPr>
          <w:p w14:paraId="331BF597"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10484</w:t>
            </w:r>
          </w:p>
        </w:tc>
        <w:tc>
          <w:tcPr>
            <w:tcW w:w="1617" w:type="dxa"/>
            <w:noWrap/>
            <w:hideMark/>
          </w:tcPr>
          <w:p w14:paraId="52A9737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244</w:t>
            </w:r>
          </w:p>
        </w:tc>
      </w:tr>
      <w:tr w:rsidR="007937EB" w:rsidRPr="00EE5644" w14:paraId="2B702BA4"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3EC595A9"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2015</w:t>
            </w:r>
          </w:p>
        </w:tc>
        <w:tc>
          <w:tcPr>
            <w:tcW w:w="1580" w:type="dxa"/>
            <w:noWrap/>
            <w:hideMark/>
          </w:tcPr>
          <w:p w14:paraId="3D0B3FC6"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28749</w:t>
            </w:r>
          </w:p>
        </w:tc>
        <w:tc>
          <w:tcPr>
            <w:tcW w:w="1320" w:type="dxa"/>
            <w:noWrap/>
            <w:hideMark/>
          </w:tcPr>
          <w:p w14:paraId="739A5E6D"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10695</w:t>
            </w:r>
          </w:p>
        </w:tc>
        <w:tc>
          <w:tcPr>
            <w:tcW w:w="1617" w:type="dxa"/>
            <w:noWrap/>
            <w:hideMark/>
          </w:tcPr>
          <w:p w14:paraId="0425711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247</w:t>
            </w:r>
          </w:p>
        </w:tc>
      </w:tr>
      <w:tr w:rsidR="007937EB" w:rsidRPr="00EE5644" w14:paraId="74FC702E"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946F378"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2016</w:t>
            </w:r>
          </w:p>
        </w:tc>
        <w:tc>
          <w:tcPr>
            <w:tcW w:w="1580" w:type="dxa"/>
            <w:noWrap/>
            <w:hideMark/>
          </w:tcPr>
          <w:p w14:paraId="01F7019D"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28380</w:t>
            </w:r>
          </w:p>
        </w:tc>
        <w:tc>
          <w:tcPr>
            <w:tcW w:w="1320" w:type="dxa"/>
            <w:noWrap/>
            <w:hideMark/>
          </w:tcPr>
          <w:p w14:paraId="7C058E4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11099</w:t>
            </w:r>
          </w:p>
        </w:tc>
        <w:tc>
          <w:tcPr>
            <w:tcW w:w="1617" w:type="dxa"/>
            <w:noWrap/>
            <w:hideMark/>
          </w:tcPr>
          <w:p w14:paraId="7C30BE2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285</w:t>
            </w:r>
          </w:p>
        </w:tc>
      </w:tr>
      <w:tr w:rsidR="007937EB" w:rsidRPr="00EE5644" w14:paraId="48AE5676"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3687898"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2017</w:t>
            </w:r>
          </w:p>
        </w:tc>
        <w:tc>
          <w:tcPr>
            <w:tcW w:w="1580" w:type="dxa"/>
            <w:noWrap/>
            <w:hideMark/>
          </w:tcPr>
          <w:p w14:paraId="29E717A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28387</w:t>
            </w:r>
          </w:p>
        </w:tc>
        <w:tc>
          <w:tcPr>
            <w:tcW w:w="1320" w:type="dxa"/>
            <w:noWrap/>
            <w:hideMark/>
          </w:tcPr>
          <w:p w14:paraId="2182BFCD"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11430</w:t>
            </w:r>
          </w:p>
        </w:tc>
        <w:tc>
          <w:tcPr>
            <w:tcW w:w="1617" w:type="dxa"/>
            <w:noWrap/>
            <w:hideMark/>
          </w:tcPr>
          <w:p w14:paraId="3004F16B"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312</w:t>
            </w:r>
          </w:p>
        </w:tc>
      </w:tr>
      <w:tr w:rsidR="007937EB" w:rsidRPr="00EE5644" w14:paraId="15FBD4E6"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337B65F"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2018</w:t>
            </w:r>
          </w:p>
        </w:tc>
        <w:tc>
          <w:tcPr>
            <w:tcW w:w="1580" w:type="dxa"/>
            <w:noWrap/>
            <w:hideMark/>
          </w:tcPr>
          <w:p w14:paraId="6B5C3B9E"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27892</w:t>
            </w:r>
          </w:p>
        </w:tc>
        <w:tc>
          <w:tcPr>
            <w:tcW w:w="1320" w:type="dxa"/>
            <w:noWrap/>
            <w:hideMark/>
          </w:tcPr>
          <w:p w14:paraId="4C6805D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11497</w:t>
            </w:r>
          </w:p>
        </w:tc>
        <w:tc>
          <w:tcPr>
            <w:tcW w:w="1617" w:type="dxa"/>
            <w:noWrap/>
            <w:hideMark/>
          </w:tcPr>
          <w:p w14:paraId="4DB4390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306</w:t>
            </w:r>
          </w:p>
        </w:tc>
      </w:tr>
      <w:tr w:rsidR="007937EB" w:rsidRPr="00EE5644" w14:paraId="0EC57393"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92346DB"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2019</w:t>
            </w:r>
          </w:p>
        </w:tc>
        <w:tc>
          <w:tcPr>
            <w:tcW w:w="1580" w:type="dxa"/>
            <w:noWrap/>
            <w:hideMark/>
          </w:tcPr>
          <w:p w14:paraId="59622E7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29988</w:t>
            </w:r>
          </w:p>
        </w:tc>
        <w:tc>
          <w:tcPr>
            <w:tcW w:w="1320" w:type="dxa"/>
            <w:noWrap/>
            <w:hideMark/>
          </w:tcPr>
          <w:p w14:paraId="269CEB6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11948</w:t>
            </w:r>
          </w:p>
        </w:tc>
        <w:tc>
          <w:tcPr>
            <w:tcW w:w="1617" w:type="dxa"/>
            <w:noWrap/>
            <w:hideMark/>
          </w:tcPr>
          <w:p w14:paraId="6CFF073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406</w:t>
            </w:r>
          </w:p>
        </w:tc>
      </w:tr>
      <w:tr w:rsidR="007937EB" w:rsidRPr="00EE5644" w14:paraId="5D39E221"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7EF7BBC"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2020</w:t>
            </w:r>
          </w:p>
        </w:tc>
        <w:tc>
          <w:tcPr>
            <w:tcW w:w="1580" w:type="dxa"/>
            <w:noWrap/>
            <w:hideMark/>
          </w:tcPr>
          <w:p w14:paraId="496AB10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29972</w:t>
            </w:r>
          </w:p>
        </w:tc>
        <w:tc>
          <w:tcPr>
            <w:tcW w:w="1320" w:type="dxa"/>
            <w:noWrap/>
            <w:hideMark/>
          </w:tcPr>
          <w:p w14:paraId="1D15B881"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13642</w:t>
            </w:r>
          </w:p>
        </w:tc>
        <w:tc>
          <w:tcPr>
            <w:tcW w:w="1617" w:type="dxa"/>
            <w:noWrap/>
            <w:hideMark/>
          </w:tcPr>
          <w:p w14:paraId="6553DC5E"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473</w:t>
            </w:r>
          </w:p>
        </w:tc>
      </w:tr>
      <w:tr w:rsidR="007937EB" w:rsidRPr="00EE5644" w14:paraId="1D31D88F"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0A4FFFB"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2021</w:t>
            </w:r>
          </w:p>
        </w:tc>
        <w:tc>
          <w:tcPr>
            <w:tcW w:w="1580" w:type="dxa"/>
            <w:noWrap/>
            <w:hideMark/>
          </w:tcPr>
          <w:p w14:paraId="24FCFA8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31307</w:t>
            </w:r>
          </w:p>
        </w:tc>
        <w:tc>
          <w:tcPr>
            <w:tcW w:w="1320" w:type="dxa"/>
            <w:noWrap/>
            <w:hideMark/>
          </w:tcPr>
          <w:p w14:paraId="1824E02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14762</w:t>
            </w:r>
          </w:p>
        </w:tc>
        <w:tc>
          <w:tcPr>
            <w:tcW w:w="1617" w:type="dxa"/>
            <w:noWrap/>
            <w:hideMark/>
          </w:tcPr>
          <w:p w14:paraId="59B8AF8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505</w:t>
            </w:r>
          </w:p>
        </w:tc>
      </w:tr>
      <w:tr w:rsidR="007937EB" w:rsidRPr="00EE5644" w14:paraId="0CDA2F1D"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595959" w:themeFill="text1" w:themeFillTint="A6"/>
            <w:noWrap/>
            <w:hideMark/>
          </w:tcPr>
          <w:p w14:paraId="1C4DA09F" w14:textId="77777777" w:rsidR="007937EB" w:rsidRPr="00EE5644" w:rsidRDefault="007937EB" w:rsidP="007937EB">
            <w:pPr>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Analgesics</w:t>
            </w:r>
          </w:p>
        </w:tc>
        <w:tc>
          <w:tcPr>
            <w:tcW w:w="1580" w:type="dxa"/>
            <w:shd w:val="clear" w:color="auto" w:fill="595959" w:themeFill="text1" w:themeFillTint="A6"/>
            <w:noWrap/>
            <w:hideMark/>
          </w:tcPr>
          <w:p w14:paraId="6917AFDA"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320" w:type="dxa"/>
            <w:shd w:val="clear" w:color="auto" w:fill="595959" w:themeFill="text1" w:themeFillTint="A6"/>
            <w:noWrap/>
            <w:hideMark/>
          </w:tcPr>
          <w:p w14:paraId="4CC231F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617" w:type="dxa"/>
            <w:shd w:val="clear" w:color="auto" w:fill="595959" w:themeFill="text1" w:themeFillTint="A6"/>
            <w:noWrap/>
            <w:hideMark/>
          </w:tcPr>
          <w:p w14:paraId="5103763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EE5644" w14:paraId="73F6A49C"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94E21EF"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2011</w:t>
            </w:r>
          </w:p>
        </w:tc>
        <w:tc>
          <w:tcPr>
            <w:tcW w:w="1580" w:type="dxa"/>
            <w:noWrap/>
            <w:hideMark/>
          </w:tcPr>
          <w:p w14:paraId="3578A2B8"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4804</w:t>
            </w:r>
          </w:p>
        </w:tc>
        <w:tc>
          <w:tcPr>
            <w:tcW w:w="1320" w:type="dxa"/>
            <w:noWrap/>
            <w:hideMark/>
          </w:tcPr>
          <w:p w14:paraId="70073EF6"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2669</w:t>
            </w:r>
          </w:p>
        </w:tc>
        <w:tc>
          <w:tcPr>
            <w:tcW w:w="1617" w:type="dxa"/>
            <w:noWrap/>
            <w:hideMark/>
          </w:tcPr>
          <w:p w14:paraId="6107669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33</w:t>
            </w:r>
          </w:p>
        </w:tc>
      </w:tr>
      <w:tr w:rsidR="007937EB" w:rsidRPr="00EE5644" w14:paraId="43894AFE"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5815F001"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2012</w:t>
            </w:r>
          </w:p>
        </w:tc>
        <w:tc>
          <w:tcPr>
            <w:tcW w:w="1580" w:type="dxa"/>
            <w:noWrap/>
            <w:hideMark/>
          </w:tcPr>
          <w:p w14:paraId="5CA52F9A"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4878</w:t>
            </w:r>
          </w:p>
        </w:tc>
        <w:tc>
          <w:tcPr>
            <w:tcW w:w="1320" w:type="dxa"/>
            <w:noWrap/>
            <w:hideMark/>
          </w:tcPr>
          <w:p w14:paraId="48200D99"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3000</w:t>
            </w:r>
          </w:p>
        </w:tc>
        <w:tc>
          <w:tcPr>
            <w:tcW w:w="1617" w:type="dxa"/>
            <w:noWrap/>
            <w:hideMark/>
          </w:tcPr>
          <w:p w14:paraId="10B67A9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103</w:t>
            </w:r>
          </w:p>
        </w:tc>
      </w:tr>
      <w:tr w:rsidR="007937EB" w:rsidRPr="00EE5644" w14:paraId="5DC6C6BE"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50EDA34"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2013</w:t>
            </w:r>
          </w:p>
        </w:tc>
        <w:tc>
          <w:tcPr>
            <w:tcW w:w="1580" w:type="dxa"/>
            <w:noWrap/>
            <w:hideMark/>
          </w:tcPr>
          <w:p w14:paraId="25D5ADE5"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4764</w:t>
            </w:r>
          </w:p>
        </w:tc>
        <w:tc>
          <w:tcPr>
            <w:tcW w:w="1320" w:type="dxa"/>
            <w:noWrap/>
            <w:hideMark/>
          </w:tcPr>
          <w:p w14:paraId="117CFC1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3286</w:t>
            </w:r>
          </w:p>
        </w:tc>
        <w:tc>
          <w:tcPr>
            <w:tcW w:w="1617" w:type="dxa"/>
            <w:noWrap/>
            <w:hideMark/>
          </w:tcPr>
          <w:p w14:paraId="02DFC64A"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84</w:t>
            </w:r>
          </w:p>
        </w:tc>
      </w:tr>
      <w:tr w:rsidR="007937EB" w:rsidRPr="00EE5644" w14:paraId="09768E77"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DC35A44"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2014</w:t>
            </w:r>
          </w:p>
        </w:tc>
        <w:tc>
          <w:tcPr>
            <w:tcW w:w="1580" w:type="dxa"/>
            <w:noWrap/>
            <w:hideMark/>
          </w:tcPr>
          <w:p w14:paraId="3A6ABB1F"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5443</w:t>
            </w:r>
          </w:p>
        </w:tc>
        <w:tc>
          <w:tcPr>
            <w:tcW w:w="1320" w:type="dxa"/>
            <w:noWrap/>
            <w:hideMark/>
          </w:tcPr>
          <w:p w14:paraId="2B9954A0"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3943</w:t>
            </w:r>
          </w:p>
        </w:tc>
        <w:tc>
          <w:tcPr>
            <w:tcW w:w="1617" w:type="dxa"/>
            <w:noWrap/>
            <w:hideMark/>
          </w:tcPr>
          <w:p w14:paraId="34505917"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59</w:t>
            </w:r>
          </w:p>
        </w:tc>
      </w:tr>
      <w:tr w:rsidR="007937EB" w:rsidRPr="00EE5644" w14:paraId="4CAE91AF"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4442D2B"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2015</w:t>
            </w:r>
          </w:p>
        </w:tc>
        <w:tc>
          <w:tcPr>
            <w:tcW w:w="1580" w:type="dxa"/>
            <w:noWrap/>
            <w:hideMark/>
          </w:tcPr>
          <w:p w14:paraId="66859E7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6020</w:t>
            </w:r>
          </w:p>
        </w:tc>
        <w:tc>
          <w:tcPr>
            <w:tcW w:w="1320" w:type="dxa"/>
            <w:noWrap/>
            <w:hideMark/>
          </w:tcPr>
          <w:p w14:paraId="2F1D1EE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4127</w:t>
            </w:r>
          </w:p>
        </w:tc>
        <w:tc>
          <w:tcPr>
            <w:tcW w:w="1617" w:type="dxa"/>
            <w:noWrap/>
            <w:hideMark/>
          </w:tcPr>
          <w:p w14:paraId="0B36B446"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73</w:t>
            </w:r>
          </w:p>
        </w:tc>
      </w:tr>
      <w:tr w:rsidR="007937EB" w:rsidRPr="00EE5644" w14:paraId="04D8F2D0"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017BF83"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2016</w:t>
            </w:r>
          </w:p>
        </w:tc>
        <w:tc>
          <w:tcPr>
            <w:tcW w:w="1580" w:type="dxa"/>
            <w:noWrap/>
            <w:hideMark/>
          </w:tcPr>
          <w:p w14:paraId="0A1AF5BC"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5804</w:t>
            </w:r>
          </w:p>
        </w:tc>
        <w:tc>
          <w:tcPr>
            <w:tcW w:w="1320" w:type="dxa"/>
            <w:noWrap/>
            <w:hideMark/>
          </w:tcPr>
          <w:p w14:paraId="4751EB6A"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4370</w:t>
            </w:r>
          </w:p>
        </w:tc>
        <w:tc>
          <w:tcPr>
            <w:tcW w:w="1617" w:type="dxa"/>
            <w:noWrap/>
            <w:hideMark/>
          </w:tcPr>
          <w:p w14:paraId="2CC10B3D"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85</w:t>
            </w:r>
          </w:p>
        </w:tc>
      </w:tr>
      <w:tr w:rsidR="007937EB" w:rsidRPr="00EE5644" w14:paraId="33B6A2BB"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1E7CC43"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2017</w:t>
            </w:r>
          </w:p>
        </w:tc>
        <w:tc>
          <w:tcPr>
            <w:tcW w:w="1580" w:type="dxa"/>
            <w:noWrap/>
            <w:hideMark/>
          </w:tcPr>
          <w:p w14:paraId="0493F0BF"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5875</w:t>
            </w:r>
          </w:p>
        </w:tc>
        <w:tc>
          <w:tcPr>
            <w:tcW w:w="1320" w:type="dxa"/>
            <w:noWrap/>
            <w:hideMark/>
          </w:tcPr>
          <w:p w14:paraId="3A879106"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4844</w:t>
            </w:r>
          </w:p>
        </w:tc>
        <w:tc>
          <w:tcPr>
            <w:tcW w:w="1617" w:type="dxa"/>
            <w:noWrap/>
            <w:hideMark/>
          </w:tcPr>
          <w:p w14:paraId="7DD3718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r>
      <w:tr w:rsidR="007937EB" w:rsidRPr="00EE5644" w14:paraId="457C4207"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08DA865"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2018</w:t>
            </w:r>
          </w:p>
        </w:tc>
        <w:tc>
          <w:tcPr>
            <w:tcW w:w="1580" w:type="dxa"/>
            <w:noWrap/>
            <w:hideMark/>
          </w:tcPr>
          <w:p w14:paraId="5581D09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5697</w:t>
            </w:r>
          </w:p>
        </w:tc>
        <w:tc>
          <w:tcPr>
            <w:tcW w:w="1320" w:type="dxa"/>
            <w:noWrap/>
            <w:hideMark/>
          </w:tcPr>
          <w:p w14:paraId="702CA0B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4448</w:t>
            </w:r>
          </w:p>
        </w:tc>
        <w:tc>
          <w:tcPr>
            <w:tcW w:w="1617" w:type="dxa"/>
            <w:noWrap/>
            <w:hideMark/>
          </w:tcPr>
          <w:p w14:paraId="7B1DE8E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101</w:t>
            </w:r>
          </w:p>
        </w:tc>
      </w:tr>
      <w:tr w:rsidR="007937EB" w:rsidRPr="00EE5644" w14:paraId="5EDE3DF7"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AFDE03B"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2019</w:t>
            </w:r>
          </w:p>
        </w:tc>
        <w:tc>
          <w:tcPr>
            <w:tcW w:w="1580" w:type="dxa"/>
            <w:noWrap/>
            <w:hideMark/>
          </w:tcPr>
          <w:p w14:paraId="08902189"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6388</w:t>
            </w:r>
          </w:p>
        </w:tc>
        <w:tc>
          <w:tcPr>
            <w:tcW w:w="1320" w:type="dxa"/>
            <w:noWrap/>
            <w:hideMark/>
          </w:tcPr>
          <w:p w14:paraId="1C63400A"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4638</w:t>
            </w:r>
          </w:p>
        </w:tc>
        <w:tc>
          <w:tcPr>
            <w:tcW w:w="1617" w:type="dxa"/>
            <w:noWrap/>
            <w:hideMark/>
          </w:tcPr>
          <w:p w14:paraId="269C8D1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118</w:t>
            </w:r>
          </w:p>
        </w:tc>
      </w:tr>
      <w:tr w:rsidR="007937EB" w:rsidRPr="00EE5644" w14:paraId="01533B52"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EFC21EC"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2020</w:t>
            </w:r>
          </w:p>
        </w:tc>
        <w:tc>
          <w:tcPr>
            <w:tcW w:w="1580" w:type="dxa"/>
            <w:noWrap/>
            <w:hideMark/>
          </w:tcPr>
          <w:p w14:paraId="79AE1181"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5855</w:t>
            </w:r>
          </w:p>
        </w:tc>
        <w:tc>
          <w:tcPr>
            <w:tcW w:w="1320" w:type="dxa"/>
            <w:noWrap/>
            <w:hideMark/>
          </w:tcPr>
          <w:p w14:paraId="25E2799A"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5365</w:t>
            </w:r>
          </w:p>
        </w:tc>
        <w:tc>
          <w:tcPr>
            <w:tcW w:w="1617" w:type="dxa"/>
            <w:noWrap/>
            <w:hideMark/>
          </w:tcPr>
          <w:p w14:paraId="7C5FC69C"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134</w:t>
            </w:r>
          </w:p>
        </w:tc>
      </w:tr>
      <w:tr w:rsidR="007937EB" w:rsidRPr="00EE5644" w14:paraId="5503A5D9"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1177AF3"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2021</w:t>
            </w:r>
          </w:p>
        </w:tc>
        <w:tc>
          <w:tcPr>
            <w:tcW w:w="1580" w:type="dxa"/>
            <w:noWrap/>
            <w:hideMark/>
          </w:tcPr>
          <w:p w14:paraId="2CD4A508"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5852</w:t>
            </w:r>
          </w:p>
        </w:tc>
        <w:tc>
          <w:tcPr>
            <w:tcW w:w="1320" w:type="dxa"/>
            <w:noWrap/>
            <w:hideMark/>
          </w:tcPr>
          <w:p w14:paraId="74CBE05F"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6057</w:t>
            </w:r>
          </w:p>
        </w:tc>
        <w:tc>
          <w:tcPr>
            <w:tcW w:w="1617" w:type="dxa"/>
            <w:noWrap/>
            <w:hideMark/>
          </w:tcPr>
          <w:p w14:paraId="4C6B8CC1"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134</w:t>
            </w:r>
          </w:p>
        </w:tc>
      </w:tr>
      <w:tr w:rsidR="007937EB" w:rsidRPr="00EE5644" w14:paraId="7945AB1A"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shd w:val="clear" w:color="auto" w:fill="595959" w:themeFill="text1" w:themeFillTint="A6"/>
            <w:noWrap/>
            <w:hideMark/>
          </w:tcPr>
          <w:p w14:paraId="07FE5897" w14:textId="77777777" w:rsidR="007937EB" w:rsidRPr="00EE5644" w:rsidRDefault="007937EB" w:rsidP="007937EB">
            <w:pPr>
              <w:rPr>
                <w:rFonts w:eastAsia="Times New Roman" w:cs="Times New Roman"/>
                <w:color w:val="FFFFFF" w:themeColor="background1"/>
                <w:sz w:val="20"/>
                <w:szCs w:val="20"/>
                <w:lang w:eastAsia="en-AU"/>
              </w:rPr>
            </w:pPr>
            <w:r w:rsidRPr="00EE5644">
              <w:rPr>
                <w:rFonts w:eastAsia="Times New Roman" w:cs="Times New Roman"/>
                <w:color w:val="FFFFFF" w:themeColor="background1"/>
                <w:sz w:val="20"/>
                <w:szCs w:val="20"/>
                <w:lang w:eastAsia="en-AU"/>
              </w:rPr>
              <w:t>Paracetamol</w:t>
            </w:r>
          </w:p>
        </w:tc>
        <w:tc>
          <w:tcPr>
            <w:tcW w:w="1580" w:type="dxa"/>
            <w:shd w:val="clear" w:color="auto" w:fill="595959" w:themeFill="text1" w:themeFillTint="A6"/>
            <w:noWrap/>
            <w:hideMark/>
          </w:tcPr>
          <w:p w14:paraId="43995BC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320" w:type="dxa"/>
            <w:shd w:val="clear" w:color="auto" w:fill="595959" w:themeFill="text1" w:themeFillTint="A6"/>
            <w:noWrap/>
            <w:hideMark/>
          </w:tcPr>
          <w:p w14:paraId="6D624FE8"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617" w:type="dxa"/>
            <w:shd w:val="clear" w:color="auto" w:fill="595959" w:themeFill="text1" w:themeFillTint="A6"/>
            <w:noWrap/>
            <w:hideMark/>
          </w:tcPr>
          <w:p w14:paraId="6FA0721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EE5644" w14:paraId="0D360EDD"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0C2010E"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2011</w:t>
            </w:r>
          </w:p>
        </w:tc>
        <w:tc>
          <w:tcPr>
            <w:tcW w:w="1580" w:type="dxa"/>
            <w:noWrap/>
            <w:hideMark/>
          </w:tcPr>
          <w:p w14:paraId="2DAF2C43"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1286</w:t>
            </w:r>
          </w:p>
        </w:tc>
        <w:tc>
          <w:tcPr>
            <w:tcW w:w="1320" w:type="dxa"/>
            <w:noWrap/>
            <w:hideMark/>
          </w:tcPr>
          <w:p w14:paraId="3441C655"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1469</w:t>
            </w:r>
          </w:p>
        </w:tc>
        <w:tc>
          <w:tcPr>
            <w:tcW w:w="1617" w:type="dxa"/>
            <w:noWrap/>
            <w:hideMark/>
          </w:tcPr>
          <w:p w14:paraId="5A626E80"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11</w:t>
            </w:r>
          </w:p>
        </w:tc>
      </w:tr>
      <w:tr w:rsidR="007937EB" w:rsidRPr="00EE5644" w14:paraId="7C4CEE9F"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6DE4F4B9"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2012</w:t>
            </w:r>
          </w:p>
        </w:tc>
        <w:tc>
          <w:tcPr>
            <w:tcW w:w="1580" w:type="dxa"/>
            <w:noWrap/>
            <w:hideMark/>
          </w:tcPr>
          <w:p w14:paraId="038D3F2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1335</w:t>
            </w:r>
          </w:p>
        </w:tc>
        <w:tc>
          <w:tcPr>
            <w:tcW w:w="1320" w:type="dxa"/>
            <w:noWrap/>
            <w:hideMark/>
          </w:tcPr>
          <w:p w14:paraId="5CBC0B2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1637</w:t>
            </w:r>
          </w:p>
        </w:tc>
        <w:tc>
          <w:tcPr>
            <w:tcW w:w="1617" w:type="dxa"/>
            <w:noWrap/>
            <w:hideMark/>
          </w:tcPr>
          <w:p w14:paraId="35042D5C"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41</w:t>
            </w:r>
          </w:p>
        </w:tc>
      </w:tr>
      <w:tr w:rsidR="007937EB" w:rsidRPr="00EE5644" w14:paraId="79B9220E"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2E6B3F8D"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2013</w:t>
            </w:r>
          </w:p>
        </w:tc>
        <w:tc>
          <w:tcPr>
            <w:tcW w:w="1580" w:type="dxa"/>
            <w:noWrap/>
            <w:hideMark/>
          </w:tcPr>
          <w:p w14:paraId="6371CC60"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1300</w:t>
            </w:r>
          </w:p>
        </w:tc>
        <w:tc>
          <w:tcPr>
            <w:tcW w:w="1320" w:type="dxa"/>
            <w:noWrap/>
            <w:hideMark/>
          </w:tcPr>
          <w:p w14:paraId="1FBA7C02"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1833</w:t>
            </w:r>
          </w:p>
        </w:tc>
        <w:tc>
          <w:tcPr>
            <w:tcW w:w="1617" w:type="dxa"/>
            <w:noWrap/>
            <w:hideMark/>
          </w:tcPr>
          <w:p w14:paraId="5034193D"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45</w:t>
            </w:r>
          </w:p>
        </w:tc>
      </w:tr>
      <w:tr w:rsidR="007937EB" w:rsidRPr="00EE5644" w14:paraId="3D3D6467"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4E5C7EAD"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2014</w:t>
            </w:r>
          </w:p>
        </w:tc>
        <w:tc>
          <w:tcPr>
            <w:tcW w:w="1580" w:type="dxa"/>
            <w:noWrap/>
            <w:hideMark/>
          </w:tcPr>
          <w:p w14:paraId="4D749BF9"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1385</w:t>
            </w:r>
          </w:p>
        </w:tc>
        <w:tc>
          <w:tcPr>
            <w:tcW w:w="1320" w:type="dxa"/>
            <w:noWrap/>
            <w:hideMark/>
          </w:tcPr>
          <w:p w14:paraId="0D90733B"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1814</w:t>
            </w:r>
          </w:p>
        </w:tc>
        <w:tc>
          <w:tcPr>
            <w:tcW w:w="1617" w:type="dxa"/>
            <w:noWrap/>
            <w:hideMark/>
          </w:tcPr>
          <w:p w14:paraId="79A154C1"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r>
      <w:tr w:rsidR="007937EB" w:rsidRPr="00EE5644" w14:paraId="7ACFB1A6"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74199A8"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2015</w:t>
            </w:r>
          </w:p>
        </w:tc>
        <w:tc>
          <w:tcPr>
            <w:tcW w:w="1580" w:type="dxa"/>
            <w:noWrap/>
            <w:hideMark/>
          </w:tcPr>
          <w:p w14:paraId="2AB0C4DC"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1536</w:t>
            </w:r>
          </w:p>
        </w:tc>
        <w:tc>
          <w:tcPr>
            <w:tcW w:w="1320" w:type="dxa"/>
            <w:noWrap/>
            <w:hideMark/>
          </w:tcPr>
          <w:p w14:paraId="5A7CE51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1834</w:t>
            </w:r>
          </w:p>
        </w:tc>
        <w:tc>
          <w:tcPr>
            <w:tcW w:w="1617" w:type="dxa"/>
            <w:noWrap/>
            <w:hideMark/>
          </w:tcPr>
          <w:p w14:paraId="046D93E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w:t>
            </w:r>
          </w:p>
        </w:tc>
      </w:tr>
      <w:tr w:rsidR="007937EB" w:rsidRPr="00EE5644" w14:paraId="20C650EE"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CDF1802"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2016</w:t>
            </w:r>
          </w:p>
        </w:tc>
        <w:tc>
          <w:tcPr>
            <w:tcW w:w="1580" w:type="dxa"/>
            <w:noWrap/>
            <w:hideMark/>
          </w:tcPr>
          <w:p w14:paraId="65A8AB03"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1580</w:t>
            </w:r>
          </w:p>
        </w:tc>
        <w:tc>
          <w:tcPr>
            <w:tcW w:w="1320" w:type="dxa"/>
            <w:noWrap/>
            <w:hideMark/>
          </w:tcPr>
          <w:p w14:paraId="12B58B54"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1970</w:t>
            </w:r>
          </w:p>
        </w:tc>
        <w:tc>
          <w:tcPr>
            <w:tcW w:w="1617" w:type="dxa"/>
            <w:noWrap/>
            <w:hideMark/>
          </w:tcPr>
          <w:p w14:paraId="59AEC4F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28</w:t>
            </w:r>
          </w:p>
        </w:tc>
      </w:tr>
      <w:tr w:rsidR="007937EB" w:rsidRPr="00EE5644" w14:paraId="2B556B7F"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31B8C34"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2017</w:t>
            </w:r>
          </w:p>
        </w:tc>
        <w:tc>
          <w:tcPr>
            <w:tcW w:w="1580" w:type="dxa"/>
            <w:noWrap/>
            <w:hideMark/>
          </w:tcPr>
          <w:p w14:paraId="02DEAD9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1553</w:t>
            </w:r>
          </w:p>
        </w:tc>
        <w:tc>
          <w:tcPr>
            <w:tcW w:w="1320" w:type="dxa"/>
            <w:noWrap/>
            <w:hideMark/>
          </w:tcPr>
          <w:p w14:paraId="33B72A4A"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2248</w:t>
            </w:r>
          </w:p>
        </w:tc>
        <w:tc>
          <w:tcPr>
            <w:tcW w:w="1617" w:type="dxa"/>
            <w:noWrap/>
            <w:hideMark/>
          </w:tcPr>
          <w:p w14:paraId="14DE32F4"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34</w:t>
            </w:r>
          </w:p>
        </w:tc>
      </w:tr>
      <w:tr w:rsidR="007937EB" w:rsidRPr="00EE5644" w14:paraId="48B9C90D"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0709AB1A"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2018</w:t>
            </w:r>
          </w:p>
        </w:tc>
        <w:tc>
          <w:tcPr>
            <w:tcW w:w="1580" w:type="dxa"/>
            <w:noWrap/>
            <w:hideMark/>
          </w:tcPr>
          <w:p w14:paraId="18F5AE42"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1579</w:t>
            </w:r>
          </w:p>
        </w:tc>
        <w:tc>
          <w:tcPr>
            <w:tcW w:w="1320" w:type="dxa"/>
            <w:noWrap/>
            <w:hideMark/>
          </w:tcPr>
          <w:p w14:paraId="242ADB17"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2226</w:t>
            </w:r>
          </w:p>
        </w:tc>
        <w:tc>
          <w:tcPr>
            <w:tcW w:w="1617" w:type="dxa"/>
            <w:noWrap/>
            <w:hideMark/>
          </w:tcPr>
          <w:p w14:paraId="1B23D547"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40</w:t>
            </w:r>
          </w:p>
        </w:tc>
      </w:tr>
      <w:tr w:rsidR="007937EB" w:rsidRPr="00EE5644" w14:paraId="31FEC3ED"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A62E3C6"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2019</w:t>
            </w:r>
          </w:p>
        </w:tc>
        <w:tc>
          <w:tcPr>
            <w:tcW w:w="1580" w:type="dxa"/>
            <w:noWrap/>
            <w:hideMark/>
          </w:tcPr>
          <w:p w14:paraId="5EC8D38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1890</w:t>
            </w:r>
          </w:p>
        </w:tc>
        <w:tc>
          <w:tcPr>
            <w:tcW w:w="1320" w:type="dxa"/>
            <w:noWrap/>
            <w:hideMark/>
          </w:tcPr>
          <w:p w14:paraId="5968EA5E"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2334</w:t>
            </w:r>
          </w:p>
        </w:tc>
        <w:tc>
          <w:tcPr>
            <w:tcW w:w="1617" w:type="dxa"/>
            <w:noWrap/>
            <w:hideMark/>
          </w:tcPr>
          <w:p w14:paraId="28F3F4B0"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49</w:t>
            </w:r>
          </w:p>
        </w:tc>
      </w:tr>
      <w:tr w:rsidR="007937EB" w:rsidRPr="00EE5644" w14:paraId="03A21F63" w14:textId="77777777" w:rsidTr="007B6BA2">
        <w:trPr>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15AF3996"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2020</w:t>
            </w:r>
          </w:p>
        </w:tc>
        <w:tc>
          <w:tcPr>
            <w:tcW w:w="1580" w:type="dxa"/>
            <w:noWrap/>
            <w:hideMark/>
          </w:tcPr>
          <w:p w14:paraId="7E40E4D6"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1807</w:t>
            </w:r>
          </w:p>
        </w:tc>
        <w:tc>
          <w:tcPr>
            <w:tcW w:w="1320" w:type="dxa"/>
            <w:noWrap/>
            <w:hideMark/>
          </w:tcPr>
          <w:p w14:paraId="1A97F289"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3049</w:t>
            </w:r>
          </w:p>
        </w:tc>
        <w:tc>
          <w:tcPr>
            <w:tcW w:w="1617" w:type="dxa"/>
            <w:noWrap/>
            <w:hideMark/>
          </w:tcPr>
          <w:p w14:paraId="524030EF" w14:textId="77777777" w:rsidR="007937EB" w:rsidRPr="00EE5644"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53</w:t>
            </w:r>
          </w:p>
        </w:tc>
      </w:tr>
      <w:tr w:rsidR="007937EB" w:rsidRPr="00EE5644" w14:paraId="60B9F37E" w14:textId="77777777" w:rsidTr="007B6BA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0" w:type="dxa"/>
            <w:noWrap/>
            <w:hideMark/>
          </w:tcPr>
          <w:p w14:paraId="7D9AD547" w14:textId="77777777" w:rsidR="007937EB" w:rsidRPr="00EE5644" w:rsidRDefault="007937EB" w:rsidP="007937EB">
            <w:pPr>
              <w:rPr>
                <w:rFonts w:eastAsia="Times New Roman" w:cs="Times New Roman"/>
                <w:color w:val="000000"/>
                <w:sz w:val="20"/>
                <w:szCs w:val="20"/>
                <w:lang w:eastAsia="en-AU"/>
              </w:rPr>
            </w:pPr>
            <w:r w:rsidRPr="00EE5644">
              <w:rPr>
                <w:rFonts w:eastAsia="Times New Roman" w:cs="Times New Roman"/>
                <w:color w:val="000000"/>
                <w:sz w:val="20"/>
                <w:szCs w:val="20"/>
                <w:lang w:eastAsia="en-AU"/>
              </w:rPr>
              <w:t>2021</w:t>
            </w:r>
          </w:p>
        </w:tc>
        <w:tc>
          <w:tcPr>
            <w:tcW w:w="1580" w:type="dxa"/>
            <w:noWrap/>
            <w:hideMark/>
          </w:tcPr>
          <w:p w14:paraId="37F50D77"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1810</w:t>
            </w:r>
          </w:p>
        </w:tc>
        <w:tc>
          <w:tcPr>
            <w:tcW w:w="1320" w:type="dxa"/>
            <w:noWrap/>
            <w:hideMark/>
          </w:tcPr>
          <w:p w14:paraId="4F124DB2"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3575</w:t>
            </w:r>
          </w:p>
        </w:tc>
        <w:tc>
          <w:tcPr>
            <w:tcW w:w="1617" w:type="dxa"/>
            <w:noWrap/>
            <w:hideMark/>
          </w:tcPr>
          <w:p w14:paraId="0C3B79BD" w14:textId="77777777" w:rsidR="007937EB" w:rsidRPr="00EE5644"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E5644">
              <w:rPr>
                <w:rFonts w:eastAsia="Times New Roman" w:cs="Times New Roman"/>
                <w:color w:val="000000"/>
                <w:sz w:val="20"/>
                <w:szCs w:val="20"/>
                <w:lang w:eastAsia="en-AU"/>
              </w:rPr>
              <w:t>54</w:t>
            </w:r>
          </w:p>
        </w:tc>
      </w:tr>
    </w:tbl>
    <w:p w14:paraId="3B3CB723" w14:textId="43F9514B" w:rsidR="007B6BA2" w:rsidRPr="00DA7E8A" w:rsidRDefault="007B6BA2" w:rsidP="00F807F9">
      <w:pPr>
        <w:pStyle w:val="Tablenote"/>
        <w:rPr>
          <w:lang w:val="en-US"/>
        </w:rPr>
      </w:pPr>
      <w:r>
        <w:rPr>
          <w:lang w:val="en-US"/>
        </w:rPr>
        <w:t>Note single ingredient paracetamol exposures only</w:t>
      </w:r>
      <w:r w:rsidR="00167FDC">
        <w:rPr>
          <w:lang w:val="en-US"/>
        </w:rPr>
        <w:t>.</w:t>
      </w:r>
      <w:r w:rsidR="008E2315">
        <w:rPr>
          <w:lang w:val="en-US"/>
        </w:rPr>
        <w:t xml:space="preserve"> </w:t>
      </w:r>
      <w:r w:rsidR="00812723">
        <w:rPr>
          <w:lang w:val="en-US"/>
        </w:rPr>
        <w:t>“</w:t>
      </w:r>
      <w:r w:rsidR="008E2315">
        <w:rPr>
          <w:lang w:val="en-US"/>
        </w:rPr>
        <w:t>Intentional</w:t>
      </w:r>
      <w:r w:rsidR="00812723">
        <w:rPr>
          <w:lang w:val="en-US"/>
        </w:rPr>
        <w:t>”</w:t>
      </w:r>
      <w:r w:rsidR="008E2315">
        <w:rPr>
          <w:lang w:val="en-US"/>
        </w:rPr>
        <w:t xml:space="preserve"> includes a grouping of deliberate self-poisoning, intentional:other</w:t>
      </w:r>
      <w:r w:rsidR="007D5596">
        <w:rPr>
          <w:lang w:val="en-US"/>
        </w:rPr>
        <w:t>,</w:t>
      </w:r>
      <w:r w:rsidR="008E2315">
        <w:rPr>
          <w:lang w:val="en-US"/>
        </w:rPr>
        <w:t xml:space="preserve"> and recreational exposure types. </w:t>
      </w:r>
    </w:p>
    <w:p w14:paraId="5773869A" w14:textId="0CDDFCED" w:rsidR="007937EB" w:rsidRPr="007937EB" w:rsidRDefault="007937EB" w:rsidP="00596E66">
      <w:pPr>
        <w:pStyle w:val="Heading5"/>
      </w:pPr>
      <w:r w:rsidRPr="007937EB">
        <w:t>Single ingredient and combination product paracetamol poisoning exposure events. (NSW PIC 2011-2021).</w:t>
      </w:r>
    </w:p>
    <w:tbl>
      <w:tblPr>
        <w:tblStyle w:val="ListTable2"/>
        <w:tblW w:w="8364" w:type="dxa"/>
        <w:tblLayout w:type="fixed"/>
        <w:tblLook w:val="04A0" w:firstRow="1" w:lastRow="0" w:firstColumn="1" w:lastColumn="0" w:noHBand="0" w:noVBand="1"/>
      </w:tblPr>
      <w:tblGrid>
        <w:gridCol w:w="1300"/>
        <w:gridCol w:w="1106"/>
        <w:gridCol w:w="1106"/>
        <w:gridCol w:w="1107"/>
        <w:gridCol w:w="1106"/>
        <w:gridCol w:w="1106"/>
        <w:gridCol w:w="1533"/>
      </w:tblGrid>
      <w:tr w:rsidR="007937EB" w:rsidRPr="007937EB" w14:paraId="31B0DA71" w14:textId="77777777" w:rsidTr="00AB40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05FF9BA3"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2011</w:t>
            </w:r>
          </w:p>
        </w:tc>
        <w:tc>
          <w:tcPr>
            <w:tcW w:w="1106" w:type="dxa"/>
            <w:shd w:val="clear" w:color="auto" w:fill="595959" w:themeFill="text1" w:themeFillTint="A6"/>
            <w:noWrap/>
            <w:hideMark/>
          </w:tcPr>
          <w:p w14:paraId="3A027FF3"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5--19</w:t>
            </w:r>
          </w:p>
        </w:tc>
        <w:tc>
          <w:tcPr>
            <w:tcW w:w="1106" w:type="dxa"/>
            <w:shd w:val="clear" w:color="auto" w:fill="595959" w:themeFill="text1" w:themeFillTint="A6"/>
            <w:noWrap/>
            <w:hideMark/>
          </w:tcPr>
          <w:p w14:paraId="0CF36EEA"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Others</w:t>
            </w:r>
          </w:p>
        </w:tc>
        <w:tc>
          <w:tcPr>
            <w:tcW w:w="1107" w:type="dxa"/>
            <w:shd w:val="clear" w:color="auto" w:fill="595959" w:themeFill="text1" w:themeFillTint="A6"/>
            <w:noWrap/>
            <w:hideMark/>
          </w:tcPr>
          <w:p w14:paraId="71F2AE1E"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Total single</w:t>
            </w:r>
          </w:p>
          <w:p w14:paraId="060EAE10"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ingredient</w:t>
            </w:r>
          </w:p>
        </w:tc>
        <w:tc>
          <w:tcPr>
            <w:tcW w:w="1106" w:type="dxa"/>
            <w:shd w:val="clear" w:color="auto" w:fill="595959" w:themeFill="text1" w:themeFillTint="A6"/>
            <w:noWrap/>
            <w:hideMark/>
          </w:tcPr>
          <w:p w14:paraId="7C384458"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5--19</w:t>
            </w:r>
          </w:p>
        </w:tc>
        <w:tc>
          <w:tcPr>
            <w:tcW w:w="1106" w:type="dxa"/>
            <w:shd w:val="clear" w:color="auto" w:fill="595959" w:themeFill="text1" w:themeFillTint="A6"/>
            <w:noWrap/>
            <w:hideMark/>
          </w:tcPr>
          <w:p w14:paraId="15A2EE70"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Others</w:t>
            </w:r>
          </w:p>
        </w:tc>
        <w:tc>
          <w:tcPr>
            <w:tcW w:w="1533" w:type="dxa"/>
            <w:shd w:val="clear" w:color="auto" w:fill="595959" w:themeFill="text1" w:themeFillTint="A6"/>
            <w:noWrap/>
            <w:hideMark/>
          </w:tcPr>
          <w:p w14:paraId="26A20BF1"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Total combination products</w:t>
            </w:r>
          </w:p>
        </w:tc>
      </w:tr>
      <w:tr w:rsidR="007937EB" w:rsidRPr="007937EB" w14:paraId="43A346BA"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8B8FC3D" w14:textId="77777777" w:rsidR="007937EB" w:rsidRPr="00AB23D3" w:rsidRDefault="007937EB" w:rsidP="007937EB">
            <w:pPr>
              <w:jc w:val="both"/>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1BB18C2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69</w:t>
            </w:r>
          </w:p>
        </w:tc>
        <w:tc>
          <w:tcPr>
            <w:tcW w:w="1106" w:type="dxa"/>
            <w:noWrap/>
            <w:hideMark/>
          </w:tcPr>
          <w:p w14:paraId="055B4FE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146</w:t>
            </w:r>
          </w:p>
        </w:tc>
        <w:tc>
          <w:tcPr>
            <w:tcW w:w="1107" w:type="dxa"/>
            <w:noWrap/>
            <w:hideMark/>
          </w:tcPr>
          <w:p w14:paraId="1B15E5B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215</w:t>
            </w:r>
          </w:p>
        </w:tc>
        <w:tc>
          <w:tcPr>
            <w:tcW w:w="1106" w:type="dxa"/>
            <w:noWrap/>
            <w:hideMark/>
          </w:tcPr>
          <w:p w14:paraId="321A03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106" w:type="dxa"/>
            <w:noWrap/>
            <w:hideMark/>
          </w:tcPr>
          <w:p w14:paraId="2B045E6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533" w:type="dxa"/>
            <w:noWrap/>
            <w:hideMark/>
          </w:tcPr>
          <w:p w14:paraId="61A64B4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115</w:t>
            </w:r>
          </w:p>
        </w:tc>
      </w:tr>
      <w:tr w:rsidR="007937EB" w:rsidRPr="007937EB" w14:paraId="5DA873B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9DD162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61A8968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65</w:t>
            </w:r>
          </w:p>
        </w:tc>
        <w:tc>
          <w:tcPr>
            <w:tcW w:w="1106" w:type="dxa"/>
            <w:noWrap/>
            <w:hideMark/>
          </w:tcPr>
          <w:p w14:paraId="1BA4E07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107" w:type="dxa"/>
            <w:noWrap/>
            <w:hideMark/>
          </w:tcPr>
          <w:p w14:paraId="1F43FA0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215</w:t>
            </w:r>
          </w:p>
        </w:tc>
        <w:tc>
          <w:tcPr>
            <w:tcW w:w="1106" w:type="dxa"/>
            <w:noWrap/>
            <w:hideMark/>
          </w:tcPr>
          <w:p w14:paraId="0DDB3B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106" w:type="dxa"/>
            <w:noWrap/>
            <w:hideMark/>
          </w:tcPr>
          <w:p w14:paraId="2E8870B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533" w:type="dxa"/>
            <w:noWrap/>
            <w:hideMark/>
          </w:tcPr>
          <w:p w14:paraId="43598D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r>
      <w:tr w:rsidR="007937EB" w:rsidRPr="007937EB" w14:paraId="003C4D1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26BAFF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184A359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95</w:t>
            </w:r>
          </w:p>
        </w:tc>
        <w:tc>
          <w:tcPr>
            <w:tcW w:w="1106" w:type="dxa"/>
            <w:noWrap/>
            <w:hideMark/>
          </w:tcPr>
          <w:p w14:paraId="71F7287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179</w:t>
            </w:r>
          </w:p>
        </w:tc>
        <w:tc>
          <w:tcPr>
            <w:tcW w:w="1107" w:type="dxa"/>
            <w:noWrap/>
            <w:hideMark/>
          </w:tcPr>
          <w:p w14:paraId="31D9318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274</w:t>
            </w:r>
          </w:p>
        </w:tc>
        <w:tc>
          <w:tcPr>
            <w:tcW w:w="1106" w:type="dxa"/>
            <w:noWrap/>
            <w:hideMark/>
          </w:tcPr>
          <w:p w14:paraId="744EEF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106" w:type="dxa"/>
            <w:noWrap/>
            <w:hideMark/>
          </w:tcPr>
          <w:p w14:paraId="13349C3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533" w:type="dxa"/>
            <w:noWrap/>
            <w:hideMark/>
          </w:tcPr>
          <w:p w14:paraId="645A88B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r>
      <w:tr w:rsidR="007937EB" w:rsidRPr="007937EB" w14:paraId="6CCEE1A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4665F6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0667739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1106" w:type="dxa"/>
            <w:noWrap/>
            <w:hideMark/>
          </w:tcPr>
          <w:p w14:paraId="49C99F4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c>
          <w:tcPr>
            <w:tcW w:w="1107" w:type="dxa"/>
            <w:noWrap/>
            <w:hideMark/>
          </w:tcPr>
          <w:p w14:paraId="56EF33B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192</w:t>
            </w:r>
          </w:p>
        </w:tc>
        <w:tc>
          <w:tcPr>
            <w:tcW w:w="1106" w:type="dxa"/>
            <w:noWrap/>
            <w:hideMark/>
          </w:tcPr>
          <w:p w14:paraId="319FC8A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59E25C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83</w:t>
            </w:r>
          </w:p>
        </w:tc>
        <w:tc>
          <w:tcPr>
            <w:tcW w:w="1533" w:type="dxa"/>
            <w:noWrap/>
            <w:hideMark/>
          </w:tcPr>
          <w:p w14:paraId="5C02A70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w:t>
            </w:r>
          </w:p>
        </w:tc>
      </w:tr>
      <w:tr w:rsidR="007937EB" w:rsidRPr="007937EB" w14:paraId="54ED832B"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7B2C3C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000D0DC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1106" w:type="dxa"/>
            <w:noWrap/>
            <w:hideMark/>
          </w:tcPr>
          <w:p w14:paraId="0FD70B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172</w:t>
            </w:r>
          </w:p>
        </w:tc>
        <w:tc>
          <w:tcPr>
            <w:tcW w:w="1107" w:type="dxa"/>
            <w:noWrap/>
            <w:hideMark/>
          </w:tcPr>
          <w:p w14:paraId="47E2DBC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262</w:t>
            </w:r>
          </w:p>
        </w:tc>
        <w:tc>
          <w:tcPr>
            <w:tcW w:w="1106" w:type="dxa"/>
            <w:noWrap/>
            <w:hideMark/>
          </w:tcPr>
          <w:p w14:paraId="6516CB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3685780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92</w:t>
            </w:r>
          </w:p>
        </w:tc>
        <w:tc>
          <w:tcPr>
            <w:tcW w:w="1533" w:type="dxa"/>
            <w:noWrap/>
            <w:hideMark/>
          </w:tcPr>
          <w:p w14:paraId="395A369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126</w:t>
            </w:r>
          </w:p>
        </w:tc>
      </w:tr>
      <w:tr w:rsidR="007937EB" w:rsidRPr="007937EB" w14:paraId="438CCAE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6CDDE9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12E0214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3B68F73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143</w:t>
            </w:r>
          </w:p>
        </w:tc>
        <w:tc>
          <w:tcPr>
            <w:tcW w:w="1107" w:type="dxa"/>
            <w:noWrap/>
            <w:hideMark/>
          </w:tcPr>
          <w:p w14:paraId="44E08D5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222</w:t>
            </w:r>
          </w:p>
        </w:tc>
        <w:tc>
          <w:tcPr>
            <w:tcW w:w="1106" w:type="dxa"/>
            <w:noWrap/>
            <w:hideMark/>
          </w:tcPr>
          <w:p w14:paraId="759BEB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79B3AD1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c>
          <w:tcPr>
            <w:tcW w:w="1533" w:type="dxa"/>
            <w:noWrap/>
            <w:hideMark/>
          </w:tcPr>
          <w:p w14:paraId="7D04FDE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r>
      <w:tr w:rsidR="007937EB" w:rsidRPr="007937EB" w14:paraId="4A56AFB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B50C6E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34EA59B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68</w:t>
            </w:r>
          </w:p>
        </w:tc>
        <w:tc>
          <w:tcPr>
            <w:tcW w:w="1106" w:type="dxa"/>
            <w:noWrap/>
            <w:hideMark/>
          </w:tcPr>
          <w:p w14:paraId="1D8183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c>
          <w:tcPr>
            <w:tcW w:w="1107" w:type="dxa"/>
            <w:noWrap/>
            <w:hideMark/>
          </w:tcPr>
          <w:p w14:paraId="0CA819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205</w:t>
            </w:r>
          </w:p>
        </w:tc>
        <w:tc>
          <w:tcPr>
            <w:tcW w:w="1106" w:type="dxa"/>
            <w:noWrap/>
            <w:hideMark/>
          </w:tcPr>
          <w:p w14:paraId="27DF231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6" w:type="dxa"/>
            <w:noWrap/>
            <w:hideMark/>
          </w:tcPr>
          <w:p w14:paraId="3652292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c>
          <w:tcPr>
            <w:tcW w:w="1533" w:type="dxa"/>
            <w:noWrap/>
            <w:hideMark/>
          </w:tcPr>
          <w:p w14:paraId="0902C54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r>
      <w:tr w:rsidR="007937EB" w:rsidRPr="007937EB" w14:paraId="547CDC45"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A9F326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485C909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106" w:type="dxa"/>
            <w:noWrap/>
            <w:hideMark/>
          </w:tcPr>
          <w:p w14:paraId="2224240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1107" w:type="dxa"/>
            <w:noWrap/>
            <w:hideMark/>
          </w:tcPr>
          <w:p w14:paraId="5F86462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246</w:t>
            </w:r>
          </w:p>
        </w:tc>
        <w:tc>
          <w:tcPr>
            <w:tcW w:w="1106" w:type="dxa"/>
            <w:noWrap/>
            <w:hideMark/>
          </w:tcPr>
          <w:p w14:paraId="3D3F2A4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3B46B2C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533" w:type="dxa"/>
            <w:noWrap/>
            <w:hideMark/>
          </w:tcPr>
          <w:p w14:paraId="224537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r>
      <w:tr w:rsidR="007937EB" w:rsidRPr="007937EB" w14:paraId="4B7E2CF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1B2BB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0E69E85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82</w:t>
            </w:r>
          </w:p>
        </w:tc>
        <w:tc>
          <w:tcPr>
            <w:tcW w:w="1106" w:type="dxa"/>
            <w:noWrap/>
            <w:hideMark/>
          </w:tcPr>
          <w:p w14:paraId="10036D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168</w:t>
            </w:r>
          </w:p>
        </w:tc>
        <w:tc>
          <w:tcPr>
            <w:tcW w:w="1107" w:type="dxa"/>
            <w:noWrap/>
            <w:hideMark/>
          </w:tcPr>
          <w:p w14:paraId="6E88144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250</w:t>
            </w:r>
          </w:p>
        </w:tc>
        <w:tc>
          <w:tcPr>
            <w:tcW w:w="1106" w:type="dxa"/>
            <w:noWrap/>
            <w:hideMark/>
          </w:tcPr>
          <w:p w14:paraId="757ED32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106" w:type="dxa"/>
            <w:noWrap/>
            <w:hideMark/>
          </w:tcPr>
          <w:p w14:paraId="1D77D75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198CD96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r>
      <w:tr w:rsidR="007937EB" w:rsidRPr="007937EB" w14:paraId="534BAF7C"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290286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2F6A7FA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77</w:t>
            </w:r>
          </w:p>
        </w:tc>
        <w:tc>
          <w:tcPr>
            <w:tcW w:w="1106" w:type="dxa"/>
            <w:noWrap/>
            <w:hideMark/>
          </w:tcPr>
          <w:p w14:paraId="23B04F7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139</w:t>
            </w:r>
          </w:p>
        </w:tc>
        <w:tc>
          <w:tcPr>
            <w:tcW w:w="1107" w:type="dxa"/>
            <w:noWrap/>
            <w:hideMark/>
          </w:tcPr>
          <w:p w14:paraId="3DE620C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c>
          <w:tcPr>
            <w:tcW w:w="1106" w:type="dxa"/>
            <w:noWrap/>
            <w:hideMark/>
          </w:tcPr>
          <w:p w14:paraId="4083B5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17C68AB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c>
          <w:tcPr>
            <w:tcW w:w="1533" w:type="dxa"/>
            <w:noWrap/>
            <w:hideMark/>
          </w:tcPr>
          <w:p w14:paraId="36C589F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r>
      <w:tr w:rsidR="007937EB" w:rsidRPr="007937EB" w14:paraId="10EAB206"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9981C9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7B8C851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58DAE02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c>
          <w:tcPr>
            <w:tcW w:w="1107" w:type="dxa"/>
            <w:noWrap/>
            <w:hideMark/>
          </w:tcPr>
          <w:p w14:paraId="5FD7254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248</w:t>
            </w:r>
          </w:p>
        </w:tc>
        <w:tc>
          <w:tcPr>
            <w:tcW w:w="1106" w:type="dxa"/>
            <w:noWrap/>
            <w:hideMark/>
          </w:tcPr>
          <w:p w14:paraId="5BBE8D4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1106" w:type="dxa"/>
            <w:noWrap/>
            <w:hideMark/>
          </w:tcPr>
          <w:p w14:paraId="383DDCB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92</w:t>
            </w:r>
          </w:p>
        </w:tc>
        <w:tc>
          <w:tcPr>
            <w:tcW w:w="1533" w:type="dxa"/>
            <w:noWrap/>
            <w:hideMark/>
          </w:tcPr>
          <w:p w14:paraId="384A2E9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r>
      <w:tr w:rsidR="007937EB" w:rsidRPr="007937EB" w14:paraId="68A3CB4A"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BC4F1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513421E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w:t>
            </w:r>
          </w:p>
        </w:tc>
        <w:tc>
          <w:tcPr>
            <w:tcW w:w="1106" w:type="dxa"/>
            <w:noWrap/>
            <w:hideMark/>
          </w:tcPr>
          <w:p w14:paraId="5805FD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c>
          <w:tcPr>
            <w:tcW w:w="1107" w:type="dxa"/>
            <w:noWrap/>
            <w:hideMark/>
          </w:tcPr>
          <w:p w14:paraId="78C9BCE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221</w:t>
            </w:r>
          </w:p>
        </w:tc>
        <w:tc>
          <w:tcPr>
            <w:tcW w:w="1106" w:type="dxa"/>
            <w:noWrap/>
            <w:hideMark/>
          </w:tcPr>
          <w:p w14:paraId="6E60DA4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1106" w:type="dxa"/>
            <w:noWrap/>
            <w:hideMark/>
          </w:tcPr>
          <w:p w14:paraId="14A3F4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70DCFB5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r>
      <w:tr w:rsidR="007937EB" w:rsidRPr="007937EB" w14:paraId="008A8D6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6EBAD230"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2012</w:t>
            </w:r>
          </w:p>
        </w:tc>
        <w:tc>
          <w:tcPr>
            <w:tcW w:w="1106" w:type="dxa"/>
            <w:shd w:val="clear" w:color="auto" w:fill="595959" w:themeFill="text1" w:themeFillTint="A6"/>
            <w:noWrap/>
            <w:hideMark/>
          </w:tcPr>
          <w:p w14:paraId="101E626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78B15FF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47BC0F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14A105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005918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75094AE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1727B2AD"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E60883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38562B8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71</w:t>
            </w:r>
          </w:p>
        </w:tc>
        <w:tc>
          <w:tcPr>
            <w:tcW w:w="1106" w:type="dxa"/>
            <w:noWrap/>
            <w:hideMark/>
          </w:tcPr>
          <w:p w14:paraId="5CD0A9E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166</w:t>
            </w:r>
          </w:p>
        </w:tc>
        <w:tc>
          <w:tcPr>
            <w:tcW w:w="1107" w:type="dxa"/>
            <w:noWrap/>
            <w:hideMark/>
          </w:tcPr>
          <w:p w14:paraId="4C1367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237</w:t>
            </w:r>
          </w:p>
        </w:tc>
        <w:tc>
          <w:tcPr>
            <w:tcW w:w="1106" w:type="dxa"/>
            <w:noWrap/>
            <w:hideMark/>
          </w:tcPr>
          <w:p w14:paraId="1F889F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5769A40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114</w:t>
            </w:r>
          </w:p>
        </w:tc>
        <w:tc>
          <w:tcPr>
            <w:tcW w:w="1533" w:type="dxa"/>
            <w:noWrap/>
            <w:hideMark/>
          </w:tcPr>
          <w:p w14:paraId="0AC7342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r>
      <w:tr w:rsidR="007937EB" w:rsidRPr="007937EB" w14:paraId="595D8351"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8FE64C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026CD62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2461327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107" w:type="dxa"/>
            <w:noWrap/>
            <w:hideMark/>
          </w:tcPr>
          <w:p w14:paraId="3FD91EC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221</w:t>
            </w:r>
          </w:p>
        </w:tc>
        <w:tc>
          <w:tcPr>
            <w:tcW w:w="1106" w:type="dxa"/>
            <w:noWrap/>
            <w:hideMark/>
          </w:tcPr>
          <w:p w14:paraId="077F71B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3F3A721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1533" w:type="dxa"/>
            <w:noWrap/>
            <w:hideMark/>
          </w:tcPr>
          <w:p w14:paraId="4038AD4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r>
      <w:tr w:rsidR="007937EB" w:rsidRPr="007937EB" w14:paraId="3471C34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383AF8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1DF2174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87</w:t>
            </w:r>
          </w:p>
        </w:tc>
        <w:tc>
          <w:tcPr>
            <w:tcW w:w="1106" w:type="dxa"/>
            <w:noWrap/>
            <w:hideMark/>
          </w:tcPr>
          <w:p w14:paraId="6B74BA9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107" w:type="dxa"/>
            <w:noWrap/>
            <w:hideMark/>
          </w:tcPr>
          <w:p w14:paraId="78280A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229</w:t>
            </w:r>
          </w:p>
        </w:tc>
        <w:tc>
          <w:tcPr>
            <w:tcW w:w="1106" w:type="dxa"/>
            <w:noWrap/>
            <w:hideMark/>
          </w:tcPr>
          <w:p w14:paraId="3326C47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714BAA1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94</w:t>
            </w:r>
          </w:p>
        </w:tc>
        <w:tc>
          <w:tcPr>
            <w:tcW w:w="1533" w:type="dxa"/>
            <w:noWrap/>
            <w:hideMark/>
          </w:tcPr>
          <w:p w14:paraId="7ECA5D7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r>
      <w:tr w:rsidR="007937EB" w:rsidRPr="007937EB" w14:paraId="2FF79671"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B5C60A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71F5419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w:t>
            </w:r>
          </w:p>
        </w:tc>
        <w:tc>
          <w:tcPr>
            <w:tcW w:w="1106" w:type="dxa"/>
            <w:noWrap/>
            <w:hideMark/>
          </w:tcPr>
          <w:p w14:paraId="68E2CE1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c>
          <w:tcPr>
            <w:tcW w:w="1107" w:type="dxa"/>
            <w:noWrap/>
            <w:hideMark/>
          </w:tcPr>
          <w:p w14:paraId="60085EA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228</w:t>
            </w:r>
          </w:p>
        </w:tc>
        <w:tc>
          <w:tcPr>
            <w:tcW w:w="1106" w:type="dxa"/>
            <w:noWrap/>
            <w:hideMark/>
          </w:tcPr>
          <w:p w14:paraId="3C233B6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106" w:type="dxa"/>
            <w:noWrap/>
            <w:hideMark/>
          </w:tcPr>
          <w:p w14:paraId="2EA9B98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w:t>
            </w:r>
          </w:p>
        </w:tc>
        <w:tc>
          <w:tcPr>
            <w:tcW w:w="1533" w:type="dxa"/>
            <w:noWrap/>
            <w:hideMark/>
          </w:tcPr>
          <w:p w14:paraId="403E455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r>
      <w:tr w:rsidR="007937EB" w:rsidRPr="007937EB" w14:paraId="00C9670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853337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3AEAEBF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106" w:type="dxa"/>
            <w:noWrap/>
            <w:hideMark/>
          </w:tcPr>
          <w:p w14:paraId="616C683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107" w:type="dxa"/>
            <w:noWrap/>
            <w:hideMark/>
          </w:tcPr>
          <w:p w14:paraId="16E699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251</w:t>
            </w:r>
          </w:p>
        </w:tc>
        <w:tc>
          <w:tcPr>
            <w:tcW w:w="1106" w:type="dxa"/>
            <w:noWrap/>
            <w:hideMark/>
          </w:tcPr>
          <w:p w14:paraId="279D064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106" w:type="dxa"/>
            <w:noWrap/>
            <w:hideMark/>
          </w:tcPr>
          <w:p w14:paraId="4E06555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533" w:type="dxa"/>
            <w:noWrap/>
            <w:hideMark/>
          </w:tcPr>
          <w:p w14:paraId="6403CC8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7937EB" w14:paraId="4D208C4C"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9823C2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244B72E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99</w:t>
            </w:r>
          </w:p>
        </w:tc>
        <w:tc>
          <w:tcPr>
            <w:tcW w:w="1106" w:type="dxa"/>
            <w:noWrap/>
            <w:hideMark/>
          </w:tcPr>
          <w:p w14:paraId="7D82C9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107" w:type="dxa"/>
            <w:noWrap/>
            <w:hideMark/>
          </w:tcPr>
          <w:p w14:paraId="1D6E85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258</w:t>
            </w:r>
          </w:p>
        </w:tc>
        <w:tc>
          <w:tcPr>
            <w:tcW w:w="1106" w:type="dxa"/>
            <w:noWrap/>
            <w:hideMark/>
          </w:tcPr>
          <w:p w14:paraId="33FE61B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106" w:type="dxa"/>
            <w:noWrap/>
            <w:hideMark/>
          </w:tcPr>
          <w:p w14:paraId="40F6FCF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w:t>
            </w:r>
          </w:p>
        </w:tc>
        <w:tc>
          <w:tcPr>
            <w:tcW w:w="1533" w:type="dxa"/>
            <w:noWrap/>
            <w:hideMark/>
          </w:tcPr>
          <w:p w14:paraId="5E53BA5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r>
      <w:tr w:rsidR="007937EB" w:rsidRPr="007937EB" w14:paraId="0CA91F46"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4B320A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16F8160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106" w:type="dxa"/>
            <w:noWrap/>
            <w:hideMark/>
          </w:tcPr>
          <w:p w14:paraId="467224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165</w:t>
            </w:r>
          </w:p>
        </w:tc>
        <w:tc>
          <w:tcPr>
            <w:tcW w:w="1107" w:type="dxa"/>
            <w:noWrap/>
            <w:hideMark/>
          </w:tcPr>
          <w:p w14:paraId="23FB660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269</w:t>
            </w:r>
          </w:p>
        </w:tc>
        <w:tc>
          <w:tcPr>
            <w:tcW w:w="1106" w:type="dxa"/>
            <w:noWrap/>
            <w:hideMark/>
          </w:tcPr>
          <w:p w14:paraId="7E86F1C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106" w:type="dxa"/>
            <w:noWrap/>
            <w:hideMark/>
          </w:tcPr>
          <w:p w14:paraId="19F6AFE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1533" w:type="dxa"/>
            <w:noWrap/>
            <w:hideMark/>
          </w:tcPr>
          <w:p w14:paraId="27C6B20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r>
      <w:tr w:rsidR="007937EB" w:rsidRPr="007937EB" w14:paraId="308EB2EC"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F217AA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526B115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c>
          <w:tcPr>
            <w:tcW w:w="1106" w:type="dxa"/>
            <w:noWrap/>
            <w:hideMark/>
          </w:tcPr>
          <w:p w14:paraId="7084103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148</w:t>
            </w:r>
          </w:p>
        </w:tc>
        <w:tc>
          <w:tcPr>
            <w:tcW w:w="1107" w:type="dxa"/>
            <w:noWrap/>
            <w:hideMark/>
          </w:tcPr>
          <w:p w14:paraId="156DF1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273</w:t>
            </w:r>
          </w:p>
        </w:tc>
        <w:tc>
          <w:tcPr>
            <w:tcW w:w="1106" w:type="dxa"/>
            <w:noWrap/>
            <w:hideMark/>
          </w:tcPr>
          <w:p w14:paraId="35D1FE7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541BE81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c>
          <w:tcPr>
            <w:tcW w:w="1533" w:type="dxa"/>
            <w:noWrap/>
            <w:hideMark/>
          </w:tcPr>
          <w:p w14:paraId="4DA43B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r>
      <w:tr w:rsidR="007937EB" w:rsidRPr="007937EB" w14:paraId="63772C4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72E1D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6B5015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106" w:type="dxa"/>
            <w:noWrap/>
            <w:hideMark/>
          </w:tcPr>
          <w:p w14:paraId="7A57D80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175</w:t>
            </w:r>
          </w:p>
        </w:tc>
        <w:tc>
          <w:tcPr>
            <w:tcW w:w="1107" w:type="dxa"/>
            <w:noWrap/>
            <w:hideMark/>
          </w:tcPr>
          <w:p w14:paraId="17067C1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272</w:t>
            </w:r>
          </w:p>
        </w:tc>
        <w:tc>
          <w:tcPr>
            <w:tcW w:w="1106" w:type="dxa"/>
            <w:noWrap/>
            <w:hideMark/>
          </w:tcPr>
          <w:p w14:paraId="6ED3ADE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49C3B3E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c>
          <w:tcPr>
            <w:tcW w:w="1533" w:type="dxa"/>
            <w:noWrap/>
            <w:hideMark/>
          </w:tcPr>
          <w:p w14:paraId="73D8E93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7937EB" w14:paraId="2998042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EAAF9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5F5EB0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c>
          <w:tcPr>
            <w:tcW w:w="1106" w:type="dxa"/>
            <w:noWrap/>
            <w:hideMark/>
          </w:tcPr>
          <w:p w14:paraId="4EA2787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107" w:type="dxa"/>
            <w:noWrap/>
            <w:hideMark/>
          </w:tcPr>
          <w:p w14:paraId="49F57D7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262</w:t>
            </w:r>
          </w:p>
        </w:tc>
        <w:tc>
          <w:tcPr>
            <w:tcW w:w="1106" w:type="dxa"/>
            <w:noWrap/>
            <w:hideMark/>
          </w:tcPr>
          <w:p w14:paraId="69DC576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1106" w:type="dxa"/>
            <w:noWrap/>
            <w:hideMark/>
          </w:tcPr>
          <w:p w14:paraId="451255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533" w:type="dxa"/>
            <w:noWrap/>
            <w:hideMark/>
          </w:tcPr>
          <w:p w14:paraId="6B54A70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r>
      <w:tr w:rsidR="007937EB" w:rsidRPr="007937EB" w14:paraId="6CD22BF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7E3C23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079E18A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c>
          <w:tcPr>
            <w:tcW w:w="1106" w:type="dxa"/>
            <w:noWrap/>
            <w:hideMark/>
          </w:tcPr>
          <w:p w14:paraId="5724E8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107" w:type="dxa"/>
            <w:noWrap/>
            <w:hideMark/>
          </w:tcPr>
          <w:p w14:paraId="3DE83B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274</w:t>
            </w:r>
          </w:p>
        </w:tc>
        <w:tc>
          <w:tcPr>
            <w:tcW w:w="1106" w:type="dxa"/>
            <w:noWrap/>
            <w:hideMark/>
          </w:tcPr>
          <w:p w14:paraId="11418CD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1AC47D7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7F0E90B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r>
      <w:tr w:rsidR="007937EB" w:rsidRPr="007937EB" w14:paraId="3145CB3C"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EEB0F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41082A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72</w:t>
            </w:r>
          </w:p>
        </w:tc>
        <w:tc>
          <w:tcPr>
            <w:tcW w:w="1106" w:type="dxa"/>
            <w:noWrap/>
            <w:hideMark/>
          </w:tcPr>
          <w:p w14:paraId="71528B5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167</w:t>
            </w:r>
          </w:p>
        </w:tc>
        <w:tc>
          <w:tcPr>
            <w:tcW w:w="1107" w:type="dxa"/>
            <w:noWrap/>
            <w:hideMark/>
          </w:tcPr>
          <w:p w14:paraId="06B8A6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239</w:t>
            </w:r>
          </w:p>
        </w:tc>
        <w:tc>
          <w:tcPr>
            <w:tcW w:w="1106" w:type="dxa"/>
            <w:noWrap/>
            <w:hideMark/>
          </w:tcPr>
          <w:p w14:paraId="74E8CAF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106" w:type="dxa"/>
            <w:noWrap/>
            <w:hideMark/>
          </w:tcPr>
          <w:p w14:paraId="21BEF2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1533" w:type="dxa"/>
            <w:noWrap/>
            <w:hideMark/>
          </w:tcPr>
          <w:p w14:paraId="3562FB0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r>
      <w:tr w:rsidR="007937EB" w:rsidRPr="007937EB" w14:paraId="7A509563"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5D928866"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2013</w:t>
            </w:r>
          </w:p>
        </w:tc>
        <w:tc>
          <w:tcPr>
            <w:tcW w:w="1106" w:type="dxa"/>
            <w:shd w:val="clear" w:color="auto" w:fill="595959" w:themeFill="text1" w:themeFillTint="A6"/>
            <w:noWrap/>
            <w:hideMark/>
          </w:tcPr>
          <w:p w14:paraId="5987957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17D92A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096EFE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021D06A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2E9575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36D090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76BC1AE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07FF3A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47B2E4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68</w:t>
            </w:r>
          </w:p>
        </w:tc>
        <w:tc>
          <w:tcPr>
            <w:tcW w:w="1106" w:type="dxa"/>
            <w:noWrap/>
            <w:hideMark/>
          </w:tcPr>
          <w:p w14:paraId="34EFEBC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196</w:t>
            </w:r>
          </w:p>
        </w:tc>
        <w:tc>
          <w:tcPr>
            <w:tcW w:w="1107" w:type="dxa"/>
            <w:noWrap/>
            <w:hideMark/>
          </w:tcPr>
          <w:p w14:paraId="7334F9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06" w:type="dxa"/>
            <w:noWrap/>
            <w:hideMark/>
          </w:tcPr>
          <w:p w14:paraId="524FA7A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54E05C8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86</w:t>
            </w:r>
          </w:p>
        </w:tc>
        <w:tc>
          <w:tcPr>
            <w:tcW w:w="1533" w:type="dxa"/>
            <w:noWrap/>
            <w:hideMark/>
          </w:tcPr>
          <w:p w14:paraId="3E4BA31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r>
      <w:tr w:rsidR="007937EB" w:rsidRPr="007937EB" w14:paraId="61492F4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9609AD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7A21B1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99</w:t>
            </w:r>
          </w:p>
        </w:tc>
        <w:tc>
          <w:tcPr>
            <w:tcW w:w="1106" w:type="dxa"/>
            <w:noWrap/>
            <w:hideMark/>
          </w:tcPr>
          <w:p w14:paraId="79A2811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166</w:t>
            </w:r>
          </w:p>
        </w:tc>
        <w:tc>
          <w:tcPr>
            <w:tcW w:w="1107" w:type="dxa"/>
            <w:noWrap/>
            <w:hideMark/>
          </w:tcPr>
          <w:p w14:paraId="6A3E4AC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265</w:t>
            </w:r>
          </w:p>
        </w:tc>
        <w:tc>
          <w:tcPr>
            <w:tcW w:w="1106" w:type="dxa"/>
            <w:noWrap/>
            <w:hideMark/>
          </w:tcPr>
          <w:p w14:paraId="72C8B4B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1106" w:type="dxa"/>
            <w:noWrap/>
            <w:hideMark/>
          </w:tcPr>
          <w:p w14:paraId="18CB038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89</w:t>
            </w:r>
          </w:p>
        </w:tc>
        <w:tc>
          <w:tcPr>
            <w:tcW w:w="1533" w:type="dxa"/>
            <w:noWrap/>
            <w:hideMark/>
          </w:tcPr>
          <w:p w14:paraId="3F52A9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r>
      <w:tr w:rsidR="007937EB" w:rsidRPr="007937EB" w14:paraId="7969804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FA7C92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72DBC70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84</w:t>
            </w:r>
          </w:p>
        </w:tc>
        <w:tc>
          <w:tcPr>
            <w:tcW w:w="1106" w:type="dxa"/>
            <w:noWrap/>
            <w:hideMark/>
          </w:tcPr>
          <w:p w14:paraId="746E97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181</w:t>
            </w:r>
          </w:p>
        </w:tc>
        <w:tc>
          <w:tcPr>
            <w:tcW w:w="1107" w:type="dxa"/>
            <w:noWrap/>
            <w:hideMark/>
          </w:tcPr>
          <w:p w14:paraId="51BBD7B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265</w:t>
            </w:r>
          </w:p>
        </w:tc>
        <w:tc>
          <w:tcPr>
            <w:tcW w:w="1106" w:type="dxa"/>
            <w:noWrap/>
            <w:hideMark/>
          </w:tcPr>
          <w:p w14:paraId="2E4FC52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454A2C3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100</w:t>
            </w:r>
          </w:p>
        </w:tc>
        <w:tc>
          <w:tcPr>
            <w:tcW w:w="1533" w:type="dxa"/>
            <w:noWrap/>
            <w:hideMark/>
          </w:tcPr>
          <w:p w14:paraId="498E769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r>
      <w:tr w:rsidR="007937EB" w:rsidRPr="007937EB" w14:paraId="56D8201D"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6B582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342165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w:t>
            </w:r>
          </w:p>
        </w:tc>
        <w:tc>
          <w:tcPr>
            <w:tcW w:w="1106" w:type="dxa"/>
            <w:noWrap/>
            <w:hideMark/>
          </w:tcPr>
          <w:p w14:paraId="003AD6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107" w:type="dxa"/>
            <w:noWrap/>
            <w:hideMark/>
          </w:tcPr>
          <w:p w14:paraId="6C519E9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268</w:t>
            </w:r>
          </w:p>
        </w:tc>
        <w:tc>
          <w:tcPr>
            <w:tcW w:w="1106" w:type="dxa"/>
            <w:noWrap/>
            <w:hideMark/>
          </w:tcPr>
          <w:p w14:paraId="123E23E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106" w:type="dxa"/>
            <w:noWrap/>
            <w:hideMark/>
          </w:tcPr>
          <w:p w14:paraId="74F458B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1533" w:type="dxa"/>
            <w:noWrap/>
            <w:hideMark/>
          </w:tcPr>
          <w:p w14:paraId="5CFC51B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r>
      <w:tr w:rsidR="007937EB" w:rsidRPr="007937EB" w14:paraId="7F69346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C54E6A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20227B8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106" w:type="dxa"/>
            <w:noWrap/>
            <w:hideMark/>
          </w:tcPr>
          <w:p w14:paraId="65E8B29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c>
          <w:tcPr>
            <w:tcW w:w="1107" w:type="dxa"/>
            <w:noWrap/>
            <w:hideMark/>
          </w:tcPr>
          <w:p w14:paraId="2B193E6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269</w:t>
            </w:r>
          </w:p>
        </w:tc>
        <w:tc>
          <w:tcPr>
            <w:tcW w:w="1106" w:type="dxa"/>
            <w:noWrap/>
            <w:hideMark/>
          </w:tcPr>
          <w:p w14:paraId="027CAC1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03E20B8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533" w:type="dxa"/>
            <w:noWrap/>
            <w:hideMark/>
          </w:tcPr>
          <w:p w14:paraId="11E0FD7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135</w:t>
            </w:r>
          </w:p>
        </w:tc>
      </w:tr>
      <w:tr w:rsidR="007937EB" w:rsidRPr="007937EB" w14:paraId="7F7BFB22"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0D725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58E80D9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106" w:type="dxa"/>
            <w:noWrap/>
            <w:hideMark/>
          </w:tcPr>
          <w:p w14:paraId="595ECE4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107" w:type="dxa"/>
            <w:noWrap/>
            <w:hideMark/>
          </w:tcPr>
          <w:p w14:paraId="251C31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245</w:t>
            </w:r>
          </w:p>
        </w:tc>
        <w:tc>
          <w:tcPr>
            <w:tcW w:w="1106" w:type="dxa"/>
            <w:noWrap/>
            <w:hideMark/>
          </w:tcPr>
          <w:p w14:paraId="45A55A5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73889C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95</w:t>
            </w:r>
          </w:p>
        </w:tc>
        <w:tc>
          <w:tcPr>
            <w:tcW w:w="1533" w:type="dxa"/>
            <w:noWrap/>
            <w:hideMark/>
          </w:tcPr>
          <w:p w14:paraId="5AF4E18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r>
      <w:tr w:rsidR="007937EB" w:rsidRPr="007937EB" w14:paraId="2167492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25E4F6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0719B6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0081FF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170</w:t>
            </w:r>
          </w:p>
        </w:tc>
        <w:tc>
          <w:tcPr>
            <w:tcW w:w="1107" w:type="dxa"/>
            <w:noWrap/>
            <w:hideMark/>
          </w:tcPr>
          <w:p w14:paraId="164276A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279</w:t>
            </w:r>
          </w:p>
        </w:tc>
        <w:tc>
          <w:tcPr>
            <w:tcW w:w="1106" w:type="dxa"/>
            <w:noWrap/>
            <w:hideMark/>
          </w:tcPr>
          <w:p w14:paraId="0ECF316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3DA5F82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533" w:type="dxa"/>
            <w:noWrap/>
            <w:hideMark/>
          </w:tcPr>
          <w:p w14:paraId="232D71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r>
      <w:tr w:rsidR="007937EB" w:rsidRPr="007937EB" w14:paraId="61E6810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26E7CB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33B2612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120</w:t>
            </w:r>
          </w:p>
        </w:tc>
        <w:tc>
          <w:tcPr>
            <w:tcW w:w="1106" w:type="dxa"/>
            <w:noWrap/>
            <w:hideMark/>
          </w:tcPr>
          <w:p w14:paraId="5D44E5C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107" w:type="dxa"/>
            <w:noWrap/>
            <w:hideMark/>
          </w:tcPr>
          <w:p w14:paraId="372F3B3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300</w:t>
            </w:r>
          </w:p>
        </w:tc>
        <w:tc>
          <w:tcPr>
            <w:tcW w:w="1106" w:type="dxa"/>
            <w:noWrap/>
            <w:hideMark/>
          </w:tcPr>
          <w:p w14:paraId="29FF6A8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46A568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533" w:type="dxa"/>
            <w:noWrap/>
            <w:hideMark/>
          </w:tcPr>
          <w:p w14:paraId="52B4171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153</w:t>
            </w:r>
          </w:p>
        </w:tc>
      </w:tr>
      <w:tr w:rsidR="007937EB" w:rsidRPr="007937EB" w14:paraId="617A0B2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2F1DCA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73AB32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99</w:t>
            </w:r>
          </w:p>
        </w:tc>
        <w:tc>
          <w:tcPr>
            <w:tcW w:w="1106" w:type="dxa"/>
            <w:noWrap/>
            <w:hideMark/>
          </w:tcPr>
          <w:p w14:paraId="09C818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c>
          <w:tcPr>
            <w:tcW w:w="1107" w:type="dxa"/>
            <w:noWrap/>
            <w:hideMark/>
          </w:tcPr>
          <w:p w14:paraId="5C5BB5C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253</w:t>
            </w:r>
          </w:p>
        </w:tc>
        <w:tc>
          <w:tcPr>
            <w:tcW w:w="1106" w:type="dxa"/>
            <w:noWrap/>
            <w:hideMark/>
          </w:tcPr>
          <w:p w14:paraId="45594EC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0E30576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533" w:type="dxa"/>
            <w:noWrap/>
            <w:hideMark/>
          </w:tcPr>
          <w:p w14:paraId="6F95D0D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126</w:t>
            </w:r>
          </w:p>
        </w:tc>
      </w:tr>
      <w:tr w:rsidR="007937EB" w:rsidRPr="007937EB" w14:paraId="545FF4F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20A5D1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02A1FC3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115</w:t>
            </w:r>
          </w:p>
        </w:tc>
        <w:tc>
          <w:tcPr>
            <w:tcW w:w="1106" w:type="dxa"/>
            <w:noWrap/>
            <w:hideMark/>
          </w:tcPr>
          <w:p w14:paraId="1B56BBE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107" w:type="dxa"/>
            <w:noWrap/>
            <w:hideMark/>
          </w:tcPr>
          <w:p w14:paraId="69735D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265</w:t>
            </w:r>
          </w:p>
        </w:tc>
        <w:tc>
          <w:tcPr>
            <w:tcW w:w="1106" w:type="dxa"/>
            <w:noWrap/>
            <w:hideMark/>
          </w:tcPr>
          <w:p w14:paraId="09D8791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50A90CF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533" w:type="dxa"/>
            <w:noWrap/>
            <w:hideMark/>
          </w:tcPr>
          <w:p w14:paraId="006240E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r>
      <w:tr w:rsidR="007937EB" w:rsidRPr="007937EB" w14:paraId="530FC79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044AF6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6609A8D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c>
          <w:tcPr>
            <w:tcW w:w="1106" w:type="dxa"/>
            <w:noWrap/>
            <w:hideMark/>
          </w:tcPr>
          <w:p w14:paraId="1B9FBA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107" w:type="dxa"/>
            <w:noWrap/>
            <w:hideMark/>
          </w:tcPr>
          <w:p w14:paraId="59BD841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262</w:t>
            </w:r>
          </w:p>
        </w:tc>
        <w:tc>
          <w:tcPr>
            <w:tcW w:w="1106" w:type="dxa"/>
            <w:noWrap/>
            <w:hideMark/>
          </w:tcPr>
          <w:p w14:paraId="568114F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6" w:type="dxa"/>
            <w:noWrap/>
            <w:hideMark/>
          </w:tcPr>
          <w:p w14:paraId="310DFA7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533" w:type="dxa"/>
            <w:noWrap/>
            <w:hideMark/>
          </w:tcPr>
          <w:p w14:paraId="004E33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r>
      <w:tr w:rsidR="007937EB" w:rsidRPr="007937EB" w14:paraId="046C004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F68699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03A85CA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w:t>
            </w:r>
          </w:p>
        </w:tc>
        <w:tc>
          <w:tcPr>
            <w:tcW w:w="1106" w:type="dxa"/>
            <w:noWrap/>
            <w:hideMark/>
          </w:tcPr>
          <w:p w14:paraId="6CF7BB2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c>
          <w:tcPr>
            <w:tcW w:w="1107" w:type="dxa"/>
            <w:noWrap/>
            <w:hideMark/>
          </w:tcPr>
          <w:p w14:paraId="76D489E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243</w:t>
            </w:r>
          </w:p>
        </w:tc>
        <w:tc>
          <w:tcPr>
            <w:tcW w:w="1106" w:type="dxa"/>
            <w:noWrap/>
            <w:hideMark/>
          </w:tcPr>
          <w:p w14:paraId="52BA898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1106" w:type="dxa"/>
            <w:noWrap/>
            <w:hideMark/>
          </w:tcPr>
          <w:p w14:paraId="593AE59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100</w:t>
            </w:r>
          </w:p>
        </w:tc>
        <w:tc>
          <w:tcPr>
            <w:tcW w:w="1533" w:type="dxa"/>
            <w:noWrap/>
            <w:hideMark/>
          </w:tcPr>
          <w:p w14:paraId="4385F09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r>
      <w:tr w:rsidR="007937EB" w:rsidRPr="007937EB" w14:paraId="22126B7E"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3E52ECA5"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2014</w:t>
            </w:r>
          </w:p>
        </w:tc>
        <w:tc>
          <w:tcPr>
            <w:tcW w:w="1106" w:type="dxa"/>
            <w:shd w:val="clear" w:color="auto" w:fill="595959" w:themeFill="text1" w:themeFillTint="A6"/>
            <w:noWrap/>
            <w:hideMark/>
          </w:tcPr>
          <w:p w14:paraId="0E4D5BC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8C668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7EA907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358E2A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2A12840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235F82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7DBD0AF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7B2848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569250D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80</w:t>
            </w:r>
          </w:p>
        </w:tc>
        <w:tc>
          <w:tcPr>
            <w:tcW w:w="1106" w:type="dxa"/>
            <w:noWrap/>
            <w:hideMark/>
          </w:tcPr>
          <w:p w14:paraId="4634D56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164</w:t>
            </w:r>
          </w:p>
        </w:tc>
        <w:tc>
          <w:tcPr>
            <w:tcW w:w="1107" w:type="dxa"/>
            <w:noWrap/>
            <w:hideMark/>
          </w:tcPr>
          <w:p w14:paraId="73EB7C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244</w:t>
            </w:r>
          </w:p>
        </w:tc>
        <w:tc>
          <w:tcPr>
            <w:tcW w:w="1106" w:type="dxa"/>
            <w:noWrap/>
            <w:hideMark/>
          </w:tcPr>
          <w:p w14:paraId="2C21860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106" w:type="dxa"/>
            <w:noWrap/>
            <w:hideMark/>
          </w:tcPr>
          <w:p w14:paraId="1D1F4AF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548B440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r>
      <w:tr w:rsidR="007937EB" w:rsidRPr="007937EB" w14:paraId="600F730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5AAAC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29576B1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72</w:t>
            </w:r>
          </w:p>
        </w:tc>
        <w:tc>
          <w:tcPr>
            <w:tcW w:w="1106" w:type="dxa"/>
            <w:noWrap/>
            <w:hideMark/>
          </w:tcPr>
          <w:p w14:paraId="19B42B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c>
          <w:tcPr>
            <w:tcW w:w="1107" w:type="dxa"/>
            <w:noWrap/>
            <w:hideMark/>
          </w:tcPr>
          <w:p w14:paraId="2FF28E7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241</w:t>
            </w:r>
          </w:p>
        </w:tc>
        <w:tc>
          <w:tcPr>
            <w:tcW w:w="1106" w:type="dxa"/>
            <w:noWrap/>
            <w:hideMark/>
          </w:tcPr>
          <w:p w14:paraId="074F9EC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148C143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96</w:t>
            </w:r>
          </w:p>
        </w:tc>
        <w:tc>
          <w:tcPr>
            <w:tcW w:w="1533" w:type="dxa"/>
            <w:noWrap/>
            <w:hideMark/>
          </w:tcPr>
          <w:p w14:paraId="5CEF36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r>
      <w:tr w:rsidR="007937EB" w:rsidRPr="007937EB" w14:paraId="439C326F"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BBC209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0B3B2D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7844D0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212</w:t>
            </w:r>
          </w:p>
        </w:tc>
        <w:tc>
          <w:tcPr>
            <w:tcW w:w="1107" w:type="dxa"/>
            <w:noWrap/>
            <w:hideMark/>
          </w:tcPr>
          <w:p w14:paraId="02F6818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321</w:t>
            </w:r>
          </w:p>
        </w:tc>
        <w:tc>
          <w:tcPr>
            <w:tcW w:w="1106" w:type="dxa"/>
            <w:noWrap/>
            <w:hideMark/>
          </w:tcPr>
          <w:p w14:paraId="45D3837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6" w:type="dxa"/>
            <w:noWrap/>
            <w:hideMark/>
          </w:tcPr>
          <w:p w14:paraId="5E663B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1301B57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r>
      <w:tr w:rsidR="007937EB" w:rsidRPr="007937EB" w14:paraId="1AF0CF2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47A4B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0987CD6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w:t>
            </w:r>
          </w:p>
        </w:tc>
        <w:tc>
          <w:tcPr>
            <w:tcW w:w="1106" w:type="dxa"/>
            <w:noWrap/>
            <w:hideMark/>
          </w:tcPr>
          <w:p w14:paraId="39DF29E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179</w:t>
            </w:r>
          </w:p>
        </w:tc>
        <w:tc>
          <w:tcPr>
            <w:tcW w:w="1107" w:type="dxa"/>
            <w:noWrap/>
            <w:hideMark/>
          </w:tcPr>
          <w:p w14:paraId="4158569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257</w:t>
            </w:r>
          </w:p>
        </w:tc>
        <w:tc>
          <w:tcPr>
            <w:tcW w:w="1106" w:type="dxa"/>
            <w:noWrap/>
            <w:hideMark/>
          </w:tcPr>
          <w:p w14:paraId="74FDE0F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4AACAAA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127</w:t>
            </w:r>
          </w:p>
        </w:tc>
        <w:tc>
          <w:tcPr>
            <w:tcW w:w="1533" w:type="dxa"/>
            <w:noWrap/>
            <w:hideMark/>
          </w:tcPr>
          <w:p w14:paraId="5D1C1F7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r>
      <w:tr w:rsidR="007937EB" w:rsidRPr="007937EB" w14:paraId="0050272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349109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450D8A5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33818C5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107" w:type="dxa"/>
            <w:noWrap/>
            <w:hideMark/>
          </w:tcPr>
          <w:p w14:paraId="0BF0CF4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259</w:t>
            </w:r>
          </w:p>
        </w:tc>
        <w:tc>
          <w:tcPr>
            <w:tcW w:w="1106" w:type="dxa"/>
            <w:noWrap/>
            <w:hideMark/>
          </w:tcPr>
          <w:p w14:paraId="304D889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297D53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533" w:type="dxa"/>
            <w:noWrap/>
            <w:hideMark/>
          </w:tcPr>
          <w:p w14:paraId="4804EEF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r>
      <w:tr w:rsidR="007937EB" w:rsidRPr="007937EB" w14:paraId="0056632C"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DFA466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256BAB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86</w:t>
            </w:r>
          </w:p>
        </w:tc>
        <w:tc>
          <w:tcPr>
            <w:tcW w:w="1106" w:type="dxa"/>
            <w:noWrap/>
            <w:hideMark/>
          </w:tcPr>
          <w:p w14:paraId="2E9933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107" w:type="dxa"/>
            <w:noWrap/>
            <w:hideMark/>
          </w:tcPr>
          <w:p w14:paraId="465D4C4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266</w:t>
            </w:r>
          </w:p>
        </w:tc>
        <w:tc>
          <w:tcPr>
            <w:tcW w:w="1106" w:type="dxa"/>
            <w:noWrap/>
            <w:hideMark/>
          </w:tcPr>
          <w:p w14:paraId="0442FAA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1896DCD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c>
          <w:tcPr>
            <w:tcW w:w="1533" w:type="dxa"/>
            <w:noWrap/>
            <w:hideMark/>
          </w:tcPr>
          <w:p w14:paraId="6EA30D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r>
      <w:tr w:rsidR="007937EB" w:rsidRPr="007937EB" w14:paraId="04AFC763"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D274AD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376F6C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81</w:t>
            </w:r>
          </w:p>
        </w:tc>
        <w:tc>
          <w:tcPr>
            <w:tcW w:w="1106" w:type="dxa"/>
            <w:noWrap/>
            <w:hideMark/>
          </w:tcPr>
          <w:p w14:paraId="48913BA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183</w:t>
            </w:r>
          </w:p>
        </w:tc>
        <w:tc>
          <w:tcPr>
            <w:tcW w:w="1107" w:type="dxa"/>
            <w:noWrap/>
            <w:hideMark/>
          </w:tcPr>
          <w:p w14:paraId="06AA59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06" w:type="dxa"/>
            <w:noWrap/>
            <w:hideMark/>
          </w:tcPr>
          <w:p w14:paraId="5042CE2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106" w:type="dxa"/>
            <w:noWrap/>
            <w:hideMark/>
          </w:tcPr>
          <w:p w14:paraId="2DEC9EF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699B44E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r>
      <w:tr w:rsidR="007937EB" w:rsidRPr="007937EB" w14:paraId="11E83AE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680D68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77B3411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96</w:t>
            </w:r>
          </w:p>
        </w:tc>
        <w:tc>
          <w:tcPr>
            <w:tcW w:w="1106" w:type="dxa"/>
            <w:noWrap/>
            <w:hideMark/>
          </w:tcPr>
          <w:p w14:paraId="32D55B8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107" w:type="dxa"/>
            <w:noWrap/>
            <w:hideMark/>
          </w:tcPr>
          <w:p w14:paraId="3E256F8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274</w:t>
            </w:r>
          </w:p>
        </w:tc>
        <w:tc>
          <w:tcPr>
            <w:tcW w:w="1106" w:type="dxa"/>
            <w:noWrap/>
            <w:hideMark/>
          </w:tcPr>
          <w:p w14:paraId="3D35A42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106" w:type="dxa"/>
            <w:noWrap/>
            <w:hideMark/>
          </w:tcPr>
          <w:p w14:paraId="4DE758E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c>
          <w:tcPr>
            <w:tcW w:w="1533" w:type="dxa"/>
            <w:noWrap/>
            <w:hideMark/>
          </w:tcPr>
          <w:p w14:paraId="3F49EBC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r>
      <w:tr w:rsidR="007937EB" w:rsidRPr="007937EB" w14:paraId="6DAE853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5281CB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3EE3455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91</w:t>
            </w:r>
          </w:p>
        </w:tc>
        <w:tc>
          <w:tcPr>
            <w:tcW w:w="1106" w:type="dxa"/>
            <w:noWrap/>
            <w:hideMark/>
          </w:tcPr>
          <w:p w14:paraId="2FE719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198</w:t>
            </w:r>
          </w:p>
        </w:tc>
        <w:tc>
          <w:tcPr>
            <w:tcW w:w="1107" w:type="dxa"/>
            <w:noWrap/>
            <w:hideMark/>
          </w:tcPr>
          <w:p w14:paraId="4FC1A5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289</w:t>
            </w:r>
          </w:p>
        </w:tc>
        <w:tc>
          <w:tcPr>
            <w:tcW w:w="1106" w:type="dxa"/>
            <w:noWrap/>
            <w:hideMark/>
          </w:tcPr>
          <w:p w14:paraId="52F1C23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1FB3B0B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c>
          <w:tcPr>
            <w:tcW w:w="1533" w:type="dxa"/>
            <w:noWrap/>
            <w:hideMark/>
          </w:tcPr>
          <w:p w14:paraId="4B8FFB7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r>
      <w:tr w:rsidR="007937EB" w:rsidRPr="007937EB" w14:paraId="7847E176"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39039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354BA0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96</w:t>
            </w:r>
          </w:p>
        </w:tc>
        <w:tc>
          <w:tcPr>
            <w:tcW w:w="1106" w:type="dxa"/>
            <w:noWrap/>
            <w:hideMark/>
          </w:tcPr>
          <w:p w14:paraId="3160117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107" w:type="dxa"/>
            <w:noWrap/>
            <w:hideMark/>
          </w:tcPr>
          <w:p w14:paraId="4D8B15C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290</w:t>
            </w:r>
          </w:p>
        </w:tc>
        <w:tc>
          <w:tcPr>
            <w:tcW w:w="1106" w:type="dxa"/>
            <w:noWrap/>
            <w:hideMark/>
          </w:tcPr>
          <w:p w14:paraId="6BCECCA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106" w:type="dxa"/>
            <w:noWrap/>
            <w:hideMark/>
          </w:tcPr>
          <w:p w14:paraId="778D20D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533" w:type="dxa"/>
            <w:noWrap/>
            <w:hideMark/>
          </w:tcPr>
          <w:p w14:paraId="7C30D42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r>
      <w:tr w:rsidR="007937EB" w:rsidRPr="007937EB" w14:paraId="5A6B3E6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8A1717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648AB6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106" w:type="dxa"/>
            <w:noWrap/>
            <w:hideMark/>
          </w:tcPr>
          <w:p w14:paraId="389A591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107" w:type="dxa"/>
            <w:noWrap/>
            <w:hideMark/>
          </w:tcPr>
          <w:p w14:paraId="1458405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276</w:t>
            </w:r>
          </w:p>
        </w:tc>
        <w:tc>
          <w:tcPr>
            <w:tcW w:w="1106" w:type="dxa"/>
            <w:noWrap/>
            <w:hideMark/>
          </w:tcPr>
          <w:p w14:paraId="18A814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031632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c>
          <w:tcPr>
            <w:tcW w:w="1533" w:type="dxa"/>
            <w:noWrap/>
            <w:hideMark/>
          </w:tcPr>
          <w:p w14:paraId="059C5B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r>
      <w:tr w:rsidR="007937EB" w:rsidRPr="007937EB" w14:paraId="5207E766"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F46114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1E10FAB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1106" w:type="dxa"/>
            <w:noWrap/>
            <w:hideMark/>
          </w:tcPr>
          <w:p w14:paraId="0C6E8A2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186</w:t>
            </w:r>
          </w:p>
        </w:tc>
        <w:tc>
          <w:tcPr>
            <w:tcW w:w="1107" w:type="dxa"/>
            <w:noWrap/>
            <w:hideMark/>
          </w:tcPr>
          <w:p w14:paraId="07B7E8C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246</w:t>
            </w:r>
          </w:p>
        </w:tc>
        <w:tc>
          <w:tcPr>
            <w:tcW w:w="1106" w:type="dxa"/>
            <w:noWrap/>
            <w:hideMark/>
          </w:tcPr>
          <w:p w14:paraId="356A84A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5270748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1533" w:type="dxa"/>
            <w:noWrap/>
            <w:hideMark/>
          </w:tcPr>
          <w:p w14:paraId="3F343CA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r>
      <w:tr w:rsidR="007937EB" w:rsidRPr="007937EB" w14:paraId="02DA5F26"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14452340"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2015</w:t>
            </w:r>
          </w:p>
        </w:tc>
        <w:tc>
          <w:tcPr>
            <w:tcW w:w="1106" w:type="dxa"/>
            <w:shd w:val="clear" w:color="auto" w:fill="595959" w:themeFill="text1" w:themeFillTint="A6"/>
            <w:noWrap/>
            <w:hideMark/>
          </w:tcPr>
          <w:p w14:paraId="3B66170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568D698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0A15B2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7D7B8D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07FC7A5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7BEE5FB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4D902F98"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80F7D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04B1C8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72</w:t>
            </w:r>
          </w:p>
        </w:tc>
        <w:tc>
          <w:tcPr>
            <w:tcW w:w="1106" w:type="dxa"/>
            <w:noWrap/>
            <w:hideMark/>
          </w:tcPr>
          <w:p w14:paraId="337635A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107" w:type="dxa"/>
            <w:noWrap/>
            <w:hideMark/>
          </w:tcPr>
          <w:p w14:paraId="58F5A77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250</w:t>
            </w:r>
          </w:p>
        </w:tc>
        <w:tc>
          <w:tcPr>
            <w:tcW w:w="1106" w:type="dxa"/>
            <w:noWrap/>
            <w:hideMark/>
          </w:tcPr>
          <w:p w14:paraId="6326E2A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106" w:type="dxa"/>
            <w:noWrap/>
            <w:hideMark/>
          </w:tcPr>
          <w:p w14:paraId="65D26A7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c>
          <w:tcPr>
            <w:tcW w:w="1533" w:type="dxa"/>
            <w:noWrap/>
            <w:hideMark/>
          </w:tcPr>
          <w:p w14:paraId="544A9D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r>
      <w:tr w:rsidR="007937EB" w:rsidRPr="007937EB" w14:paraId="6165DF55"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F7EBF1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2C75021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w:t>
            </w:r>
          </w:p>
        </w:tc>
        <w:tc>
          <w:tcPr>
            <w:tcW w:w="1106" w:type="dxa"/>
            <w:noWrap/>
            <w:hideMark/>
          </w:tcPr>
          <w:p w14:paraId="1FDECD9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199</w:t>
            </w:r>
          </w:p>
        </w:tc>
        <w:tc>
          <w:tcPr>
            <w:tcW w:w="1107" w:type="dxa"/>
            <w:noWrap/>
            <w:hideMark/>
          </w:tcPr>
          <w:p w14:paraId="418185B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274</w:t>
            </w:r>
          </w:p>
        </w:tc>
        <w:tc>
          <w:tcPr>
            <w:tcW w:w="1106" w:type="dxa"/>
            <w:noWrap/>
            <w:hideMark/>
          </w:tcPr>
          <w:p w14:paraId="20F3033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106" w:type="dxa"/>
            <w:noWrap/>
            <w:hideMark/>
          </w:tcPr>
          <w:p w14:paraId="25CE162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106</w:t>
            </w:r>
          </w:p>
        </w:tc>
        <w:tc>
          <w:tcPr>
            <w:tcW w:w="1533" w:type="dxa"/>
            <w:noWrap/>
            <w:hideMark/>
          </w:tcPr>
          <w:p w14:paraId="6E3424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r>
      <w:tr w:rsidR="007937EB" w:rsidRPr="007937EB" w14:paraId="207218E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C359E3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500371C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w:t>
            </w:r>
          </w:p>
        </w:tc>
        <w:tc>
          <w:tcPr>
            <w:tcW w:w="1106" w:type="dxa"/>
            <w:noWrap/>
            <w:hideMark/>
          </w:tcPr>
          <w:p w14:paraId="2F2FE7C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107" w:type="dxa"/>
            <w:noWrap/>
            <w:hideMark/>
          </w:tcPr>
          <w:p w14:paraId="5BDBC85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253</w:t>
            </w:r>
          </w:p>
        </w:tc>
        <w:tc>
          <w:tcPr>
            <w:tcW w:w="1106" w:type="dxa"/>
            <w:noWrap/>
            <w:hideMark/>
          </w:tcPr>
          <w:p w14:paraId="19A2500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02E612B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c>
          <w:tcPr>
            <w:tcW w:w="1533" w:type="dxa"/>
            <w:noWrap/>
            <w:hideMark/>
          </w:tcPr>
          <w:p w14:paraId="4F6994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140</w:t>
            </w:r>
          </w:p>
        </w:tc>
      </w:tr>
      <w:tr w:rsidR="007937EB" w:rsidRPr="007937EB" w14:paraId="5C9830BB"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431A40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0F6E08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70</w:t>
            </w:r>
          </w:p>
        </w:tc>
        <w:tc>
          <w:tcPr>
            <w:tcW w:w="1106" w:type="dxa"/>
            <w:noWrap/>
            <w:hideMark/>
          </w:tcPr>
          <w:p w14:paraId="0B42D81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168</w:t>
            </w:r>
          </w:p>
        </w:tc>
        <w:tc>
          <w:tcPr>
            <w:tcW w:w="1107" w:type="dxa"/>
            <w:noWrap/>
            <w:hideMark/>
          </w:tcPr>
          <w:p w14:paraId="1E69703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238</w:t>
            </w:r>
          </w:p>
        </w:tc>
        <w:tc>
          <w:tcPr>
            <w:tcW w:w="1106" w:type="dxa"/>
            <w:noWrap/>
            <w:hideMark/>
          </w:tcPr>
          <w:p w14:paraId="4E035AE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71C3371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c>
          <w:tcPr>
            <w:tcW w:w="1533" w:type="dxa"/>
            <w:noWrap/>
            <w:hideMark/>
          </w:tcPr>
          <w:p w14:paraId="6925722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160</w:t>
            </w:r>
          </w:p>
        </w:tc>
      </w:tr>
      <w:tr w:rsidR="007937EB" w:rsidRPr="007937EB" w14:paraId="0482C4B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92607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6B8C33C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99</w:t>
            </w:r>
          </w:p>
        </w:tc>
        <w:tc>
          <w:tcPr>
            <w:tcW w:w="1106" w:type="dxa"/>
            <w:noWrap/>
            <w:hideMark/>
          </w:tcPr>
          <w:p w14:paraId="7CAA9A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107" w:type="dxa"/>
            <w:noWrap/>
            <w:hideMark/>
          </w:tcPr>
          <w:p w14:paraId="380757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258</w:t>
            </w:r>
          </w:p>
        </w:tc>
        <w:tc>
          <w:tcPr>
            <w:tcW w:w="1106" w:type="dxa"/>
            <w:noWrap/>
            <w:hideMark/>
          </w:tcPr>
          <w:p w14:paraId="0CBBB4B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18105F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148</w:t>
            </w:r>
          </w:p>
        </w:tc>
        <w:tc>
          <w:tcPr>
            <w:tcW w:w="1533" w:type="dxa"/>
            <w:noWrap/>
            <w:hideMark/>
          </w:tcPr>
          <w:p w14:paraId="47257E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r>
      <w:tr w:rsidR="007937EB" w:rsidRPr="007937EB" w14:paraId="040DF55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7C1043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32CC39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w:t>
            </w:r>
          </w:p>
        </w:tc>
        <w:tc>
          <w:tcPr>
            <w:tcW w:w="1106" w:type="dxa"/>
            <w:noWrap/>
            <w:hideMark/>
          </w:tcPr>
          <w:p w14:paraId="5FBE3D9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198</w:t>
            </w:r>
          </w:p>
        </w:tc>
        <w:tc>
          <w:tcPr>
            <w:tcW w:w="1107" w:type="dxa"/>
            <w:noWrap/>
            <w:hideMark/>
          </w:tcPr>
          <w:p w14:paraId="204CEFA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276</w:t>
            </w:r>
          </w:p>
        </w:tc>
        <w:tc>
          <w:tcPr>
            <w:tcW w:w="1106" w:type="dxa"/>
            <w:noWrap/>
            <w:hideMark/>
          </w:tcPr>
          <w:p w14:paraId="42924C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017E865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114</w:t>
            </w:r>
          </w:p>
        </w:tc>
        <w:tc>
          <w:tcPr>
            <w:tcW w:w="1533" w:type="dxa"/>
            <w:noWrap/>
            <w:hideMark/>
          </w:tcPr>
          <w:p w14:paraId="6DF5A6D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7937EB" w14:paraId="06D8CED7"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893C2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79D59D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1106" w:type="dxa"/>
            <w:noWrap/>
            <w:hideMark/>
          </w:tcPr>
          <w:p w14:paraId="130A0DF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198</w:t>
            </w:r>
          </w:p>
        </w:tc>
        <w:tc>
          <w:tcPr>
            <w:tcW w:w="1107" w:type="dxa"/>
            <w:noWrap/>
            <w:hideMark/>
          </w:tcPr>
          <w:p w14:paraId="03C61A7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291</w:t>
            </w:r>
          </w:p>
        </w:tc>
        <w:tc>
          <w:tcPr>
            <w:tcW w:w="1106" w:type="dxa"/>
            <w:noWrap/>
            <w:hideMark/>
          </w:tcPr>
          <w:p w14:paraId="61F306D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435B949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164</w:t>
            </w:r>
          </w:p>
        </w:tc>
        <w:tc>
          <w:tcPr>
            <w:tcW w:w="1533" w:type="dxa"/>
            <w:noWrap/>
            <w:hideMark/>
          </w:tcPr>
          <w:p w14:paraId="2B5F6CA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r>
      <w:tr w:rsidR="007937EB" w:rsidRPr="007937EB" w14:paraId="3ADCC90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683C51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482D5CB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c>
          <w:tcPr>
            <w:tcW w:w="1106" w:type="dxa"/>
            <w:noWrap/>
            <w:hideMark/>
          </w:tcPr>
          <w:p w14:paraId="0F4AFCB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218</w:t>
            </w:r>
          </w:p>
        </w:tc>
        <w:tc>
          <w:tcPr>
            <w:tcW w:w="1107" w:type="dxa"/>
            <w:noWrap/>
            <w:hideMark/>
          </w:tcPr>
          <w:p w14:paraId="4ACE25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365</w:t>
            </w:r>
          </w:p>
        </w:tc>
        <w:tc>
          <w:tcPr>
            <w:tcW w:w="1106" w:type="dxa"/>
            <w:noWrap/>
            <w:hideMark/>
          </w:tcPr>
          <w:p w14:paraId="616FD6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1106" w:type="dxa"/>
            <w:noWrap/>
            <w:hideMark/>
          </w:tcPr>
          <w:p w14:paraId="1A8BE08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533" w:type="dxa"/>
            <w:noWrap/>
            <w:hideMark/>
          </w:tcPr>
          <w:p w14:paraId="033247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198</w:t>
            </w:r>
          </w:p>
        </w:tc>
      </w:tr>
      <w:tr w:rsidR="007937EB" w:rsidRPr="007937EB" w14:paraId="5B8B7467"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3186BA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1AE5F3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106" w:type="dxa"/>
            <w:noWrap/>
            <w:hideMark/>
          </w:tcPr>
          <w:p w14:paraId="02C5EF8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205</w:t>
            </w:r>
          </w:p>
        </w:tc>
        <w:tc>
          <w:tcPr>
            <w:tcW w:w="1107" w:type="dxa"/>
            <w:noWrap/>
            <w:hideMark/>
          </w:tcPr>
          <w:p w14:paraId="7E8337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317</w:t>
            </w:r>
          </w:p>
        </w:tc>
        <w:tc>
          <w:tcPr>
            <w:tcW w:w="1106" w:type="dxa"/>
            <w:noWrap/>
            <w:hideMark/>
          </w:tcPr>
          <w:p w14:paraId="0AEAB1D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68B4988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c>
          <w:tcPr>
            <w:tcW w:w="1533" w:type="dxa"/>
            <w:noWrap/>
            <w:hideMark/>
          </w:tcPr>
          <w:p w14:paraId="734C920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160</w:t>
            </w:r>
          </w:p>
        </w:tc>
      </w:tr>
      <w:tr w:rsidR="007937EB" w:rsidRPr="007937EB" w14:paraId="25C5F6C2"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FFD8D7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0D29570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106" w:type="dxa"/>
            <w:noWrap/>
            <w:hideMark/>
          </w:tcPr>
          <w:p w14:paraId="05FCEC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193</w:t>
            </w:r>
          </w:p>
        </w:tc>
        <w:tc>
          <w:tcPr>
            <w:tcW w:w="1107" w:type="dxa"/>
            <w:noWrap/>
            <w:hideMark/>
          </w:tcPr>
          <w:p w14:paraId="5310A5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290</w:t>
            </w:r>
          </w:p>
        </w:tc>
        <w:tc>
          <w:tcPr>
            <w:tcW w:w="1106" w:type="dxa"/>
            <w:noWrap/>
            <w:hideMark/>
          </w:tcPr>
          <w:p w14:paraId="4099D04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106" w:type="dxa"/>
            <w:noWrap/>
            <w:hideMark/>
          </w:tcPr>
          <w:p w14:paraId="67D6F4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155</w:t>
            </w:r>
          </w:p>
        </w:tc>
        <w:tc>
          <w:tcPr>
            <w:tcW w:w="1533" w:type="dxa"/>
            <w:noWrap/>
            <w:hideMark/>
          </w:tcPr>
          <w:p w14:paraId="3C7D161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186</w:t>
            </w:r>
          </w:p>
        </w:tc>
      </w:tr>
      <w:tr w:rsidR="007937EB" w:rsidRPr="007937EB" w14:paraId="2AD1E64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698280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0643525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106" w:type="dxa"/>
            <w:noWrap/>
            <w:hideMark/>
          </w:tcPr>
          <w:p w14:paraId="5FBA41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218</w:t>
            </w:r>
          </w:p>
        </w:tc>
        <w:tc>
          <w:tcPr>
            <w:tcW w:w="1107" w:type="dxa"/>
            <w:noWrap/>
            <w:hideMark/>
          </w:tcPr>
          <w:p w14:paraId="07717A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316</w:t>
            </w:r>
          </w:p>
        </w:tc>
        <w:tc>
          <w:tcPr>
            <w:tcW w:w="1106" w:type="dxa"/>
            <w:noWrap/>
            <w:hideMark/>
          </w:tcPr>
          <w:p w14:paraId="276E42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4C068AD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148</w:t>
            </w:r>
          </w:p>
        </w:tc>
        <w:tc>
          <w:tcPr>
            <w:tcW w:w="1533" w:type="dxa"/>
            <w:noWrap/>
            <w:hideMark/>
          </w:tcPr>
          <w:p w14:paraId="3209536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185</w:t>
            </w:r>
          </w:p>
        </w:tc>
      </w:tr>
      <w:tr w:rsidR="007937EB" w:rsidRPr="007937EB" w14:paraId="693C436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17BB9F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1299E47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69</w:t>
            </w:r>
          </w:p>
        </w:tc>
        <w:tc>
          <w:tcPr>
            <w:tcW w:w="1106" w:type="dxa"/>
            <w:noWrap/>
            <w:hideMark/>
          </w:tcPr>
          <w:p w14:paraId="34DF6C3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195</w:t>
            </w:r>
          </w:p>
        </w:tc>
        <w:tc>
          <w:tcPr>
            <w:tcW w:w="1107" w:type="dxa"/>
            <w:noWrap/>
            <w:hideMark/>
          </w:tcPr>
          <w:p w14:paraId="7A4888B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06" w:type="dxa"/>
            <w:noWrap/>
            <w:hideMark/>
          </w:tcPr>
          <w:p w14:paraId="4BB2FBC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2C70D2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533" w:type="dxa"/>
            <w:noWrap/>
            <w:hideMark/>
          </w:tcPr>
          <w:p w14:paraId="7F36829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r>
      <w:tr w:rsidR="007937EB" w:rsidRPr="007937EB" w14:paraId="0A3970D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47F2A5F4"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2016</w:t>
            </w:r>
          </w:p>
        </w:tc>
        <w:tc>
          <w:tcPr>
            <w:tcW w:w="1106" w:type="dxa"/>
            <w:shd w:val="clear" w:color="auto" w:fill="595959" w:themeFill="text1" w:themeFillTint="A6"/>
            <w:noWrap/>
            <w:hideMark/>
          </w:tcPr>
          <w:p w14:paraId="42D54BD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0BCA8A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742BBC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CE3A2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53E2A71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39303A4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383E6DC9"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8ABC6C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50F550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6E1A5B4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191</w:t>
            </w:r>
          </w:p>
        </w:tc>
        <w:tc>
          <w:tcPr>
            <w:tcW w:w="1107" w:type="dxa"/>
            <w:noWrap/>
            <w:hideMark/>
          </w:tcPr>
          <w:p w14:paraId="042CA72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270</w:t>
            </w:r>
          </w:p>
        </w:tc>
        <w:tc>
          <w:tcPr>
            <w:tcW w:w="1106" w:type="dxa"/>
            <w:noWrap/>
            <w:hideMark/>
          </w:tcPr>
          <w:p w14:paraId="401586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14E1DF3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127</w:t>
            </w:r>
          </w:p>
        </w:tc>
        <w:tc>
          <w:tcPr>
            <w:tcW w:w="1533" w:type="dxa"/>
            <w:noWrap/>
            <w:hideMark/>
          </w:tcPr>
          <w:p w14:paraId="383DDC6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r>
      <w:tr w:rsidR="007937EB" w:rsidRPr="007937EB" w14:paraId="6B9D69D2"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E067B3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69B25DA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89</w:t>
            </w:r>
          </w:p>
        </w:tc>
        <w:tc>
          <w:tcPr>
            <w:tcW w:w="1106" w:type="dxa"/>
            <w:noWrap/>
            <w:hideMark/>
          </w:tcPr>
          <w:p w14:paraId="7ABF93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210</w:t>
            </w:r>
          </w:p>
        </w:tc>
        <w:tc>
          <w:tcPr>
            <w:tcW w:w="1107" w:type="dxa"/>
            <w:noWrap/>
            <w:hideMark/>
          </w:tcPr>
          <w:p w14:paraId="228F57A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299</w:t>
            </w:r>
          </w:p>
        </w:tc>
        <w:tc>
          <w:tcPr>
            <w:tcW w:w="1106" w:type="dxa"/>
            <w:noWrap/>
            <w:hideMark/>
          </w:tcPr>
          <w:p w14:paraId="7022D60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1106" w:type="dxa"/>
            <w:noWrap/>
            <w:hideMark/>
          </w:tcPr>
          <w:p w14:paraId="03795FA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c>
          <w:tcPr>
            <w:tcW w:w="1533" w:type="dxa"/>
            <w:noWrap/>
            <w:hideMark/>
          </w:tcPr>
          <w:p w14:paraId="62582C0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168</w:t>
            </w:r>
          </w:p>
        </w:tc>
      </w:tr>
      <w:tr w:rsidR="007937EB" w:rsidRPr="007937EB" w14:paraId="1D2C174A"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F18B5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1D7C1B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1106" w:type="dxa"/>
            <w:noWrap/>
            <w:hideMark/>
          </w:tcPr>
          <w:p w14:paraId="3D44012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225</w:t>
            </w:r>
          </w:p>
        </w:tc>
        <w:tc>
          <w:tcPr>
            <w:tcW w:w="1107" w:type="dxa"/>
            <w:noWrap/>
            <w:hideMark/>
          </w:tcPr>
          <w:p w14:paraId="74EC57E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315</w:t>
            </w:r>
          </w:p>
        </w:tc>
        <w:tc>
          <w:tcPr>
            <w:tcW w:w="1106" w:type="dxa"/>
            <w:noWrap/>
            <w:hideMark/>
          </w:tcPr>
          <w:p w14:paraId="29F44D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1C4CE2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c>
          <w:tcPr>
            <w:tcW w:w="1533" w:type="dxa"/>
            <w:noWrap/>
            <w:hideMark/>
          </w:tcPr>
          <w:p w14:paraId="4CA626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r>
      <w:tr w:rsidR="007937EB" w:rsidRPr="007937EB" w14:paraId="718DE508"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F8632E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1A5C54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w:t>
            </w:r>
          </w:p>
        </w:tc>
        <w:tc>
          <w:tcPr>
            <w:tcW w:w="1106" w:type="dxa"/>
            <w:noWrap/>
            <w:hideMark/>
          </w:tcPr>
          <w:p w14:paraId="6329AC5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171</w:t>
            </w:r>
          </w:p>
        </w:tc>
        <w:tc>
          <w:tcPr>
            <w:tcW w:w="1107" w:type="dxa"/>
            <w:noWrap/>
            <w:hideMark/>
          </w:tcPr>
          <w:p w14:paraId="50C48B1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256</w:t>
            </w:r>
          </w:p>
        </w:tc>
        <w:tc>
          <w:tcPr>
            <w:tcW w:w="1106" w:type="dxa"/>
            <w:noWrap/>
            <w:hideMark/>
          </w:tcPr>
          <w:p w14:paraId="1F1918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20D169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c>
          <w:tcPr>
            <w:tcW w:w="1533" w:type="dxa"/>
            <w:noWrap/>
            <w:hideMark/>
          </w:tcPr>
          <w:p w14:paraId="1CBF4A3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r>
      <w:tr w:rsidR="007937EB" w:rsidRPr="007937EB" w14:paraId="7FAB6B3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B985CB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4F28C4A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c>
          <w:tcPr>
            <w:tcW w:w="1106" w:type="dxa"/>
            <w:noWrap/>
            <w:hideMark/>
          </w:tcPr>
          <w:p w14:paraId="6A0CDFC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185</w:t>
            </w:r>
          </w:p>
        </w:tc>
        <w:tc>
          <w:tcPr>
            <w:tcW w:w="1107" w:type="dxa"/>
            <w:noWrap/>
            <w:hideMark/>
          </w:tcPr>
          <w:p w14:paraId="0AF0EBF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304</w:t>
            </w:r>
          </w:p>
        </w:tc>
        <w:tc>
          <w:tcPr>
            <w:tcW w:w="1106" w:type="dxa"/>
            <w:noWrap/>
            <w:hideMark/>
          </w:tcPr>
          <w:p w14:paraId="57986DE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106" w:type="dxa"/>
            <w:noWrap/>
            <w:hideMark/>
          </w:tcPr>
          <w:p w14:paraId="0DBDA36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533" w:type="dxa"/>
            <w:noWrap/>
            <w:hideMark/>
          </w:tcPr>
          <w:p w14:paraId="3F3217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166</w:t>
            </w:r>
          </w:p>
        </w:tc>
      </w:tr>
      <w:tr w:rsidR="007937EB" w:rsidRPr="007937EB" w14:paraId="0649BC7E"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E3D3C3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3E3B704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106" w:type="dxa"/>
            <w:noWrap/>
            <w:hideMark/>
          </w:tcPr>
          <w:p w14:paraId="094F487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161</w:t>
            </w:r>
          </w:p>
        </w:tc>
        <w:tc>
          <w:tcPr>
            <w:tcW w:w="1107" w:type="dxa"/>
            <w:noWrap/>
            <w:hideMark/>
          </w:tcPr>
          <w:p w14:paraId="419B83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06" w:type="dxa"/>
            <w:noWrap/>
            <w:hideMark/>
          </w:tcPr>
          <w:p w14:paraId="06060FE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106" w:type="dxa"/>
            <w:noWrap/>
            <w:hideMark/>
          </w:tcPr>
          <w:p w14:paraId="319DD85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0F81EC0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r>
      <w:tr w:rsidR="007937EB" w:rsidRPr="007937EB" w14:paraId="4B0D38E2"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D0D45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476FBC2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106" w:type="dxa"/>
            <w:noWrap/>
            <w:hideMark/>
          </w:tcPr>
          <w:p w14:paraId="249282E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202</w:t>
            </w:r>
          </w:p>
        </w:tc>
        <w:tc>
          <w:tcPr>
            <w:tcW w:w="1107" w:type="dxa"/>
            <w:noWrap/>
            <w:hideMark/>
          </w:tcPr>
          <w:p w14:paraId="23B5BEF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303</w:t>
            </w:r>
          </w:p>
        </w:tc>
        <w:tc>
          <w:tcPr>
            <w:tcW w:w="1106" w:type="dxa"/>
            <w:noWrap/>
            <w:hideMark/>
          </w:tcPr>
          <w:p w14:paraId="0E6C407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69F289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533" w:type="dxa"/>
            <w:noWrap/>
            <w:hideMark/>
          </w:tcPr>
          <w:p w14:paraId="188BECE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200</w:t>
            </w:r>
          </w:p>
        </w:tc>
      </w:tr>
      <w:tr w:rsidR="007937EB" w:rsidRPr="007937EB" w14:paraId="11794EF1"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4C087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60ECEF2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c>
          <w:tcPr>
            <w:tcW w:w="1106" w:type="dxa"/>
            <w:noWrap/>
            <w:hideMark/>
          </w:tcPr>
          <w:p w14:paraId="7C9FA10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226</w:t>
            </w:r>
          </w:p>
        </w:tc>
        <w:tc>
          <w:tcPr>
            <w:tcW w:w="1107" w:type="dxa"/>
            <w:noWrap/>
            <w:hideMark/>
          </w:tcPr>
          <w:p w14:paraId="12F17F0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370</w:t>
            </w:r>
          </w:p>
        </w:tc>
        <w:tc>
          <w:tcPr>
            <w:tcW w:w="1106" w:type="dxa"/>
            <w:noWrap/>
            <w:hideMark/>
          </w:tcPr>
          <w:p w14:paraId="55A328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61</w:t>
            </w:r>
          </w:p>
        </w:tc>
        <w:tc>
          <w:tcPr>
            <w:tcW w:w="1106" w:type="dxa"/>
            <w:noWrap/>
            <w:hideMark/>
          </w:tcPr>
          <w:p w14:paraId="6F57907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140</w:t>
            </w:r>
          </w:p>
        </w:tc>
        <w:tc>
          <w:tcPr>
            <w:tcW w:w="1533" w:type="dxa"/>
            <w:noWrap/>
            <w:hideMark/>
          </w:tcPr>
          <w:p w14:paraId="0D4E575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201</w:t>
            </w:r>
          </w:p>
        </w:tc>
      </w:tr>
      <w:tr w:rsidR="007937EB" w:rsidRPr="007937EB" w14:paraId="2AB3419C"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5D63F1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373EBFB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7D4D23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204</w:t>
            </w:r>
          </w:p>
        </w:tc>
        <w:tc>
          <w:tcPr>
            <w:tcW w:w="1107" w:type="dxa"/>
            <w:noWrap/>
            <w:hideMark/>
          </w:tcPr>
          <w:p w14:paraId="1351E7B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313</w:t>
            </w:r>
          </w:p>
        </w:tc>
        <w:tc>
          <w:tcPr>
            <w:tcW w:w="1106" w:type="dxa"/>
            <w:noWrap/>
            <w:hideMark/>
          </w:tcPr>
          <w:p w14:paraId="483273E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1106" w:type="dxa"/>
            <w:noWrap/>
            <w:hideMark/>
          </w:tcPr>
          <w:p w14:paraId="52952F6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533" w:type="dxa"/>
            <w:noWrap/>
            <w:hideMark/>
          </w:tcPr>
          <w:p w14:paraId="404824A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217</w:t>
            </w:r>
          </w:p>
        </w:tc>
      </w:tr>
      <w:tr w:rsidR="007937EB" w:rsidRPr="007937EB" w14:paraId="737DE82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9E8CBD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32E0227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115</w:t>
            </w:r>
          </w:p>
        </w:tc>
        <w:tc>
          <w:tcPr>
            <w:tcW w:w="1106" w:type="dxa"/>
            <w:noWrap/>
            <w:hideMark/>
          </w:tcPr>
          <w:p w14:paraId="5B95F2C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207</w:t>
            </w:r>
          </w:p>
        </w:tc>
        <w:tc>
          <w:tcPr>
            <w:tcW w:w="1107" w:type="dxa"/>
            <w:noWrap/>
            <w:hideMark/>
          </w:tcPr>
          <w:p w14:paraId="228FE98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322</w:t>
            </w:r>
          </w:p>
        </w:tc>
        <w:tc>
          <w:tcPr>
            <w:tcW w:w="1106" w:type="dxa"/>
            <w:noWrap/>
            <w:hideMark/>
          </w:tcPr>
          <w:p w14:paraId="05FEB81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17E8E7E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c>
          <w:tcPr>
            <w:tcW w:w="1533" w:type="dxa"/>
            <w:noWrap/>
            <w:hideMark/>
          </w:tcPr>
          <w:p w14:paraId="5D146BF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r>
      <w:tr w:rsidR="007937EB" w:rsidRPr="007937EB" w14:paraId="6AEC778D"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03FCD5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6AB5BD8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106" w:type="dxa"/>
            <w:noWrap/>
            <w:hideMark/>
          </w:tcPr>
          <w:p w14:paraId="5935AB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c>
          <w:tcPr>
            <w:tcW w:w="1107" w:type="dxa"/>
            <w:noWrap/>
            <w:hideMark/>
          </w:tcPr>
          <w:p w14:paraId="7B005EA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281</w:t>
            </w:r>
          </w:p>
        </w:tc>
        <w:tc>
          <w:tcPr>
            <w:tcW w:w="1106" w:type="dxa"/>
            <w:noWrap/>
            <w:hideMark/>
          </w:tcPr>
          <w:p w14:paraId="583D209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106" w:type="dxa"/>
            <w:noWrap/>
            <w:hideMark/>
          </w:tcPr>
          <w:p w14:paraId="3C18F3F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2454F94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143</w:t>
            </w:r>
          </w:p>
        </w:tc>
      </w:tr>
      <w:tr w:rsidR="007937EB" w:rsidRPr="007937EB" w14:paraId="0D3979A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CB35D1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5807721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87</w:t>
            </w:r>
          </w:p>
        </w:tc>
        <w:tc>
          <w:tcPr>
            <w:tcW w:w="1106" w:type="dxa"/>
            <w:noWrap/>
            <w:hideMark/>
          </w:tcPr>
          <w:p w14:paraId="30B1507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107" w:type="dxa"/>
            <w:noWrap/>
            <w:hideMark/>
          </w:tcPr>
          <w:p w14:paraId="1D69038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281</w:t>
            </w:r>
          </w:p>
        </w:tc>
        <w:tc>
          <w:tcPr>
            <w:tcW w:w="1106" w:type="dxa"/>
            <w:noWrap/>
            <w:hideMark/>
          </w:tcPr>
          <w:p w14:paraId="60BA310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61F6EC1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533" w:type="dxa"/>
            <w:noWrap/>
            <w:hideMark/>
          </w:tcPr>
          <w:p w14:paraId="58CB604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188</w:t>
            </w:r>
          </w:p>
        </w:tc>
      </w:tr>
      <w:tr w:rsidR="007937EB" w:rsidRPr="007937EB" w14:paraId="3827F302"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70FCF127"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2017</w:t>
            </w:r>
          </w:p>
        </w:tc>
        <w:tc>
          <w:tcPr>
            <w:tcW w:w="1106" w:type="dxa"/>
            <w:shd w:val="clear" w:color="auto" w:fill="595959" w:themeFill="text1" w:themeFillTint="A6"/>
            <w:noWrap/>
            <w:hideMark/>
          </w:tcPr>
          <w:p w14:paraId="32BC5E2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7F75CBA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651371D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3602C50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234D96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729E261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105B1BD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FA2657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441BB35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1106" w:type="dxa"/>
            <w:noWrap/>
            <w:hideMark/>
          </w:tcPr>
          <w:p w14:paraId="75BAF4A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214</w:t>
            </w:r>
          </w:p>
        </w:tc>
        <w:tc>
          <w:tcPr>
            <w:tcW w:w="1107" w:type="dxa"/>
            <w:noWrap/>
            <w:hideMark/>
          </w:tcPr>
          <w:p w14:paraId="2049914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287</w:t>
            </w:r>
          </w:p>
        </w:tc>
        <w:tc>
          <w:tcPr>
            <w:tcW w:w="1106" w:type="dxa"/>
            <w:noWrap/>
            <w:hideMark/>
          </w:tcPr>
          <w:p w14:paraId="4157112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443A067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533" w:type="dxa"/>
            <w:noWrap/>
            <w:hideMark/>
          </w:tcPr>
          <w:p w14:paraId="0117FD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176</w:t>
            </w:r>
          </w:p>
        </w:tc>
      </w:tr>
      <w:tr w:rsidR="007937EB" w:rsidRPr="007937EB" w14:paraId="2134864A"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247418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52A8944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108</w:t>
            </w:r>
          </w:p>
        </w:tc>
        <w:tc>
          <w:tcPr>
            <w:tcW w:w="1106" w:type="dxa"/>
            <w:noWrap/>
            <w:hideMark/>
          </w:tcPr>
          <w:p w14:paraId="284DD9B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186</w:t>
            </w:r>
          </w:p>
        </w:tc>
        <w:tc>
          <w:tcPr>
            <w:tcW w:w="1107" w:type="dxa"/>
            <w:noWrap/>
            <w:hideMark/>
          </w:tcPr>
          <w:p w14:paraId="4DA57F1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294</w:t>
            </w:r>
          </w:p>
        </w:tc>
        <w:tc>
          <w:tcPr>
            <w:tcW w:w="1106" w:type="dxa"/>
            <w:noWrap/>
            <w:hideMark/>
          </w:tcPr>
          <w:p w14:paraId="610998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481D1C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153</w:t>
            </w:r>
          </w:p>
        </w:tc>
        <w:tc>
          <w:tcPr>
            <w:tcW w:w="1533" w:type="dxa"/>
            <w:noWrap/>
            <w:hideMark/>
          </w:tcPr>
          <w:p w14:paraId="1FD09D7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189</w:t>
            </w:r>
          </w:p>
        </w:tc>
      </w:tr>
      <w:tr w:rsidR="007937EB" w:rsidRPr="007937EB" w14:paraId="64587540"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108BF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50D751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127</w:t>
            </w:r>
          </w:p>
        </w:tc>
        <w:tc>
          <w:tcPr>
            <w:tcW w:w="1106" w:type="dxa"/>
            <w:noWrap/>
            <w:hideMark/>
          </w:tcPr>
          <w:p w14:paraId="6F53587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206</w:t>
            </w:r>
          </w:p>
        </w:tc>
        <w:tc>
          <w:tcPr>
            <w:tcW w:w="1107" w:type="dxa"/>
            <w:noWrap/>
            <w:hideMark/>
          </w:tcPr>
          <w:p w14:paraId="6B758A8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333</w:t>
            </w:r>
          </w:p>
        </w:tc>
        <w:tc>
          <w:tcPr>
            <w:tcW w:w="1106" w:type="dxa"/>
            <w:noWrap/>
            <w:hideMark/>
          </w:tcPr>
          <w:p w14:paraId="175000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73352B7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c>
          <w:tcPr>
            <w:tcW w:w="1533" w:type="dxa"/>
            <w:noWrap/>
            <w:hideMark/>
          </w:tcPr>
          <w:p w14:paraId="59D1E5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186</w:t>
            </w:r>
          </w:p>
        </w:tc>
      </w:tr>
      <w:tr w:rsidR="007937EB" w:rsidRPr="007937EB" w14:paraId="3C75E31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097040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2C812F1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106" w:type="dxa"/>
            <w:noWrap/>
            <w:hideMark/>
          </w:tcPr>
          <w:p w14:paraId="72F977C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107" w:type="dxa"/>
            <w:noWrap/>
            <w:hideMark/>
          </w:tcPr>
          <w:p w14:paraId="6775CE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278</w:t>
            </w:r>
          </w:p>
        </w:tc>
        <w:tc>
          <w:tcPr>
            <w:tcW w:w="1106" w:type="dxa"/>
            <w:noWrap/>
            <w:hideMark/>
          </w:tcPr>
          <w:p w14:paraId="2D8045B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2D004E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533" w:type="dxa"/>
            <w:noWrap/>
            <w:hideMark/>
          </w:tcPr>
          <w:p w14:paraId="7FDC2B4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r>
      <w:tr w:rsidR="007937EB" w:rsidRPr="007937EB" w14:paraId="6F7254C1"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196CDF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61675A6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115</w:t>
            </w:r>
          </w:p>
        </w:tc>
        <w:tc>
          <w:tcPr>
            <w:tcW w:w="1106" w:type="dxa"/>
            <w:noWrap/>
            <w:hideMark/>
          </w:tcPr>
          <w:p w14:paraId="550543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c>
          <w:tcPr>
            <w:tcW w:w="1107" w:type="dxa"/>
            <w:noWrap/>
            <w:hideMark/>
          </w:tcPr>
          <w:p w14:paraId="460A6D6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305</w:t>
            </w:r>
          </w:p>
        </w:tc>
        <w:tc>
          <w:tcPr>
            <w:tcW w:w="1106" w:type="dxa"/>
            <w:noWrap/>
            <w:hideMark/>
          </w:tcPr>
          <w:p w14:paraId="1914C22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4C68CD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533" w:type="dxa"/>
            <w:noWrap/>
            <w:hideMark/>
          </w:tcPr>
          <w:p w14:paraId="6B95DDF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r>
      <w:tr w:rsidR="007937EB" w:rsidRPr="007937EB" w14:paraId="462B81C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2A572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435DD0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01196E1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218</w:t>
            </w:r>
          </w:p>
        </w:tc>
        <w:tc>
          <w:tcPr>
            <w:tcW w:w="1107" w:type="dxa"/>
            <w:noWrap/>
            <w:hideMark/>
          </w:tcPr>
          <w:p w14:paraId="47A0DAF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327</w:t>
            </w:r>
          </w:p>
        </w:tc>
        <w:tc>
          <w:tcPr>
            <w:tcW w:w="1106" w:type="dxa"/>
            <w:noWrap/>
            <w:hideMark/>
          </w:tcPr>
          <w:p w14:paraId="00FC3C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106" w:type="dxa"/>
            <w:noWrap/>
            <w:hideMark/>
          </w:tcPr>
          <w:p w14:paraId="67987E4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153</w:t>
            </w:r>
          </w:p>
        </w:tc>
        <w:tc>
          <w:tcPr>
            <w:tcW w:w="1533" w:type="dxa"/>
            <w:noWrap/>
            <w:hideMark/>
          </w:tcPr>
          <w:p w14:paraId="6030AB6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177</w:t>
            </w:r>
          </w:p>
        </w:tc>
      </w:tr>
      <w:tr w:rsidR="007937EB" w:rsidRPr="007937EB" w14:paraId="6535AFBE"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1E8B7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44D8CB0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118</w:t>
            </w:r>
          </w:p>
        </w:tc>
        <w:tc>
          <w:tcPr>
            <w:tcW w:w="1106" w:type="dxa"/>
            <w:noWrap/>
            <w:hideMark/>
          </w:tcPr>
          <w:p w14:paraId="4BF1252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209</w:t>
            </w:r>
          </w:p>
        </w:tc>
        <w:tc>
          <w:tcPr>
            <w:tcW w:w="1107" w:type="dxa"/>
            <w:noWrap/>
            <w:hideMark/>
          </w:tcPr>
          <w:p w14:paraId="7D2C2F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327</w:t>
            </w:r>
          </w:p>
        </w:tc>
        <w:tc>
          <w:tcPr>
            <w:tcW w:w="1106" w:type="dxa"/>
            <w:noWrap/>
            <w:hideMark/>
          </w:tcPr>
          <w:p w14:paraId="232905E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c>
          <w:tcPr>
            <w:tcW w:w="1106" w:type="dxa"/>
            <w:noWrap/>
            <w:hideMark/>
          </w:tcPr>
          <w:p w14:paraId="77D3FBB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533" w:type="dxa"/>
            <w:noWrap/>
            <w:hideMark/>
          </w:tcPr>
          <w:p w14:paraId="1A6D111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208</w:t>
            </w:r>
          </w:p>
        </w:tc>
      </w:tr>
      <w:tr w:rsidR="007937EB" w:rsidRPr="007937EB" w14:paraId="2B7DA9B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7A3E6B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45D5BF8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c>
          <w:tcPr>
            <w:tcW w:w="1106" w:type="dxa"/>
            <w:noWrap/>
            <w:hideMark/>
          </w:tcPr>
          <w:p w14:paraId="3421BD3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223</w:t>
            </w:r>
          </w:p>
        </w:tc>
        <w:tc>
          <w:tcPr>
            <w:tcW w:w="1107" w:type="dxa"/>
            <w:noWrap/>
            <w:hideMark/>
          </w:tcPr>
          <w:p w14:paraId="0D63D32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380</w:t>
            </w:r>
          </w:p>
        </w:tc>
        <w:tc>
          <w:tcPr>
            <w:tcW w:w="1106" w:type="dxa"/>
            <w:noWrap/>
            <w:hideMark/>
          </w:tcPr>
          <w:p w14:paraId="49A8242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1106" w:type="dxa"/>
            <w:noWrap/>
            <w:hideMark/>
          </w:tcPr>
          <w:p w14:paraId="5280EE9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171</w:t>
            </w:r>
          </w:p>
        </w:tc>
        <w:tc>
          <w:tcPr>
            <w:tcW w:w="1533" w:type="dxa"/>
            <w:noWrap/>
            <w:hideMark/>
          </w:tcPr>
          <w:p w14:paraId="374D4C8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210</w:t>
            </w:r>
          </w:p>
        </w:tc>
      </w:tr>
      <w:tr w:rsidR="007937EB" w:rsidRPr="007937EB" w14:paraId="6B9E59B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E3AC3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4F5192D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118</w:t>
            </w:r>
          </w:p>
        </w:tc>
        <w:tc>
          <w:tcPr>
            <w:tcW w:w="1106" w:type="dxa"/>
            <w:noWrap/>
            <w:hideMark/>
          </w:tcPr>
          <w:p w14:paraId="077A2C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224</w:t>
            </w:r>
          </w:p>
        </w:tc>
        <w:tc>
          <w:tcPr>
            <w:tcW w:w="1107" w:type="dxa"/>
            <w:noWrap/>
            <w:hideMark/>
          </w:tcPr>
          <w:p w14:paraId="750BE1C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342</w:t>
            </w:r>
          </w:p>
        </w:tc>
        <w:tc>
          <w:tcPr>
            <w:tcW w:w="1106" w:type="dxa"/>
            <w:noWrap/>
            <w:hideMark/>
          </w:tcPr>
          <w:p w14:paraId="63E197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w:t>
            </w:r>
          </w:p>
        </w:tc>
        <w:tc>
          <w:tcPr>
            <w:tcW w:w="1106" w:type="dxa"/>
            <w:noWrap/>
            <w:hideMark/>
          </w:tcPr>
          <w:p w14:paraId="6072DF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533" w:type="dxa"/>
            <w:noWrap/>
            <w:hideMark/>
          </w:tcPr>
          <w:p w14:paraId="31FA551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211</w:t>
            </w:r>
          </w:p>
        </w:tc>
      </w:tr>
      <w:tr w:rsidR="007937EB" w:rsidRPr="007937EB" w14:paraId="2CDEE623"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4E5D5C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7047ABA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c>
          <w:tcPr>
            <w:tcW w:w="1106" w:type="dxa"/>
            <w:noWrap/>
            <w:hideMark/>
          </w:tcPr>
          <w:p w14:paraId="089211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224</w:t>
            </w:r>
          </w:p>
        </w:tc>
        <w:tc>
          <w:tcPr>
            <w:tcW w:w="1107" w:type="dxa"/>
            <w:noWrap/>
            <w:hideMark/>
          </w:tcPr>
          <w:p w14:paraId="66B1375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346</w:t>
            </w:r>
          </w:p>
        </w:tc>
        <w:tc>
          <w:tcPr>
            <w:tcW w:w="1106" w:type="dxa"/>
            <w:noWrap/>
            <w:hideMark/>
          </w:tcPr>
          <w:p w14:paraId="37A5BA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6BDFB20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164</w:t>
            </w:r>
          </w:p>
        </w:tc>
        <w:tc>
          <w:tcPr>
            <w:tcW w:w="1533" w:type="dxa"/>
            <w:noWrap/>
            <w:hideMark/>
          </w:tcPr>
          <w:p w14:paraId="7FBDBBE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193</w:t>
            </w:r>
          </w:p>
        </w:tc>
      </w:tr>
      <w:tr w:rsidR="007937EB" w:rsidRPr="007937EB" w14:paraId="1D58559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2F965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02A883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106" w:type="dxa"/>
            <w:noWrap/>
            <w:hideMark/>
          </w:tcPr>
          <w:p w14:paraId="15BDD02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231</w:t>
            </w:r>
          </w:p>
        </w:tc>
        <w:tc>
          <w:tcPr>
            <w:tcW w:w="1107" w:type="dxa"/>
            <w:noWrap/>
            <w:hideMark/>
          </w:tcPr>
          <w:p w14:paraId="2DE680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348</w:t>
            </w:r>
          </w:p>
        </w:tc>
        <w:tc>
          <w:tcPr>
            <w:tcW w:w="1106" w:type="dxa"/>
            <w:noWrap/>
            <w:hideMark/>
          </w:tcPr>
          <w:p w14:paraId="7ED59DB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6410136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177</w:t>
            </w:r>
          </w:p>
        </w:tc>
        <w:tc>
          <w:tcPr>
            <w:tcW w:w="1533" w:type="dxa"/>
            <w:noWrap/>
            <w:hideMark/>
          </w:tcPr>
          <w:p w14:paraId="57C435F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202</w:t>
            </w:r>
          </w:p>
        </w:tc>
      </w:tr>
      <w:tr w:rsidR="007937EB" w:rsidRPr="007937EB" w14:paraId="46A1789A"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0D89FE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717A57A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106" w:type="dxa"/>
            <w:noWrap/>
            <w:hideMark/>
          </w:tcPr>
          <w:p w14:paraId="7D815E2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189</w:t>
            </w:r>
          </w:p>
        </w:tc>
        <w:tc>
          <w:tcPr>
            <w:tcW w:w="1107" w:type="dxa"/>
            <w:noWrap/>
            <w:hideMark/>
          </w:tcPr>
          <w:p w14:paraId="67052EA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268</w:t>
            </w:r>
          </w:p>
        </w:tc>
        <w:tc>
          <w:tcPr>
            <w:tcW w:w="1106" w:type="dxa"/>
            <w:noWrap/>
            <w:hideMark/>
          </w:tcPr>
          <w:p w14:paraId="4CDC3AC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37C6AF6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c>
          <w:tcPr>
            <w:tcW w:w="1533" w:type="dxa"/>
            <w:noWrap/>
            <w:hideMark/>
          </w:tcPr>
          <w:p w14:paraId="5C44634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r>
      <w:tr w:rsidR="007937EB" w:rsidRPr="007937EB" w14:paraId="422750C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3B9C95AB"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2018</w:t>
            </w:r>
          </w:p>
        </w:tc>
        <w:tc>
          <w:tcPr>
            <w:tcW w:w="1106" w:type="dxa"/>
            <w:shd w:val="clear" w:color="auto" w:fill="595959" w:themeFill="text1" w:themeFillTint="A6"/>
            <w:noWrap/>
            <w:hideMark/>
          </w:tcPr>
          <w:p w14:paraId="0126A64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2C5AD8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349E4B8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37C3CC7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6D88A07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2D80D2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3425EB3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952442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640E251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1106" w:type="dxa"/>
            <w:noWrap/>
            <w:hideMark/>
          </w:tcPr>
          <w:p w14:paraId="0DB122B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188</w:t>
            </w:r>
          </w:p>
        </w:tc>
        <w:tc>
          <w:tcPr>
            <w:tcW w:w="1107" w:type="dxa"/>
            <w:noWrap/>
            <w:hideMark/>
          </w:tcPr>
          <w:p w14:paraId="5F8CC38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261</w:t>
            </w:r>
          </w:p>
        </w:tc>
        <w:tc>
          <w:tcPr>
            <w:tcW w:w="1106" w:type="dxa"/>
            <w:noWrap/>
            <w:hideMark/>
          </w:tcPr>
          <w:p w14:paraId="3635189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2DFCFB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c>
          <w:tcPr>
            <w:tcW w:w="1533" w:type="dxa"/>
            <w:noWrap/>
            <w:hideMark/>
          </w:tcPr>
          <w:p w14:paraId="5D4827A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160</w:t>
            </w:r>
          </w:p>
        </w:tc>
      </w:tr>
      <w:tr w:rsidR="007937EB" w:rsidRPr="007937EB" w14:paraId="0D78CE52"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DBD63A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55A4491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1A93FD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107" w:type="dxa"/>
            <w:noWrap/>
            <w:hideMark/>
          </w:tcPr>
          <w:p w14:paraId="3A7A69C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303</w:t>
            </w:r>
          </w:p>
        </w:tc>
        <w:tc>
          <w:tcPr>
            <w:tcW w:w="1106" w:type="dxa"/>
            <w:noWrap/>
            <w:hideMark/>
          </w:tcPr>
          <w:p w14:paraId="05396F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077E456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114</w:t>
            </w:r>
          </w:p>
        </w:tc>
        <w:tc>
          <w:tcPr>
            <w:tcW w:w="1533" w:type="dxa"/>
            <w:noWrap/>
            <w:hideMark/>
          </w:tcPr>
          <w:p w14:paraId="12381B3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140</w:t>
            </w:r>
          </w:p>
        </w:tc>
      </w:tr>
      <w:tr w:rsidR="007937EB" w:rsidRPr="007937EB" w14:paraId="0F92BCD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E8FE23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20E78F8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106" w:type="dxa"/>
            <w:noWrap/>
            <w:hideMark/>
          </w:tcPr>
          <w:p w14:paraId="6E795B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199</w:t>
            </w:r>
          </w:p>
        </w:tc>
        <w:tc>
          <w:tcPr>
            <w:tcW w:w="1107" w:type="dxa"/>
            <w:noWrap/>
            <w:hideMark/>
          </w:tcPr>
          <w:p w14:paraId="40B9E4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300</w:t>
            </w:r>
          </w:p>
        </w:tc>
        <w:tc>
          <w:tcPr>
            <w:tcW w:w="1106" w:type="dxa"/>
            <w:noWrap/>
            <w:hideMark/>
          </w:tcPr>
          <w:p w14:paraId="36753AF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4A63206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126</w:t>
            </w:r>
          </w:p>
        </w:tc>
        <w:tc>
          <w:tcPr>
            <w:tcW w:w="1533" w:type="dxa"/>
            <w:noWrap/>
            <w:hideMark/>
          </w:tcPr>
          <w:p w14:paraId="57DE8B4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r>
      <w:tr w:rsidR="007937EB" w:rsidRPr="007937EB" w14:paraId="731FCDBC"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B62B8C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65587B9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107</w:t>
            </w:r>
          </w:p>
        </w:tc>
        <w:tc>
          <w:tcPr>
            <w:tcW w:w="1106" w:type="dxa"/>
            <w:noWrap/>
            <w:hideMark/>
          </w:tcPr>
          <w:p w14:paraId="0E8B52D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238</w:t>
            </w:r>
          </w:p>
        </w:tc>
        <w:tc>
          <w:tcPr>
            <w:tcW w:w="1107" w:type="dxa"/>
            <w:noWrap/>
            <w:hideMark/>
          </w:tcPr>
          <w:p w14:paraId="11F6A26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345</w:t>
            </w:r>
          </w:p>
        </w:tc>
        <w:tc>
          <w:tcPr>
            <w:tcW w:w="1106" w:type="dxa"/>
            <w:noWrap/>
            <w:hideMark/>
          </w:tcPr>
          <w:p w14:paraId="3DC22E0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106" w:type="dxa"/>
            <w:noWrap/>
            <w:hideMark/>
          </w:tcPr>
          <w:p w14:paraId="5D6BA0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118</w:t>
            </w:r>
          </w:p>
        </w:tc>
        <w:tc>
          <w:tcPr>
            <w:tcW w:w="1533" w:type="dxa"/>
            <w:noWrap/>
            <w:hideMark/>
          </w:tcPr>
          <w:p w14:paraId="04EF807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r>
      <w:tr w:rsidR="007937EB" w:rsidRPr="007937EB" w14:paraId="63F44385"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249F3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65FC7C1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115</w:t>
            </w:r>
          </w:p>
        </w:tc>
        <w:tc>
          <w:tcPr>
            <w:tcW w:w="1106" w:type="dxa"/>
            <w:noWrap/>
            <w:hideMark/>
          </w:tcPr>
          <w:p w14:paraId="22321F6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210</w:t>
            </w:r>
          </w:p>
        </w:tc>
        <w:tc>
          <w:tcPr>
            <w:tcW w:w="1107" w:type="dxa"/>
            <w:noWrap/>
            <w:hideMark/>
          </w:tcPr>
          <w:p w14:paraId="77EC8FF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325</w:t>
            </w:r>
          </w:p>
        </w:tc>
        <w:tc>
          <w:tcPr>
            <w:tcW w:w="1106" w:type="dxa"/>
            <w:noWrap/>
            <w:hideMark/>
          </w:tcPr>
          <w:p w14:paraId="495B916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58E60FB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533" w:type="dxa"/>
            <w:noWrap/>
            <w:hideMark/>
          </w:tcPr>
          <w:p w14:paraId="0CF667A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139</w:t>
            </w:r>
          </w:p>
        </w:tc>
      </w:tr>
      <w:tr w:rsidR="007937EB" w:rsidRPr="007937EB" w14:paraId="111B07DE"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CCF1FD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2104F20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123</w:t>
            </w:r>
          </w:p>
        </w:tc>
        <w:tc>
          <w:tcPr>
            <w:tcW w:w="1106" w:type="dxa"/>
            <w:noWrap/>
            <w:hideMark/>
          </w:tcPr>
          <w:p w14:paraId="55C644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218</w:t>
            </w:r>
          </w:p>
        </w:tc>
        <w:tc>
          <w:tcPr>
            <w:tcW w:w="1107" w:type="dxa"/>
            <w:noWrap/>
            <w:hideMark/>
          </w:tcPr>
          <w:p w14:paraId="3236E93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341</w:t>
            </w:r>
          </w:p>
        </w:tc>
        <w:tc>
          <w:tcPr>
            <w:tcW w:w="1106" w:type="dxa"/>
            <w:noWrap/>
            <w:hideMark/>
          </w:tcPr>
          <w:p w14:paraId="7F9D68A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54C587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533" w:type="dxa"/>
            <w:noWrap/>
            <w:hideMark/>
          </w:tcPr>
          <w:p w14:paraId="38E0549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r>
      <w:tr w:rsidR="007937EB" w:rsidRPr="007937EB" w14:paraId="0B0CA02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5099AA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6C7ECBB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1106" w:type="dxa"/>
            <w:noWrap/>
            <w:hideMark/>
          </w:tcPr>
          <w:p w14:paraId="575902A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197</w:t>
            </w:r>
          </w:p>
        </w:tc>
        <w:tc>
          <w:tcPr>
            <w:tcW w:w="1107" w:type="dxa"/>
            <w:noWrap/>
            <w:hideMark/>
          </w:tcPr>
          <w:p w14:paraId="0CC82A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287</w:t>
            </w:r>
          </w:p>
        </w:tc>
        <w:tc>
          <w:tcPr>
            <w:tcW w:w="1106" w:type="dxa"/>
            <w:noWrap/>
            <w:hideMark/>
          </w:tcPr>
          <w:p w14:paraId="762545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0EEA542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108</w:t>
            </w:r>
          </w:p>
        </w:tc>
        <w:tc>
          <w:tcPr>
            <w:tcW w:w="1533" w:type="dxa"/>
            <w:noWrap/>
            <w:hideMark/>
          </w:tcPr>
          <w:p w14:paraId="4EAAD72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r>
      <w:tr w:rsidR="007937EB" w:rsidRPr="007937EB" w14:paraId="47D30EF7"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67C4D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6DF838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c>
          <w:tcPr>
            <w:tcW w:w="1106" w:type="dxa"/>
            <w:noWrap/>
            <w:hideMark/>
          </w:tcPr>
          <w:p w14:paraId="66AD235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207</w:t>
            </w:r>
          </w:p>
        </w:tc>
        <w:tc>
          <w:tcPr>
            <w:tcW w:w="1107" w:type="dxa"/>
            <w:noWrap/>
            <w:hideMark/>
          </w:tcPr>
          <w:p w14:paraId="1B314D1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337</w:t>
            </w:r>
          </w:p>
        </w:tc>
        <w:tc>
          <w:tcPr>
            <w:tcW w:w="1106" w:type="dxa"/>
            <w:noWrap/>
            <w:hideMark/>
          </w:tcPr>
          <w:p w14:paraId="4D685E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38001B3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w:t>
            </w:r>
          </w:p>
        </w:tc>
        <w:tc>
          <w:tcPr>
            <w:tcW w:w="1533" w:type="dxa"/>
            <w:noWrap/>
            <w:hideMark/>
          </w:tcPr>
          <w:p w14:paraId="7720FE9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r>
      <w:tr w:rsidR="007937EB" w:rsidRPr="007937EB" w14:paraId="5EFD98D7"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6F1F12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0ABDFDD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106" w:type="dxa"/>
            <w:noWrap/>
            <w:hideMark/>
          </w:tcPr>
          <w:p w14:paraId="35C0580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213</w:t>
            </w:r>
          </w:p>
        </w:tc>
        <w:tc>
          <w:tcPr>
            <w:tcW w:w="1107" w:type="dxa"/>
            <w:noWrap/>
            <w:hideMark/>
          </w:tcPr>
          <w:p w14:paraId="2EFD06F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347</w:t>
            </w:r>
          </w:p>
        </w:tc>
        <w:tc>
          <w:tcPr>
            <w:tcW w:w="1106" w:type="dxa"/>
            <w:noWrap/>
            <w:hideMark/>
          </w:tcPr>
          <w:p w14:paraId="3C00FB1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106" w:type="dxa"/>
            <w:noWrap/>
            <w:hideMark/>
          </w:tcPr>
          <w:p w14:paraId="0CAD4E2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c>
          <w:tcPr>
            <w:tcW w:w="1533" w:type="dxa"/>
            <w:noWrap/>
            <w:hideMark/>
          </w:tcPr>
          <w:p w14:paraId="6F9C6C8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r>
      <w:tr w:rsidR="007937EB" w:rsidRPr="007937EB" w14:paraId="17DF53BB"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1DD69B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662D63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w:t>
            </w:r>
          </w:p>
        </w:tc>
        <w:tc>
          <w:tcPr>
            <w:tcW w:w="1106" w:type="dxa"/>
            <w:noWrap/>
            <w:hideMark/>
          </w:tcPr>
          <w:p w14:paraId="7658A78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208</w:t>
            </w:r>
          </w:p>
        </w:tc>
        <w:tc>
          <w:tcPr>
            <w:tcW w:w="1107" w:type="dxa"/>
            <w:noWrap/>
            <w:hideMark/>
          </w:tcPr>
          <w:p w14:paraId="421F934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317</w:t>
            </w:r>
          </w:p>
        </w:tc>
        <w:tc>
          <w:tcPr>
            <w:tcW w:w="1106" w:type="dxa"/>
            <w:noWrap/>
            <w:hideMark/>
          </w:tcPr>
          <w:p w14:paraId="5062BFB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7761F2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107</w:t>
            </w:r>
          </w:p>
        </w:tc>
        <w:tc>
          <w:tcPr>
            <w:tcW w:w="1533" w:type="dxa"/>
            <w:noWrap/>
            <w:hideMark/>
          </w:tcPr>
          <w:p w14:paraId="039C22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r>
      <w:tr w:rsidR="007937EB" w:rsidRPr="007937EB" w14:paraId="5B6DB93C"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D9BEFC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124A334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c>
          <w:tcPr>
            <w:tcW w:w="1106" w:type="dxa"/>
            <w:noWrap/>
            <w:hideMark/>
          </w:tcPr>
          <w:p w14:paraId="439F0FF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243</w:t>
            </w:r>
          </w:p>
        </w:tc>
        <w:tc>
          <w:tcPr>
            <w:tcW w:w="1107" w:type="dxa"/>
            <w:noWrap/>
            <w:hideMark/>
          </w:tcPr>
          <w:p w14:paraId="4834BF1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387</w:t>
            </w:r>
          </w:p>
        </w:tc>
        <w:tc>
          <w:tcPr>
            <w:tcW w:w="1106" w:type="dxa"/>
            <w:noWrap/>
            <w:hideMark/>
          </w:tcPr>
          <w:p w14:paraId="2A93A3F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7D05B63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123</w:t>
            </w:r>
          </w:p>
        </w:tc>
        <w:tc>
          <w:tcPr>
            <w:tcW w:w="1533" w:type="dxa"/>
            <w:noWrap/>
            <w:hideMark/>
          </w:tcPr>
          <w:p w14:paraId="5F2CF98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160</w:t>
            </w:r>
          </w:p>
        </w:tc>
      </w:tr>
      <w:tr w:rsidR="007937EB" w:rsidRPr="007937EB" w14:paraId="4D2E7BC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B68230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051514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94</w:t>
            </w:r>
          </w:p>
        </w:tc>
        <w:tc>
          <w:tcPr>
            <w:tcW w:w="1106" w:type="dxa"/>
            <w:noWrap/>
            <w:hideMark/>
          </w:tcPr>
          <w:p w14:paraId="14B57D2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201</w:t>
            </w:r>
          </w:p>
        </w:tc>
        <w:tc>
          <w:tcPr>
            <w:tcW w:w="1107" w:type="dxa"/>
            <w:noWrap/>
            <w:hideMark/>
          </w:tcPr>
          <w:p w14:paraId="118F7F6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295</w:t>
            </w:r>
          </w:p>
        </w:tc>
        <w:tc>
          <w:tcPr>
            <w:tcW w:w="1106" w:type="dxa"/>
            <w:noWrap/>
            <w:hideMark/>
          </w:tcPr>
          <w:p w14:paraId="4917C0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2F3180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533" w:type="dxa"/>
            <w:noWrap/>
            <w:hideMark/>
          </w:tcPr>
          <w:p w14:paraId="192C22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r>
      <w:tr w:rsidR="007937EB" w:rsidRPr="007937EB" w14:paraId="548470EA"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0B4FA47E"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2019</w:t>
            </w:r>
          </w:p>
        </w:tc>
        <w:tc>
          <w:tcPr>
            <w:tcW w:w="1106" w:type="dxa"/>
            <w:shd w:val="clear" w:color="auto" w:fill="595959" w:themeFill="text1" w:themeFillTint="A6"/>
            <w:noWrap/>
            <w:hideMark/>
          </w:tcPr>
          <w:p w14:paraId="09661A6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2D10278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5FC949C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82001B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0EEE28E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61A365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2AE34458"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EC90E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497EF9B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1106" w:type="dxa"/>
            <w:noWrap/>
            <w:hideMark/>
          </w:tcPr>
          <w:p w14:paraId="273E52D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211</w:t>
            </w:r>
          </w:p>
        </w:tc>
        <w:tc>
          <w:tcPr>
            <w:tcW w:w="1107" w:type="dxa"/>
            <w:noWrap/>
            <w:hideMark/>
          </w:tcPr>
          <w:p w14:paraId="1CFDFEB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312</w:t>
            </w:r>
          </w:p>
        </w:tc>
        <w:tc>
          <w:tcPr>
            <w:tcW w:w="1106" w:type="dxa"/>
            <w:noWrap/>
            <w:hideMark/>
          </w:tcPr>
          <w:p w14:paraId="57228EA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106" w:type="dxa"/>
            <w:noWrap/>
            <w:hideMark/>
          </w:tcPr>
          <w:p w14:paraId="63C8398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533" w:type="dxa"/>
            <w:noWrap/>
            <w:hideMark/>
          </w:tcPr>
          <w:p w14:paraId="13547A4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7937EB" w14:paraId="1BF3FC8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BC19BF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7D883A5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100</w:t>
            </w:r>
          </w:p>
        </w:tc>
        <w:tc>
          <w:tcPr>
            <w:tcW w:w="1106" w:type="dxa"/>
            <w:noWrap/>
            <w:hideMark/>
          </w:tcPr>
          <w:p w14:paraId="6E3270F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212</w:t>
            </w:r>
          </w:p>
        </w:tc>
        <w:tc>
          <w:tcPr>
            <w:tcW w:w="1107" w:type="dxa"/>
            <w:noWrap/>
            <w:hideMark/>
          </w:tcPr>
          <w:p w14:paraId="2024CCD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312</w:t>
            </w:r>
          </w:p>
        </w:tc>
        <w:tc>
          <w:tcPr>
            <w:tcW w:w="1106" w:type="dxa"/>
            <w:noWrap/>
            <w:hideMark/>
          </w:tcPr>
          <w:p w14:paraId="3ED1FEA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1106" w:type="dxa"/>
            <w:noWrap/>
            <w:hideMark/>
          </w:tcPr>
          <w:p w14:paraId="19227A1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5AB2E4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r>
      <w:tr w:rsidR="007937EB" w:rsidRPr="007937EB" w14:paraId="703EA9FD"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A2BA99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781540C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126</w:t>
            </w:r>
          </w:p>
        </w:tc>
        <w:tc>
          <w:tcPr>
            <w:tcW w:w="1106" w:type="dxa"/>
            <w:noWrap/>
            <w:hideMark/>
          </w:tcPr>
          <w:p w14:paraId="6262B3C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261</w:t>
            </w:r>
          </w:p>
        </w:tc>
        <w:tc>
          <w:tcPr>
            <w:tcW w:w="1107" w:type="dxa"/>
            <w:noWrap/>
            <w:hideMark/>
          </w:tcPr>
          <w:p w14:paraId="7F9807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387</w:t>
            </w:r>
          </w:p>
        </w:tc>
        <w:tc>
          <w:tcPr>
            <w:tcW w:w="1106" w:type="dxa"/>
            <w:noWrap/>
            <w:hideMark/>
          </w:tcPr>
          <w:p w14:paraId="065EDFA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106" w:type="dxa"/>
            <w:noWrap/>
            <w:hideMark/>
          </w:tcPr>
          <w:p w14:paraId="00B739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10322EE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143</w:t>
            </w:r>
          </w:p>
        </w:tc>
      </w:tr>
      <w:tr w:rsidR="007937EB" w:rsidRPr="007937EB" w14:paraId="0E199005"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F0C323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01EFBF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106" w:type="dxa"/>
            <w:noWrap/>
            <w:hideMark/>
          </w:tcPr>
          <w:p w14:paraId="65830EB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227</w:t>
            </w:r>
          </w:p>
        </w:tc>
        <w:tc>
          <w:tcPr>
            <w:tcW w:w="1107" w:type="dxa"/>
            <w:noWrap/>
            <w:hideMark/>
          </w:tcPr>
          <w:p w14:paraId="6FD8DDF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344</w:t>
            </w:r>
          </w:p>
        </w:tc>
        <w:tc>
          <w:tcPr>
            <w:tcW w:w="1106" w:type="dxa"/>
            <w:noWrap/>
            <w:hideMark/>
          </w:tcPr>
          <w:p w14:paraId="6DC77EB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106" w:type="dxa"/>
            <w:noWrap/>
            <w:hideMark/>
          </w:tcPr>
          <w:p w14:paraId="1955A2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127</w:t>
            </w:r>
          </w:p>
        </w:tc>
        <w:tc>
          <w:tcPr>
            <w:tcW w:w="1533" w:type="dxa"/>
            <w:noWrap/>
            <w:hideMark/>
          </w:tcPr>
          <w:p w14:paraId="0546F45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r>
      <w:tr w:rsidR="007937EB" w:rsidRPr="007937EB" w14:paraId="6BB7BB40"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5B6C97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505A9B5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123</w:t>
            </w:r>
          </w:p>
        </w:tc>
        <w:tc>
          <w:tcPr>
            <w:tcW w:w="1106" w:type="dxa"/>
            <w:noWrap/>
            <w:hideMark/>
          </w:tcPr>
          <w:p w14:paraId="3F052CC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215</w:t>
            </w:r>
          </w:p>
        </w:tc>
        <w:tc>
          <w:tcPr>
            <w:tcW w:w="1107" w:type="dxa"/>
            <w:noWrap/>
            <w:hideMark/>
          </w:tcPr>
          <w:p w14:paraId="449454B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338</w:t>
            </w:r>
          </w:p>
        </w:tc>
        <w:tc>
          <w:tcPr>
            <w:tcW w:w="1106" w:type="dxa"/>
            <w:noWrap/>
            <w:hideMark/>
          </w:tcPr>
          <w:p w14:paraId="0981E8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106" w:type="dxa"/>
            <w:noWrap/>
            <w:hideMark/>
          </w:tcPr>
          <w:p w14:paraId="57B543C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c>
          <w:tcPr>
            <w:tcW w:w="1533" w:type="dxa"/>
            <w:noWrap/>
            <w:hideMark/>
          </w:tcPr>
          <w:p w14:paraId="5FF5973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r>
      <w:tr w:rsidR="007937EB" w:rsidRPr="007937EB" w14:paraId="10982D21"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2977A0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0830B75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121</w:t>
            </w:r>
          </w:p>
        </w:tc>
        <w:tc>
          <w:tcPr>
            <w:tcW w:w="1106" w:type="dxa"/>
            <w:noWrap/>
            <w:hideMark/>
          </w:tcPr>
          <w:p w14:paraId="4FF6F7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228</w:t>
            </w:r>
          </w:p>
        </w:tc>
        <w:tc>
          <w:tcPr>
            <w:tcW w:w="1107" w:type="dxa"/>
            <w:noWrap/>
            <w:hideMark/>
          </w:tcPr>
          <w:p w14:paraId="5093FB1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349</w:t>
            </w:r>
          </w:p>
        </w:tc>
        <w:tc>
          <w:tcPr>
            <w:tcW w:w="1106" w:type="dxa"/>
            <w:noWrap/>
            <w:hideMark/>
          </w:tcPr>
          <w:p w14:paraId="581484A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w:t>
            </w:r>
          </w:p>
        </w:tc>
        <w:tc>
          <w:tcPr>
            <w:tcW w:w="1106" w:type="dxa"/>
            <w:noWrap/>
            <w:hideMark/>
          </w:tcPr>
          <w:p w14:paraId="26312E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47D34F5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r>
      <w:tr w:rsidR="007937EB" w:rsidRPr="007937EB" w14:paraId="363ACBAD"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908010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031BA88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106" w:type="dxa"/>
            <w:noWrap/>
            <w:hideMark/>
          </w:tcPr>
          <w:p w14:paraId="571C439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236</w:t>
            </w:r>
          </w:p>
        </w:tc>
        <w:tc>
          <w:tcPr>
            <w:tcW w:w="1107" w:type="dxa"/>
            <w:noWrap/>
            <w:hideMark/>
          </w:tcPr>
          <w:p w14:paraId="7259D2D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353</w:t>
            </w:r>
          </w:p>
        </w:tc>
        <w:tc>
          <w:tcPr>
            <w:tcW w:w="1106" w:type="dxa"/>
            <w:noWrap/>
            <w:hideMark/>
          </w:tcPr>
          <w:p w14:paraId="7AF9A06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558B484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141</w:t>
            </w:r>
          </w:p>
        </w:tc>
        <w:tc>
          <w:tcPr>
            <w:tcW w:w="1533" w:type="dxa"/>
            <w:noWrap/>
            <w:hideMark/>
          </w:tcPr>
          <w:p w14:paraId="5B6113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178</w:t>
            </w:r>
          </w:p>
        </w:tc>
      </w:tr>
      <w:tr w:rsidR="007937EB" w:rsidRPr="007937EB" w14:paraId="3885EEA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8A46A9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2698F16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1106" w:type="dxa"/>
            <w:noWrap/>
            <w:hideMark/>
          </w:tcPr>
          <w:p w14:paraId="5472B7A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251</w:t>
            </w:r>
          </w:p>
        </w:tc>
        <w:tc>
          <w:tcPr>
            <w:tcW w:w="1107" w:type="dxa"/>
            <w:noWrap/>
            <w:hideMark/>
          </w:tcPr>
          <w:p w14:paraId="4FFBEEA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400</w:t>
            </w:r>
          </w:p>
        </w:tc>
        <w:tc>
          <w:tcPr>
            <w:tcW w:w="1106" w:type="dxa"/>
            <w:noWrap/>
            <w:hideMark/>
          </w:tcPr>
          <w:p w14:paraId="0EFEB7D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5CDE5C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153</w:t>
            </w:r>
          </w:p>
        </w:tc>
        <w:tc>
          <w:tcPr>
            <w:tcW w:w="1533" w:type="dxa"/>
            <w:noWrap/>
            <w:hideMark/>
          </w:tcPr>
          <w:p w14:paraId="599B5E8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189</w:t>
            </w:r>
          </w:p>
        </w:tc>
      </w:tr>
      <w:tr w:rsidR="007937EB" w:rsidRPr="007937EB" w14:paraId="37EFFE0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522654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1394F78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c>
          <w:tcPr>
            <w:tcW w:w="1106" w:type="dxa"/>
            <w:noWrap/>
            <w:hideMark/>
          </w:tcPr>
          <w:p w14:paraId="54E853C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258</w:t>
            </w:r>
          </w:p>
        </w:tc>
        <w:tc>
          <w:tcPr>
            <w:tcW w:w="1107" w:type="dxa"/>
            <w:noWrap/>
            <w:hideMark/>
          </w:tcPr>
          <w:p w14:paraId="6FE3B8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416</w:t>
            </w:r>
          </w:p>
        </w:tc>
        <w:tc>
          <w:tcPr>
            <w:tcW w:w="1106" w:type="dxa"/>
            <w:noWrap/>
            <w:hideMark/>
          </w:tcPr>
          <w:p w14:paraId="0E3AA4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7AC10B4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c>
          <w:tcPr>
            <w:tcW w:w="1533" w:type="dxa"/>
            <w:noWrap/>
            <w:hideMark/>
          </w:tcPr>
          <w:p w14:paraId="5ADBA90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166</w:t>
            </w:r>
          </w:p>
        </w:tc>
      </w:tr>
      <w:tr w:rsidR="007937EB" w:rsidRPr="007937EB" w14:paraId="38587DB3"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CF245B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456A37A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c>
          <w:tcPr>
            <w:tcW w:w="1106" w:type="dxa"/>
            <w:noWrap/>
            <w:hideMark/>
          </w:tcPr>
          <w:p w14:paraId="16E5F3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c>
          <w:tcPr>
            <w:tcW w:w="1107" w:type="dxa"/>
            <w:noWrap/>
            <w:hideMark/>
          </w:tcPr>
          <w:p w14:paraId="0EB212E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341</w:t>
            </w:r>
          </w:p>
        </w:tc>
        <w:tc>
          <w:tcPr>
            <w:tcW w:w="1106" w:type="dxa"/>
            <w:noWrap/>
            <w:hideMark/>
          </w:tcPr>
          <w:p w14:paraId="608BFF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106" w:type="dxa"/>
            <w:noWrap/>
            <w:hideMark/>
          </w:tcPr>
          <w:p w14:paraId="75CD65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c>
          <w:tcPr>
            <w:tcW w:w="1533" w:type="dxa"/>
            <w:noWrap/>
            <w:hideMark/>
          </w:tcPr>
          <w:p w14:paraId="63B881C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r>
      <w:tr w:rsidR="007937EB" w:rsidRPr="007937EB" w14:paraId="275CEF3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5DB08E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2EF16DB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c>
          <w:tcPr>
            <w:tcW w:w="1106" w:type="dxa"/>
            <w:noWrap/>
            <w:hideMark/>
          </w:tcPr>
          <w:p w14:paraId="7F0A0F1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228</w:t>
            </w:r>
          </w:p>
        </w:tc>
        <w:tc>
          <w:tcPr>
            <w:tcW w:w="1107" w:type="dxa"/>
            <w:noWrap/>
            <w:hideMark/>
          </w:tcPr>
          <w:p w14:paraId="3FF1E5D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357</w:t>
            </w:r>
          </w:p>
        </w:tc>
        <w:tc>
          <w:tcPr>
            <w:tcW w:w="1106" w:type="dxa"/>
            <w:noWrap/>
            <w:hideMark/>
          </w:tcPr>
          <w:p w14:paraId="3E0BF02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6B09E4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533" w:type="dxa"/>
            <w:noWrap/>
            <w:hideMark/>
          </w:tcPr>
          <w:p w14:paraId="75931A1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r>
      <w:tr w:rsidR="007937EB" w:rsidRPr="007937EB" w14:paraId="259D4E93"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351415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4F44307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1106" w:type="dxa"/>
            <w:noWrap/>
            <w:hideMark/>
          </w:tcPr>
          <w:p w14:paraId="0605511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262</w:t>
            </w:r>
          </w:p>
        </w:tc>
        <w:tc>
          <w:tcPr>
            <w:tcW w:w="1107" w:type="dxa"/>
            <w:noWrap/>
            <w:hideMark/>
          </w:tcPr>
          <w:p w14:paraId="1504370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364</w:t>
            </w:r>
          </w:p>
        </w:tc>
        <w:tc>
          <w:tcPr>
            <w:tcW w:w="1106" w:type="dxa"/>
            <w:noWrap/>
            <w:hideMark/>
          </w:tcPr>
          <w:p w14:paraId="5DC085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106" w:type="dxa"/>
            <w:noWrap/>
            <w:hideMark/>
          </w:tcPr>
          <w:p w14:paraId="3DCD63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0B5DB9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148</w:t>
            </w:r>
          </w:p>
        </w:tc>
      </w:tr>
      <w:tr w:rsidR="007937EB" w:rsidRPr="007937EB" w14:paraId="0413689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1EDC27CF"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2020</w:t>
            </w:r>
          </w:p>
        </w:tc>
        <w:tc>
          <w:tcPr>
            <w:tcW w:w="1106" w:type="dxa"/>
            <w:shd w:val="clear" w:color="auto" w:fill="595959" w:themeFill="text1" w:themeFillTint="A6"/>
            <w:noWrap/>
            <w:hideMark/>
          </w:tcPr>
          <w:p w14:paraId="7EEFF1D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561D7D1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4454361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6DACEC2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1DED349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30067DC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53065C5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79F94D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401EA45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106" w:type="dxa"/>
            <w:noWrap/>
            <w:hideMark/>
          </w:tcPr>
          <w:p w14:paraId="7294B27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269</w:t>
            </w:r>
          </w:p>
        </w:tc>
        <w:tc>
          <w:tcPr>
            <w:tcW w:w="1107" w:type="dxa"/>
            <w:noWrap/>
            <w:hideMark/>
          </w:tcPr>
          <w:p w14:paraId="4D8E826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373</w:t>
            </w:r>
          </w:p>
        </w:tc>
        <w:tc>
          <w:tcPr>
            <w:tcW w:w="1106" w:type="dxa"/>
            <w:noWrap/>
            <w:hideMark/>
          </w:tcPr>
          <w:p w14:paraId="6F2D6B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6" w:type="dxa"/>
            <w:noWrap/>
            <w:hideMark/>
          </w:tcPr>
          <w:p w14:paraId="3C90750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0CE547F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135</w:t>
            </w:r>
          </w:p>
        </w:tc>
      </w:tr>
      <w:tr w:rsidR="007937EB" w:rsidRPr="007937EB" w14:paraId="49CBE73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6125E3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79B606B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106" w:type="dxa"/>
            <w:noWrap/>
            <w:hideMark/>
          </w:tcPr>
          <w:p w14:paraId="572BF83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1107" w:type="dxa"/>
            <w:noWrap/>
            <w:hideMark/>
          </w:tcPr>
          <w:p w14:paraId="4CDF15B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374</w:t>
            </w:r>
          </w:p>
        </w:tc>
        <w:tc>
          <w:tcPr>
            <w:tcW w:w="1106" w:type="dxa"/>
            <w:noWrap/>
            <w:hideMark/>
          </w:tcPr>
          <w:p w14:paraId="255050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106" w:type="dxa"/>
            <w:noWrap/>
            <w:hideMark/>
          </w:tcPr>
          <w:p w14:paraId="15212B5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108</w:t>
            </w:r>
          </w:p>
        </w:tc>
        <w:tc>
          <w:tcPr>
            <w:tcW w:w="1533" w:type="dxa"/>
            <w:noWrap/>
            <w:hideMark/>
          </w:tcPr>
          <w:p w14:paraId="348768C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r>
      <w:tr w:rsidR="007937EB" w:rsidRPr="007937EB" w14:paraId="2C304746"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E72476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71292D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c>
          <w:tcPr>
            <w:tcW w:w="1106" w:type="dxa"/>
            <w:noWrap/>
            <w:hideMark/>
          </w:tcPr>
          <w:p w14:paraId="53C847B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230</w:t>
            </w:r>
          </w:p>
        </w:tc>
        <w:tc>
          <w:tcPr>
            <w:tcW w:w="1107" w:type="dxa"/>
            <w:noWrap/>
            <w:hideMark/>
          </w:tcPr>
          <w:p w14:paraId="457403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368</w:t>
            </w:r>
          </w:p>
        </w:tc>
        <w:tc>
          <w:tcPr>
            <w:tcW w:w="1106" w:type="dxa"/>
            <w:noWrap/>
            <w:hideMark/>
          </w:tcPr>
          <w:p w14:paraId="0EACE0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1937EC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124</w:t>
            </w:r>
          </w:p>
        </w:tc>
        <w:tc>
          <w:tcPr>
            <w:tcW w:w="1533" w:type="dxa"/>
            <w:noWrap/>
            <w:hideMark/>
          </w:tcPr>
          <w:p w14:paraId="1184BC1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r>
      <w:tr w:rsidR="007937EB" w:rsidRPr="007937EB" w14:paraId="687D3636"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32B138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36983C3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106" w:type="dxa"/>
            <w:noWrap/>
            <w:hideMark/>
          </w:tcPr>
          <w:p w14:paraId="094AE99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214</w:t>
            </w:r>
          </w:p>
        </w:tc>
        <w:tc>
          <w:tcPr>
            <w:tcW w:w="1107" w:type="dxa"/>
            <w:noWrap/>
            <w:hideMark/>
          </w:tcPr>
          <w:p w14:paraId="19F0170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311</w:t>
            </w:r>
          </w:p>
        </w:tc>
        <w:tc>
          <w:tcPr>
            <w:tcW w:w="1106" w:type="dxa"/>
            <w:noWrap/>
            <w:hideMark/>
          </w:tcPr>
          <w:p w14:paraId="2AAF505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106" w:type="dxa"/>
            <w:noWrap/>
            <w:hideMark/>
          </w:tcPr>
          <w:p w14:paraId="22A9DE5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69C2928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r>
      <w:tr w:rsidR="007937EB" w:rsidRPr="007937EB" w14:paraId="44DF5ECE"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695B3A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5819AEB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c>
          <w:tcPr>
            <w:tcW w:w="1106" w:type="dxa"/>
            <w:noWrap/>
            <w:hideMark/>
          </w:tcPr>
          <w:p w14:paraId="6C5059E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284</w:t>
            </w:r>
          </w:p>
        </w:tc>
        <w:tc>
          <w:tcPr>
            <w:tcW w:w="1107" w:type="dxa"/>
            <w:noWrap/>
            <w:hideMark/>
          </w:tcPr>
          <w:p w14:paraId="6196C2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414</w:t>
            </w:r>
          </w:p>
        </w:tc>
        <w:tc>
          <w:tcPr>
            <w:tcW w:w="1106" w:type="dxa"/>
            <w:noWrap/>
            <w:hideMark/>
          </w:tcPr>
          <w:p w14:paraId="6FBCD78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106" w:type="dxa"/>
            <w:noWrap/>
            <w:hideMark/>
          </w:tcPr>
          <w:p w14:paraId="3AA4CC0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106</w:t>
            </w:r>
          </w:p>
        </w:tc>
        <w:tc>
          <w:tcPr>
            <w:tcW w:w="1533" w:type="dxa"/>
            <w:noWrap/>
            <w:hideMark/>
          </w:tcPr>
          <w:p w14:paraId="5F330F5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r>
      <w:tr w:rsidR="007937EB" w:rsidRPr="007937EB" w14:paraId="62F938C6"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844F08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17CB85B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c>
          <w:tcPr>
            <w:tcW w:w="1106" w:type="dxa"/>
            <w:noWrap/>
            <w:hideMark/>
          </w:tcPr>
          <w:p w14:paraId="75D68D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252</w:t>
            </w:r>
          </w:p>
        </w:tc>
        <w:tc>
          <w:tcPr>
            <w:tcW w:w="1107" w:type="dxa"/>
            <w:noWrap/>
            <w:hideMark/>
          </w:tcPr>
          <w:p w14:paraId="43064D3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408</w:t>
            </w:r>
          </w:p>
        </w:tc>
        <w:tc>
          <w:tcPr>
            <w:tcW w:w="1106" w:type="dxa"/>
            <w:noWrap/>
            <w:hideMark/>
          </w:tcPr>
          <w:p w14:paraId="63CDEEE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6E531A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118</w:t>
            </w:r>
          </w:p>
        </w:tc>
        <w:tc>
          <w:tcPr>
            <w:tcW w:w="1533" w:type="dxa"/>
            <w:noWrap/>
            <w:hideMark/>
          </w:tcPr>
          <w:p w14:paraId="0531CF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7937EB" w14:paraId="7F081E08"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03F9B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498FD00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c>
          <w:tcPr>
            <w:tcW w:w="1106" w:type="dxa"/>
            <w:noWrap/>
            <w:hideMark/>
          </w:tcPr>
          <w:p w14:paraId="2D2B66C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247</w:t>
            </w:r>
          </w:p>
        </w:tc>
        <w:tc>
          <w:tcPr>
            <w:tcW w:w="1107" w:type="dxa"/>
            <w:noWrap/>
            <w:hideMark/>
          </w:tcPr>
          <w:p w14:paraId="751254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392</w:t>
            </w:r>
          </w:p>
        </w:tc>
        <w:tc>
          <w:tcPr>
            <w:tcW w:w="1106" w:type="dxa"/>
            <w:noWrap/>
            <w:hideMark/>
          </w:tcPr>
          <w:p w14:paraId="5B306C2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6BB26C7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533" w:type="dxa"/>
            <w:noWrap/>
            <w:hideMark/>
          </w:tcPr>
          <w:p w14:paraId="36F8BA1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147</w:t>
            </w:r>
          </w:p>
        </w:tc>
      </w:tr>
      <w:tr w:rsidR="007937EB" w:rsidRPr="007937EB" w14:paraId="0B754B49"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57507A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25B3572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203</w:t>
            </w:r>
          </w:p>
        </w:tc>
        <w:tc>
          <w:tcPr>
            <w:tcW w:w="1106" w:type="dxa"/>
            <w:noWrap/>
            <w:hideMark/>
          </w:tcPr>
          <w:p w14:paraId="6C224F2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285</w:t>
            </w:r>
          </w:p>
        </w:tc>
        <w:tc>
          <w:tcPr>
            <w:tcW w:w="1107" w:type="dxa"/>
            <w:noWrap/>
            <w:hideMark/>
          </w:tcPr>
          <w:p w14:paraId="7B434D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488</w:t>
            </w:r>
          </w:p>
        </w:tc>
        <w:tc>
          <w:tcPr>
            <w:tcW w:w="1106" w:type="dxa"/>
            <w:noWrap/>
            <w:hideMark/>
          </w:tcPr>
          <w:p w14:paraId="6003180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w:t>
            </w:r>
          </w:p>
        </w:tc>
        <w:tc>
          <w:tcPr>
            <w:tcW w:w="1106" w:type="dxa"/>
            <w:noWrap/>
            <w:hideMark/>
          </w:tcPr>
          <w:p w14:paraId="71BD9D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533" w:type="dxa"/>
            <w:noWrap/>
            <w:hideMark/>
          </w:tcPr>
          <w:p w14:paraId="124F68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r>
      <w:tr w:rsidR="007937EB" w:rsidRPr="007937EB" w14:paraId="2F3D39D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2DD5E0D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011EC61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161</w:t>
            </w:r>
          </w:p>
        </w:tc>
        <w:tc>
          <w:tcPr>
            <w:tcW w:w="1106" w:type="dxa"/>
            <w:noWrap/>
            <w:hideMark/>
          </w:tcPr>
          <w:p w14:paraId="14A10B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313</w:t>
            </w:r>
          </w:p>
        </w:tc>
        <w:tc>
          <w:tcPr>
            <w:tcW w:w="1107" w:type="dxa"/>
            <w:noWrap/>
            <w:hideMark/>
          </w:tcPr>
          <w:p w14:paraId="0139CCB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474</w:t>
            </w:r>
          </w:p>
        </w:tc>
        <w:tc>
          <w:tcPr>
            <w:tcW w:w="1106" w:type="dxa"/>
            <w:noWrap/>
            <w:hideMark/>
          </w:tcPr>
          <w:p w14:paraId="216EDF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358806F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533" w:type="dxa"/>
            <w:noWrap/>
            <w:hideMark/>
          </w:tcPr>
          <w:p w14:paraId="3E7F286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r>
      <w:tr w:rsidR="007937EB" w:rsidRPr="007937EB" w14:paraId="350AE985"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AE0480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69379EA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160</w:t>
            </w:r>
          </w:p>
        </w:tc>
        <w:tc>
          <w:tcPr>
            <w:tcW w:w="1106" w:type="dxa"/>
            <w:noWrap/>
            <w:hideMark/>
          </w:tcPr>
          <w:p w14:paraId="15CEB8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280</w:t>
            </w:r>
          </w:p>
        </w:tc>
        <w:tc>
          <w:tcPr>
            <w:tcW w:w="1107" w:type="dxa"/>
            <w:noWrap/>
            <w:hideMark/>
          </w:tcPr>
          <w:p w14:paraId="367976D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440</w:t>
            </w:r>
          </w:p>
        </w:tc>
        <w:tc>
          <w:tcPr>
            <w:tcW w:w="1106" w:type="dxa"/>
            <w:noWrap/>
            <w:hideMark/>
          </w:tcPr>
          <w:p w14:paraId="6CD0F53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275B1F8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6DD590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r>
      <w:tr w:rsidR="007937EB" w:rsidRPr="007937EB" w14:paraId="7A42F34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AD753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5F77DB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188</w:t>
            </w:r>
          </w:p>
        </w:tc>
        <w:tc>
          <w:tcPr>
            <w:tcW w:w="1106" w:type="dxa"/>
            <w:noWrap/>
            <w:hideMark/>
          </w:tcPr>
          <w:p w14:paraId="142275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258</w:t>
            </w:r>
          </w:p>
        </w:tc>
        <w:tc>
          <w:tcPr>
            <w:tcW w:w="1107" w:type="dxa"/>
            <w:noWrap/>
            <w:hideMark/>
          </w:tcPr>
          <w:p w14:paraId="0907330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446</w:t>
            </w:r>
          </w:p>
        </w:tc>
        <w:tc>
          <w:tcPr>
            <w:tcW w:w="1106" w:type="dxa"/>
            <w:noWrap/>
            <w:hideMark/>
          </w:tcPr>
          <w:p w14:paraId="743D33F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106" w:type="dxa"/>
            <w:noWrap/>
            <w:hideMark/>
          </w:tcPr>
          <w:p w14:paraId="6B003D5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1533" w:type="dxa"/>
            <w:noWrap/>
            <w:hideMark/>
          </w:tcPr>
          <w:p w14:paraId="033DF09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140</w:t>
            </w:r>
          </w:p>
        </w:tc>
      </w:tr>
      <w:tr w:rsidR="007937EB" w:rsidRPr="007937EB" w14:paraId="35894FC4"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57B7CE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1D747F5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c>
          <w:tcPr>
            <w:tcW w:w="1106" w:type="dxa"/>
            <w:noWrap/>
            <w:hideMark/>
          </w:tcPr>
          <w:p w14:paraId="194708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276</w:t>
            </w:r>
          </w:p>
        </w:tc>
        <w:tc>
          <w:tcPr>
            <w:tcW w:w="1107" w:type="dxa"/>
            <w:noWrap/>
            <w:hideMark/>
          </w:tcPr>
          <w:p w14:paraId="552F16E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421</w:t>
            </w:r>
          </w:p>
        </w:tc>
        <w:tc>
          <w:tcPr>
            <w:tcW w:w="1106" w:type="dxa"/>
            <w:noWrap/>
            <w:hideMark/>
          </w:tcPr>
          <w:p w14:paraId="0A8ED12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23FB47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c>
          <w:tcPr>
            <w:tcW w:w="1533" w:type="dxa"/>
            <w:noWrap/>
            <w:hideMark/>
          </w:tcPr>
          <w:p w14:paraId="79EDDEC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141</w:t>
            </w:r>
          </w:p>
        </w:tc>
      </w:tr>
      <w:tr w:rsidR="007937EB" w:rsidRPr="007937EB" w14:paraId="7F0C2B44"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shd w:val="clear" w:color="auto" w:fill="595959" w:themeFill="text1" w:themeFillTint="A6"/>
            <w:noWrap/>
            <w:hideMark/>
          </w:tcPr>
          <w:p w14:paraId="6FC5DE41" w14:textId="77777777" w:rsidR="007937EB" w:rsidRPr="00AB23D3" w:rsidRDefault="007937EB" w:rsidP="007937EB">
            <w:pPr>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2021</w:t>
            </w:r>
          </w:p>
        </w:tc>
        <w:tc>
          <w:tcPr>
            <w:tcW w:w="1106" w:type="dxa"/>
            <w:shd w:val="clear" w:color="auto" w:fill="595959" w:themeFill="text1" w:themeFillTint="A6"/>
            <w:noWrap/>
            <w:hideMark/>
          </w:tcPr>
          <w:p w14:paraId="14EC4B7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4817E4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7" w:type="dxa"/>
            <w:shd w:val="clear" w:color="auto" w:fill="595959" w:themeFill="text1" w:themeFillTint="A6"/>
            <w:noWrap/>
            <w:hideMark/>
          </w:tcPr>
          <w:p w14:paraId="57B08A3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2AB4789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106" w:type="dxa"/>
            <w:shd w:val="clear" w:color="auto" w:fill="595959" w:themeFill="text1" w:themeFillTint="A6"/>
            <w:noWrap/>
            <w:hideMark/>
          </w:tcPr>
          <w:p w14:paraId="688218C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c>
          <w:tcPr>
            <w:tcW w:w="1533" w:type="dxa"/>
            <w:shd w:val="clear" w:color="auto" w:fill="595959" w:themeFill="text1" w:themeFillTint="A6"/>
            <w:noWrap/>
            <w:hideMark/>
          </w:tcPr>
          <w:p w14:paraId="61FE97A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p>
        </w:tc>
      </w:tr>
      <w:tr w:rsidR="007937EB" w:rsidRPr="007937EB" w14:paraId="2689FC7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0E4D4D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Jan</w:t>
            </w:r>
          </w:p>
        </w:tc>
        <w:tc>
          <w:tcPr>
            <w:tcW w:w="1106" w:type="dxa"/>
            <w:noWrap/>
            <w:hideMark/>
          </w:tcPr>
          <w:p w14:paraId="35C6807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125</w:t>
            </w:r>
          </w:p>
        </w:tc>
        <w:tc>
          <w:tcPr>
            <w:tcW w:w="1106" w:type="dxa"/>
            <w:noWrap/>
            <w:hideMark/>
          </w:tcPr>
          <w:p w14:paraId="1B3C3E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07" w:type="dxa"/>
            <w:noWrap/>
            <w:hideMark/>
          </w:tcPr>
          <w:p w14:paraId="713DA26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389</w:t>
            </w:r>
          </w:p>
        </w:tc>
        <w:tc>
          <w:tcPr>
            <w:tcW w:w="1106" w:type="dxa"/>
            <w:noWrap/>
            <w:hideMark/>
          </w:tcPr>
          <w:p w14:paraId="648C39A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106" w:type="dxa"/>
            <w:noWrap/>
            <w:hideMark/>
          </w:tcPr>
          <w:p w14:paraId="728CE62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130</w:t>
            </w:r>
          </w:p>
        </w:tc>
        <w:tc>
          <w:tcPr>
            <w:tcW w:w="1533" w:type="dxa"/>
            <w:noWrap/>
            <w:hideMark/>
          </w:tcPr>
          <w:p w14:paraId="226562B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r>
      <w:tr w:rsidR="007937EB" w:rsidRPr="007937EB" w14:paraId="71F2E95C"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6A6910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Feb</w:t>
            </w:r>
          </w:p>
        </w:tc>
        <w:tc>
          <w:tcPr>
            <w:tcW w:w="1106" w:type="dxa"/>
            <w:noWrap/>
            <w:hideMark/>
          </w:tcPr>
          <w:p w14:paraId="0F17B8A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165</w:t>
            </w:r>
          </w:p>
        </w:tc>
        <w:tc>
          <w:tcPr>
            <w:tcW w:w="1106" w:type="dxa"/>
            <w:noWrap/>
            <w:hideMark/>
          </w:tcPr>
          <w:p w14:paraId="1C13AE1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269</w:t>
            </w:r>
          </w:p>
        </w:tc>
        <w:tc>
          <w:tcPr>
            <w:tcW w:w="1107" w:type="dxa"/>
            <w:noWrap/>
            <w:hideMark/>
          </w:tcPr>
          <w:p w14:paraId="3A0A96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434</w:t>
            </w:r>
          </w:p>
        </w:tc>
        <w:tc>
          <w:tcPr>
            <w:tcW w:w="1106" w:type="dxa"/>
            <w:noWrap/>
            <w:hideMark/>
          </w:tcPr>
          <w:p w14:paraId="434AE62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1106" w:type="dxa"/>
            <w:noWrap/>
            <w:hideMark/>
          </w:tcPr>
          <w:p w14:paraId="2B6BD9F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1533" w:type="dxa"/>
            <w:noWrap/>
            <w:hideMark/>
          </w:tcPr>
          <w:p w14:paraId="63954E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r>
      <w:tr w:rsidR="007937EB" w:rsidRPr="007937EB" w14:paraId="42F5679A"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0EEF577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Mar</w:t>
            </w:r>
          </w:p>
        </w:tc>
        <w:tc>
          <w:tcPr>
            <w:tcW w:w="1106" w:type="dxa"/>
            <w:noWrap/>
            <w:hideMark/>
          </w:tcPr>
          <w:p w14:paraId="0EFB89E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217</w:t>
            </w:r>
          </w:p>
        </w:tc>
        <w:tc>
          <w:tcPr>
            <w:tcW w:w="1106" w:type="dxa"/>
            <w:noWrap/>
            <w:hideMark/>
          </w:tcPr>
          <w:p w14:paraId="62E678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292</w:t>
            </w:r>
          </w:p>
        </w:tc>
        <w:tc>
          <w:tcPr>
            <w:tcW w:w="1107" w:type="dxa"/>
            <w:noWrap/>
            <w:hideMark/>
          </w:tcPr>
          <w:p w14:paraId="3E9769D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509</w:t>
            </w:r>
          </w:p>
        </w:tc>
        <w:tc>
          <w:tcPr>
            <w:tcW w:w="1106" w:type="dxa"/>
            <w:noWrap/>
            <w:hideMark/>
          </w:tcPr>
          <w:p w14:paraId="51C4AAB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6" w:type="dxa"/>
            <w:noWrap/>
            <w:hideMark/>
          </w:tcPr>
          <w:p w14:paraId="00D5CB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1533" w:type="dxa"/>
            <w:noWrap/>
            <w:hideMark/>
          </w:tcPr>
          <w:p w14:paraId="24F76BF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r>
      <w:tr w:rsidR="007937EB" w:rsidRPr="007937EB" w14:paraId="374D6D20"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5B945CD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Apr</w:t>
            </w:r>
          </w:p>
        </w:tc>
        <w:tc>
          <w:tcPr>
            <w:tcW w:w="1106" w:type="dxa"/>
            <w:noWrap/>
            <w:hideMark/>
          </w:tcPr>
          <w:p w14:paraId="65BB919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183</w:t>
            </w:r>
          </w:p>
        </w:tc>
        <w:tc>
          <w:tcPr>
            <w:tcW w:w="1106" w:type="dxa"/>
            <w:noWrap/>
            <w:hideMark/>
          </w:tcPr>
          <w:p w14:paraId="67CDC2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297</w:t>
            </w:r>
          </w:p>
        </w:tc>
        <w:tc>
          <w:tcPr>
            <w:tcW w:w="1107" w:type="dxa"/>
            <w:noWrap/>
            <w:hideMark/>
          </w:tcPr>
          <w:p w14:paraId="5BB6DDA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480</w:t>
            </w:r>
          </w:p>
        </w:tc>
        <w:tc>
          <w:tcPr>
            <w:tcW w:w="1106" w:type="dxa"/>
            <w:noWrap/>
            <w:hideMark/>
          </w:tcPr>
          <w:p w14:paraId="11615B4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106" w:type="dxa"/>
            <w:noWrap/>
            <w:hideMark/>
          </w:tcPr>
          <w:p w14:paraId="5EF895C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92</w:t>
            </w:r>
          </w:p>
        </w:tc>
        <w:tc>
          <w:tcPr>
            <w:tcW w:w="1533" w:type="dxa"/>
            <w:noWrap/>
            <w:hideMark/>
          </w:tcPr>
          <w:p w14:paraId="0197CA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r>
      <w:tr w:rsidR="007937EB" w:rsidRPr="007937EB" w14:paraId="205C9643"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3060485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May</w:t>
            </w:r>
          </w:p>
        </w:tc>
        <w:tc>
          <w:tcPr>
            <w:tcW w:w="1106" w:type="dxa"/>
            <w:noWrap/>
            <w:hideMark/>
          </w:tcPr>
          <w:p w14:paraId="78C4A74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247</w:t>
            </w:r>
          </w:p>
        </w:tc>
        <w:tc>
          <w:tcPr>
            <w:tcW w:w="1106" w:type="dxa"/>
            <w:noWrap/>
            <w:hideMark/>
          </w:tcPr>
          <w:p w14:paraId="2B52D91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1107" w:type="dxa"/>
            <w:noWrap/>
            <w:hideMark/>
          </w:tcPr>
          <w:p w14:paraId="245F101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487</w:t>
            </w:r>
          </w:p>
        </w:tc>
        <w:tc>
          <w:tcPr>
            <w:tcW w:w="1106" w:type="dxa"/>
            <w:noWrap/>
            <w:hideMark/>
          </w:tcPr>
          <w:p w14:paraId="6DF9EA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w:t>
            </w:r>
          </w:p>
        </w:tc>
        <w:tc>
          <w:tcPr>
            <w:tcW w:w="1106" w:type="dxa"/>
            <w:noWrap/>
            <w:hideMark/>
          </w:tcPr>
          <w:p w14:paraId="279F381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117</w:t>
            </w:r>
          </w:p>
        </w:tc>
        <w:tc>
          <w:tcPr>
            <w:tcW w:w="1533" w:type="dxa"/>
            <w:noWrap/>
            <w:hideMark/>
          </w:tcPr>
          <w:p w14:paraId="223683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r>
      <w:tr w:rsidR="007937EB" w:rsidRPr="007937EB" w14:paraId="755A086D"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AFD3B8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Jun</w:t>
            </w:r>
          </w:p>
        </w:tc>
        <w:tc>
          <w:tcPr>
            <w:tcW w:w="1106" w:type="dxa"/>
            <w:noWrap/>
            <w:hideMark/>
          </w:tcPr>
          <w:p w14:paraId="7FE1131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211</w:t>
            </w:r>
          </w:p>
        </w:tc>
        <w:tc>
          <w:tcPr>
            <w:tcW w:w="1106" w:type="dxa"/>
            <w:noWrap/>
            <w:hideMark/>
          </w:tcPr>
          <w:p w14:paraId="78A7296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269</w:t>
            </w:r>
          </w:p>
        </w:tc>
        <w:tc>
          <w:tcPr>
            <w:tcW w:w="1107" w:type="dxa"/>
            <w:noWrap/>
            <w:hideMark/>
          </w:tcPr>
          <w:p w14:paraId="3FEC6DF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480</w:t>
            </w:r>
          </w:p>
        </w:tc>
        <w:tc>
          <w:tcPr>
            <w:tcW w:w="1106" w:type="dxa"/>
            <w:noWrap/>
            <w:hideMark/>
          </w:tcPr>
          <w:p w14:paraId="6C42BD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106" w:type="dxa"/>
            <w:noWrap/>
            <w:hideMark/>
          </w:tcPr>
          <w:p w14:paraId="57780FA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c>
          <w:tcPr>
            <w:tcW w:w="1533" w:type="dxa"/>
            <w:noWrap/>
            <w:hideMark/>
          </w:tcPr>
          <w:p w14:paraId="33FC692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168</w:t>
            </w:r>
          </w:p>
        </w:tc>
      </w:tr>
      <w:tr w:rsidR="007937EB" w:rsidRPr="007937EB" w14:paraId="79E59C38"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1A023DF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Jul</w:t>
            </w:r>
          </w:p>
        </w:tc>
        <w:tc>
          <w:tcPr>
            <w:tcW w:w="1106" w:type="dxa"/>
            <w:noWrap/>
            <w:hideMark/>
          </w:tcPr>
          <w:p w14:paraId="630F72F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106" w:type="dxa"/>
            <w:noWrap/>
            <w:hideMark/>
          </w:tcPr>
          <w:p w14:paraId="62BA1F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267</w:t>
            </w:r>
          </w:p>
        </w:tc>
        <w:tc>
          <w:tcPr>
            <w:tcW w:w="1107" w:type="dxa"/>
            <w:noWrap/>
            <w:hideMark/>
          </w:tcPr>
          <w:p w14:paraId="1956A2E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461</w:t>
            </w:r>
          </w:p>
        </w:tc>
        <w:tc>
          <w:tcPr>
            <w:tcW w:w="1106" w:type="dxa"/>
            <w:noWrap/>
            <w:hideMark/>
          </w:tcPr>
          <w:p w14:paraId="2BB43D0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1106" w:type="dxa"/>
            <w:noWrap/>
            <w:hideMark/>
          </w:tcPr>
          <w:p w14:paraId="3C9514F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113</w:t>
            </w:r>
          </w:p>
        </w:tc>
        <w:tc>
          <w:tcPr>
            <w:tcW w:w="1533" w:type="dxa"/>
            <w:noWrap/>
            <w:hideMark/>
          </w:tcPr>
          <w:p w14:paraId="3E52647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r>
      <w:tr w:rsidR="007937EB" w:rsidRPr="007937EB" w14:paraId="553570B9"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8A712D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Aug</w:t>
            </w:r>
          </w:p>
        </w:tc>
        <w:tc>
          <w:tcPr>
            <w:tcW w:w="1106" w:type="dxa"/>
            <w:noWrap/>
            <w:hideMark/>
          </w:tcPr>
          <w:p w14:paraId="3C8BB8A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222</w:t>
            </w:r>
          </w:p>
        </w:tc>
        <w:tc>
          <w:tcPr>
            <w:tcW w:w="1106" w:type="dxa"/>
            <w:noWrap/>
            <w:hideMark/>
          </w:tcPr>
          <w:p w14:paraId="573879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241</w:t>
            </w:r>
          </w:p>
        </w:tc>
        <w:tc>
          <w:tcPr>
            <w:tcW w:w="1107" w:type="dxa"/>
            <w:noWrap/>
            <w:hideMark/>
          </w:tcPr>
          <w:p w14:paraId="2C8F584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463</w:t>
            </w:r>
          </w:p>
        </w:tc>
        <w:tc>
          <w:tcPr>
            <w:tcW w:w="1106" w:type="dxa"/>
            <w:noWrap/>
            <w:hideMark/>
          </w:tcPr>
          <w:p w14:paraId="123A43B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106" w:type="dxa"/>
            <w:noWrap/>
            <w:hideMark/>
          </w:tcPr>
          <w:p w14:paraId="60452FA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98</w:t>
            </w:r>
          </w:p>
        </w:tc>
        <w:tc>
          <w:tcPr>
            <w:tcW w:w="1533" w:type="dxa"/>
            <w:noWrap/>
            <w:hideMark/>
          </w:tcPr>
          <w:p w14:paraId="594207E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r>
      <w:tr w:rsidR="007937EB" w:rsidRPr="007937EB" w14:paraId="161F4CD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7E323A3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Sep</w:t>
            </w:r>
          </w:p>
        </w:tc>
        <w:tc>
          <w:tcPr>
            <w:tcW w:w="1106" w:type="dxa"/>
            <w:noWrap/>
            <w:hideMark/>
          </w:tcPr>
          <w:p w14:paraId="67EFC44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161</w:t>
            </w:r>
          </w:p>
        </w:tc>
        <w:tc>
          <w:tcPr>
            <w:tcW w:w="1106" w:type="dxa"/>
            <w:noWrap/>
            <w:hideMark/>
          </w:tcPr>
          <w:p w14:paraId="744A3E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250</w:t>
            </w:r>
          </w:p>
        </w:tc>
        <w:tc>
          <w:tcPr>
            <w:tcW w:w="1107" w:type="dxa"/>
            <w:noWrap/>
            <w:hideMark/>
          </w:tcPr>
          <w:p w14:paraId="5F40F2E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411</w:t>
            </w:r>
          </w:p>
        </w:tc>
        <w:tc>
          <w:tcPr>
            <w:tcW w:w="1106" w:type="dxa"/>
            <w:noWrap/>
            <w:hideMark/>
          </w:tcPr>
          <w:p w14:paraId="59B39A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106" w:type="dxa"/>
            <w:noWrap/>
            <w:hideMark/>
          </w:tcPr>
          <w:p w14:paraId="5A2BBFE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83</w:t>
            </w:r>
          </w:p>
        </w:tc>
        <w:tc>
          <w:tcPr>
            <w:tcW w:w="1533" w:type="dxa"/>
            <w:noWrap/>
            <w:hideMark/>
          </w:tcPr>
          <w:p w14:paraId="5B6D95F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123</w:t>
            </w:r>
          </w:p>
        </w:tc>
      </w:tr>
      <w:tr w:rsidR="007937EB" w:rsidRPr="007937EB" w14:paraId="23BE9146"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49D4D19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Oct</w:t>
            </w:r>
          </w:p>
        </w:tc>
        <w:tc>
          <w:tcPr>
            <w:tcW w:w="1106" w:type="dxa"/>
            <w:noWrap/>
            <w:hideMark/>
          </w:tcPr>
          <w:p w14:paraId="0478774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199</w:t>
            </w:r>
          </w:p>
        </w:tc>
        <w:tc>
          <w:tcPr>
            <w:tcW w:w="1106" w:type="dxa"/>
            <w:noWrap/>
            <w:hideMark/>
          </w:tcPr>
          <w:p w14:paraId="1C83A8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279</w:t>
            </w:r>
          </w:p>
        </w:tc>
        <w:tc>
          <w:tcPr>
            <w:tcW w:w="1107" w:type="dxa"/>
            <w:noWrap/>
            <w:hideMark/>
          </w:tcPr>
          <w:p w14:paraId="01DE067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478</w:t>
            </w:r>
          </w:p>
        </w:tc>
        <w:tc>
          <w:tcPr>
            <w:tcW w:w="1106" w:type="dxa"/>
            <w:noWrap/>
            <w:hideMark/>
          </w:tcPr>
          <w:p w14:paraId="3DABF76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106" w:type="dxa"/>
            <w:noWrap/>
            <w:hideMark/>
          </w:tcPr>
          <w:p w14:paraId="093EE5E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97</w:t>
            </w:r>
          </w:p>
        </w:tc>
        <w:tc>
          <w:tcPr>
            <w:tcW w:w="1533" w:type="dxa"/>
            <w:noWrap/>
            <w:hideMark/>
          </w:tcPr>
          <w:p w14:paraId="4D07150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126</w:t>
            </w:r>
          </w:p>
        </w:tc>
      </w:tr>
      <w:tr w:rsidR="007937EB" w:rsidRPr="007937EB" w14:paraId="2A11165F" w14:textId="77777777" w:rsidTr="00AB40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0D7FB3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Nov</w:t>
            </w:r>
          </w:p>
        </w:tc>
        <w:tc>
          <w:tcPr>
            <w:tcW w:w="1106" w:type="dxa"/>
            <w:noWrap/>
            <w:hideMark/>
          </w:tcPr>
          <w:p w14:paraId="58CCCC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205</w:t>
            </w:r>
          </w:p>
        </w:tc>
        <w:tc>
          <w:tcPr>
            <w:tcW w:w="1106" w:type="dxa"/>
            <w:noWrap/>
            <w:hideMark/>
          </w:tcPr>
          <w:p w14:paraId="43C9CB4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244</w:t>
            </w:r>
          </w:p>
        </w:tc>
        <w:tc>
          <w:tcPr>
            <w:tcW w:w="1107" w:type="dxa"/>
            <w:noWrap/>
            <w:hideMark/>
          </w:tcPr>
          <w:p w14:paraId="2F88506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449</w:t>
            </w:r>
          </w:p>
        </w:tc>
        <w:tc>
          <w:tcPr>
            <w:tcW w:w="1106" w:type="dxa"/>
            <w:noWrap/>
            <w:hideMark/>
          </w:tcPr>
          <w:p w14:paraId="1B81C2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1106" w:type="dxa"/>
            <w:noWrap/>
            <w:hideMark/>
          </w:tcPr>
          <w:p w14:paraId="5C0AF53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c>
          <w:tcPr>
            <w:tcW w:w="1533" w:type="dxa"/>
            <w:noWrap/>
            <w:hideMark/>
          </w:tcPr>
          <w:p w14:paraId="2B6DB0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r>
      <w:tr w:rsidR="007937EB" w:rsidRPr="007937EB" w14:paraId="13CE2B00" w14:textId="77777777" w:rsidTr="00AB403C">
        <w:trPr>
          <w:trHeight w:val="300"/>
        </w:trPr>
        <w:tc>
          <w:tcPr>
            <w:cnfStyle w:val="001000000000" w:firstRow="0" w:lastRow="0" w:firstColumn="1" w:lastColumn="0" w:oddVBand="0" w:evenVBand="0" w:oddHBand="0" w:evenHBand="0" w:firstRowFirstColumn="0" w:firstRowLastColumn="0" w:lastRowFirstColumn="0" w:lastRowLastColumn="0"/>
            <w:tcW w:w="1300" w:type="dxa"/>
            <w:noWrap/>
            <w:hideMark/>
          </w:tcPr>
          <w:p w14:paraId="6C940E4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Dec</w:t>
            </w:r>
          </w:p>
        </w:tc>
        <w:tc>
          <w:tcPr>
            <w:tcW w:w="1106" w:type="dxa"/>
            <w:noWrap/>
            <w:hideMark/>
          </w:tcPr>
          <w:p w14:paraId="06F4BC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c>
          <w:tcPr>
            <w:tcW w:w="1106" w:type="dxa"/>
            <w:noWrap/>
            <w:hideMark/>
          </w:tcPr>
          <w:p w14:paraId="75FD787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253</w:t>
            </w:r>
          </w:p>
        </w:tc>
        <w:tc>
          <w:tcPr>
            <w:tcW w:w="1107" w:type="dxa"/>
            <w:noWrap/>
            <w:hideMark/>
          </w:tcPr>
          <w:p w14:paraId="180370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398</w:t>
            </w:r>
          </w:p>
        </w:tc>
        <w:tc>
          <w:tcPr>
            <w:tcW w:w="1106" w:type="dxa"/>
            <w:noWrap/>
            <w:hideMark/>
          </w:tcPr>
          <w:p w14:paraId="570B672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1106" w:type="dxa"/>
            <w:noWrap/>
            <w:hideMark/>
          </w:tcPr>
          <w:p w14:paraId="6B8209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96</w:t>
            </w:r>
          </w:p>
        </w:tc>
        <w:tc>
          <w:tcPr>
            <w:tcW w:w="1533" w:type="dxa"/>
            <w:noWrap/>
            <w:hideMark/>
          </w:tcPr>
          <w:p w14:paraId="76A42FE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r>
    </w:tbl>
    <w:p w14:paraId="67546B80" w14:textId="77777777" w:rsidR="007937EB" w:rsidRPr="007937EB" w:rsidRDefault="007937EB" w:rsidP="007937EB">
      <w:pPr>
        <w:rPr>
          <w:rFonts w:asciiTheme="minorHAnsi" w:hAnsiTheme="minorHAnsi"/>
          <w:sz w:val="22"/>
          <w:lang w:val="en-US"/>
        </w:rPr>
      </w:pPr>
    </w:p>
    <w:p w14:paraId="2CACF8CC" w14:textId="77777777" w:rsidR="007937EB" w:rsidRPr="007937EB" w:rsidRDefault="007937EB" w:rsidP="00596E66">
      <w:pPr>
        <w:pStyle w:val="Heading5"/>
        <w:rPr>
          <w:lang w:val="en-US"/>
        </w:rPr>
      </w:pPr>
      <w:r w:rsidRPr="007937EB">
        <w:t>Intentional single ingredient paracetamol poisoning exposure events. (NSW PIC 2011-2021)</w:t>
      </w:r>
    </w:p>
    <w:tbl>
      <w:tblPr>
        <w:tblStyle w:val="ListTable2"/>
        <w:tblW w:w="8080" w:type="dxa"/>
        <w:tblLayout w:type="fixed"/>
        <w:tblLook w:val="04A0" w:firstRow="1" w:lastRow="0" w:firstColumn="1" w:lastColumn="0" w:noHBand="0" w:noVBand="1"/>
      </w:tblPr>
      <w:tblGrid>
        <w:gridCol w:w="881"/>
        <w:gridCol w:w="1199"/>
        <w:gridCol w:w="1200"/>
        <w:gridCol w:w="1200"/>
        <w:gridCol w:w="1200"/>
        <w:gridCol w:w="1200"/>
        <w:gridCol w:w="1200"/>
      </w:tblGrid>
      <w:tr w:rsidR="007937EB" w:rsidRPr="00AB23D3" w14:paraId="5C37CAF7" w14:textId="77777777" w:rsidTr="00E2395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shd w:val="clear" w:color="auto" w:fill="595959" w:themeFill="text1" w:themeFillTint="A6"/>
            <w:noWrap/>
            <w:hideMark/>
          </w:tcPr>
          <w:p w14:paraId="02D18826" w14:textId="77777777" w:rsidR="007937EB" w:rsidRPr="00AB23D3" w:rsidRDefault="007937EB" w:rsidP="007937EB">
            <w:pPr>
              <w:rPr>
                <w:rFonts w:eastAsia="Times New Roman" w:cs="Times New Roman"/>
                <w:color w:val="FFFFFF" w:themeColor="background1"/>
                <w:sz w:val="20"/>
                <w:szCs w:val="20"/>
                <w:lang w:eastAsia="en-AU"/>
              </w:rPr>
            </w:pPr>
          </w:p>
        </w:tc>
        <w:tc>
          <w:tcPr>
            <w:tcW w:w="1199" w:type="dxa"/>
            <w:shd w:val="clear" w:color="auto" w:fill="595959" w:themeFill="text1" w:themeFillTint="A6"/>
            <w:noWrap/>
            <w:hideMark/>
          </w:tcPr>
          <w:p w14:paraId="3B60CBB5"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Child (5 to 14 years)</w:t>
            </w:r>
          </w:p>
        </w:tc>
        <w:tc>
          <w:tcPr>
            <w:tcW w:w="1200" w:type="dxa"/>
            <w:shd w:val="clear" w:color="auto" w:fill="595959" w:themeFill="text1" w:themeFillTint="A6"/>
            <w:noWrap/>
            <w:hideMark/>
          </w:tcPr>
          <w:p w14:paraId="0B73B78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Adolescent (15 - 19 years)</w:t>
            </w:r>
          </w:p>
        </w:tc>
        <w:tc>
          <w:tcPr>
            <w:tcW w:w="1200" w:type="dxa"/>
            <w:shd w:val="clear" w:color="auto" w:fill="595959" w:themeFill="text1" w:themeFillTint="A6"/>
            <w:noWrap/>
            <w:hideMark/>
          </w:tcPr>
          <w:p w14:paraId="715549B4"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Unspecified child/ adolescent</w:t>
            </w:r>
          </w:p>
        </w:tc>
        <w:tc>
          <w:tcPr>
            <w:tcW w:w="1200" w:type="dxa"/>
            <w:shd w:val="clear" w:color="auto" w:fill="595959" w:themeFill="text1" w:themeFillTint="A6"/>
            <w:noWrap/>
            <w:hideMark/>
          </w:tcPr>
          <w:p w14:paraId="6FF9620B"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Adult (20 to 74 years)</w:t>
            </w:r>
          </w:p>
        </w:tc>
        <w:tc>
          <w:tcPr>
            <w:tcW w:w="1200" w:type="dxa"/>
            <w:shd w:val="clear" w:color="auto" w:fill="595959" w:themeFill="text1" w:themeFillTint="A6"/>
            <w:noWrap/>
            <w:hideMark/>
          </w:tcPr>
          <w:p w14:paraId="4D333050"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Elderly (&gt;75 years)</w:t>
            </w:r>
          </w:p>
        </w:tc>
        <w:tc>
          <w:tcPr>
            <w:tcW w:w="1200" w:type="dxa"/>
            <w:shd w:val="clear" w:color="auto" w:fill="595959" w:themeFill="text1" w:themeFillTint="A6"/>
            <w:noWrap/>
            <w:hideMark/>
          </w:tcPr>
          <w:p w14:paraId="3FD151B1"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6D371FED"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6372538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Female</w:t>
            </w:r>
          </w:p>
        </w:tc>
        <w:tc>
          <w:tcPr>
            <w:tcW w:w="1199" w:type="dxa"/>
            <w:noWrap/>
            <w:hideMark/>
          </w:tcPr>
          <w:p w14:paraId="33FA335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208F476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33B3DF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168DBB0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564D8C4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780B86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1318E302"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76D0B59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1199" w:type="dxa"/>
            <w:noWrap/>
            <w:hideMark/>
          </w:tcPr>
          <w:p w14:paraId="3FD4453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200" w:type="dxa"/>
            <w:noWrap/>
            <w:hideMark/>
          </w:tcPr>
          <w:p w14:paraId="4D7123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298</w:t>
            </w:r>
          </w:p>
        </w:tc>
        <w:tc>
          <w:tcPr>
            <w:tcW w:w="1200" w:type="dxa"/>
            <w:noWrap/>
            <w:hideMark/>
          </w:tcPr>
          <w:p w14:paraId="085BA20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3E632E9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583</w:t>
            </w:r>
          </w:p>
        </w:tc>
        <w:tc>
          <w:tcPr>
            <w:tcW w:w="1200" w:type="dxa"/>
            <w:noWrap/>
            <w:hideMark/>
          </w:tcPr>
          <w:p w14:paraId="7DFE7CF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270C049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2B6509E9"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3CC9888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1199" w:type="dxa"/>
            <w:noWrap/>
            <w:hideMark/>
          </w:tcPr>
          <w:p w14:paraId="1A86D9B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c>
          <w:tcPr>
            <w:tcW w:w="1200" w:type="dxa"/>
            <w:noWrap/>
            <w:hideMark/>
          </w:tcPr>
          <w:p w14:paraId="425A157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392</w:t>
            </w:r>
          </w:p>
        </w:tc>
        <w:tc>
          <w:tcPr>
            <w:tcW w:w="1200" w:type="dxa"/>
            <w:noWrap/>
            <w:hideMark/>
          </w:tcPr>
          <w:p w14:paraId="14F58E7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2B66E26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585</w:t>
            </w:r>
          </w:p>
        </w:tc>
        <w:tc>
          <w:tcPr>
            <w:tcW w:w="1200" w:type="dxa"/>
            <w:noWrap/>
            <w:hideMark/>
          </w:tcPr>
          <w:p w14:paraId="2507DF8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200" w:type="dxa"/>
            <w:noWrap/>
            <w:hideMark/>
          </w:tcPr>
          <w:p w14:paraId="3A17500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6DDE6E1B"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E39F76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1199" w:type="dxa"/>
            <w:noWrap/>
            <w:hideMark/>
          </w:tcPr>
          <w:p w14:paraId="70D5EAE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c>
          <w:tcPr>
            <w:tcW w:w="1200" w:type="dxa"/>
            <w:noWrap/>
            <w:hideMark/>
          </w:tcPr>
          <w:p w14:paraId="59A0DB9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466</w:t>
            </w:r>
          </w:p>
        </w:tc>
        <w:tc>
          <w:tcPr>
            <w:tcW w:w="1200" w:type="dxa"/>
            <w:noWrap/>
            <w:hideMark/>
          </w:tcPr>
          <w:p w14:paraId="0B14CA2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379C310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668</w:t>
            </w:r>
          </w:p>
        </w:tc>
        <w:tc>
          <w:tcPr>
            <w:tcW w:w="1200" w:type="dxa"/>
            <w:noWrap/>
            <w:hideMark/>
          </w:tcPr>
          <w:p w14:paraId="7E10D05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200" w:type="dxa"/>
            <w:noWrap/>
            <w:hideMark/>
          </w:tcPr>
          <w:p w14:paraId="6615D02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6F123BEF"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0933062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1199" w:type="dxa"/>
            <w:noWrap/>
            <w:hideMark/>
          </w:tcPr>
          <w:p w14:paraId="057F17C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143</w:t>
            </w:r>
          </w:p>
        </w:tc>
        <w:tc>
          <w:tcPr>
            <w:tcW w:w="1200" w:type="dxa"/>
            <w:noWrap/>
            <w:hideMark/>
          </w:tcPr>
          <w:p w14:paraId="77C0D7F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411</w:t>
            </w:r>
          </w:p>
        </w:tc>
        <w:tc>
          <w:tcPr>
            <w:tcW w:w="1200" w:type="dxa"/>
            <w:noWrap/>
            <w:hideMark/>
          </w:tcPr>
          <w:p w14:paraId="3C29AC9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25CF0DE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732</w:t>
            </w:r>
          </w:p>
        </w:tc>
        <w:tc>
          <w:tcPr>
            <w:tcW w:w="1200" w:type="dxa"/>
            <w:noWrap/>
            <w:hideMark/>
          </w:tcPr>
          <w:p w14:paraId="1355F4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200" w:type="dxa"/>
            <w:noWrap/>
            <w:hideMark/>
          </w:tcPr>
          <w:p w14:paraId="6387E2B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r>
      <w:tr w:rsidR="007937EB" w:rsidRPr="00AB23D3" w14:paraId="489730C1"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2992206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1199" w:type="dxa"/>
            <w:noWrap/>
            <w:hideMark/>
          </w:tcPr>
          <w:p w14:paraId="65F214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139</w:t>
            </w:r>
          </w:p>
        </w:tc>
        <w:tc>
          <w:tcPr>
            <w:tcW w:w="1200" w:type="dxa"/>
            <w:noWrap/>
            <w:hideMark/>
          </w:tcPr>
          <w:p w14:paraId="13174F6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407</w:t>
            </w:r>
          </w:p>
        </w:tc>
        <w:tc>
          <w:tcPr>
            <w:tcW w:w="1200" w:type="dxa"/>
            <w:noWrap/>
            <w:hideMark/>
          </w:tcPr>
          <w:p w14:paraId="004D281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2B06AFE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787</w:t>
            </w:r>
          </w:p>
        </w:tc>
        <w:tc>
          <w:tcPr>
            <w:tcW w:w="1200" w:type="dxa"/>
            <w:noWrap/>
            <w:hideMark/>
          </w:tcPr>
          <w:p w14:paraId="3A96EC5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1200" w:type="dxa"/>
            <w:noWrap/>
            <w:hideMark/>
          </w:tcPr>
          <w:p w14:paraId="4AF589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w:t>
            </w:r>
          </w:p>
        </w:tc>
      </w:tr>
      <w:tr w:rsidR="007937EB" w:rsidRPr="00AB23D3" w14:paraId="56CD5019"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6B363A1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1199" w:type="dxa"/>
            <w:noWrap/>
            <w:hideMark/>
          </w:tcPr>
          <w:p w14:paraId="1A5EBC3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200" w:type="dxa"/>
            <w:noWrap/>
            <w:hideMark/>
          </w:tcPr>
          <w:p w14:paraId="3F66CD8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493</w:t>
            </w:r>
          </w:p>
        </w:tc>
        <w:tc>
          <w:tcPr>
            <w:tcW w:w="1200" w:type="dxa"/>
            <w:noWrap/>
            <w:hideMark/>
          </w:tcPr>
          <w:p w14:paraId="65E704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6AA0361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735</w:t>
            </w:r>
          </w:p>
        </w:tc>
        <w:tc>
          <w:tcPr>
            <w:tcW w:w="1200" w:type="dxa"/>
            <w:noWrap/>
            <w:hideMark/>
          </w:tcPr>
          <w:p w14:paraId="1F47C7F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200" w:type="dxa"/>
            <w:noWrap/>
            <w:hideMark/>
          </w:tcPr>
          <w:p w14:paraId="1FCEACF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r>
      <w:tr w:rsidR="007937EB" w:rsidRPr="00AB23D3" w14:paraId="33BC556E"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1D86B1E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1199" w:type="dxa"/>
            <w:noWrap/>
            <w:hideMark/>
          </w:tcPr>
          <w:p w14:paraId="536427E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219</w:t>
            </w:r>
          </w:p>
        </w:tc>
        <w:tc>
          <w:tcPr>
            <w:tcW w:w="1200" w:type="dxa"/>
            <w:noWrap/>
            <w:hideMark/>
          </w:tcPr>
          <w:p w14:paraId="445B0D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528</w:t>
            </w:r>
          </w:p>
        </w:tc>
        <w:tc>
          <w:tcPr>
            <w:tcW w:w="1200" w:type="dxa"/>
            <w:noWrap/>
            <w:hideMark/>
          </w:tcPr>
          <w:p w14:paraId="741080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38201FA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859</w:t>
            </w:r>
          </w:p>
        </w:tc>
        <w:tc>
          <w:tcPr>
            <w:tcW w:w="1200" w:type="dxa"/>
            <w:noWrap/>
            <w:hideMark/>
          </w:tcPr>
          <w:p w14:paraId="436B045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200" w:type="dxa"/>
            <w:noWrap/>
            <w:hideMark/>
          </w:tcPr>
          <w:p w14:paraId="7B9239B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r>
      <w:tr w:rsidR="007937EB" w:rsidRPr="00AB23D3" w14:paraId="51184B87"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B2628D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1199" w:type="dxa"/>
            <w:noWrap/>
            <w:hideMark/>
          </w:tcPr>
          <w:p w14:paraId="61FA803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217</w:t>
            </w:r>
          </w:p>
        </w:tc>
        <w:tc>
          <w:tcPr>
            <w:tcW w:w="1200" w:type="dxa"/>
            <w:noWrap/>
            <w:hideMark/>
          </w:tcPr>
          <w:p w14:paraId="6214FD2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525</w:t>
            </w:r>
          </w:p>
        </w:tc>
        <w:tc>
          <w:tcPr>
            <w:tcW w:w="1200" w:type="dxa"/>
            <w:noWrap/>
            <w:hideMark/>
          </w:tcPr>
          <w:p w14:paraId="5A412FE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11D70C6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846</w:t>
            </w:r>
          </w:p>
        </w:tc>
        <w:tc>
          <w:tcPr>
            <w:tcW w:w="1200" w:type="dxa"/>
            <w:noWrap/>
            <w:hideMark/>
          </w:tcPr>
          <w:p w14:paraId="0204A0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200" w:type="dxa"/>
            <w:noWrap/>
            <w:hideMark/>
          </w:tcPr>
          <w:p w14:paraId="0682558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F724ACD"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2C1653F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1199" w:type="dxa"/>
            <w:noWrap/>
            <w:hideMark/>
          </w:tcPr>
          <w:p w14:paraId="6F9F5AA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c>
          <w:tcPr>
            <w:tcW w:w="1200" w:type="dxa"/>
            <w:noWrap/>
            <w:hideMark/>
          </w:tcPr>
          <w:p w14:paraId="4F64CC0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568</w:t>
            </w:r>
          </w:p>
        </w:tc>
        <w:tc>
          <w:tcPr>
            <w:tcW w:w="1200" w:type="dxa"/>
            <w:noWrap/>
            <w:hideMark/>
          </w:tcPr>
          <w:p w14:paraId="68F3CDA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6C24965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884</w:t>
            </w:r>
          </w:p>
        </w:tc>
        <w:tc>
          <w:tcPr>
            <w:tcW w:w="1200" w:type="dxa"/>
            <w:noWrap/>
            <w:hideMark/>
          </w:tcPr>
          <w:p w14:paraId="52A792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200" w:type="dxa"/>
            <w:noWrap/>
            <w:hideMark/>
          </w:tcPr>
          <w:p w14:paraId="01B748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5C6FCD8C"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0EAC8D7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1199" w:type="dxa"/>
            <w:noWrap/>
            <w:hideMark/>
          </w:tcPr>
          <w:p w14:paraId="0CBCDE4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352</w:t>
            </w:r>
          </w:p>
        </w:tc>
        <w:tc>
          <w:tcPr>
            <w:tcW w:w="1200" w:type="dxa"/>
            <w:noWrap/>
            <w:hideMark/>
          </w:tcPr>
          <w:p w14:paraId="44A863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824</w:t>
            </w:r>
          </w:p>
        </w:tc>
        <w:tc>
          <w:tcPr>
            <w:tcW w:w="1200" w:type="dxa"/>
            <w:noWrap/>
            <w:hideMark/>
          </w:tcPr>
          <w:p w14:paraId="0AF441B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578A4E3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1092</w:t>
            </w:r>
          </w:p>
        </w:tc>
        <w:tc>
          <w:tcPr>
            <w:tcW w:w="1200" w:type="dxa"/>
            <w:noWrap/>
            <w:hideMark/>
          </w:tcPr>
          <w:p w14:paraId="6FE879E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200" w:type="dxa"/>
            <w:noWrap/>
            <w:hideMark/>
          </w:tcPr>
          <w:p w14:paraId="4499D43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627ABF2"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482D663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1199" w:type="dxa"/>
            <w:noWrap/>
            <w:hideMark/>
          </w:tcPr>
          <w:p w14:paraId="10B693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577</w:t>
            </w:r>
          </w:p>
        </w:tc>
        <w:tc>
          <w:tcPr>
            <w:tcW w:w="1200" w:type="dxa"/>
            <w:noWrap/>
            <w:hideMark/>
          </w:tcPr>
          <w:p w14:paraId="4741F7A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1050</w:t>
            </w:r>
          </w:p>
        </w:tc>
        <w:tc>
          <w:tcPr>
            <w:tcW w:w="1200" w:type="dxa"/>
            <w:noWrap/>
            <w:hideMark/>
          </w:tcPr>
          <w:p w14:paraId="48C70A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16E6DC8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1123</w:t>
            </w:r>
          </w:p>
        </w:tc>
        <w:tc>
          <w:tcPr>
            <w:tcW w:w="1200" w:type="dxa"/>
            <w:noWrap/>
            <w:hideMark/>
          </w:tcPr>
          <w:p w14:paraId="31A5CE2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200" w:type="dxa"/>
            <w:noWrap/>
            <w:hideMark/>
          </w:tcPr>
          <w:p w14:paraId="40E181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98C9A2B"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AFC31E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Male</w:t>
            </w:r>
          </w:p>
        </w:tc>
        <w:tc>
          <w:tcPr>
            <w:tcW w:w="1199" w:type="dxa"/>
            <w:noWrap/>
            <w:hideMark/>
          </w:tcPr>
          <w:p w14:paraId="1812BC8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21D7C34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6D6AC5F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343992C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1FC00A6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00" w:type="dxa"/>
            <w:noWrap/>
            <w:hideMark/>
          </w:tcPr>
          <w:p w14:paraId="255BB07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08785F24"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3203498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1199" w:type="dxa"/>
            <w:noWrap/>
            <w:hideMark/>
          </w:tcPr>
          <w:p w14:paraId="432874B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200" w:type="dxa"/>
            <w:noWrap/>
            <w:hideMark/>
          </w:tcPr>
          <w:p w14:paraId="021284E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w:t>
            </w:r>
          </w:p>
        </w:tc>
        <w:tc>
          <w:tcPr>
            <w:tcW w:w="1200" w:type="dxa"/>
            <w:noWrap/>
            <w:hideMark/>
          </w:tcPr>
          <w:p w14:paraId="1B820F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679B687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276</w:t>
            </w:r>
          </w:p>
        </w:tc>
        <w:tc>
          <w:tcPr>
            <w:tcW w:w="1200" w:type="dxa"/>
            <w:noWrap/>
            <w:hideMark/>
          </w:tcPr>
          <w:p w14:paraId="5002AE3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200" w:type="dxa"/>
            <w:noWrap/>
            <w:hideMark/>
          </w:tcPr>
          <w:p w14:paraId="11E139F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00615C2"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0CE6AF5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1199" w:type="dxa"/>
            <w:noWrap/>
            <w:hideMark/>
          </w:tcPr>
          <w:p w14:paraId="08E1461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200" w:type="dxa"/>
            <w:noWrap/>
            <w:hideMark/>
          </w:tcPr>
          <w:p w14:paraId="454BB88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94</w:t>
            </w:r>
          </w:p>
        </w:tc>
        <w:tc>
          <w:tcPr>
            <w:tcW w:w="1200" w:type="dxa"/>
            <w:noWrap/>
            <w:hideMark/>
          </w:tcPr>
          <w:p w14:paraId="04F1EAE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4FCD890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1200" w:type="dxa"/>
            <w:noWrap/>
            <w:hideMark/>
          </w:tcPr>
          <w:p w14:paraId="1B0F3EC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32E7C1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6F336AF7"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047D635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1199" w:type="dxa"/>
            <w:noWrap/>
            <w:hideMark/>
          </w:tcPr>
          <w:p w14:paraId="5959768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200" w:type="dxa"/>
            <w:noWrap/>
            <w:hideMark/>
          </w:tcPr>
          <w:p w14:paraId="5824B95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w:t>
            </w:r>
          </w:p>
        </w:tc>
        <w:tc>
          <w:tcPr>
            <w:tcW w:w="1200" w:type="dxa"/>
            <w:noWrap/>
            <w:hideMark/>
          </w:tcPr>
          <w:p w14:paraId="13E7B50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3B1950C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313</w:t>
            </w:r>
          </w:p>
        </w:tc>
        <w:tc>
          <w:tcPr>
            <w:tcW w:w="1200" w:type="dxa"/>
            <w:noWrap/>
            <w:hideMark/>
          </w:tcPr>
          <w:p w14:paraId="553D67D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200" w:type="dxa"/>
            <w:noWrap/>
            <w:hideMark/>
          </w:tcPr>
          <w:p w14:paraId="2FC68D9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73099D01"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229B890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1199" w:type="dxa"/>
            <w:noWrap/>
            <w:hideMark/>
          </w:tcPr>
          <w:p w14:paraId="43E3CE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200" w:type="dxa"/>
            <w:noWrap/>
            <w:hideMark/>
          </w:tcPr>
          <w:p w14:paraId="156A1E0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w:t>
            </w:r>
          </w:p>
        </w:tc>
        <w:tc>
          <w:tcPr>
            <w:tcW w:w="1200" w:type="dxa"/>
            <w:noWrap/>
            <w:hideMark/>
          </w:tcPr>
          <w:p w14:paraId="230F69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21524D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352</w:t>
            </w:r>
          </w:p>
        </w:tc>
        <w:tc>
          <w:tcPr>
            <w:tcW w:w="1200" w:type="dxa"/>
            <w:noWrap/>
            <w:hideMark/>
          </w:tcPr>
          <w:p w14:paraId="6D852E6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295312E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A815F3C"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2D9352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1199" w:type="dxa"/>
            <w:noWrap/>
            <w:hideMark/>
          </w:tcPr>
          <w:p w14:paraId="71DA35C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200" w:type="dxa"/>
            <w:noWrap/>
            <w:hideMark/>
          </w:tcPr>
          <w:p w14:paraId="5B4EB8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1200" w:type="dxa"/>
            <w:noWrap/>
            <w:hideMark/>
          </w:tcPr>
          <w:p w14:paraId="75FFC49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7024F3E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344</w:t>
            </w:r>
          </w:p>
        </w:tc>
        <w:tc>
          <w:tcPr>
            <w:tcW w:w="1200" w:type="dxa"/>
            <w:noWrap/>
            <w:hideMark/>
          </w:tcPr>
          <w:p w14:paraId="54AD96E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00" w:type="dxa"/>
            <w:noWrap/>
            <w:hideMark/>
          </w:tcPr>
          <w:p w14:paraId="2282AF0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24F839E"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202F436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1199" w:type="dxa"/>
            <w:noWrap/>
            <w:hideMark/>
          </w:tcPr>
          <w:p w14:paraId="5039D8F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200" w:type="dxa"/>
            <w:noWrap/>
            <w:hideMark/>
          </w:tcPr>
          <w:p w14:paraId="5645D3B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89</w:t>
            </w:r>
          </w:p>
        </w:tc>
        <w:tc>
          <w:tcPr>
            <w:tcW w:w="1200" w:type="dxa"/>
            <w:noWrap/>
            <w:hideMark/>
          </w:tcPr>
          <w:p w14:paraId="4FD939E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5B9016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374</w:t>
            </w:r>
          </w:p>
        </w:tc>
        <w:tc>
          <w:tcPr>
            <w:tcW w:w="1200" w:type="dxa"/>
            <w:noWrap/>
            <w:hideMark/>
          </w:tcPr>
          <w:p w14:paraId="41B78CE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200" w:type="dxa"/>
            <w:noWrap/>
            <w:hideMark/>
          </w:tcPr>
          <w:p w14:paraId="39A5A24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66367CA1"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F79079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1199" w:type="dxa"/>
            <w:noWrap/>
            <w:hideMark/>
          </w:tcPr>
          <w:p w14:paraId="4125C2E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200" w:type="dxa"/>
            <w:noWrap/>
            <w:hideMark/>
          </w:tcPr>
          <w:p w14:paraId="60B268C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1200" w:type="dxa"/>
            <w:noWrap/>
            <w:hideMark/>
          </w:tcPr>
          <w:p w14:paraId="376ADD8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19C2781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412</w:t>
            </w:r>
          </w:p>
        </w:tc>
        <w:tc>
          <w:tcPr>
            <w:tcW w:w="1200" w:type="dxa"/>
            <w:noWrap/>
            <w:hideMark/>
          </w:tcPr>
          <w:p w14:paraId="5484D1B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1200" w:type="dxa"/>
            <w:noWrap/>
            <w:hideMark/>
          </w:tcPr>
          <w:p w14:paraId="066EDD8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565076FF"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535829D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1199" w:type="dxa"/>
            <w:noWrap/>
            <w:hideMark/>
          </w:tcPr>
          <w:p w14:paraId="784A18E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200" w:type="dxa"/>
            <w:noWrap/>
            <w:hideMark/>
          </w:tcPr>
          <w:p w14:paraId="4DA9990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200" w:type="dxa"/>
            <w:noWrap/>
            <w:hideMark/>
          </w:tcPr>
          <w:p w14:paraId="7E5F7B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300EEA0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439</w:t>
            </w:r>
          </w:p>
        </w:tc>
        <w:tc>
          <w:tcPr>
            <w:tcW w:w="1200" w:type="dxa"/>
            <w:noWrap/>
            <w:hideMark/>
          </w:tcPr>
          <w:p w14:paraId="4735CC7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w:t>
            </w:r>
          </w:p>
        </w:tc>
        <w:tc>
          <w:tcPr>
            <w:tcW w:w="1200" w:type="dxa"/>
            <w:noWrap/>
            <w:hideMark/>
          </w:tcPr>
          <w:p w14:paraId="75F1BF9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A02EE7D"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67F1FEC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1199" w:type="dxa"/>
            <w:noWrap/>
            <w:hideMark/>
          </w:tcPr>
          <w:p w14:paraId="49C933C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200" w:type="dxa"/>
            <w:noWrap/>
            <w:hideMark/>
          </w:tcPr>
          <w:p w14:paraId="46D508D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200" w:type="dxa"/>
            <w:noWrap/>
            <w:hideMark/>
          </w:tcPr>
          <w:p w14:paraId="75C0802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75027CB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442</w:t>
            </w:r>
          </w:p>
        </w:tc>
        <w:tc>
          <w:tcPr>
            <w:tcW w:w="1200" w:type="dxa"/>
            <w:noWrap/>
            <w:hideMark/>
          </w:tcPr>
          <w:p w14:paraId="7B784D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200" w:type="dxa"/>
            <w:noWrap/>
            <w:hideMark/>
          </w:tcPr>
          <w:p w14:paraId="5146F3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55CB558" w14:textId="77777777" w:rsidTr="00E239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4D83F90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1199" w:type="dxa"/>
            <w:noWrap/>
            <w:hideMark/>
          </w:tcPr>
          <w:p w14:paraId="5AF5E75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w:t>
            </w:r>
          </w:p>
        </w:tc>
        <w:tc>
          <w:tcPr>
            <w:tcW w:w="1200" w:type="dxa"/>
            <w:noWrap/>
            <w:hideMark/>
          </w:tcPr>
          <w:p w14:paraId="26B91EB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200" w:type="dxa"/>
            <w:noWrap/>
            <w:hideMark/>
          </w:tcPr>
          <w:p w14:paraId="26DB529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46FBCF4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543</w:t>
            </w:r>
          </w:p>
        </w:tc>
        <w:tc>
          <w:tcPr>
            <w:tcW w:w="1200" w:type="dxa"/>
            <w:noWrap/>
            <w:hideMark/>
          </w:tcPr>
          <w:p w14:paraId="454BDCF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200" w:type="dxa"/>
            <w:noWrap/>
            <w:hideMark/>
          </w:tcPr>
          <w:p w14:paraId="0A69BBF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764656EA" w14:textId="77777777" w:rsidTr="00E2395F">
        <w:trPr>
          <w:trHeight w:val="300"/>
        </w:trPr>
        <w:tc>
          <w:tcPr>
            <w:cnfStyle w:val="001000000000" w:firstRow="0" w:lastRow="0" w:firstColumn="1" w:lastColumn="0" w:oddVBand="0" w:evenVBand="0" w:oddHBand="0" w:evenHBand="0" w:firstRowFirstColumn="0" w:firstRowLastColumn="0" w:lastRowFirstColumn="0" w:lastRowLastColumn="0"/>
            <w:tcW w:w="881" w:type="dxa"/>
            <w:noWrap/>
            <w:hideMark/>
          </w:tcPr>
          <w:p w14:paraId="20A5B6C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1199" w:type="dxa"/>
            <w:noWrap/>
            <w:hideMark/>
          </w:tcPr>
          <w:p w14:paraId="1062BB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w:t>
            </w:r>
          </w:p>
        </w:tc>
        <w:tc>
          <w:tcPr>
            <w:tcW w:w="1200" w:type="dxa"/>
            <w:noWrap/>
            <w:hideMark/>
          </w:tcPr>
          <w:p w14:paraId="36BC2B9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200" w:type="dxa"/>
            <w:noWrap/>
            <w:hideMark/>
          </w:tcPr>
          <w:p w14:paraId="6BE1438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00" w:type="dxa"/>
            <w:noWrap/>
            <w:hideMark/>
          </w:tcPr>
          <w:p w14:paraId="3BE78B2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495</w:t>
            </w:r>
          </w:p>
        </w:tc>
        <w:tc>
          <w:tcPr>
            <w:tcW w:w="1200" w:type="dxa"/>
            <w:noWrap/>
            <w:hideMark/>
          </w:tcPr>
          <w:p w14:paraId="3CD2F29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200" w:type="dxa"/>
            <w:noWrap/>
            <w:hideMark/>
          </w:tcPr>
          <w:p w14:paraId="03B29D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bl>
    <w:p w14:paraId="5E938169" w14:textId="77777777" w:rsidR="008E2315" w:rsidRDefault="008E2315" w:rsidP="009507A4">
      <w:pPr>
        <w:pStyle w:val="Heading5"/>
        <w:rPr>
          <w:rFonts w:ascii="Times New Roman" w:eastAsiaTheme="minorHAnsi" w:hAnsi="Times New Roman" w:cstheme="minorBidi"/>
          <w:bCs/>
          <w:color w:val="auto"/>
          <w:sz w:val="20"/>
          <w:szCs w:val="20"/>
          <w:lang w:val="en-US"/>
        </w:rPr>
      </w:pPr>
    </w:p>
    <w:p w14:paraId="2180221A" w14:textId="37DE19E0" w:rsidR="007937EB" w:rsidRPr="009507A4" w:rsidRDefault="007937EB" w:rsidP="009507A4">
      <w:pPr>
        <w:pStyle w:val="Heading5"/>
      </w:pPr>
      <w:r w:rsidRPr="007937EB">
        <w:t xml:space="preserve">Non-intentional single ingredient paracetamol poisoning exposure events in those aged </w:t>
      </w:r>
      <w:r w:rsidRPr="007937EB">
        <w:rPr>
          <w:u w:val="single"/>
        </w:rPr>
        <w:t>&gt;</w:t>
      </w:r>
      <w:r w:rsidRPr="007937EB">
        <w:t xml:space="preserve"> 5. (NSW PIC 2011-21)</w:t>
      </w:r>
    </w:p>
    <w:tbl>
      <w:tblPr>
        <w:tblStyle w:val="ListTable2"/>
        <w:tblW w:w="7513" w:type="dxa"/>
        <w:tblLook w:val="04A0" w:firstRow="1" w:lastRow="0" w:firstColumn="1" w:lastColumn="0" w:noHBand="0" w:noVBand="1"/>
      </w:tblPr>
      <w:tblGrid>
        <w:gridCol w:w="960"/>
        <w:gridCol w:w="960"/>
        <w:gridCol w:w="1236"/>
        <w:gridCol w:w="1293"/>
        <w:gridCol w:w="1221"/>
        <w:gridCol w:w="1154"/>
        <w:gridCol w:w="1050"/>
      </w:tblGrid>
      <w:tr w:rsidR="007937EB" w:rsidRPr="00AB23D3" w14:paraId="3F2E48A9" w14:textId="77777777" w:rsidTr="003A67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595959" w:themeFill="text1" w:themeFillTint="A6"/>
            <w:noWrap/>
            <w:hideMark/>
          </w:tcPr>
          <w:p w14:paraId="4BA9008F" w14:textId="77777777" w:rsidR="007937EB" w:rsidRPr="00AB23D3" w:rsidRDefault="007937EB" w:rsidP="007937EB">
            <w:pPr>
              <w:rPr>
                <w:rFonts w:eastAsia="Times New Roman" w:cs="Times New Roman"/>
                <w:color w:val="FFFFFF" w:themeColor="background1"/>
                <w:sz w:val="20"/>
                <w:szCs w:val="20"/>
                <w:lang w:eastAsia="en-AU"/>
              </w:rPr>
            </w:pPr>
          </w:p>
        </w:tc>
        <w:tc>
          <w:tcPr>
            <w:tcW w:w="960" w:type="dxa"/>
            <w:shd w:val="clear" w:color="auto" w:fill="595959" w:themeFill="text1" w:themeFillTint="A6"/>
            <w:noWrap/>
            <w:hideMark/>
          </w:tcPr>
          <w:p w14:paraId="2D8741DF"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Child (5 to 14 years)</w:t>
            </w:r>
          </w:p>
        </w:tc>
        <w:tc>
          <w:tcPr>
            <w:tcW w:w="1236" w:type="dxa"/>
            <w:shd w:val="clear" w:color="auto" w:fill="595959" w:themeFill="text1" w:themeFillTint="A6"/>
            <w:noWrap/>
            <w:hideMark/>
          </w:tcPr>
          <w:p w14:paraId="38F6CC46"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Adolescent (15 - 19 years)</w:t>
            </w:r>
          </w:p>
        </w:tc>
        <w:tc>
          <w:tcPr>
            <w:tcW w:w="1293" w:type="dxa"/>
            <w:shd w:val="clear" w:color="auto" w:fill="595959" w:themeFill="text1" w:themeFillTint="A6"/>
            <w:noWrap/>
            <w:hideMark/>
          </w:tcPr>
          <w:p w14:paraId="6F075F1C"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Unspecified child/ adolescent</w:t>
            </w:r>
          </w:p>
        </w:tc>
        <w:tc>
          <w:tcPr>
            <w:tcW w:w="1221" w:type="dxa"/>
            <w:shd w:val="clear" w:color="auto" w:fill="595959" w:themeFill="text1" w:themeFillTint="A6"/>
            <w:noWrap/>
            <w:hideMark/>
          </w:tcPr>
          <w:p w14:paraId="08D8B288"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Adult (20 to 74 years)</w:t>
            </w:r>
          </w:p>
        </w:tc>
        <w:tc>
          <w:tcPr>
            <w:tcW w:w="1154" w:type="dxa"/>
            <w:shd w:val="clear" w:color="auto" w:fill="595959" w:themeFill="text1" w:themeFillTint="A6"/>
            <w:noWrap/>
            <w:hideMark/>
          </w:tcPr>
          <w:p w14:paraId="7C45BA88"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Elderly (&gt;75 years)</w:t>
            </w:r>
          </w:p>
        </w:tc>
        <w:tc>
          <w:tcPr>
            <w:tcW w:w="689" w:type="dxa"/>
            <w:shd w:val="clear" w:color="auto" w:fill="595959" w:themeFill="text1" w:themeFillTint="A6"/>
            <w:noWrap/>
            <w:hideMark/>
          </w:tcPr>
          <w:p w14:paraId="1A11FD47"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54633415"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DA65A4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 xml:space="preserve">Female </w:t>
            </w:r>
          </w:p>
        </w:tc>
        <w:tc>
          <w:tcPr>
            <w:tcW w:w="960" w:type="dxa"/>
            <w:noWrap/>
            <w:hideMark/>
          </w:tcPr>
          <w:p w14:paraId="21E147C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5A8C7BB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93" w:type="dxa"/>
            <w:noWrap/>
            <w:hideMark/>
          </w:tcPr>
          <w:p w14:paraId="5A73A3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21" w:type="dxa"/>
            <w:noWrap/>
            <w:hideMark/>
          </w:tcPr>
          <w:p w14:paraId="2149D0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54" w:type="dxa"/>
            <w:noWrap/>
            <w:hideMark/>
          </w:tcPr>
          <w:p w14:paraId="27C8C07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689" w:type="dxa"/>
            <w:noWrap/>
            <w:hideMark/>
          </w:tcPr>
          <w:p w14:paraId="5B8D3CD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0D6517C2"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D1E3C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1B1BC3C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151</w:t>
            </w:r>
          </w:p>
        </w:tc>
        <w:tc>
          <w:tcPr>
            <w:tcW w:w="1236" w:type="dxa"/>
            <w:noWrap/>
            <w:hideMark/>
          </w:tcPr>
          <w:p w14:paraId="133165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64</w:t>
            </w:r>
          </w:p>
        </w:tc>
        <w:tc>
          <w:tcPr>
            <w:tcW w:w="1293" w:type="dxa"/>
            <w:noWrap/>
            <w:hideMark/>
          </w:tcPr>
          <w:p w14:paraId="691B6D7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221" w:type="dxa"/>
            <w:noWrap/>
            <w:hideMark/>
          </w:tcPr>
          <w:p w14:paraId="5C447CE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413</w:t>
            </w:r>
          </w:p>
        </w:tc>
        <w:tc>
          <w:tcPr>
            <w:tcW w:w="1154" w:type="dxa"/>
            <w:noWrap/>
            <w:hideMark/>
          </w:tcPr>
          <w:p w14:paraId="4A79572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689" w:type="dxa"/>
            <w:noWrap/>
            <w:hideMark/>
          </w:tcPr>
          <w:p w14:paraId="2C106E5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913714E"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A4D2A6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7D60320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236" w:type="dxa"/>
            <w:noWrap/>
            <w:hideMark/>
          </w:tcPr>
          <w:p w14:paraId="6E6BAEA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51</w:t>
            </w:r>
          </w:p>
        </w:tc>
        <w:tc>
          <w:tcPr>
            <w:tcW w:w="1293" w:type="dxa"/>
            <w:noWrap/>
            <w:hideMark/>
          </w:tcPr>
          <w:p w14:paraId="3418F9F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221" w:type="dxa"/>
            <w:noWrap/>
            <w:hideMark/>
          </w:tcPr>
          <w:p w14:paraId="3D3B425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443</w:t>
            </w:r>
          </w:p>
        </w:tc>
        <w:tc>
          <w:tcPr>
            <w:tcW w:w="1154" w:type="dxa"/>
            <w:noWrap/>
            <w:hideMark/>
          </w:tcPr>
          <w:p w14:paraId="256CDED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689" w:type="dxa"/>
            <w:noWrap/>
            <w:hideMark/>
          </w:tcPr>
          <w:p w14:paraId="5CAECDA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EFCEFC9"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9EE92A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107DF2C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c>
          <w:tcPr>
            <w:tcW w:w="1236" w:type="dxa"/>
            <w:noWrap/>
            <w:hideMark/>
          </w:tcPr>
          <w:p w14:paraId="4AD7A6C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293" w:type="dxa"/>
            <w:noWrap/>
            <w:hideMark/>
          </w:tcPr>
          <w:p w14:paraId="4E258B5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221" w:type="dxa"/>
            <w:noWrap/>
            <w:hideMark/>
          </w:tcPr>
          <w:p w14:paraId="115E5B4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474</w:t>
            </w:r>
          </w:p>
        </w:tc>
        <w:tc>
          <w:tcPr>
            <w:tcW w:w="1154" w:type="dxa"/>
            <w:noWrap/>
            <w:hideMark/>
          </w:tcPr>
          <w:p w14:paraId="6BE1474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69</w:t>
            </w:r>
          </w:p>
        </w:tc>
        <w:tc>
          <w:tcPr>
            <w:tcW w:w="689" w:type="dxa"/>
            <w:noWrap/>
            <w:hideMark/>
          </w:tcPr>
          <w:p w14:paraId="3C7852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F17642D"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87D3B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0DD25B0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c>
          <w:tcPr>
            <w:tcW w:w="1236" w:type="dxa"/>
            <w:noWrap/>
            <w:hideMark/>
          </w:tcPr>
          <w:p w14:paraId="59FA773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w:t>
            </w:r>
          </w:p>
        </w:tc>
        <w:tc>
          <w:tcPr>
            <w:tcW w:w="1293" w:type="dxa"/>
            <w:noWrap/>
            <w:hideMark/>
          </w:tcPr>
          <w:p w14:paraId="78BBDC0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21" w:type="dxa"/>
            <w:noWrap/>
            <w:hideMark/>
          </w:tcPr>
          <w:p w14:paraId="59F600F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561</w:t>
            </w:r>
          </w:p>
        </w:tc>
        <w:tc>
          <w:tcPr>
            <w:tcW w:w="1154" w:type="dxa"/>
            <w:noWrap/>
            <w:hideMark/>
          </w:tcPr>
          <w:p w14:paraId="4D8F012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91</w:t>
            </w:r>
          </w:p>
        </w:tc>
        <w:tc>
          <w:tcPr>
            <w:tcW w:w="689" w:type="dxa"/>
            <w:noWrap/>
            <w:hideMark/>
          </w:tcPr>
          <w:p w14:paraId="022B38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4908F179"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F6AEAE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53C2F84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161</w:t>
            </w:r>
          </w:p>
        </w:tc>
        <w:tc>
          <w:tcPr>
            <w:tcW w:w="1236" w:type="dxa"/>
            <w:noWrap/>
            <w:hideMark/>
          </w:tcPr>
          <w:p w14:paraId="79BCDEB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w:t>
            </w:r>
          </w:p>
        </w:tc>
        <w:tc>
          <w:tcPr>
            <w:tcW w:w="1293" w:type="dxa"/>
            <w:noWrap/>
            <w:hideMark/>
          </w:tcPr>
          <w:p w14:paraId="5DB9018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1D7C530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608</w:t>
            </w:r>
          </w:p>
        </w:tc>
        <w:tc>
          <w:tcPr>
            <w:tcW w:w="1154" w:type="dxa"/>
            <w:noWrap/>
            <w:hideMark/>
          </w:tcPr>
          <w:p w14:paraId="4589720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689" w:type="dxa"/>
            <w:noWrap/>
            <w:hideMark/>
          </w:tcPr>
          <w:p w14:paraId="44E9665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129A0E6A"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7249A2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523BADC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c>
          <w:tcPr>
            <w:tcW w:w="1236" w:type="dxa"/>
            <w:noWrap/>
            <w:hideMark/>
          </w:tcPr>
          <w:p w14:paraId="568687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293" w:type="dxa"/>
            <w:noWrap/>
            <w:hideMark/>
          </w:tcPr>
          <w:p w14:paraId="0215B6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160212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611</w:t>
            </w:r>
          </w:p>
        </w:tc>
        <w:tc>
          <w:tcPr>
            <w:tcW w:w="1154" w:type="dxa"/>
            <w:noWrap/>
            <w:hideMark/>
          </w:tcPr>
          <w:p w14:paraId="6891AC9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c>
          <w:tcPr>
            <w:tcW w:w="689" w:type="dxa"/>
            <w:noWrap/>
            <w:hideMark/>
          </w:tcPr>
          <w:p w14:paraId="37960DB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75BF1C7"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B27AA8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7BC716A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155</w:t>
            </w:r>
          </w:p>
        </w:tc>
        <w:tc>
          <w:tcPr>
            <w:tcW w:w="1236" w:type="dxa"/>
            <w:noWrap/>
            <w:hideMark/>
          </w:tcPr>
          <w:p w14:paraId="1FBDC5D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w:t>
            </w:r>
          </w:p>
        </w:tc>
        <w:tc>
          <w:tcPr>
            <w:tcW w:w="1293" w:type="dxa"/>
            <w:noWrap/>
            <w:hideMark/>
          </w:tcPr>
          <w:p w14:paraId="4E5A83D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017FDF2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589</w:t>
            </w:r>
          </w:p>
        </w:tc>
        <w:tc>
          <w:tcPr>
            <w:tcW w:w="1154" w:type="dxa"/>
            <w:noWrap/>
            <w:hideMark/>
          </w:tcPr>
          <w:p w14:paraId="21A119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689" w:type="dxa"/>
            <w:noWrap/>
            <w:hideMark/>
          </w:tcPr>
          <w:p w14:paraId="3C69F15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7C4095A"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D5741C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0782302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1236" w:type="dxa"/>
            <w:noWrap/>
            <w:hideMark/>
          </w:tcPr>
          <w:p w14:paraId="287E13F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293" w:type="dxa"/>
            <w:noWrap/>
            <w:hideMark/>
          </w:tcPr>
          <w:p w14:paraId="07D1F0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1C0760E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603</w:t>
            </w:r>
          </w:p>
        </w:tc>
        <w:tc>
          <w:tcPr>
            <w:tcW w:w="1154" w:type="dxa"/>
            <w:noWrap/>
            <w:hideMark/>
          </w:tcPr>
          <w:p w14:paraId="621CDF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689" w:type="dxa"/>
            <w:noWrap/>
            <w:hideMark/>
          </w:tcPr>
          <w:p w14:paraId="08BF8E5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73CB68D"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6A79D8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175444F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c>
          <w:tcPr>
            <w:tcW w:w="1236" w:type="dxa"/>
            <w:noWrap/>
            <w:hideMark/>
          </w:tcPr>
          <w:p w14:paraId="16E5FB9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c>
          <w:tcPr>
            <w:tcW w:w="1293" w:type="dxa"/>
            <w:noWrap/>
            <w:hideMark/>
          </w:tcPr>
          <w:p w14:paraId="0FF0A2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1D9B89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737</w:t>
            </w:r>
          </w:p>
        </w:tc>
        <w:tc>
          <w:tcPr>
            <w:tcW w:w="1154" w:type="dxa"/>
            <w:noWrap/>
            <w:hideMark/>
          </w:tcPr>
          <w:p w14:paraId="72F2ED8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c>
          <w:tcPr>
            <w:tcW w:w="689" w:type="dxa"/>
            <w:noWrap/>
            <w:hideMark/>
          </w:tcPr>
          <w:p w14:paraId="6C8EA42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5D734450"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340A3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7A79261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236" w:type="dxa"/>
            <w:noWrap/>
            <w:hideMark/>
          </w:tcPr>
          <w:p w14:paraId="14B7241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1293" w:type="dxa"/>
            <w:noWrap/>
            <w:hideMark/>
          </w:tcPr>
          <w:p w14:paraId="50F030D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298E819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757</w:t>
            </w:r>
          </w:p>
        </w:tc>
        <w:tc>
          <w:tcPr>
            <w:tcW w:w="1154" w:type="dxa"/>
            <w:noWrap/>
            <w:hideMark/>
          </w:tcPr>
          <w:p w14:paraId="5B0D933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201</w:t>
            </w:r>
          </w:p>
        </w:tc>
        <w:tc>
          <w:tcPr>
            <w:tcW w:w="689" w:type="dxa"/>
            <w:noWrap/>
            <w:hideMark/>
          </w:tcPr>
          <w:p w14:paraId="32D62C6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78DB729"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A108E6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5834AB8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236" w:type="dxa"/>
            <w:noWrap/>
            <w:hideMark/>
          </w:tcPr>
          <w:p w14:paraId="77A4981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293" w:type="dxa"/>
            <w:noWrap/>
            <w:hideMark/>
          </w:tcPr>
          <w:p w14:paraId="006C23A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4FA030B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739</w:t>
            </w:r>
          </w:p>
        </w:tc>
        <w:tc>
          <w:tcPr>
            <w:tcW w:w="1154" w:type="dxa"/>
            <w:noWrap/>
            <w:hideMark/>
          </w:tcPr>
          <w:p w14:paraId="4F79595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197</w:t>
            </w:r>
          </w:p>
        </w:tc>
        <w:tc>
          <w:tcPr>
            <w:tcW w:w="689" w:type="dxa"/>
            <w:noWrap/>
            <w:hideMark/>
          </w:tcPr>
          <w:p w14:paraId="7D6505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3FFE7FF"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B858E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Male</w:t>
            </w:r>
          </w:p>
        </w:tc>
        <w:tc>
          <w:tcPr>
            <w:tcW w:w="960" w:type="dxa"/>
            <w:noWrap/>
            <w:hideMark/>
          </w:tcPr>
          <w:p w14:paraId="7537EB9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7D56C1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93" w:type="dxa"/>
            <w:noWrap/>
            <w:hideMark/>
          </w:tcPr>
          <w:p w14:paraId="04455A7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21" w:type="dxa"/>
            <w:noWrap/>
            <w:hideMark/>
          </w:tcPr>
          <w:p w14:paraId="73AC51E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54" w:type="dxa"/>
            <w:noWrap/>
            <w:hideMark/>
          </w:tcPr>
          <w:p w14:paraId="34D01B5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689" w:type="dxa"/>
            <w:noWrap/>
            <w:hideMark/>
          </w:tcPr>
          <w:p w14:paraId="2EB5801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26D83E3C"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B73DBD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76C63F9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174</w:t>
            </w:r>
          </w:p>
        </w:tc>
        <w:tc>
          <w:tcPr>
            <w:tcW w:w="1236" w:type="dxa"/>
            <w:noWrap/>
            <w:hideMark/>
          </w:tcPr>
          <w:p w14:paraId="2E8183C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293" w:type="dxa"/>
            <w:noWrap/>
            <w:hideMark/>
          </w:tcPr>
          <w:p w14:paraId="39AA3F7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w:t>
            </w:r>
          </w:p>
        </w:tc>
        <w:tc>
          <w:tcPr>
            <w:tcW w:w="1221" w:type="dxa"/>
            <w:noWrap/>
            <w:hideMark/>
          </w:tcPr>
          <w:p w14:paraId="53528D7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231</w:t>
            </w:r>
          </w:p>
        </w:tc>
        <w:tc>
          <w:tcPr>
            <w:tcW w:w="1154" w:type="dxa"/>
            <w:noWrap/>
            <w:hideMark/>
          </w:tcPr>
          <w:p w14:paraId="21097C5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689" w:type="dxa"/>
            <w:noWrap/>
            <w:hideMark/>
          </w:tcPr>
          <w:p w14:paraId="03F3462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3CB6D2C"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0D8505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15903E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236" w:type="dxa"/>
            <w:noWrap/>
            <w:hideMark/>
          </w:tcPr>
          <w:p w14:paraId="59C5323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1293" w:type="dxa"/>
            <w:noWrap/>
            <w:hideMark/>
          </w:tcPr>
          <w:p w14:paraId="7D23F3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221" w:type="dxa"/>
            <w:noWrap/>
            <w:hideMark/>
          </w:tcPr>
          <w:p w14:paraId="67506D7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1154" w:type="dxa"/>
            <w:noWrap/>
            <w:hideMark/>
          </w:tcPr>
          <w:p w14:paraId="1384169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689" w:type="dxa"/>
            <w:noWrap/>
            <w:hideMark/>
          </w:tcPr>
          <w:p w14:paraId="4D64819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72A771C"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E27EE2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6CE723D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187</w:t>
            </w:r>
          </w:p>
        </w:tc>
        <w:tc>
          <w:tcPr>
            <w:tcW w:w="1236" w:type="dxa"/>
            <w:noWrap/>
            <w:hideMark/>
          </w:tcPr>
          <w:p w14:paraId="7A5767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293" w:type="dxa"/>
            <w:noWrap/>
            <w:hideMark/>
          </w:tcPr>
          <w:p w14:paraId="06274C3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221" w:type="dxa"/>
            <w:noWrap/>
            <w:hideMark/>
          </w:tcPr>
          <w:p w14:paraId="2CA3937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249</w:t>
            </w:r>
          </w:p>
        </w:tc>
        <w:tc>
          <w:tcPr>
            <w:tcW w:w="1154" w:type="dxa"/>
            <w:noWrap/>
            <w:hideMark/>
          </w:tcPr>
          <w:p w14:paraId="1A5C88D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689" w:type="dxa"/>
            <w:noWrap/>
            <w:hideMark/>
          </w:tcPr>
          <w:p w14:paraId="6AFA15F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5C63CD62"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3282BB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4722BED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236" w:type="dxa"/>
            <w:noWrap/>
            <w:hideMark/>
          </w:tcPr>
          <w:p w14:paraId="1AFFF50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293" w:type="dxa"/>
            <w:noWrap/>
            <w:hideMark/>
          </w:tcPr>
          <w:p w14:paraId="6867ECD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75F642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322</w:t>
            </w:r>
          </w:p>
        </w:tc>
        <w:tc>
          <w:tcPr>
            <w:tcW w:w="1154" w:type="dxa"/>
            <w:noWrap/>
            <w:hideMark/>
          </w:tcPr>
          <w:p w14:paraId="036EC4D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689" w:type="dxa"/>
            <w:noWrap/>
            <w:hideMark/>
          </w:tcPr>
          <w:p w14:paraId="4B822F7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9948D38"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CB0AA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3765AC7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191</w:t>
            </w:r>
          </w:p>
        </w:tc>
        <w:tc>
          <w:tcPr>
            <w:tcW w:w="1236" w:type="dxa"/>
            <w:noWrap/>
            <w:hideMark/>
          </w:tcPr>
          <w:p w14:paraId="5297649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293" w:type="dxa"/>
            <w:noWrap/>
            <w:hideMark/>
          </w:tcPr>
          <w:p w14:paraId="14FA061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56C94E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338</w:t>
            </w:r>
          </w:p>
        </w:tc>
        <w:tc>
          <w:tcPr>
            <w:tcW w:w="1154" w:type="dxa"/>
            <w:noWrap/>
            <w:hideMark/>
          </w:tcPr>
          <w:p w14:paraId="03D6F35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w:t>
            </w:r>
          </w:p>
        </w:tc>
        <w:tc>
          <w:tcPr>
            <w:tcW w:w="689" w:type="dxa"/>
            <w:noWrap/>
            <w:hideMark/>
          </w:tcPr>
          <w:p w14:paraId="6841A64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5379C7B7"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FA634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2ABE7A2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172</w:t>
            </w:r>
          </w:p>
        </w:tc>
        <w:tc>
          <w:tcPr>
            <w:tcW w:w="1236" w:type="dxa"/>
            <w:noWrap/>
            <w:hideMark/>
          </w:tcPr>
          <w:p w14:paraId="6860CCD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293" w:type="dxa"/>
            <w:noWrap/>
            <w:hideMark/>
          </w:tcPr>
          <w:p w14:paraId="649FF1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6703BC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368</w:t>
            </w:r>
          </w:p>
        </w:tc>
        <w:tc>
          <w:tcPr>
            <w:tcW w:w="1154" w:type="dxa"/>
            <w:noWrap/>
            <w:hideMark/>
          </w:tcPr>
          <w:p w14:paraId="15734A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53</w:t>
            </w:r>
          </w:p>
        </w:tc>
        <w:tc>
          <w:tcPr>
            <w:tcW w:w="689" w:type="dxa"/>
            <w:noWrap/>
            <w:hideMark/>
          </w:tcPr>
          <w:p w14:paraId="02FA32C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9EB392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EF9AC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60110F2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196</w:t>
            </w:r>
          </w:p>
        </w:tc>
        <w:tc>
          <w:tcPr>
            <w:tcW w:w="1236" w:type="dxa"/>
            <w:noWrap/>
            <w:hideMark/>
          </w:tcPr>
          <w:p w14:paraId="097FC6C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293" w:type="dxa"/>
            <w:noWrap/>
            <w:hideMark/>
          </w:tcPr>
          <w:p w14:paraId="05F9AF3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56C297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348</w:t>
            </w:r>
          </w:p>
        </w:tc>
        <w:tc>
          <w:tcPr>
            <w:tcW w:w="1154" w:type="dxa"/>
            <w:noWrap/>
            <w:hideMark/>
          </w:tcPr>
          <w:p w14:paraId="0241E6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689" w:type="dxa"/>
            <w:noWrap/>
            <w:hideMark/>
          </w:tcPr>
          <w:p w14:paraId="3541D73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4076F416"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FC263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5752194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192</w:t>
            </w:r>
          </w:p>
        </w:tc>
        <w:tc>
          <w:tcPr>
            <w:tcW w:w="1236" w:type="dxa"/>
            <w:noWrap/>
            <w:hideMark/>
          </w:tcPr>
          <w:p w14:paraId="03A01C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293" w:type="dxa"/>
            <w:noWrap/>
            <w:hideMark/>
          </w:tcPr>
          <w:p w14:paraId="305FCF3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669E7F2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344</w:t>
            </w:r>
          </w:p>
        </w:tc>
        <w:tc>
          <w:tcPr>
            <w:tcW w:w="1154" w:type="dxa"/>
            <w:noWrap/>
            <w:hideMark/>
          </w:tcPr>
          <w:p w14:paraId="6980B7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68</w:t>
            </w:r>
          </w:p>
        </w:tc>
        <w:tc>
          <w:tcPr>
            <w:tcW w:w="689" w:type="dxa"/>
            <w:noWrap/>
            <w:hideMark/>
          </w:tcPr>
          <w:p w14:paraId="0A1771D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BA1F644"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7EC59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506DE96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232</w:t>
            </w:r>
          </w:p>
        </w:tc>
        <w:tc>
          <w:tcPr>
            <w:tcW w:w="1236" w:type="dxa"/>
            <w:noWrap/>
            <w:hideMark/>
          </w:tcPr>
          <w:p w14:paraId="23A0B25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293" w:type="dxa"/>
            <w:noWrap/>
            <w:hideMark/>
          </w:tcPr>
          <w:p w14:paraId="66E6B93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3C5BD48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407</w:t>
            </w:r>
          </w:p>
        </w:tc>
        <w:tc>
          <w:tcPr>
            <w:tcW w:w="1154" w:type="dxa"/>
            <w:noWrap/>
            <w:hideMark/>
          </w:tcPr>
          <w:p w14:paraId="29F6558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689" w:type="dxa"/>
            <w:noWrap/>
            <w:hideMark/>
          </w:tcPr>
          <w:p w14:paraId="6A3C053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2A9C517D"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F7140E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26D3D2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236" w:type="dxa"/>
            <w:noWrap/>
            <w:hideMark/>
          </w:tcPr>
          <w:p w14:paraId="274270D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293" w:type="dxa"/>
            <w:noWrap/>
            <w:hideMark/>
          </w:tcPr>
          <w:p w14:paraId="3AF0230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297D8AF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405</w:t>
            </w:r>
          </w:p>
        </w:tc>
        <w:tc>
          <w:tcPr>
            <w:tcW w:w="1154" w:type="dxa"/>
            <w:noWrap/>
            <w:hideMark/>
          </w:tcPr>
          <w:p w14:paraId="5049902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70</w:t>
            </w:r>
          </w:p>
        </w:tc>
        <w:tc>
          <w:tcPr>
            <w:tcW w:w="689" w:type="dxa"/>
            <w:noWrap/>
            <w:hideMark/>
          </w:tcPr>
          <w:p w14:paraId="312D1C1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AF8B993"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9EEF0C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6E9861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236" w:type="dxa"/>
            <w:noWrap/>
            <w:hideMark/>
          </w:tcPr>
          <w:p w14:paraId="66D0309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293" w:type="dxa"/>
            <w:noWrap/>
            <w:hideMark/>
          </w:tcPr>
          <w:p w14:paraId="5BE5479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21" w:type="dxa"/>
            <w:noWrap/>
            <w:hideMark/>
          </w:tcPr>
          <w:p w14:paraId="05F8DFF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415</w:t>
            </w:r>
          </w:p>
        </w:tc>
        <w:tc>
          <w:tcPr>
            <w:tcW w:w="1154" w:type="dxa"/>
            <w:noWrap/>
            <w:hideMark/>
          </w:tcPr>
          <w:p w14:paraId="37B5250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w:t>
            </w:r>
          </w:p>
        </w:tc>
        <w:tc>
          <w:tcPr>
            <w:tcW w:w="689" w:type="dxa"/>
            <w:noWrap/>
            <w:hideMark/>
          </w:tcPr>
          <w:p w14:paraId="3B5B5C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bl>
    <w:p w14:paraId="72F407C7" w14:textId="77777777" w:rsidR="007937EB" w:rsidRPr="007937EB" w:rsidRDefault="007937EB" w:rsidP="007937EB">
      <w:pPr>
        <w:rPr>
          <w:rFonts w:asciiTheme="minorHAnsi" w:hAnsiTheme="minorHAnsi"/>
          <w:sz w:val="22"/>
        </w:rPr>
      </w:pPr>
    </w:p>
    <w:p w14:paraId="7711F4BA" w14:textId="799A0512" w:rsidR="007937EB" w:rsidRPr="009507A4" w:rsidRDefault="007937EB" w:rsidP="009507A4">
      <w:pPr>
        <w:pStyle w:val="Heading5"/>
      </w:pPr>
      <w:r w:rsidRPr="007937EB">
        <w:t>Intentional paracetamol combination product poisoning exposures generating calls. (NSW PIC 2011-21)</w:t>
      </w:r>
    </w:p>
    <w:tbl>
      <w:tblPr>
        <w:tblStyle w:val="ListTable2"/>
        <w:tblW w:w="7950" w:type="dxa"/>
        <w:tblLook w:val="04A0" w:firstRow="1" w:lastRow="0" w:firstColumn="1" w:lastColumn="0" w:noHBand="0" w:noVBand="1"/>
      </w:tblPr>
      <w:tblGrid>
        <w:gridCol w:w="968"/>
        <w:gridCol w:w="960"/>
        <w:gridCol w:w="1236"/>
        <w:gridCol w:w="1293"/>
        <w:gridCol w:w="1213"/>
        <w:gridCol w:w="1178"/>
        <w:gridCol w:w="1102"/>
      </w:tblGrid>
      <w:tr w:rsidR="007937EB" w:rsidRPr="00AB23D3" w14:paraId="45540FE1" w14:textId="77777777" w:rsidTr="003A67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shd w:val="clear" w:color="auto" w:fill="595959" w:themeFill="text1" w:themeFillTint="A6"/>
            <w:noWrap/>
            <w:hideMark/>
          </w:tcPr>
          <w:p w14:paraId="06E6838D" w14:textId="77777777" w:rsidR="007937EB" w:rsidRPr="00AB23D3" w:rsidRDefault="007937EB" w:rsidP="007937EB">
            <w:pPr>
              <w:rPr>
                <w:rFonts w:eastAsia="Times New Roman" w:cs="Times New Roman"/>
                <w:color w:val="FFFFFF" w:themeColor="background1"/>
                <w:sz w:val="20"/>
                <w:szCs w:val="20"/>
                <w:lang w:eastAsia="en-AU"/>
              </w:rPr>
            </w:pPr>
          </w:p>
        </w:tc>
        <w:tc>
          <w:tcPr>
            <w:tcW w:w="960" w:type="dxa"/>
            <w:shd w:val="clear" w:color="auto" w:fill="595959" w:themeFill="text1" w:themeFillTint="A6"/>
            <w:noWrap/>
            <w:hideMark/>
          </w:tcPr>
          <w:p w14:paraId="545174F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Child (5 to 14 years)</w:t>
            </w:r>
          </w:p>
        </w:tc>
        <w:tc>
          <w:tcPr>
            <w:tcW w:w="1236" w:type="dxa"/>
            <w:shd w:val="clear" w:color="auto" w:fill="595959" w:themeFill="text1" w:themeFillTint="A6"/>
            <w:noWrap/>
            <w:hideMark/>
          </w:tcPr>
          <w:p w14:paraId="5401F3A9"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Adolescent (15 - 19 years)</w:t>
            </w:r>
          </w:p>
        </w:tc>
        <w:tc>
          <w:tcPr>
            <w:tcW w:w="1293" w:type="dxa"/>
            <w:shd w:val="clear" w:color="auto" w:fill="595959" w:themeFill="text1" w:themeFillTint="A6"/>
            <w:noWrap/>
            <w:hideMark/>
          </w:tcPr>
          <w:p w14:paraId="69ED8DDB"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Unspecified child/ adolescent</w:t>
            </w:r>
          </w:p>
        </w:tc>
        <w:tc>
          <w:tcPr>
            <w:tcW w:w="1213" w:type="dxa"/>
            <w:shd w:val="clear" w:color="auto" w:fill="595959" w:themeFill="text1" w:themeFillTint="A6"/>
            <w:noWrap/>
            <w:hideMark/>
          </w:tcPr>
          <w:p w14:paraId="5968073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Adult (20 to 74 years)</w:t>
            </w:r>
          </w:p>
        </w:tc>
        <w:tc>
          <w:tcPr>
            <w:tcW w:w="1178" w:type="dxa"/>
            <w:shd w:val="clear" w:color="auto" w:fill="595959" w:themeFill="text1" w:themeFillTint="A6"/>
            <w:noWrap/>
            <w:hideMark/>
          </w:tcPr>
          <w:p w14:paraId="06EA9298"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Elderly (&gt;75 years)</w:t>
            </w:r>
          </w:p>
        </w:tc>
        <w:tc>
          <w:tcPr>
            <w:tcW w:w="1102" w:type="dxa"/>
            <w:shd w:val="clear" w:color="auto" w:fill="595959" w:themeFill="text1" w:themeFillTint="A6"/>
            <w:noWrap/>
            <w:hideMark/>
          </w:tcPr>
          <w:p w14:paraId="7006861E"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0F9CA98D"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4F202A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Females</w:t>
            </w:r>
          </w:p>
        </w:tc>
        <w:tc>
          <w:tcPr>
            <w:tcW w:w="960" w:type="dxa"/>
            <w:noWrap/>
            <w:hideMark/>
          </w:tcPr>
          <w:p w14:paraId="135BB6C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4080A7E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93" w:type="dxa"/>
            <w:noWrap/>
            <w:hideMark/>
          </w:tcPr>
          <w:p w14:paraId="22B6CD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13" w:type="dxa"/>
            <w:noWrap/>
            <w:hideMark/>
          </w:tcPr>
          <w:p w14:paraId="59EBB7E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78" w:type="dxa"/>
            <w:noWrap/>
            <w:hideMark/>
          </w:tcPr>
          <w:p w14:paraId="42FC167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02" w:type="dxa"/>
            <w:noWrap/>
            <w:hideMark/>
          </w:tcPr>
          <w:p w14:paraId="5BF636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01A85EB1"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08212EC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7C0BAC9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79</w:t>
            </w:r>
          </w:p>
        </w:tc>
        <w:tc>
          <w:tcPr>
            <w:tcW w:w="1236" w:type="dxa"/>
            <w:noWrap/>
            <w:hideMark/>
          </w:tcPr>
          <w:p w14:paraId="66E89D6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298</w:t>
            </w:r>
          </w:p>
        </w:tc>
        <w:tc>
          <w:tcPr>
            <w:tcW w:w="1293" w:type="dxa"/>
            <w:noWrap/>
            <w:hideMark/>
          </w:tcPr>
          <w:p w14:paraId="04EA769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13" w:type="dxa"/>
            <w:noWrap/>
            <w:hideMark/>
          </w:tcPr>
          <w:p w14:paraId="31D37AD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583</w:t>
            </w:r>
          </w:p>
        </w:tc>
        <w:tc>
          <w:tcPr>
            <w:tcW w:w="1178" w:type="dxa"/>
            <w:noWrap/>
            <w:hideMark/>
          </w:tcPr>
          <w:p w14:paraId="191C154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102" w:type="dxa"/>
            <w:noWrap/>
            <w:hideMark/>
          </w:tcPr>
          <w:p w14:paraId="6568D4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543334E2"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3454A6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0444EBD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c>
          <w:tcPr>
            <w:tcW w:w="1236" w:type="dxa"/>
            <w:noWrap/>
            <w:hideMark/>
          </w:tcPr>
          <w:p w14:paraId="6317D3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392</w:t>
            </w:r>
          </w:p>
        </w:tc>
        <w:tc>
          <w:tcPr>
            <w:tcW w:w="1293" w:type="dxa"/>
            <w:noWrap/>
            <w:hideMark/>
          </w:tcPr>
          <w:p w14:paraId="242484D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13" w:type="dxa"/>
            <w:noWrap/>
            <w:hideMark/>
          </w:tcPr>
          <w:p w14:paraId="28094B4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585</w:t>
            </w:r>
          </w:p>
        </w:tc>
        <w:tc>
          <w:tcPr>
            <w:tcW w:w="1178" w:type="dxa"/>
            <w:noWrap/>
            <w:hideMark/>
          </w:tcPr>
          <w:p w14:paraId="0798CEF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102" w:type="dxa"/>
            <w:noWrap/>
            <w:hideMark/>
          </w:tcPr>
          <w:p w14:paraId="0C487E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7EB497CC"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B80B79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240FEE8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c>
          <w:tcPr>
            <w:tcW w:w="1236" w:type="dxa"/>
            <w:noWrap/>
            <w:hideMark/>
          </w:tcPr>
          <w:p w14:paraId="123D8BC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466</w:t>
            </w:r>
          </w:p>
        </w:tc>
        <w:tc>
          <w:tcPr>
            <w:tcW w:w="1293" w:type="dxa"/>
            <w:noWrap/>
            <w:hideMark/>
          </w:tcPr>
          <w:p w14:paraId="5E272A2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13" w:type="dxa"/>
            <w:noWrap/>
            <w:hideMark/>
          </w:tcPr>
          <w:p w14:paraId="1F88049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668</w:t>
            </w:r>
          </w:p>
        </w:tc>
        <w:tc>
          <w:tcPr>
            <w:tcW w:w="1178" w:type="dxa"/>
            <w:noWrap/>
            <w:hideMark/>
          </w:tcPr>
          <w:p w14:paraId="4025BF9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102" w:type="dxa"/>
            <w:noWrap/>
            <w:hideMark/>
          </w:tcPr>
          <w:p w14:paraId="03340BC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7A9EEF71"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1306A6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696E63D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143</w:t>
            </w:r>
          </w:p>
        </w:tc>
        <w:tc>
          <w:tcPr>
            <w:tcW w:w="1236" w:type="dxa"/>
            <w:noWrap/>
            <w:hideMark/>
          </w:tcPr>
          <w:p w14:paraId="4AF9A7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411</w:t>
            </w:r>
          </w:p>
        </w:tc>
        <w:tc>
          <w:tcPr>
            <w:tcW w:w="1293" w:type="dxa"/>
            <w:noWrap/>
            <w:hideMark/>
          </w:tcPr>
          <w:p w14:paraId="668FEC7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3A6ED5F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732</w:t>
            </w:r>
          </w:p>
        </w:tc>
        <w:tc>
          <w:tcPr>
            <w:tcW w:w="1178" w:type="dxa"/>
            <w:noWrap/>
            <w:hideMark/>
          </w:tcPr>
          <w:p w14:paraId="4913249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102" w:type="dxa"/>
            <w:noWrap/>
            <w:hideMark/>
          </w:tcPr>
          <w:p w14:paraId="7E6EC5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r>
      <w:tr w:rsidR="007937EB" w:rsidRPr="00AB23D3" w14:paraId="7EC9B9AE"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E54CE3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5678F4A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139</w:t>
            </w:r>
          </w:p>
        </w:tc>
        <w:tc>
          <w:tcPr>
            <w:tcW w:w="1236" w:type="dxa"/>
            <w:noWrap/>
            <w:hideMark/>
          </w:tcPr>
          <w:p w14:paraId="794F1D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407</w:t>
            </w:r>
          </w:p>
        </w:tc>
        <w:tc>
          <w:tcPr>
            <w:tcW w:w="1293" w:type="dxa"/>
            <w:noWrap/>
            <w:hideMark/>
          </w:tcPr>
          <w:p w14:paraId="6B23593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4621F81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787</w:t>
            </w:r>
          </w:p>
        </w:tc>
        <w:tc>
          <w:tcPr>
            <w:tcW w:w="1178" w:type="dxa"/>
            <w:noWrap/>
            <w:hideMark/>
          </w:tcPr>
          <w:p w14:paraId="20370F8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1102" w:type="dxa"/>
            <w:noWrap/>
            <w:hideMark/>
          </w:tcPr>
          <w:p w14:paraId="7B5B75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w:t>
            </w:r>
          </w:p>
        </w:tc>
      </w:tr>
      <w:tr w:rsidR="007937EB" w:rsidRPr="00AB23D3" w14:paraId="20A4657C"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BE53B8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4429728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180</w:t>
            </w:r>
          </w:p>
        </w:tc>
        <w:tc>
          <w:tcPr>
            <w:tcW w:w="1236" w:type="dxa"/>
            <w:noWrap/>
            <w:hideMark/>
          </w:tcPr>
          <w:p w14:paraId="051A64C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493</w:t>
            </w:r>
          </w:p>
        </w:tc>
        <w:tc>
          <w:tcPr>
            <w:tcW w:w="1293" w:type="dxa"/>
            <w:noWrap/>
            <w:hideMark/>
          </w:tcPr>
          <w:p w14:paraId="6098FC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6822AFF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735</w:t>
            </w:r>
          </w:p>
        </w:tc>
        <w:tc>
          <w:tcPr>
            <w:tcW w:w="1178" w:type="dxa"/>
            <w:noWrap/>
            <w:hideMark/>
          </w:tcPr>
          <w:p w14:paraId="15C5BA9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102" w:type="dxa"/>
            <w:noWrap/>
            <w:hideMark/>
          </w:tcPr>
          <w:p w14:paraId="5D9462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r>
      <w:tr w:rsidR="007937EB" w:rsidRPr="00AB23D3" w14:paraId="40991D6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DD606C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76CF247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219</w:t>
            </w:r>
          </w:p>
        </w:tc>
        <w:tc>
          <w:tcPr>
            <w:tcW w:w="1236" w:type="dxa"/>
            <w:noWrap/>
            <w:hideMark/>
          </w:tcPr>
          <w:p w14:paraId="03B69BB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528</w:t>
            </w:r>
          </w:p>
        </w:tc>
        <w:tc>
          <w:tcPr>
            <w:tcW w:w="1293" w:type="dxa"/>
            <w:noWrap/>
            <w:hideMark/>
          </w:tcPr>
          <w:p w14:paraId="0F813F4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6C64972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859</w:t>
            </w:r>
          </w:p>
        </w:tc>
        <w:tc>
          <w:tcPr>
            <w:tcW w:w="1178" w:type="dxa"/>
            <w:noWrap/>
            <w:hideMark/>
          </w:tcPr>
          <w:p w14:paraId="6A07744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102" w:type="dxa"/>
            <w:noWrap/>
            <w:hideMark/>
          </w:tcPr>
          <w:p w14:paraId="3B04C22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r>
      <w:tr w:rsidR="007937EB" w:rsidRPr="00AB23D3" w14:paraId="4775D6D9"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D09939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0370EBC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217</w:t>
            </w:r>
          </w:p>
        </w:tc>
        <w:tc>
          <w:tcPr>
            <w:tcW w:w="1236" w:type="dxa"/>
            <w:noWrap/>
            <w:hideMark/>
          </w:tcPr>
          <w:p w14:paraId="1E1190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525</w:t>
            </w:r>
          </w:p>
        </w:tc>
        <w:tc>
          <w:tcPr>
            <w:tcW w:w="1293" w:type="dxa"/>
            <w:noWrap/>
            <w:hideMark/>
          </w:tcPr>
          <w:p w14:paraId="22D1FD6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6CF2341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846</w:t>
            </w:r>
          </w:p>
        </w:tc>
        <w:tc>
          <w:tcPr>
            <w:tcW w:w="1178" w:type="dxa"/>
            <w:noWrap/>
            <w:hideMark/>
          </w:tcPr>
          <w:p w14:paraId="22C5965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102" w:type="dxa"/>
            <w:noWrap/>
            <w:hideMark/>
          </w:tcPr>
          <w:p w14:paraId="1124AF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CAED909"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0EC014B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79E811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c>
          <w:tcPr>
            <w:tcW w:w="1236" w:type="dxa"/>
            <w:noWrap/>
            <w:hideMark/>
          </w:tcPr>
          <w:p w14:paraId="570233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568</w:t>
            </w:r>
          </w:p>
        </w:tc>
        <w:tc>
          <w:tcPr>
            <w:tcW w:w="1293" w:type="dxa"/>
            <w:noWrap/>
            <w:hideMark/>
          </w:tcPr>
          <w:p w14:paraId="0A7EF5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439E9D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884</w:t>
            </w:r>
          </w:p>
        </w:tc>
        <w:tc>
          <w:tcPr>
            <w:tcW w:w="1178" w:type="dxa"/>
            <w:noWrap/>
            <w:hideMark/>
          </w:tcPr>
          <w:p w14:paraId="371B860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2" w:type="dxa"/>
            <w:noWrap/>
            <w:hideMark/>
          </w:tcPr>
          <w:p w14:paraId="35F254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627BDCA"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AC908E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1D688A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352</w:t>
            </w:r>
          </w:p>
        </w:tc>
        <w:tc>
          <w:tcPr>
            <w:tcW w:w="1236" w:type="dxa"/>
            <w:noWrap/>
            <w:hideMark/>
          </w:tcPr>
          <w:p w14:paraId="4E9323A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824</w:t>
            </w:r>
          </w:p>
        </w:tc>
        <w:tc>
          <w:tcPr>
            <w:tcW w:w="1293" w:type="dxa"/>
            <w:noWrap/>
            <w:hideMark/>
          </w:tcPr>
          <w:p w14:paraId="7DCBB66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0B20729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1092</w:t>
            </w:r>
          </w:p>
        </w:tc>
        <w:tc>
          <w:tcPr>
            <w:tcW w:w="1178" w:type="dxa"/>
            <w:noWrap/>
            <w:hideMark/>
          </w:tcPr>
          <w:p w14:paraId="76D9E70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102" w:type="dxa"/>
            <w:noWrap/>
            <w:hideMark/>
          </w:tcPr>
          <w:p w14:paraId="208194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244409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DA8BDF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2D8C361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577</w:t>
            </w:r>
          </w:p>
        </w:tc>
        <w:tc>
          <w:tcPr>
            <w:tcW w:w="1236" w:type="dxa"/>
            <w:noWrap/>
            <w:hideMark/>
          </w:tcPr>
          <w:p w14:paraId="77042B9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1050</w:t>
            </w:r>
          </w:p>
        </w:tc>
        <w:tc>
          <w:tcPr>
            <w:tcW w:w="1293" w:type="dxa"/>
            <w:noWrap/>
            <w:hideMark/>
          </w:tcPr>
          <w:p w14:paraId="7609C0E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6F3B72C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1123</w:t>
            </w:r>
          </w:p>
        </w:tc>
        <w:tc>
          <w:tcPr>
            <w:tcW w:w="1178" w:type="dxa"/>
            <w:noWrap/>
            <w:hideMark/>
          </w:tcPr>
          <w:p w14:paraId="56AE3F8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30</w:t>
            </w:r>
          </w:p>
        </w:tc>
        <w:tc>
          <w:tcPr>
            <w:tcW w:w="1102" w:type="dxa"/>
            <w:noWrap/>
            <w:hideMark/>
          </w:tcPr>
          <w:p w14:paraId="75C85A7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A2D0984"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2F6E5F9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Males</w:t>
            </w:r>
          </w:p>
        </w:tc>
        <w:tc>
          <w:tcPr>
            <w:tcW w:w="960" w:type="dxa"/>
            <w:noWrap/>
            <w:hideMark/>
          </w:tcPr>
          <w:p w14:paraId="3855AD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49F191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93" w:type="dxa"/>
            <w:noWrap/>
            <w:hideMark/>
          </w:tcPr>
          <w:p w14:paraId="536AFA8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13" w:type="dxa"/>
            <w:noWrap/>
            <w:hideMark/>
          </w:tcPr>
          <w:p w14:paraId="4A19575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78" w:type="dxa"/>
            <w:noWrap/>
            <w:hideMark/>
          </w:tcPr>
          <w:p w14:paraId="4937B59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02" w:type="dxa"/>
            <w:noWrap/>
            <w:hideMark/>
          </w:tcPr>
          <w:p w14:paraId="793D27C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25339950"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6CD2D43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6F23EB7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236" w:type="dxa"/>
            <w:noWrap/>
            <w:hideMark/>
          </w:tcPr>
          <w:p w14:paraId="500E0C8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w:t>
            </w:r>
          </w:p>
        </w:tc>
        <w:tc>
          <w:tcPr>
            <w:tcW w:w="1293" w:type="dxa"/>
            <w:noWrap/>
            <w:hideMark/>
          </w:tcPr>
          <w:p w14:paraId="4603631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0AFD779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276</w:t>
            </w:r>
          </w:p>
        </w:tc>
        <w:tc>
          <w:tcPr>
            <w:tcW w:w="1178" w:type="dxa"/>
            <w:noWrap/>
            <w:hideMark/>
          </w:tcPr>
          <w:p w14:paraId="38E0EC7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102" w:type="dxa"/>
            <w:noWrap/>
            <w:hideMark/>
          </w:tcPr>
          <w:p w14:paraId="27DB5AB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02E9C01"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78D577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146091E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236" w:type="dxa"/>
            <w:noWrap/>
            <w:hideMark/>
          </w:tcPr>
          <w:p w14:paraId="57C9E41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94</w:t>
            </w:r>
          </w:p>
        </w:tc>
        <w:tc>
          <w:tcPr>
            <w:tcW w:w="1293" w:type="dxa"/>
            <w:noWrap/>
            <w:hideMark/>
          </w:tcPr>
          <w:p w14:paraId="774047C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780DAB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1178" w:type="dxa"/>
            <w:noWrap/>
            <w:hideMark/>
          </w:tcPr>
          <w:p w14:paraId="3F7B24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102" w:type="dxa"/>
            <w:noWrap/>
            <w:hideMark/>
          </w:tcPr>
          <w:p w14:paraId="7236177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536DFE94"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723845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6898DD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236" w:type="dxa"/>
            <w:noWrap/>
            <w:hideMark/>
          </w:tcPr>
          <w:p w14:paraId="4B7117D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w:t>
            </w:r>
          </w:p>
        </w:tc>
        <w:tc>
          <w:tcPr>
            <w:tcW w:w="1293" w:type="dxa"/>
            <w:noWrap/>
            <w:hideMark/>
          </w:tcPr>
          <w:p w14:paraId="4CAD8CB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213" w:type="dxa"/>
            <w:noWrap/>
            <w:hideMark/>
          </w:tcPr>
          <w:p w14:paraId="38FD40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313</w:t>
            </w:r>
          </w:p>
        </w:tc>
        <w:tc>
          <w:tcPr>
            <w:tcW w:w="1178" w:type="dxa"/>
            <w:noWrap/>
            <w:hideMark/>
          </w:tcPr>
          <w:p w14:paraId="66AD86E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102" w:type="dxa"/>
            <w:noWrap/>
            <w:hideMark/>
          </w:tcPr>
          <w:p w14:paraId="2A1DC72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7016C6F"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DCC64A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653F5D2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236" w:type="dxa"/>
            <w:noWrap/>
            <w:hideMark/>
          </w:tcPr>
          <w:p w14:paraId="4AE550E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w:t>
            </w:r>
          </w:p>
        </w:tc>
        <w:tc>
          <w:tcPr>
            <w:tcW w:w="1293" w:type="dxa"/>
            <w:noWrap/>
            <w:hideMark/>
          </w:tcPr>
          <w:p w14:paraId="5A5D561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49BC24E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352</w:t>
            </w:r>
          </w:p>
        </w:tc>
        <w:tc>
          <w:tcPr>
            <w:tcW w:w="1178" w:type="dxa"/>
            <w:noWrap/>
            <w:hideMark/>
          </w:tcPr>
          <w:p w14:paraId="51E020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102" w:type="dxa"/>
            <w:noWrap/>
            <w:hideMark/>
          </w:tcPr>
          <w:p w14:paraId="1E52BBF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DF5EDB4"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CA9D4A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5A4F43C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236" w:type="dxa"/>
            <w:noWrap/>
            <w:hideMark/>
          </w:tcPr>
          <w:p w14:paraId="2DE8564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1293" w:type="dxa"/>
            <w:noWrap/>
            <w:hideMark/>
          </w:tcPr>
          <w:p w14:paraId="4543B1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50FC3F3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344</w:t>
            </w:r>
          </w:p>
        </w:tc>
        <w:tc>
          <w:tcPr>
            <w:tcW w:w="1178" w:type="dxa"/>
            <w:noWrap/>
            <w:hideMark/>
          </w:tcPr>
          <w:p w14:paraId="78119C5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102" w:type="dxa"/>
            <w:noWrap/>
            <w:hideMark/>
          </w:tcPr>
          <w:p w14:paraId="56A75F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837FA06"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0EAD01E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1E2E1FB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236" w:type="dxa"/>
            <w:noWrap/>
            <w:hideMark/>
          </w:tcPr>
          <w:p w14:paraId="6A8420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89</w:t>
            </w:r>
          </w:p>
        </w:tc>
        <w:tc>
          <w:tcPr>
            <w:tcW w:w="1293" w:type="dxa"/>
            <w:noWrap/>
            <w:hideMark/>
          </w:tcPr>
          <w:p w14:paraId="69E37B5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5700098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374</w:t>
            </w:r>
          </w:p>
        </w:tc>
        <w:tc>
          <w:tcPr>
            <w:tcW w:w="1178" w:type="dxa"/>
            <w:noWrap/>
            <w:hideMark/>
          </w:tcPr>
          <w:p w14:paraId="3779839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102" w:type="dxa"/>
            <w:noWrap/>
            <w:hideMark/>
          </w:tcPr>
          <w:p w14:paraId="4BB9F6A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48EEFFB4"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67F891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75BB8AE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236" w:type="dxa"/>
            <w:noWrap/>
            <w:hideMark/>
          </w:tcPr>
          <w:p w14:paraId="36CBAAD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1293" w:type="dxa"/>
            <w:noWrap/>
            <w:hideMark/>
          </w:tcPr>
          <w:p w14:paraId="3E64B5B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389C2A9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412</w:t>
            </w:r>
          </w:p>
        </w:tc>
        <w:tc>
          <w:tcPr>
            <w:tcW w:w="1178" w:type="dxa"/>
            <w:noWrap/>
            <w:hideMark/>
          </w:tcPr>
          <w:p w14:paraId="5A1B898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1102" w:type="dxa"/>
            <w:noWrap/>
            <w:hideMark/>
          </w:tcPr>
          <w:p w14:paraId="6D78A8C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6D78CFA6"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3D4858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5B12ECB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236" w:type="dxa"/>
            <w:noWrap/>
            <w:hideMark/>
          </w:tcPr>
          <w:p w14:paraId="001051E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293" w:type="dxa"/>
            <w:noWrap/>
            <w:hideMark/>
          </w:tcPr>
          <w:p w14:paraId="0D228C1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0166312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439</w:t>
            </w:r>
          </w:p>
        </w:tc>
        <w:tc>
          <w:tcPr>
            <w:tcW w:w="1178" w:type="dxa"/>
            <w:noWrap/>
            <w:hideMark/>
          </w:tcPr>
          <w:p w14:paraId="48781C3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w:t>
            </w:r>
          </w:p>
        </w:tc>
        <w:tc>
          <w:tcPr>
            <w:tcW w:w="1102" w:type="dxa"/>
            <w:noWrap/>
            <w:hideMark/>
          </w:tcPr>
          <w:p w14:paraId="42DE83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7E379B94"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EC3135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2CCA74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236" w:type="dxa"/>
            <w:noWrap/>
            <w:hideMark/>
          </w:tcPr>
          <w:p w14:paraId="6DD9E40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1293" w:type="dxa"/>
            <w:noWrap/>
            <w:hideMark/>
          </w:tcPr>
          <w:p w14:paraId="5B0DF69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41BB2B5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442</w:t>
            </w:r>
          </w:p>
        </w:tc>
        <w:tc>
          <w:tcPr>
            <w:tcW w:w="1178" w:type="dxa"/>
            <w:noWrap/>
            <w:hideMark/>
          </w:tcPr>
          <w:p w14:paraId="447BADC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2" w:type="dxa"/>
            <w:noWrap/>
            <w:hideMark/>
          </w:tcPr>
          <w:p w14:paraId="57C6BC6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75096C05"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365871E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7A159AF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w:t>
            </w:r>
          </w:p>
        </w:tc>
        <w:tc>
          <w:tcPr>
            <w:tcW w:w="1236" w:type="dxa"/>
            <w:noWrap/>
            <w:hideMark/>
          </w:tcPr>
          <w:p w14:paraId="29E76BA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293" w:type="dxa"/>
            <w:noWrap/>
            <w:hideMark/>
          </w:tcPr>
          <w:p w14:paraId="2E19787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222FAA8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543</w:t>
            </w:r>
          </w:p>
        </w:tc>
        <w:tc>
          <w:tcPr>
            <w:tcW w:w="1178" w:type="dxa"/>
            <w:noWrap/>
            <w:hideMark/>
          </w:tcPr>
          <w:p w14:paraId="19ACC3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102" w:type="dxa"/>
            <w:noWrap/>
            <w:hideMark/>
          </w:tcPr>
          <w:p w14:paraId="13D888E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B571346"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0581F50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65A2C9A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54</w:t>
            </w:r>
          </w:p>
        </w:tc>
        <w:tc>
          <w:tcPr>
            <w:tcW w:w="1236" w:type="dxa"/>
            <w:noWrap/>
            <w:hideMark/>
          </w:tcPr>
          <w:p w14:paraId="311F65B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194</w:t>
            </w:r>
          </w:p>
        </w:tc>
        <w:tc>
          <w:tcPr>
            <w:tcW w:w="1293" w:type="dxa"/>
            <w:noWrap/>
            <w:hideMark/>
          </w:tcPr>
          <w:p w14:paraId="1C8DC0A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213" w:type="dxa"/>
            <w:noWrap/>
            <w:hideMark/>
          </w:tcPr>
          <w:p w14:paraId="052374D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495</w:t>
            </w:r>
          </w:p>
        </w:tc>
        <w:tc>
          <w:tcPr>
            <w:tcW w:w="1178" w:type="dxa"/>
            <w:noWrap/>
            <w:hideMark/>
          </w:tcPr>
          <w:p w14:paraId="3C47521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02" w:type="dxa"/>
            <w:noWrap/>
            <w:hideMark/>
          </w:tcPr>
          <w:p w14:paraId="17246C2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bl>
    <w:p w14:paraId="068B5A39" w14:textId="77777777" w:rsidR="007937EB" w:rsidRPr="007937EB" w:rsidRDefault="007937EB" w:rsidP="007937EB">
      <w:pPr>
        <w:rPr>
          <w:rFonts w:asciiTheme="minorHAnsi" w:hAnsiTheme="minorHAnsi"/>
          <w:sz w:val="22"/>
        </w:rPr>
      </w:pPr>
    </w:p>
    <w:p w14:paraId="4134AB44" w14:textId="7533C12C" w:rsidR="007937EB" w:rsidRPr="009507A4" w:rsidRDefault="007937EB" w:rsidP="009507A4">
      <w:pPr>
        <w:pStyle w:val="Heading5"/>
      </w:pPr>
      <w:r w:rsidRPr="007937EB">
        <w:t>Non-intentional paracetamol combination product poisoning exposures generating calls. (NSW PIC 2011-21)</w:t>
      </w:r>
    </w:p>
    <w:tbl>
      <w:tblPr>
        <w:tblStyle w:val="ListTable2"/>
        <w:tblW w:w="7888" w:type="dxa"/>
        <w:tblLook w:val="04A0" w:firstRow="1" w:lastRow="0" w:firstColumn="1" w:lastColumn="0" w:noHBand="0" w:noVBand="1"/>
      </w:tblPr>
      <w:tblGrid>
        <w:gridCol w:w="968"/>
        <w:gridCol w:w="960"/>
        <w:gridCol w:w="1236"/>
        <w:gridCol w:w="1372"/>
        <w:gridCol w:w="1180"/>
        <w:gridCol w:w="947"/>
        <w:gridCol w:w="1225"/>
      </w:tblGrid>
      <w:tr w:rsidR="007937EB" w:rsidRPr="00AB23D3" w14:paraId="6014FFDC" w14:textId="77777777" w:rsidTr="003A67E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shd w:val="clear" w:color="auto" w:fill="595959" w:themeFill="text1" w:themeFillTint="A6"/>
            <w:noWrap/>
            <w:hideMark/>
          </w:tcPr>
          <w:p w14:paraId="1C9B3695" w14:textId="77777777" w:rsidR="007937EB" w:rsidRPr="00AB23D3" w:rsidRDefault="007937EB" w:rsidP="007937EB">
            <w:pPr>
              <w:rPr>
                <w:rFonts w:eastAsia="Times New Roman" w:cs="Times New Roman"/>
                <w:color w:val="FFFFFF" w:themeColor="background1"/>
                <w:sz w:val="20"/>
                <w:szCs w:val="20"/>
                <w:lang w:eastAsia="en-AU"/>
              </w:rPr>
            </w:pPr>
          </w:p>
        </w:tc>
        <w:tc>
          <w:tcPr>
            <w:tcW w:w="960" w:type="dxa"/>
            <w:shd w:val="clear" w:color="auto" w:fill="595959" w:themeFill="text1" w:themeFillTint="A6"/>
            <w:noWrap/>
            <w:hideMark/>
          </w:tcPr>
          <w:p w14:paraId="0989B4AB"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Child (5 to 14 years)</w:t>
            </w:r>
          </w:p>
        </w:tc>
        <w:tc>
          <w:tcPr>
            <w:tcW w:w="1236" w:type="dxa"/>
            <w:shd w:val="clear" w:color="auto" w:fill="595959" w:themeFill="text1" w:themeFillTint="A6"/>
            <w:noWrap/>
            <w:hideMark/>
          </w:tcPr>
          <w:p w14:paraId="02E4C2F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Adolescent (15 - 19 years)</w:t>
            </w:r>
          </w:p>
        </w:tc>
        <w:tc>
          <w:tcPr>
            <w:tcW w:w="1372" w:type="dxa"/>
            <w:shd w:val="clear" w:color="auto" w:fill="595959" w:themeFill="text1" w:themeFillTint="A6"/>
            <w:noWrap/>
            <w:hideMark/>
          </w:tcPr>
          <w:p w14:paraId="1D192699"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Unspecified child/ adolescent</w:t>
            </w:r>
          </w:p>
        </w:tc>
        <w:tc>
          <w:tcPr>
            <w:tcW w:w="1180" w:type="dxa"/>
            <w:shd w:val="clear" w:color="auto" w:fill="595959" w:themeFill="text1" w:themeFillTint="A6"/>
            <w:noWrap/>
            <w:hideMark/>
          </w:tcPr>
          <w:p w14:paraId="68EA8862"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Adult (20 to 74 years)</w:t>
            </w:r>
          </w:p>
        </w:tc>
        <w:tc>
          <w:tcPr>
            <w:tcW w:w="947" w:type="dxa"/>
            <w:shd w:val="clear" w:color="auto" w:fill="595959" w:themeFill="text1" w:themeFillTint="A6"/>
            <w:noWrap/>
            <w:hideMark/>
          </w:tcPr>
          <w:p w14:paraId="087F0F6A"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Elderly (&gt;75 years)</w:t>
            </w:r>
          </w:p>
        </w:tc>
        <w:tc>
          <w:tcPr>
            <w:tcW w:w="1225" w:type="dxa"/>
            <w:shd w:val="clear" w:color="auto" w:fill="595959" w:themeFill="text1" w:themeFillTint="A6"/>
            <w:noWrap/>
            <w:hideMark/>
          </w:tcPr>
          <w:p w14:paraId="0D7F19FF"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24042A50"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20A88BE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Females</w:t>
            </w:r>
          </w:p>
        </w:tc>
        <w:tc>
          <w:tcPr>
            <w:tcW w:w="960" w:type="dxa"/>
            <w:noWrap/>
            <w:hideMark/>
          </w:tcPr>
          <w:p w14:paraId="7D0C66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5FC701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372" w:type="dxa"/>
            <w:noWrap/>
            <w:hideMark/>
          </w:tcPr>
          <w:p w14:paraId="7085AA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80" w:type="dxa"/>
            <w:noWrap/>
            <w:hideMark/>
          </w:tcPr>
          <w:p w14:paraId="52DFCBA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47" w:type="dxa"/>
            <w:noWrap/>
            <w:hideMark/>
          </w:tcPr>
          <w:p w14:paraId="6E94D78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25" w:type="dxa"/>
            <w:noWrap/>
            <w:hideMark/>
          </w:tcPr>
          <w:p w14:paraId="5F1E2F2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28F2F959"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ED8008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4F99F19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151</w:t>
            </w:r>
          </w:p>
        </w:tc>
        <w:tc>
          <w:tcPr>
            <w:tcW w:w="1236" w:type="dxa"/>
            <w:noWrap/>
            <w:hideMark/>
          </w:tcPr>
          <w:p w14:paraId="5FD736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64</w:t>
            </w:r>
          </w:p>
        </w:tc>
        <w:tc>
          <w:tcPr>
            <w:tcW w:w="1372" w:type="dxa"/>
            <w:noWrap/>
            <w:hideMark/>
          </w:tcPr>
          <w:p w14:paraId="5E5D5E3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180" w:type="dxa"/>
            <w:noWrap/>
            <w:hideMark/>
          </w:tcPr>
          <w:p w14:paraId="3EF429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413</w:t>
            </w:r>
          </w:p>
        </w:tc>
        <w:tc>
          <w:tcPr>
            <w:tcW w:w="947" w:type="dxa"/>
            <w:noWrap/>
            <w:hideMark/>
          </w:tcPr>
          <w:p w14:paraId="37E3B64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1225" w:type="dxa"/>
            <w:noWrap/>
            <w:hideMark/>
          </w:tcPr>
          <w:p w14:paraId="35D4349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889915E"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0C54996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248E0EF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c>
          <w:tcPr>
            <w:tcW w:w="1236" w:type="dxa"/>
            <w:noWrap/>
            <w:hideMark/>
          </w:tcPr>
          <w:p w14:paraId="78E0C7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51</w:t>
            </w:r>
          </w:p>
        </w:tc>
        <w:tc>
          <w:tcPr>
            <w:tcW w:w="1372" w:type="dxa"/>
            <w:noWrap/>
            <w:hideMark/>
          </w:tcPr>
          <w:p w14:paraId="6255A5A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180" w:type="dxa"/>
            <w:noWrap/>
            <w:hideMark/>
          </w:tcPr>
          <w:p w14:paraId="0ABFC6C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443</w:t>
            </w:r>
          </w:p>
        </w:tc>
        <w:tc>
          <w:tcPr>
            <w:tcW w:w="947" w:type="dxa"/>
            <w:noWrap/>
            <w:hideMark/>
          </w:tcPr>
          <w:p w14:paraId="7A3906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1225" w:type="dxa"/>
            <w:noWrap/>
            <w:hideMark/>
          </w:tcPr>
          <w:p w14:paraId="78B37B2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91519A0"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09A8E2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744C413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c>
          <w:tcPr>
            <w:tcW w:w="1236" w:type="dxa"/>
            <w:noWrap/>
            <w:hideMark/>
          </w:tcPr>
          <w:p w14:paraId="2C6DB22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372" w:type="dxa"/>
            <w:noWrap/>
            <w:hideMark/>
          </w:tcPr>
          <w:p w14:paraId="0758EC7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180" w:type="dxa"/>
            <w:noWrap/>
            <w:hideMark/>
          </w:tcPr>
          <w:p w14:paraId="7974910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474</w:t>
            </w:r>
          </w:p>
        </w:tc>
        <w:tc>
          <w:tcPr>
            <w:tcW w:w="947" w:type="dxa"/>
            <w:noWrap/>
            <w:hideMark/>
          </w:tcPr>
          <w:p w14:paraId="07EDC1A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69</w:t>
            </w:r>
          </w:p>
        </w:tc>
        <w:tc>
          <w:tcPr>
            <w:tcW w:w="1225" w:type="dxa"/>
            <w:noWrap/>
            <w:hideMark/>
          </w:tcPr>
          <w:p w14:paraId="472A9EA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7BE1B49"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984E85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0AD31E7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c>
          <w:tcPr>
            <w:tcW w:w="1236" w:type="dxa"/>
            <w:noWrap/>
            <w:hideMark/>
          </w:tcPr>
          <w:p w14:paraId="604382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w:t>
            </w:r>
          </w:p>
        </w:tc>
        <w:tc>
          <w:tcPr>
            <w:tcW w:w="1372" w:type="dxa"/>
            <w:noWrap/>
            <w:hideMark/>
          </w:tcPr>
          <w:p w14:paraId="18F93EC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c>
          <w:tcPr>
            <w:tcW w:w="1180" w:type="dxa"/>
            <w:noWrap/>
            <w:hideMark/>
          </w:tcPr>
          <w:p w14:paraId="2CEB266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561</w:t>
            </w:r>
          </w:p>
        </w:tc>
        <w:tc>
          <w:tcPr>
            <w:tcW w:w="947" w:type="dxa"/>
            <w:noWrap/>
            <w:hideMark/>
          </w:tcPr>
          <w:p w14:paraId="542CEE6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91</w:t>
            </w:r>
          </w:p>
        </w:tc>
        <w:tc>
          <w:tcPr>
            <w:tcW w:w="1225" w:type="dxa"/>
            <w:noWrap/>
            <w:hideMark/>
          </w:tcPr>
          <w:p w14:paraId="5AC3772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49E1845F"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329816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1A55597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161</w:t>
            </w:r>
          </w:p>
        </w:tc>
        <w:tc>
          <w:tcPr>
            <w:tcW w:w="1236" w:type="dxa"/>
            <w:noWrap/>
            <w:hideMark/>
          </w:tcPr>
          <w:p w14:paraId="5756853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w:t>
            </w:r>
          </w:p>
        </w:tc>
        <w:tc>
          <w:tcPr>
            <w:tcW w:w="1372" w:type="dxa"/>
            <w:noWrap/>
            <w:hideMark/>
          </w:tcPr>
          <w:p w14:paraId="2D42994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6EFE24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608</w:t>
            </w:r>
          </w:p>
        </w:tc>
        <w:tc>
          <w:tcPr>
            <w:tcW w:w="947" w:type="dxa"/>
            <w:noWrap/>
            <w:hideMark/>
          </w:tcPr>
          <w:p w14:paraId="26CB7D8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1225" w:type="dxa"/>
            <w:noWrap/>
            <w:hideMark/>
          </w:tcPr>
          <w:p w14:paraId="679B3F8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384747DB"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6BA0184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77D0984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c>
          <w:tcPr>
            <w:tcW w:w="1236" w:type="dxa"/>
            <w:noWrap/>
            <w:hideMark/>
          </w:tcPr>
          <w:p w14:paraId="18700F3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w:t>
            </w:r>
          </w:p>
        </w:tc>
        <w:tc>
          <w:tcPr>
            <w:tcW w:w="1372" w:type="dxa"/>
            <w:noWrap/>
            <w:hideMark/>
          </w:tcPr>
          <w:p w14:paraId="1E04052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1B4652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611</w:t>
            </w:r>
          </w:p>
        </w:tc>
        <w:tc>
          <w:tcPr>
            <w:tcW w:w="947" w:type="dxa"/>
            <w:noWrap/>
            <w:hideMark/>
          </w:tcPr>
          <w:p w14:paraId="73DEA8D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c>
          <w:tcPr>
            <w:tcW w:w="1225" w:type="dxa"/>
            <w:noWrap/>
            <w:hideMark/>
          </w:tcPr>
          <w:p w14:paraId="3FFF17F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D5C86E0"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219C705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098E233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155</w:t>
            </w:r>
          </w:p>
        </w:tc>
        <w:tc>
          <w:tcPr>
            <w:tcW w:w="1236" w:type="dxa"/>
            <w:noWrap/>
            <w:hideMark/>
          </w:tcPr>
          <w:p w14:paraId="2CE94FD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w:t>
            </w:r>
          </w:p>
        </w:tc>
        <w:tc>
          <w:tcPr>
            <w:tcW w:w="1372" w:type="dxa"/>
            <w:noWrap/>
            <w:hideMark/>
          </w:tcPr>
          <w:p w14:paraId="0DA7DB2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7B8FDD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589</w:t>
            </w:r>
          </w:p>
        </w:tc>
        <w:tc>
          <w:tcPr>
            <w:tcW w:w="947" w:type="dxa"/>
            <w:noWrap/>
            <w:hideMark/>
          </w:tcPr>
          <w:p w14:paraId="59214E0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1225" w:type="dxa"/>
            <w:noWrap/>
            <w:hideMark/>
          </w:tcPr>
          <w:p w14:paraId="6DBAABC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4454389"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1AEFED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4173522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1236" w:type="dxa"/>
            <w:noWrap/>
            <w:hideMark/>
          </w:tcPr>
          <w:p w14:paraId="00245A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w:t>
            </w:r>
          </w:p>
        </w:tc>
        <w:tc>
          <w:tcPr>
            <w:tcW w:w="1372" w:type="dxa"/>
            <w:noWrap/>
            <w:hideMark/>
          </w:tcPr>
          <w:p w14:paraId="0DB26A4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10A4E3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603</w:t>
            </w:r>
          </w:p>
        </w:tc>
        <w:tc>
          <w:tcPr>
            <w:tcW w:w="947" w:type="dxa"/>
            <w:noWrap/>
            <w:hideMark/>
          </w:tcPr>
          <w:p w14:paraId="20C0C0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225" w:type="dxa"/>
            <w:noWrap/>
            <w:hideMark/>
          </w:tcPr>
          <w:p w14:paraId="1D9B277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3B32B9FB"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03CDA0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498510A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c>
          <w:tcPr>
            <w:tcW w:w="1236" w:type="dxa"/>
            <w:noWrap/>
            <w:hideMark/>
          </w:tcPr>
          <w:p w14:paraId="10DD269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c>
          <w:tcPr>
            <w:tcW w:w="1372" w:type="dxa"/>
            <w:noWrap/>
            <w:hideMark/>
          </w:tcPr>
          <w:p w14:paraId="0F1E711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1DE500A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737</w:t>
            </w:r>
          </w:p>
        </w:tc>
        <w:tc>
          <w:tcPr>
            <w:tcW w:w="947" w:type="dxa"/>
            <w:noWrap/>
            <w:hideMark/>
          </w:tcPr>
          <w:p w14:paraId="7555FDB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c>
          <w:tcPr>
            <w:tcW w:w="1225" w:type="dxa"/>
            <w:noWrap/>
            <w:hideMark/>
          </w:tcPr>
          <w:p w14:paraId="7EF294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1578C2CF"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2415B85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704C9EA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1236" w:type="dxa"/>
            <w:noWrap/>
            <w:hideMark/>
          </w:tcPr>
          <w:p w14:paraId="466EE1A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1372" w:type="dxa"/>
            <w:noWrap/>
            <w:hideMark/>
          </w:tcPr>
          <w:p w14:paraId="26D3A90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210901F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757</w:t>
            </w:r>
          </w:p>
        </w:tc>
        <w:tc>
          <w:tcPr>
            <w:tcW w:w="947" w:type="dxa"/>
            <w:noWrap/>
            <w:hideMark/>
          </w:tcPr>
          <w:p w14:paraId="719DE51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201</w:t>
            </w:r>
          </w:p>
        </w:tc>
        <w:tc>
          <w:tcPr>
            <w:tcW w:w="1225" w:type="dxa"/>
            <w:noWrap/>
            <w:hideMark/>
          </w:tcPr>
          <w:p w14:paraId="516B1E5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EA6044C"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4D63DB0"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3A09758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236" w:type="dxa"/>
            <w:noWrap/>
            <w:hideMark/>
          </w:tcPr>
          <w:p w14:paraId="17EDDDA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372" w:type="dxa"/>
            <w:noWrap/>
            <w:hideMark/>
          </w:tcPr>
          <w:p w14:paraId="1B5C6EC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4412F42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739</w:t>
            </w:r>
          </w:p>
        </w:tc>
        <w:tc>
          <w:tcPr>
            <w:tcW w:w="947" w:type="dxa"/>
            <w:noWrap/>
            <w:hideMark/>
          </w:tcPr>
          <w:p w14:paraId="262E566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197</w:t>
            </w:r>
          </w:p>
        </w:tc>
        <w:tc>
          <w:tcPr>
            <w:tcW w:w="1225" w:type="dxa"/>
            <w:noWrap/>
            <w:hideMark/>
          </w:tcPr>
          <w:p w14:paraId="5AB5E1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D6F3AAD"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1FF8F8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 xml:space="preserve">Males </w:t>
            </w:r>
          </w:p>
        </w:tc>
        <w:tc>
          <w:tcPr>
            <w:tcW w:w="960" w:type="dxa"/>
            <w:noWrap/>
            <w:hideMark/>
          </w:tcPr>
          <w:p w14:paraId="1431350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236" w:type="dxa"/>
            <w:noWrap/>
            <w:hideMark/>
          </w:tcPr>
          <w:p w14:paraId="3ECC66B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372" w:type="dxa"/>
            <w:noWrap/>
            <w:hideMark/>
          </w:tcPr>
          <w:p w14:paraId="428C9EF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180" w:type="dxa"/>
            <w:noWrap/>
            <w:hideMark/>
          </w:tcPr>
          <w:p w14:paraId="27BC586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47" w:type="dxa"/>
            <w:noWrap/>
            <w:hideMark/>
          </w:tcPr>
          <w:p w14:paraId="7F994BD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225" w:type="dxa"/>
            <w:noWrap/>
            <w:hideMark/>
          </w:tcPr>
          <w:p w14:paraId="36FFC68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2F8B6DB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F2AC354"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960" w:type="dxa"/>
            <w:noWrap/>
            <w:hideMark/>
          </w:tcPr>
          <w:p w14:paraId="26946E7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174</w:t>
            </w:r>
          </w:p>
        </w:tc>
        <w:tc>
          <w:tcPr>
            <w:tcW w:w="1236" w:type="dxa"/>
            <w:noWrap/>
            <w:hideMark/>
          </w:tcPr>
          <w:p w14:paraId="275EBC4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372" w:type="dxa"/>
            <w:noWrap/>
            <w:hideMark/>
          </w:tcPr>
          <w:p w14:paraId="786A8D1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w:t>
            </w:r>
          </w:p>
        </w:tc>
        <w:tc>
          <w:tcPr>
            <w:tcW w:w="1180" w:type="dxa"/>
            <w:noWrap/>
            <w:hideMark/>
          </w:tcPr>
          <w:p w14:paraId="2AB4AC1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231</w:t>
            </w:r>
          </w:p>
        </w:tc>
        <w:tc>
          <w:tcPr>
            <w:tcW w:w="947" w:type="dxa"/>
            <w:noWrap/>
            <w:hideMark/>
          </w:tcPr>
          <w:p w14:paraId="703BA3E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225" w:type="dxa"/>
            <w:noWrap/>
            <w:hideMark/>
          </w:tcPr>
          <w:p w14:paraId="3B0AFCA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66DAC90A"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2FC86D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960" w:type="dxa"/>
            <w:noWrap/>
            <w:hideMark/>
          </w:tcPr>
          <w:p w14:paraId="7CCD57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236" w:type="dxa"/>
            <w:noWrap/>
            <w:hideMark/>
          </w:tcPr>
          <w:p w14:paraId="6C96ED6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1372" w:type="dxa"/>
            <w:noWrap/>
            <w:hideMark/>
          </w:tcPr>
          <w:p w14:paraId="751DA8B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1180" w:type="dxa"/>
            <w:noWrap/>
            <w:hideMark/>
          </w:tcPr>
          <w:p w14:paraId="0DDF0FF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264</w:t>
            </w:r>
          </w:p>
        </w:tc>
        <w:tc>
          <w:tcPr>
            <w:tcW w:w="947" w:type="dxa"/>
            <w:noWrap/>
            <w:hideMark/>
          </w:tcPr>
          <w:p w14:paraId="4173235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225" w:type="dxa"/>
            <w:noWrap/>
            <w:hideMark/>
          </w:tcPr>
          <w:p w14:paraId="79204A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B40ECF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25F6F6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960" w:type="dxa"/>
            <w:noWrap/>
            <w:hideMark/>
          </w:tcPr>
          <w:p w14:paraId="5241BC6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187</w:t>
            </w:r>
          </w:p>
        </w:tc>
        <w:tc>
          <w:tcPr>
            <w:tcW w:w="1236" w:type="dxa"/>
            <w:noWrap/>
            <w:hideMark/>
          </w:tcPr>
          <w:p w14:paraId="3EE58A2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372" w:type="dxa"/>
            <w:noWrap/>
            <w:hideMark/>
          </w:tcPr>
          <w:p w14:paraId="06F269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w:t>
            </w:r>
          </w:p>
        </w:tc>
        <w:tc>
          <w:tcPr>
            <w:tcW w:w="1180" w:type="dxa"/>
            <w:noWrap/>
            <w:hideMark/>
          </w:tcPr>
          <w:p w14:paraId="1CD13FE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249</w:t>
            </w:r>
          </w:p>
        </w:tc>
        <w:tc>
          <w:tcPr>
            <w:tcW w:w="947" w:type="dxa"/>
            <w:noWrap/>
            <w:hideMark/>
          </w:tcPr>
          <w:p w14:paraId="228C57E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225" w:type="dxa"/>
            <w:noWrap/>
            <w:hideMark/>
          </w:tcPr>
          <w:p w14:paraId="7D1434F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F14C808"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54CF24F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960" w:type="dxa"/>
            <w:noWrap/>
            <w:hideMark/>
          </w:tcPr>
          <w:p w14:paraId="29CA90F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152</w:t>
            </w:r>
          </w:p>
        </w:tc>
        <w:tc>
          <w:tcPr>
            <w:tcW w:w="1236" w:type="dxa"/>
            <w:noWrap/>
            <w:hideMark/>
          </w:tcPr>
          <w:p w14:paraId="5B274CA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372" w:type="dxa"/>
            <w:noWrap/>
            <w:hideMark/>
          </w:tcPr>
          <w:p w14:paraId="0DB3CFF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463D62B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322</w:t>
            </w:r>
          </w:p>
        </w:tc>
        <w:tc>
          <w:tcPr>
            <w:tcW w:w="947" w:type="dxa"/>
            <w:noWrap/>
            <w:hideMark/>
          </w:tcPr>
          <w:p w14:paraId="3C01AEB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1225" w:type="dxa"/>
            <w:noWrap/>
            <w:hideMark/>
          </w:tcPr>
          <w:p w14:paraId="2799B72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119EE45A"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6B4ACBD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960" w:type="dxa"/>
            <w:noWrap/>
            <w:hideMark/>
          </w:tcPr>
          <w:p w14:paraId="2F7A2D3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191</w:t>
            </w:r>
          </w:p>
        </w:tc>
        <w:tc>
          <w:tcPr>
            <w:tcW w:w="1236" w:type="dxa"/>
            <w:noWrap/>
            <w:hideMark/>
          </w:tcPr>
          <w:p w14:paraId="7D25E04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1372" w:type="dxa"/>
            <w:noWrap/>
            <w:hideMark/>
          </w:tcPr>
          <w:p w14:paraId="311B398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7C7AA93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338</w:t>
            </w:r>
          </w:p>
        </w:tc>
        <w:tc>
          <w:tcPr>
            <w:tcW w:w="947" w:type="dxa"/>
            <w:noWrap/>
            <w:hideMark/>
          </w:tcPr>
          <w:p w14:paraId="08BA6D2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w:t>
            </w:r>
          </w:p>
        </w:tc>
        <w:tc>
          <w:tcPr>
            <w:tcW w:w="1225" w:type="dxa"/>
            <w:noWrap/>
            <w:hideMark/>
          </w:tcPr>
          <w:p w14:paraId="72FA912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0D371B7C"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7AB154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960" w:type="dxa"/>
            <w:noWrap/>
            <w:hideMark/>
          </w:tcPr>
          <w:p w14:paraId="195B402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172</w:t>
            </w:r>
          </w:p>
        </w:tc>
        <w:tc>
          <w:tcPr>
            <w:tcW w:w="1236" w:type="dxa"/>
            <w:noWrap/>
            <w:hideMark/>
          </w:tcPr>
          <w:p w14:paraId="5CB99E7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1372" w:type="dxa"/>
            <w:noWrap/>
            <w:hideMark/>
          </w:tcPr>
          <w:p w14:paraId="58021E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64603A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368</w:t>
            </w:r>
          </w:p>
        </w:tc>
        <w:tc>
          <w:tcPr>
            <w:tcW w:w="947" w:type="dxa"/>
            <w:noWrap/>
            <w:hideMark/>
          </w:tcPr>
          <w:p w14:paraId="5ABAB8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53</w:t>
            </w:r>
          </w:p>
        </w:tc>
        <w:tc>
          <w:tcPr>
            <w:tcW w:w="1225" w:type="dxa"/>
            <w:noWrap/>
            <w:hideMark/>
          </w:tcPr>
          <w:p w14:paraId="484153C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&lt;5</w:t>
            </w:r>
          </w:p>
        </w:tc>
      </w:tr>
      <w:tr w:rsidR="007937EB" w:rsidRPr="00AB23D3" w14:paraId="1BB11A55"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16262E0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960" w:type="dxa"/>
            <w:noWrap/>
            <w:hideMark/>
          </w:tcPr>
          <w:p w14:paraId="51BF9A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196</w:t>
            </w:r>
          </w:p>
        </w:tc>
        <w:tc>
          <w:tcPr>
            <w:tcW w:w="1236" w:type="dxa"/>
            <w:noWrap/>
            <w:hideMark/>
          </w:tcPr>
          <w:p w14:paraId="3E990A4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372" w:type="dxa"/>
            <w:noWrap/>
            <w:hideMark/>
          </w:tcPr>
          <w:p w14:paraId="102C5E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1120CFC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348</w:t>
            </w:r>
          </w:p>
        </w:tc>
        <w:tc>
          <w:tcPr>
            <w:tcW w:w="947" w:type="dxa"/>
            <w:noWrap/>
            <w:hideMark/>
          </w:tcPr>
          <w:p w14:paraId="32D08BF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1225" w:type="dxa"/>
            <w:noWrap/>
            <w:hideMark/>
          </w:tcPr>
          <w:p w14:paraId="059762A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236AB4C4"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744BEB0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960" w:type="dxa"/>
            <w:noWrap/>
            <w:hideMark/>
          </w:tcPr>
          <w:p w14:paraId="1F84FFB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192</w:t>
            </w:r>
          </w:p>
        </w:tc>
        <w:tc>
          <w:tcPr>
            <w:tcW w:w="1236" w:type="dxa"/>
            <w:noWrap/>
            <w:hideMark/>
          </w:tcPr>
          <w:p w14:paraId="4C5370C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372" w:type="dxa"/>
            <w:noWrap/>
            <w:hideMark/>
          </w:tcPr>
          <w:p w14:paraId="381AD6A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78A9229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344</w:t>
            </w:r>
          </w:p>
        </w:tc>
        <w:tc>
          <w:tcPr>
            <w:tcW w:w="947" w:type="dxa"/>
            <w:noWrap/>
            <w:hideMark/>
          </w:tcPr>
          <w:p w14:paraId="0BA048C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68</w:t>
            </w:r>
          </w:p>
        </w:tc>
        <w:tc>
          <w:tcPr>
            <w:tcW w:w="1225" w:type="dxa"/>
            <w:noWrap/>
            <w:hideMark/>
          </w:tcPr>
          <w:p w14:paraId="1F15D3C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764DFFC8"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4FA5888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960" w:type="dxa"/>
            <w:noWrap/>
            <w:hideMark/>
          </w:tcPr>
          <w:p w14:paraId="1C72E4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232</w:t>
            </w:r>
          </w:p>
        </w:tc>
        <w:tc>
          <w:tcPr>
            <w:tcW w:w="1236" w:type="dxa"/>
            <w:noWrap/>
            <w:hideMark/>
          </w:tcPr>
          <w:p w14:paraId="7EA5A37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1372" w:type="dxa"/>
            <w:noWrap/>
            <w:hideMark/>
          </w:tcPr>
          <w:p w14:paraId="337D0D4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5F726EB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407</w:t>
            </w:r>
          </w:p>
        </w:tc>
        <w:tc>
          <w:tcPr>
            <w:tcW w:w="947" w:type="dxa"/>
            <w:noWrap/>
            <w:hideMark/>
          </w:tcPr>
          <w:p w14:paraId="440E8F9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73</w:t>
            </w:r>
          </w:p>
        </w:tc>
        <w:tc>
          <w:tcPr>
            <w:tcW w:w="1225" w:type="dxa"/>
            <w:noWrap/>
            <w:hideMark/>
          </w:tcPr>
          <w:p w14:paraId="7DA677C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5357E472" w14:textId="77777777" w:rsidTr="003A67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295A8A7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960" w:type="dxa"/>
            <w:noWrap/>
            <w:hideMark/>
          </w:tcPr>
          <w:p w14:paraId="117F36A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159</w:t>
            </w:r>
          </w:p>
        </w:tc>
        <w:tc>
          <w:tcPr>
            <w:tcW w:w="1236" w:type="dxa"/>
            <w:noWrap/>
            <w:hideMark/>
          </w:tcPr>
          <w:p w14:paraId="586141D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1372" w:type="dxa"/>
            <w:noWrap/>
            <w:hideMark/>
          </w:tcPr>
          <w:p w14:paraId="2627E1B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630C33E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405</w:t>
            </w:r>
          </w:p>
        </w:tc>
        <w:tc>
          <w:tcPr>
            <w:tcW w:w="947" w:type="dxa"/>
            <w:noWrap/>
            <w:hideMark/>
          </w:tcPr>
          <w:p w14:paraId="663004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70</w:t>
            </w:r>
          </w:p>
        </w:tc>
        <w:tc>
          <w:tcPr>
            <w:tcW w:w="1225" w:type="dxa"/>
            <w:noWrap/>
            <w:hideMark/>
          </w:tcPr>
          <w:p w14:paraId="5B331FC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r>
      <w:tr w:rsidR="007937EB" w:rsidRPr="00AB23D3" w14:paraId="4EC701CE" w14:textId="77777777" w:rsidTr="003A67E3">
        <w:trPr>
          <w:trHeight w:val="300"/>
        </w:trPr>
        <w:tc>
          <w:tcPr>
            <w:cnfStyle w:val="001000000000" w:firstRow="0" w:lastRow="0" w:firstColumn="1" w:lastColumn="0" w:oddVBand="0" w:evenVBand="0" w:oddHBand="0" w:evenHBand="0" w:firstRowFirstColumn="0" w:firstRowLastColumn="0" w:lastRowFirstColumn="0" w:lastRowLastColumn="0"/>
            <w:tcW w:w="968" w:type="dxa"/>
            <w:noWrap/>
            <w:hideMark/>
          </w:tcPr>
          <w:p w14:paraId="6DE3D59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960" w:type="dxa"/>
            <w:noWrap/>
            <w:hideMark/>
          </w:tcPr>
          <w:p w14:paraId="5886A69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1236" w:type="dxa"/>
            <w:noWrap/>
            <w:hideMark/>
          </w:tcPr>
          <w:p w14:paraId="40B22F3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1372" w:type="dxa"/>
            <w:noWrap/>
            <w:hideMark/>
          </w:tcPr>
          <w:p w14:paraId="0EC9756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c>
          <w:tcPr>
            <w:tcW w:w="1180" w:type="dxa"/>
            <w:noWrap/>
            <w:hideMark/>
          </w:tcPr>
          <w:p w14:paraId="61AA650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415</w:t>
            </w:r>
          </w:p>
        </w:tc>
        <w:tc>
          <w:tcPr>
            <w:tcW w:w="947" w:type="dxa"/>
            <w:noWrap/>
            <w:hideMark/>
          </w:tcPr>
          <w:p w14:paraId="60F3CC7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78</w:t>
            </w:r>
          </w:p>
        </w:tc>
        <w:tc>
          <w:tcPr>
            <w:tcW w:w="1225" w:type="dxa"/>
            <w:noWrap/>
            <w:hideMark/>
          </w:tcPr>
          <w:p w14:paraId="03F7A6C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p>
        </w:tc>
      </w:tr>
    </w:tbl>
    <w:p w14:paraId="439D14ED" w14:textId="77777777" w:rsidR="007937EB" w:rsidRPr="007937EB" w:rsidRDefault="007937EB" w:rsidP="007937EB">
      <w:pPr>
        <w:rPr>
          <w:rFonts w:asciiTheme="minorHAnsi" w:hAnsiTheme="minorHAnsi"/>
          <w:sz w:val="22"/>
        </w:rPr>
      </w:pPr>
    </w:p>
    <w:p w14:paraId="7C38A0CF" w14:textId="77777777" w:rsidR="007937EB" w:rsidRPr="007937EB" w:rsidRDefault="007937EB" w:rsidP="00596E66">
      <w:pPr>
        <w:pStyle w:val="Heading5"/>
      </w:pPr>
      <w:r w:rsidRPr="007937EB">
        <w:t>Annual NSW PIC calls about intentional paracetamol poisoning, showing the change in d the reported dose ingested (2011-2021).  (Note data from ingestions of combination products are not included)</w:t>
      </w:r>
    </w:p>
    <w:tbl>
      <w:tblPr>
        <w:tblStyle w:val="ListTable2"/>
        <w:tblW w:w="5000" w:type="pct"/>
        <w:tblLook w:val="04A0" w:firstRow="1" w:lastRow="0" w:firstColumn="1" w:lastColumn="0" w:noHBand="0" w:noVBand="1"/>
      </w:tblPr>
      <w:tblGrid>
        <w:gridCol w:w="687"/>
        <w:gridCol w:w="955"/>
        <w:gridCol w:w="821"/>
        <w:gridCol w:w="1090"/>
        <w:gridCol w:w="820"/>
        <w:gridCol w:w="956"/>
        <w:gridCol w:w="955"/>
        <w:gridCol w:w="955"/>
        <w:gridCol w:w="821"/>
        <w:gridCol w:w="1010"/>
      </w:tblGrid>
      <w:tr w:rsidR="007937EB" w:rsidRPr="00AB23D3" w14:paraId="47C15030" w14:textId="77777777" w:rsidTr="00AB23D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shd w:val="clear" w:color="auto" w:fill="595959" w:themeFill="text1" w:themeFillTint="A6"/>
            <w:noWrap/>
            <w:hideMark/>
          </w:tcPr>
          <w:p w14:paraId="237E27CD" w14:textId="77777777" w:rsidR="007937EB" w:rsidRPr="00AB23D3" w:rsidRDefault="007937EB" w:rsidP="007937EB">
            <w:pPr>
              <w:rPr>
                <w:rFonts w:eastAsia="Times New Roman" w:cs="Times New Roman"/>
                <w:color w:val="FFFFFF" w:themeColor="background1"/>
                <w:sz w:val="20"/>
                <w:szCs w:val="20"/>
                <w:lang w:eastAsia="en-AU"/>
              </w:rPr>
            </w:pPr>
          </w:p>
        </w:tc>
        <w:tc>
          <w:tcPr>
            <w:tcW w:w="992" w:type="dxa"/>
            <w:shd w:val="clear" w:color="auto" w:fill="595959" w:themeFill="text1" w:themeFillTint="A6"/>
            <w:noWrap/>
            <w:hideMark/>
          </w:tcPr>
          <w:p w14:paraId="39C9AE07"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&lt;5 g</w:t>
            </w:r>
          </w:p>
        </w:tc>
        <w:tc>
          <w:tcPr>
            <w:tcW w:w="851" w:type="dxa"/>
            <w:shd w:val="clear" w:color="auto" w:fill="595959" w:themeFill="text1" w:themeFillTint="A6"/>
            <w:noWrap/>
            <w:hideMark/>
          </w:tcPr>
          <w:p w14:paraId="0926121F"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5 to &lt;10 g</w:t>
            </w:r>
          </w:p>
        </w:tc>
        <w:tc>
          <w:tcPr>
            <w:tcW w:w="1134" w:type="dxa"/>
            <w:shd w:val="clear" w:color="auto" w:fill="595959" w:themeFill="text1" w:themeFillTint="A6"/>
            <w:noWrap/>
            <w:hideMark/>
          </w:tcPr>
          <w:p w14:paraId="1491DEFE"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10 to &lt;15g</w:t>
            </w:r>
          </w:p>
        </w:tc>
        <w:tc>
          <w:tcPr>
            <w:tcW w:w="850" w:type="dxa"/>
            <w:shd w:val="clear" w:color="auto" w:fill="595959" w:themeFill="text1" w:themeFillTint="A6"/>
            <w:noWrap/>
            <w:hideMark/>
          </w:tcPr>
          <w:p w14:paraId="3B2484C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15 to &lt;20 g</w:t>
            </w:r>
          </w:p>
        </w:tc>
        <w:tc>
          <w:tcPr>
            <w:tcW w:w="993" w:type="dxa"/>
            <w:shd w:val="clear" w:color="auto" w:fill="595959" w:themeFill="text1" w:themeFillTint="A6"/>
            <w:noWrap/>
            <w:hideMark/>
          </w:tcPr>
          <w:p w14:paraId="03076DB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 to &lt;30 g</w:t>
            </w:r>
          </w:p>
        </w:tc>
        <w:tc>
          <w:tcPr>
            <w:tcW w:w="992" w:type="dxa"/>
            <w:shd w:val="clear" w:color="auto" w:fill="595959" w:themeFill="text1" w:themeFillTint="A6"/>
            <w:noWrap/>
            <w:hideMark/>
          </w:tcPr>
          <w:p w14:paraId="4F09A727"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30 to &lt;40 g</w:t>
            </w:r>
          </w:p>
        </w:tc>
        <w:tc>
          <w:tcPr>
            <w:tcW w:w="992" w:type="dxa"/>
            <w:shd w:val="clear" w:color="auto" w:fill="595959" w:themeFill="text1" w:themeFillTint="A6"/>
            <w:noWrap/>
            <w:hideMark/>
          </w:tcPr>
          <w:p w14:paraId="405E658D"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40 to &lt;60 g</w:t>
            </w:r>
          </w:p>
        </w:tc>
        <w:tc>
          <w:tcPr>
            <w:tcW w:w="851" w:type="dxa"/>
            <w:shd w:val="clear" w:color="auto" w:fill="595959" w:themeFill="text1" w:themeFillTint="A6"/>
            <w:noWrap/>
            <w:hideMark/>
          </w:tcPr>
          <w:p w14:paraId="006AAFAA"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60 g +</w:t>
            </w:r>
          </w:p>
        </w:tc>
        <w:tc>
          <w:tcPr>
            <w:tcW w:w="708" w:type="dxa"/>
            <w:shd w:val="clear" w:color="auto" w:fill="595959" w:themeFill="text1" w:themeFillTint="A6"/>
            <w:noWrap/>
            <w:hideMark/>
          </w:tcPr>
          <w:p w14:paraId="17E1AD48"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6B4DB5F6"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5E2E2D25"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2011</w:t>
            </w:r>
          </w:p>
        </w:tc>
        <w:tc>
          <w:tcPr>
            <w:tcW w:w="992" w:type="dxa"/>
            <w:noWrap/>
            <w:hideMark/>
          </w:tcPr>
          <w:p w14:paraId="2C86D5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323</w:t>
            </w:r>
          </w:p>
        </w:tc>
        <w:tc>
          <w:tcPr>
            <w:tcW w:w="851" w:type="dxa"/>
            <w:noWrap/>
            <w:hideMark/>
          </w:tcPr>
          <w:p w14:paraId="4BBC999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381</w:t>
            </w:r>
          </w:p>
        </w:tc>
        <w:tc>
          <w:tcPr>
            <w:tcW w:w="1134" w:type="dxa"/>
            <w:noWrap/>
            <w:hideMark/>
          </w:tcPr>
          <w:p w14:paraId="1D5DBF6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287</w:t>
            </w:r>
          </w:p>
        </w:tc>
        <w:tc>
          <w:tcPr>
            <w:tcW w:w="850" w:type="dxa"/>
            <w:noWrap/>
            <w:hideMark/>
          </w:tcPr>
          <w:p w14:paraId="3084A21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103</w:t>
            </w:r>
          </w:p>
        </w:tc>
        <w:tc>
          <w:tcPr>
            <w:tcW w:w="993" w:type="dxa"/>
            <w:noWrap/>
            <w:hideMark/>
          </w:tcPr>
          <w:p w14:paraId="6B4A433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111</w:t>
            </w:r>
          </w:p>
        </w:tc>
        <w:tc>
          <w:tcPr>
            <w:tcW w:w="992" w:type="dxa"/>
            <w:noWrap/>
            <w:hideMark/>
          </w:tcPr>
          <w:p w14:paraId="1B02459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992" w:type="dxa"/>
            <w:noWrap/>
            <w:hideMark/>
          </w:tcPr>
          <w:p w14:paraId="41338D6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851" w:type="dxa"/>
            <w:noWrap/>
            <w:hideMark/>
          </w:tcPr>
          <w:p w14:paraId="71C3F44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708" w:type="dxa"/>
            <w:noWrap/>
            <w:hideMark/>
          </w:tcPr>
          <w:p w14:paraId="057EC4B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r>
      <w:tr w:rsidR="007937EB" w:rsidRPr="00AB23D3" w14:paraId="1EAD0EDA" w14:textId="77777777" w:rsidTr="00AB23D3">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F4A8685"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2012</w:t>
            </w:r>
          </w:p>
        </w:tc>
        <w:tc>
          <w:tcPr>
            <w:tcW w:w="992" w:type="dxa"/>
            <w:noWrap/>
            <w:hideMark/>
          </w:tcPr>
          <w:p w14:paraId="0917626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321</w:t>
            </w:r>
          </w:p>
        </w:tc>
        <w:tc>
          <w:tcPr>
            <w:tcW w:w="851" w:type="dxa"/>
            <w:noWrap/>
            <w:hideMark/>
          </w:tcPr>
          <w:p w14:paraId="6125D0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414</w:t>
            </w:r>
          </w:p>
        </w:tc>
        <w:tc>
          <w:tcPr>
            <w:tcW w:w="1134" w:type="dxa"/>
            <w:noWrap/>
            <w:hideMark/>
          </w:tcPr>
          <w:p w14:paraId="02B6A72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349</w:t>
            </w:r>
          </w:p>
        </w:tc>
        <w:tc>
          <w:tcPr>
            <w:tcW w:w="850" w:type="dxa"/>
            <w:noWrap/>
            <w:hideMark/>
          </w:tcPr>
          <w:p w14:paraId="343714D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124</w:t>
            </w:r>
          </w:p>
        </w:tc>
        <w:tc>
          <w:tcPr>
            <w:tcW w:w="993" w:type="dxa"/>
            <w:noWrap/>
            <w:hideMark/>
          </w:tcPr>
          <w:p w14:paraId="4027C3F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c>
          <w:tcPr>
            <w:tcW w:w="992" w:type="dxa"/>
            <w:noWrap/>
            <w:hideMark/>
          </w:tcPr>
          <w:p w14:paraId="5094CFB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w:t>
            </w:r>
          </w:p>
        </w:tc>
        <w:tc>
          <w:tcPr>
            <w:tcW w:w="992" w:type="dxa"/>
            <w:noWrap/>
            <w:hideMark/>
          </w:tcPr>
          <w:p w14:paraId="77F261A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42</w:t>
            </w:r>
          </w:p>
        </w:tc>
        <w:tc>
          <w:tcPr>
            <w:tcW w:w="851" w:type="dxa"/>
            <w:noWrap/>
            <w:hideMark/>
          </w:tcPr>
          <w:p w14:paraId="2899DF6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w:t>
            </w:r>
          </w:p>
        </w:tc>
        <w:tc>
          <w:tcPr>
            <w:tcW w:w="708" w:type="dxa"/>
            <w:noWrap/>
            <w:hideMark/>
          </w:tcPr>
          <w:p w14:paraId="321D074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195</w:t>
            </w:r>
          </w:p>
        </w:tc>
      </w:tr>
      <w:tr w:rsidR="007937EB" w:rsidRPr="00AB23D3" w14:paraId="1E11161A"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01F95C9"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2013</w:t>
            </w:r>
          </w:p>
        </w:tc>
        <w:tc>
          <w:tcPr>
            <w:tcW w:w="992" w:type="dxa"/>
            <w:noWrap/>
            <w:hideMark/>
          </w:tcPr>
          <w:p w14:paraId="06C242F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397</w:t>
            </w:r>
          </w:p>
        </w:tc>
        <w:tc>
          <w:tcPr>
            <w:tcW w:w="851" w:type="dxa"/>
            <w:noWrap/>
            <w:hideMark/>
          </w:tcPr>
          <w:p w14:paraId="6590F79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489</w:t>
            </w:r>
          </w:p>
        </w:tc>
        <w:tc>
          <w:tcPr>
            <w:tcW w:w="1134" w:type="dxa"/>
            <w:noWrap/>
            <w:hideMark/>
          </w:tcPr>
          <w:p w14:paraId="05775C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331</w:t>
            </w:r>
          </w:p>
        </w:tc>
        <w:tc>
          <w:tcPr>
            <w:tcW w:w="850" w:type="dxa"/>
            <w:noWrap/>
            <w:hideMark/>
          </w:tcPr>
          <w:p w14:paraId="4F279C3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c>
          <w:tcPr>
            <w:tcW w:w="993" w:type="dxa"/>
            <w:noWrap/>
            <w:hideMark/>
          </w:tcPr>
          <w:p w14:paraId="3DA0CCE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c>
          <w:tcPr>
            <w:tcW w:w="992" w:type="dxa"/>
            <w:noWrap/>
            <w:hideMark/>
          </w:tcPr>
          <w:p w14:paraId="5CE0F15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62</w:t>
            </w:r>
          </w:p>
        </w:tc>
        <w:tc>
          <w:tcPr>
            <w:tcW w:w="992" w:type="dxa"/>
            <w:noWrap/>
            <w:hideMark/>
          </w:tcPr>
          <w:p w14:paraId="3C96638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w:t>
            </w:r>
          </w:p>
        </w:tc>
        <w:tc>
          <w:tcPr>
            <w:tcW w:w="851" w:type="dxa"/>
            <w:noWrap/>
            <w:hideMark/>
          </w:tcPr>
          <w:p w14:paraId="7075073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708" w:type="dxa"/>
            <w:noWrap/>
            <w:hideMark/>
          </w:tcPr>
          <w:p w14:paraId="54A376C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221</w:t>
            </w:r>
          </w:p>
        </w:tc>
      </w:tr>
      <w:tr w:rsidR="007937EB" w:rsidRPr="00AB23D3" w14:paraId="0052895C" w14:textId="77777777" w:rsidTr="00AB23D3">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0899A72"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2014</w:t>
            </w:r>
          </w:p>
        </w:tc>
        <w:tc>
          <w:tcPr>
            <w:tcW w:w="992" w:type="dxa"/>
            <w:noWrap/>
            <w:hideMark/>
          </w:tcPr>
          <w:p w14:paraId="09F6C75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373</w:t>
            </w:r>
          </w:p>
        </w:tc>
        <w:tc>
          <w:tcPr>
            <w:tcW w:w="851" w:type="dxa"/>
            <w:noWrap/>
            <w:hideMark/>
          </w:tcPr>
          <w:p w14:paraId="5B49B90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481</w:t>
            </w:r>
          </w:p>
        </w:tc>
        <w:tc>
          <w:tcPr>
            <w:tcW w:w="1134" w:type="dxa"/>
            <w:noWrap/>
            <w:hideMark/>
          </w:tcPr>
          <w:p w14:paraId="364C47B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325</w:t>
            </w:r>
          </w:p>
        </w:tc>
        <w:tc>
          <w:tcPr>
            <w:tcW w:w="850" w:type="dxa"/>
            <w:noWrap/>
            <w:hideMark/>
          </w:tcPr>
          <w:p w14:paraId="276903B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134</w:t>
            </w:r>
          </w:p>
        </w:tc>
        <w:tc>
          <w:tcPr>
            <w:tcW w:w="993" w:type="dxa"/>
            <w:noWrap/>
            <w:hideMark/>
          </w:tcPr>
          <w:p w14:paraId="02C0461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992" w:type="dxa"/>
            <w:noWrap/>
            <w:hideMark/>
          </w:tcPr>
          <w:p w14:paraId="254DCC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55</w:t>
            </w:r>
          </w:p>
        </w:tc>
        <w:tc>
          <w:tcPr>
            <w:tcW w:w="992" w:type="dxa"/>
            <w:noWrap/>
            <w:hideMark/>
          </w:tcPr>
          <w:p w14:paraId="34AD222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w:t>
            </w:r>
          </w:p>
        </w:tc>
        <w:tc>
          <w:tcPr>
            <w:tcW w:w="851" w:type="dxa"/>
            <w:noWrap/>
            <w:hideMark/>
          </w:tcPr>
          <w:p w14:paraId="710416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708" w:type="dxa"/>
            <w:noWrap/>
            <w:hideMark/>
          </w:tcPr>
          <w:p w14:paraId="44DA288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203</w:t>
            </w:r>
          </w:p>
        </w:tc>
      </w:tr>
      <w:tr w:rsidR="007937EB" w:rsidRPr="00AB23D3" w14:paraId="5E1A327F"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96C439E"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2015</w:t>
            </w:r>
          </w:p>
        </w:tc>
        <w:tc>
          <w:tcPr>
            <w:tcW w:w="992" w:type="dxa"/>
            <w:noWrap/>
            <w:hideMark/>
          </w:tcPr>
          <w:p w14:paraId="496B034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393</w:t>
            </w:r>
          </w:p>
        </w:tc>
        <w:tc>
          <w:tcPr>
            <w:tcW w:w="851" w:type="dxa"/>
            <w:noWrap/>
            <w:hideMark/>
          </w:tcPr>
          <w:p w14:paraId="2968AA6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460</w:t>
            </w:r>
          </w:p>
        </w:tc>
        <w:tc>
          <w:tcPr>
            <w:tcW w:w="1134" w:type="dxa"/>
            <w:noWrap/>
            <w:hideMark/>
          </w:tcPr>
          <w:p w14:paraId="2F5E30C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337</w:t>
            </w:r>
          </w:p>
        </w:tc>
        <w:tc>
          <w:tcPr>
            <w:tcW w:w="850" w:type="dxa"/>
            <w:noWrap/>
            <w:hideMark/>
          </w:tcPr>
          <w:p w14:paraId="4B82D3D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157</w:t>
            </w:r>
          </w:p>
        </w:tc>
        <w:tc>
          <w:tcPr>
            <w:tcW w:w="993" w:type="dxa"/>
            <w:noWrap/>
            <w:hideMark/>
          </w:tcPr>
          <w:p w14:paraId="750658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c>
          <w:tcPr>
            <w:tcW w:w="992" w:type="dxa"/>
            <w:noWrap/>
            <w:hideMark/>
          </w:tcPr>
          <w:p w14:paraId="0F8DF97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992" w:type="dxa"/>
            <w:noWrap/>
            <w:hideMark/>
          </w:tcPr>
          <w:p w14:paraId="54A8898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w:t>
            </w:r>
          </w:p>
        </w:tc>
        <w:tc>
          <w:tcPr>
            <w:tcW w:w="851" w:type="dxa"/>
            <w:noWrap/>
            <w:hideMark/>
          </w:tcPr>
          <w:p w14:paraId="60B0A9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708" w:type="dxa"/>
            <w:noWrap/>
            <w:hideMark/>
          </w:tcPr>
          <w:p w14:paraId="745438F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181</w:t>
            </w:r>
          </w:p>
        </w:tc>
      </w:tr>
      <w:tr w:rsidR="007937EB" w:rsidRPr="00AB23D3" w14:paraId="4253B375" w14:textId="77777777" w:rsidTr="00AB23D3">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E10192A"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2016</w:t>
            </w:r>
          </w:p>
        </w:tc>
        <w:tc>
          <w:tcPr>
            <w:tcW w:w="992" w:type="dxa"/>
            <w:noWrap/>
            <w:hideMark/>
          </w:tcPr>
          <w:p w14:paraId="3AA230B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368</w:t>
            </w:r>
          </w:p>
        </w:tc>
        <w:tc>
          <w:tcPr>
            <w:tcW w:w="851" w:type="dxa"/>
            <w:noWrap/>
            <w:hideMark/>
          </w:tcPr>
          <w:p w14:paraId="7B3452E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518</w:t>
            </w:r>
          </w:p>
        </w:tc>
        <w:tc>
          <w:tcPr>
            <w:tcW w:w="1134" w:type="dxa"/>
            <w:noWrap/>
            <w:hideMark/>
          </w:tcPr>
          <w:p w14:paraId="215DEB2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333</w:t>
            </w:r>
          </w:p>
        </w:tc>
        <w:tc>
          <w:tcPr>
            <w:tcW w:w="850" w:type="dxa"/>
            <w:noWrap/>
            <w:hideMark/>
          </w:tcPr>
          <w:p w14:paraId="2B13BCB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c>
          <w:tcPr>
            <w:tcW w:w="993" w:type="dxa"/>
            <w:noWrap/>
            <w:hideMark/>
          </w:tcPr>
          <w:p w14:paraId="2F3CA2F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198</w:t>
            </w:r>
          </w:p>
        </w:tc>
        <w:tc>
          <w:tcPr>
            <w:tcW w:w="992" w:type="dxa"/>
            <w:noWrap/>
            <w:hideMark/>
          </w:tcPr>
          <w:p w14:paraId="44456E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64</w:t>
            </w:r>
          </w:p>
        </w:tc>
        <w:tc>
          <w:tcPr>
            <w:tcW w:w="992" w:type="dxa"/>
            <w:noWrap/>
            <w:hideMark/>
          </w:tcPr>
          <w:p w14:paraId="36BA316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64</w:t>
            </w:r>
          </w:p>
        </w:tc>
        <w:tc>
          <w:tcPr>
            <w:tcW w:w="851" w:type="dxa"/>
            <w:noWrap/>
            <w:hideMark/>
          </w:tcPr>
          <w:p w14:paraId="2005391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708" w:type="dxa"/>
            <w:noWrap/>
            <w:hideMark/>
          </w:tcPr>
          <w:p w14:paraId="036B316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241</w:t>
            </w:r>
          </w:p>
        </w:tc>
      </w:tr>
      <w:tr w:rsidR="007937EB" w:rsidRPr="00AB23D3" w14:paraId="487F0047"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0186453"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2017</w:t>
            </w:r>
          </w:p>
        </w:tc>
        <w:tc>
          <w:tcPr>
            <w:tcW w:w="992" w:type="dxa"/>
            <w:noWrap/>
            <w:hideMark/>
          </w:tcPr>
          <w:p w14:paraId="62CD8F4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412</w:t>
            </w:r>
          </w:p>
        </w:tc>
        <w:tc>
          <w:tcPr>
            <w:tcW w:w="851" w:type="dxa"/>
            <w:noWrap/>
            <w:hideMark/>
          </w:tcPr>
          <w:p w14:paraId="02FF844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526</w:t>
            </w:r>
          </w:p>
        </w:tc>
        <w:tc>
          <w:tcPr>
            <w:tcW w:w="1134" w:type="dxa"/>
            <w:noWrap/>
            <w:hideMark/>
          </w:tcPr>
          <w:p w14:paraId="1F830CB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435</w:t>
            </w:r>
          </w:p>
        </w:tc>
        <w:tc>
          <w:tcPr>
            <w:tcW w:w="850" w:type="dxa"/>
            <w:noWrap/>
            <w:hideMark/>
          </w:tcPr>
          <w:p w14:paraId="018C59D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c>
          <w:tcPr>
            <w:tcW w:w="993" w:type="dxa"/>
            <w:noWrap/>
            <w:hideMark/>
          </w:tcPr>
          <w:p w14:paraId="005EAFC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249</w:t>
            </w:r>
          </w:p>
        </w:tc>
        <w:tc>
          <w:tcPr>
            <w:tcW w:w="992" w:type="dxa"/>
            <w:noWrap/>
            <w:hideMark/>
          </w:tcPr>
          <w:p w14:paraId="4B88FFC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992" w:type="dxa"/>
            <w:noWrap/>
            <w:hideMark/>
          </w:tcPr>
          <w:p w14:paraId="61C9BFB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91</w:t>
            </w:r>
          </w:p>
        </w:tc>
        <w:tc>
          <w:tcPr>
            <w:tcW w:w="851" w:type="dxa"/>
            <w:noWrap/>
            <w:hideMark/>
          </w:tcPr>
          <w:p w14:paraId="13CC769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w:t>
            </w:r>
          </w:p>
        </w:tc>
        <w:tc>
          <w:tcPr>
            <w:tcW w:w="708" w:type="dxa"/>
            <w:noWrap/>
            <w:hideMark/>
          </w:tcPr>
          <w:p w14:paraId="25EE780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r>
      <w:tr w:rsidR="007937EB" w:rsidRPr="00AB23D3" w14:paraId="7072E391" w14:textId="77777777" w:rsidTr="00AB23D3">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B3A80EE"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2018</w:t>
            </w:r>
          </w:p>
        </w:tc>
        <w:tc>
          <w:tcPr>
            <w:tcW w:w="992" w:type="dxa"/>
            <w:noWrap/>
            <w:hideMark/>
          </w:tcPr>
          <w:p w14:paraId="1E70FBD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498</w:t>
            </w:r>
          </w:p>
        </w:tc>
        <w:tc>
          <w:tcPr>
            <w:tcW w:w="851" w:type="dxa"/>
            <w:noWrap/>
            <w:hideMark/>
          </w:tcPr>
          <w:p w14:paraId="6F79FE4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555</w:t>
            </w:r>
          </w:p>
        </w:tc>
        <w:tc>
          <w:tcPr>
            <w:tcW w:w="1134" w:type="dxa"/>
            <w:noWrap/>
            <w:hideMark/>
          </w:tcPr>
          <w:p w14:paraId="361C08B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296</w:t>
            </w:r>
          </w:p>
        </w:tc>
        <w:tc>
          <w:tcPr>
            <w:tcW w:w="850" w:type="dxa"/>
            <w:noWrap/>
            <w:hideMark/>
          </w:tcPr>
          <w:p w14:paraId="6C86123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204</w:t>
            </w:r>
          </w:p>
        </w:tc>
        <w:tc>
          <w:tcPr>
            <w:tcW w:w="993" w:type="dxa"/>
            <w:noWrap/>
            <w:hideMark/>
          </w:tcPr>
          <w:p w14:paraId="6E74BB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252</w:t>
            </w:r>
          </w:p>
        </w:tc>
        <w:tc>
          <w:tcPr>
            <w:tcW w:w="992" w:type="dxa"/>
            <w:noWrap/>
            <w:hideMark/>
          </w:tcPr>
          <w:p w14:paraId="0F57F40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992" w:type="dxa"/>
            <w:noWrap/>
            <w:hideMark/>
          </w:tcPr>
          <w:p w14:paraId="3C38F22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104</w:t>
            </w:r>
          </w:p>
        </w:tc>
        <w:tc>
          <w:tcPr>
            <w:tcW w:w="851" w:type="dxa"/>
            <w:noWrap/>
            <w:hideMark/>
          </w:tcPr>
          <w:p w14:paraId="6FADAA1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708" w:type="dxa"/>
            <w:noWrap/>
            <w:hideMark/>
          </w:tcPr>
          <w:p w14:paraId="74620BF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177</w:t>
            </w:r>
          </w:p>
        </w:tc>
      </w:tr>
      <w:tr w:rsidR="007937EB" w:rsidRPr="00AB23D3" w14:paraId="33CB5EF1"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29118DB"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2019</w:t>
            </w:r>
          </w:p>
        </w:tc>
        <w:tc>
          <w:tcPr>
            <w:tcW w:w="992" w:type="dxa"/>
            <w:noWrap/>
            <w:hideMark/>
          </w:tcPr>
          <w:p w14:paraId="137341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550</w:t>
            </w:r>
          </w:p>
        </w:tc>
        <w:tc>
          <w:tcPr>
            <w:tcW w:w="851" w:type="dxa"/>
            <w:noWrap/>
            <w:hideMark/>
          </w:tcPr>
          <w:p w14:paraId="47AB8BE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570</w:t>
            </w:r>
          </w:p>
        </w:tc>
        <w:tc>
          <w:tcPr>
            <w:tcW w:w="1134" w:type="dxa"/>
            <w:noWrap/>
            <w:hideMark/>
          </w:tcPr>
          <w:p w14:paraId="1B23DA2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346</w:t>
            </w:r>
          </w:p>
        </w:tc>
        <w:tc>
          <w:tcPr>
            <w:tcW w:w="850" w:type="dxa"/>
            <w:noWrap/>
            <w:hideMark/>
          </w:tcPr>
          <w:p w14:paraId="497559A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212</w:t>
            </w:r>
          </w:p>
        </w:tc>
        <w:tc>
          <w:tcPr>
            <w:tcW w:w="993" w:type="dxa"/>
            <w:noWrap/>
            <w:hideMark/>
          </w:tcPr>
          <w:p w14:paraId="35FCE75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245</w:t>
            </w:r>
          </w:p>
        </w:tc>
        <w:tc>
          <w:tcPr>
            <w:tcW w:w="992" w:type="dxa"/>
            <w:noWrap/>
            <w:hideMark/>
          </w:tcPr>
          <w:p w14:paraId="424474C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101</w:t>
            </w:r>
          </w:p>
        </w:tc>
        <w:tc>
          <w:tcPr>
            <w:tcW w:w="992" w:type="dxa"/>
            <w:noWrap/>
            <w:hideMark/>
          </w:tcPr>
          <w:p w14:paraId="57411DF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112</w:t>
            </w:r>
          </w:p>
        </w:tc>
        <w:tc>
          <w:tcPr>
            <w:tcW w:w="851" w:type="dxa"/>
            <w:noWrap/>
            <w:hideMark/>
          </w:tcPr>
          <w:p w14:paraId="782813A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708" w:type="dxa"/>
            <w:noWrap/>
            <w:hideMark/>
          </w:tcPr>
          <w:p w14:paraId="3486D5F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164</w:t>
            </w:r>
          </w:p>
        </w:tc>
      </w:tr>
      <w:tr w:rsidR="007937EB" w:rsidRPr="00AB23D3" w14:paraId="40FFCD83" w14:textId="77777777" w:rsidTr="00AB23D3">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C0600D8"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2020</w:t>
            </w:r>
          </w:p>
        </w:tc>
        <w:tc>
          <w:tcPr>
            <w:tcW w:w="992" w:type="dxa"/>
            <w:noWrap/>
            <w:hideMark/>
          </w:tcPr>
          <w:p w14:paraId="2D5B284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703</w:t>
            </w:r>
          </w:p>
        </w:tc>
        <w:tc>
          <w:tcPr>
            <w:tcW w:w="851" w:type="dxa"/>
            <w:noWrap/>
            <w:hideMark/>
          </w:tcPr>
          <w:p w14:paraId="1D24DC0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744</w:t>
            </w:r>
          </w:p>
        </w:tc>
        <w:tc>
          <w:tcPr>
            <w:tcW w:w="1134" w:type="dxa"/>
            <w:noWrap/>
            <w:hideMark/>
          </w:tcPr>
          <w:p w14:paraId="2A1A914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459</w:t>
            </w:r>
          </w:p>
        </w:tc>
        <w:tc>
          <w:tcPr>
            <w:tcW w:w="850" w:type="dxa"/>
            <w:noWrap/>
            <w:hideMark/>
          </w:tcPr>
          <w:p w14:paraId="584501C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285</w:t>
            </w:r>
          </w:p>
        </w:tc>
        <w:tc>
          <w:tcPr>
            <w:tcW w:w="993" w:type="dxa"/>
            <w:noWrap/>
            <w:hideMark/>
          </w:tcPr>
          <w:p w14:paraId="6A61073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298</w:t>
            </w:r>
          </w:p>
        </w:tc>
        <w:tc>
          <w:tcPr>
            <w:tcW w:w="992" w:type="dxa"/>
            <w:noWrap/>
            <w:hideMark/>
          </w:tcPr>
          <w:p w14:paraId="275F2C2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c>
          <w:tcPr>
            <w:tcW w:w="992" w:type="dxa"/>
            <w:noWrap/>
            <w:hideMark/>
          </w:tcPr>
          <w:p w14:paraId="092E16E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851" w:type="dxa"/>
            <w:noWrap/>
            <w:hideMark/>
          </w:tcPr>
          <w:p w14:paraId="48319F5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w:t>
            </w:r>
          </w:p>
        </w:tc>
        <w:tc>
          <w:tcPr>
            <w:tcW w:w="708" w:type="dxa"/>
            <w:noWrap/>
            <w:hideMark/>
          </w:tcPr>
          <w:p w14:paraId="32BABD6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249</w:t>
            </w:r>
          </w:p>
        </w:tc>
      </w:tr>
      <w:tr w:rsidR="007937EB" w:rsidRPr="00AB23D3" w14:paraId="5BD7DDD1" w14:textId="77777777" w:rsidTr="00AB23D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07BF8ED" w14:textId="77777777" w:rsidR="007937EB" w:rsidRPr="00AB23D3" w:rsidRDefault="007937EB" w:rsidP="007937EB">
            <w:pPr>
              <w:rPr>
                <w:rFonts w:eastAsia="Times New Roman" w:cs="Times New Roman"/>
                <w:sz w:val="20"/>
                <w:szCs w:val="20"/>
                <w:lang w:eastAsia="en-AU"/>
              </w:rPr>
            </w:pPr>
            <w:r w:rsidRPr="00AB23D3">
              <w:rPr>
                <w:rFonts w:eastAsia="Times New Roman" w:cs="Times New Roman"/>
                <w:sz w:val="20"/>
                <w:szCs w:val="20"/>
                <w:lang w:eastAsia="en-AU"/>
              </w:rPr>
              <w:t>2021</w:t>
            </w:r>
          </w:p>
        </w:tc>
        <w:tc>
          <w:tcPr>
            <w:tcW w:w="992" w:type="dxa"/>
            <w:noWrap/>
            <w:hideMark/>
          </w:tcPr>
          <w:p w14:paraId="1F0969E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825</w:t>
            </w:r>
          </w:p>
        </w:tc>
        <w:tc>
          <w:tcPr>
            <w:tcW w:w="851" w:type="dxa"/>
            <w:noWrap/>
            <w:hideMark/>
          </w:tcPr>
          <w:p w14:paraId="472F7EA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849</w:t>
            </w:r>
          </w:p>
        </w:tc>
        <w:tc>
          <w:tcPr>
            <w:tcW w:w="1134" w:type="dxa"/>
            <w:noWrap/>
            <w:hideMark/>
          </w:tcPr>
          <w:p w14:paraId="041BBDE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584</w:t>
            </w:r>
          </w:p>
        </w:tc>
        <w:tc>
          <w:tcPr>
            <w:tcW w:w="850" w:type="dxa"/>
            <w:noWrap/>
            <w:hideMark/>
          </w:tcPr>
          <w:p w14:paraId="375198A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343</w:t>
            </w:r>
          </w:p>
        </w:tc>
        <w:tc>
          <w:tcPr>
            <w:tcW w:w="993" w:type="dxa"/>
            <w:noWrap/>
            <w:hideMark/>
          </w:tcPr>
          <w:p w14:paraId="5059B53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376</w:t>
            </w:r>
          </w:p>
        </w:tc>
        <w:tc>
          <w:tcPr>
            <w:tcW w:w="992" w:type="dxa"/>
            <w:noWrap/>
            <w:hideMark/>
          </w:tcPr>
          <w:p w14:paraId="1C8A504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168</w:t>
            </w:r>
          </w:p>
        </w:tc>
        <w:tc>
          <w:tcPr>
            <w:tcW w:w="992" w:type="dxa"/>
            <w:noWrap/>
            <w:hideMark/>
          </w:tcPr>
          <w:p w14:paraId="0135B3D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128</w:t>
            </w:r>
          </w:p>
        </w:tc>
        <w:tc>
          <w:tcPr>
            <w:tcW w:w="851" w:type="dxa"/>
            <w:noWrap/>
            <w:hideMark/>
          </w:tcPr>
          <w:p w14:paraId="0440297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57</w:t>
            </w:r>
          </w:p>
        </w:tc>
        <w:tc>
          <w:tcPr>
            <w:tcW w:w="708" w:type="dxa"/>
            <w:noWrap/>
            <w:hideMark/>
          </w:tcPr>
          <w:p w14:paraId="2C83EA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245</w:t>
            </w:r>
          </w:p>
        </w:tc>
      </w:tr>
    </w:tbl>
    <w:p w14:paraId="03658E6F" w14:textId="77777777" w:rsidR="007937EB" w:rsidRPr="007937EB" w:rsidRDefault="007937EB" w:rsidP="00596E66"/>
    <w:p w14:paraId="0A63BBEF" w14:textId="5551D109" w:rsidR="007937EB" w:rsidRPr="00E2395F" w:rsidRDefault="007937EB" w:rsidP="00E2395F">
      <w:pPr>
        <w:pStyle w:val="Heading5"/>
      </w:pPr>
      <w:r w:rsidRPr="007937EB">
        <w:t>Annual NSW PIC calls about intentional paracetamol poisoning, showing the change in the reported dose ingested (2011-2021) x age group (Note data from ingestions of combination products are not included)</w:t>
      </w:r>
    </w:p>
    <w:tbl>
      <w:tblPr>
        <w:tblStyle w:val="ListTable2"/>
        <w:tblW w:w="5000" w:type="pct"/>
        <w:tblLook w:val="04A0" w:firstRow="1" w:lastRow="0" w:firstColumn="1" w:lastColumn="0" w:noHBand="0" w:noVBand="1"/>
      </w:tblPr>
      <w:tblGrid>
        <w:gridCol w:w="947"/>
        <w:gridCol w:w="732"/>
        <w:gridCol w:w="841"/>
        <w:gridCol w:w="980"/>
        <w:gridCol w:w="841"/>
        <w:gridCol w:w="980"/>
        <w:gridCol w:w="980"/>
        <w:gridCol w:w="841"/>
        <w:gridCol w:w="840"/>
        <w:gridCol w:w="1088"/>
      </w:tblGrid>
      <w:tr w:rsidR="007937EB" w:rsidRPr="00AB23D3" w14:paraId="605B5A56" w14:textId="77777777" w:rsidTr="00E1733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shd w:val="clear" w:color="auto" w:fill="595959" w:themeFill="text1" w:themeFillTint="A6"/>
            <w:noWrap/>
            <w:hideMark/>
          </w:tcPr>
          <w:p w14:paraId="2F2D7A7F" w14:textId="77777777" w:rsidR="007937EB" w:rsidRPr="00AB23D3" w:rsidRDefault="007937EB" w:rsidP="007937EB">
            <w:pPr>
              <w:rPr>
                <w:rFonts w:eastAsia="Times New Roman" w:cs="Times New Roman"/>
                <w:color w:val="FFFFFF" w:themeColor="background1"/>
                <w:sz w:val="20"/>
                <w:szCs w:val="20"/>
                <w:lang w:eastAsia="en-AU"/>
              </w:rPr>
            </w:pPr>
          </w:p>
        </w:tc>
        <w:tc>
          <w:tcPr>
            <w:tcW w:w="732" w:type="dxa"/>
            <w:shd w:val="clear" w:color="auto" w:fill="595959" w:themeFill="text1" w:themeFillTint="A6"/>
            <w:noWrap/>
            <w:hideMark/>
          </w:tcPr>
          <w:p w14:paraId="7EC1163A"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&lt;5 g</w:t>
            </w:r>
          </w:p>
        </w:tc>
        <w:tc>
          <w:tcPr>
            <w:tcW w:w="841" w:type="dxa"/>
            <w:shd w:val="clear" w:color="auto" w:fill="595959" w:themeFill="text1" w:themeFillTint="A6"/>
            <w:noWrap/>
            <w:hideMark/>
          </w:tcPr>
          <w:p w14:paraId="507EA2D5"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5 to &lt;10 g</w:t>
            </w:r>
          </w:p>
        </w:tc>
        <w:tc>
          <w:tcPr>
            <w:tcW w:w="980" w:type="dxa"/>
            <w:shd w:val="clear" w:color="auto" w:fill="595959" w:themeFill="text1" w:themeFillTint="A6"/>
            <w:noWrap/>
            <w:hideMark/>
          </w:tcPr>
          <w:p w14:paraId="2539B7A6"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10 to &lt;15g</w:t>
            </w:r>
          </w:p>
        </w:tc>
        <w:tc>
          <w:tcPr>
            <w:tcW w:w="841" w:type="dxa"/>
            <w:shd w:val="clear" w:color="auto" w:fill="595959" w:themeFill="text1" w:themeFillTint="A6"/>
            <w:noWrap/>
            <w:hideMark/>
          </w:tcPr>
          <w:p w14:paraId="32470EDB"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15 to &lt;20 g</w:t>
            </w:r>
          </w:p>
        </w:tc>
        <w:tc>
          <w:tcPr>
            <w:tcW w:w="980" w:type="dxa"/>
            <w:shd w:val="clear" w:color="auto" w:fill="595959" w:themeFill="text1" w:themeFillTint="A6"/>
            <w:noWrap/>
            <w:hideMark/>
          </w:tcPr>
          <w:p w14:paraId="6B11C032"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20 to &lt;30 g</w:t>
            </w:r>
          </w:p>
        </w:tc>
        <w:tc>
          <w:tcPr>
            <w:tcW w:w="980" w:type="dxa"/>
            <w:shd w:val="clear" w:color="auto" w:fill="595959" w:themeFill="text1" w:themeFillTint="A6"/>
            <w:noWrap/>
            <w:hideMark/>
          </w:tcPr>
          <w:p w14:paraId="230739CC"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30 to &lt;40 g</w:t>
            </w:r>
          </w:p>
        </w:tc>
        <w:tc>
          <w:tcPr>
            <w:tcW w:w="841" w:type="dxa"/>
            <w:shd w:val="clear" w:color="auto" w:fill="595959" w:themeFill="text1" w:themeFillTint="A6"/>
            <w:noWrap/>
            <w:hideMark/>
          </w:tcPr>
          <w:p w14:paraId="674115DB"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40 to &lt;60 g</w:t>
            </w:r>
          </w:p>
        </w:tc>
        <w:tc>
          <w:tcPr>
            <w:tcW w:w="840" w:type="dxa"/>
            <w:shd w:val="clear" w:color="auto" w:fill="595959" w:themeFill="text1" w:themeFillTint="A6"/>
            <w:noWrap/>
            <w:hideMark/>
          </w:tcPr>
          <w:p w14:paraId="46F06F17"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60 g +</w:t>
            </w:r>
          </w:p>
        </w:tc>
        <w:tc>
          <w:tcPr>
            <w:tcW w:w="1088" w:type="dxa"/>
            <w:shd w:val="clear" w:color="auto" w:fill="595959" w:themeFill="text1" w:themeFillTint="A6"/>
            <w:noWrap/>
            <w:hideMark/>
          </w:tcPr>
          <w:p w14:paraId="10E29ADA" w14:textId="77777777" w:rsidR="007937EB" w:rsidRPr="00AB23D3" w:rsidRDefault="007937EB" w:rsidP="007937E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AB23D3">
              <w:rPr>
                <w:rFonts w:eastAsia="Times New Roman" w:cs="Times New Roman"/>
                <w:color w:val="FFFFFF" w:themeColor="background1"/>
                <w:sz w:val="20"/>
                <w:szCs w:val="20"/>
                <w:lang w:eastAsia="en-AU"/>
              </w:rPr>
              <w:t>Unknown</w:t>
            </w:r>
          </w:p>
        </w:tc>
      </w:tr>
      <w:tr w:rsidR="007937EB" w:rsidRPr="00AB23D3" w14:paraId="3243FD0C"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2BA5777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 xml:space="preserve">5-19 years </w:t>
            </w:r>
          </w:p>
        </w:tc>
        <w:tc>
          <w:tcPr>
            <w:tcW w:w="732" w:type="dxa"/>
            <w:noWrap/>
            <w:hideMark/>
          </w:tcPr>
          <w:p w14:paraId="05E53BD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841" w:type="dxa"/>
            <w:noWrap/>
            <w:hideMark/>
          </w:tcPr>
          <w:p w14:paraId="4634991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80" w:type="dxa"/>
            <w:noWrap/>
            <w:hideMark/>
          </w:tcPr>
          <w:p w14:paraId="6AE2E5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1" w:type="dxa"/>
            <w:noWrap/>
            <w:hideMark/>
          </w:tcPr>
          <w:p w14:paraId="1D93AB2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80" w:type="dxa"/>
            <w:noWrap/>
            <w:hideMark/>
          </w:tcPr>
          <w:p w14:paraId="451A7D0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80" w:type="dxa"/>
            <w:noWrap/>
            <w:hideMark/>
          </w:tcPr>
          <w:p w14:paraId="243BE27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1" w:type="dxa"/>
            <w:noWrap/>
            <w:hideMark/>
          </w:tcPr>
          <w:p w14:paraId="286BD66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0" w:type="dxa"/>
            <w:noWrap/>
            <w:hideMark/>
          </w:tcPr>
          <w:p w14:paraId="4C0D32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088" w:type="dxa"/>
            <w:noWrap/>
            <w:hideMark/>
          </w:tcPr>
          <w:p w14:paraId="314B56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0BDE9389"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754F741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732" w:type="dxa"/>
            <w:noWrap/>
            <w:hideMark/>
          </w:tcPr>
          <w:p w14:paraId="0424D80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120</w:t>
            </w:r>
          </w:p>
        </w:tc>
        <w:tc>
          <w:tcPr>
            <w:tcW w:w="841" w:type="dxa"/>
            <w:noWrap/>
            <w:hideMark/>
          </w:tcPr>
          <w:p w14:paraId="147FE68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131</w:t>
            </w:r>
          </w:p>
        </w:tc>
        <w:tc>
          <w:tcPr>
            <w:tcW w:w="980" w:type="dxa"/>
            <w:noWrap/>
            <w:hideMark/>
          </w:tcPr>
          <w:p w14:paraId="09BA763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841" w:type="dxa"/>
            <w:noWrap/>
            <w:hideMark/>
          </w:tcPr>
          <w:p w14:paraId="515530C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w:t>
            </w:r>
          </w:p>
        </w:tc>
        <w:tc>
          <w:tcPr>
            <w:tcW w:w="980" w:type="dxa"/>
            <w:noWrap/>
            <w:hideMark/>
          </w:tcPr>
          <w:p w14:paraId="4C3C5F1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w:t>
            </w:r>
          </w:p>
        </w:tc>
        <w:tc>
          <w:tcPr>
            <w:tcW w:w="980" w:type="dxa"/>
            <w:noWrap/>
            <w:hideMark/>
          </w:tcPr>
          <w:p w14:paraId="4318BC5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841" w:type="dxa"/>
            <w:noWrap/>
            <w:hideMark/>
          </w:tcPr>
          <w:p w14:paraId="26FD236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w:t>
            </w:r>
          </w:p>
        </w:tc>
        <w:tc>
          <w:tcPr>
            <w:tcW w:w="840" w:type="dxa"/>
            <w:noWrap/>
            <w:hideMark/>
          </w:tcPr>
          <w:p w14:paraId="5844E8A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w:t>
            </w:r>
          </w:p>
        </w:tc>
        <w:tc>
          <w:tcPr>
            <w:tcW w:w="1088" w:type="dxa"/>
            <w:noWrap/>
            <w:hideMark/>
          </w:tcPr>
          <w:p w14:paraId="669F647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w:t>
            </w:r>
          </w:p>
        </w:tc>
      </w:tr>
      <w:tr w:rsidR="007937EB" w:rsidRPr="00AB23D3" w14:paraId="1C29CC72"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74CEA1DE"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732" w:type="dxa"/>
            <w:noWrap/>
            <w:hideMark/>
          </w:tcPr>
          <w:p w14:paraId="3624BD3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841" w:type="dxa"/>
            <w:noWrap/>
            <w:hideMark/>
          </w:tcPr>
          <w:p w14:paraId="3A7B61F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174</w:t>
            </w:r>
          </w:p>
        </w:tc>
        <w:tc>
          <w:tcPr>
            <w:tcW w:w="980" w:type="dxa"/>
            <w:noWrap/>
            <w:hideMark/>
          </w:tcPr>
          <w:p w14:paraId="2A69ED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149</w:t>
            </w:r>
          </w:p>
        </w:tc>
        <w:tc>
          <w:tcPr>
            <w:tcW w:w="841" w:type="dxa"/>
            <w:noWrap/>
            <w:hideMark/>
          </w:tcPr>
          <w:p w14:paraId="3CD0522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57</w:t>
            </w:r>
          </w:p>
        </w:tc>
        <w:tc>
          <w:tcPr>
            <w:tcW w:w="980" w:type="dxa"/>
            <w:noWrap/>
            <w:hideMark/>
          </w:tcPr>
          <w:p w14:paraId="1EED6F0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w:t>
            </w:r>
          </w:p>
        </w:tc>
        <w:tc>
          <w:tcPr>
            <w:tcW w:w="980" w:type="dxa"/>
            <w:noWrap/>
            <w:hideMark/>
          </w:tcPr>
          <w:p w14:paraId="15C826F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841" w:type="dxa"/>
            <w:noWrap/>
            <w:hideMark/>
          </w:tcPr>
          <w:p w14:paraId="3A8CCFD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w:t>
            </w:r>
          </w:p>
        </w:tc>
        <w:tc>
          <w:tcPr>
            <w:tcW w:w="840" w:type="dxa"/>
            <w:noWrap/>
            <w:hideMark/>
          </w:tcPr>
          <w:p w14:paraId="470F39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w:t>
            </w:r>
          </w:p>
        </w:tc>
        <w:tc>
          <w:tcPr>
            <w:tcW w:w="1088" w:type="dxa"/>
            <w:noWrap/>
            <w:hideMark/>
          </w:tcPr>
          <w:p w14:paraId="2E12A3F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50</w:t>
            </w:r>
          </w:p>
        </w:tc>
      </w:tr>
      <w:tr w:rsidR="007937EB" w:rsidRPr="00AB23D3" w14:paraId="3A1B8308"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0A94F95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732" w:type="dxa"/>
            <w:noWrap/>
            <w:hideMark/>
          </w:tcPr>
          <w:p w14:paraId="102E8D3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c>
          <w:tcPr>
            <w:tcW w:w="841" w:type="dxa"/>
            <w:noWrap/>
            <w:hideMark/>
          </w:tcPr>
          <w:p w14:paraId="64EB84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219</w:t>
            </w:r>
          </w:p>
        </w:tc>
        <w:tc>
          <w:tcPr>
            <w:tcW w:w="980" w:type="dxa"/>
            <w:noWrap/>
            <w:hideMark/>
          </w:tcPr>
          <w:p w14:paraId="3A355B6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150</w:t>
            </w:r>
          </w:p>
        </w:tc>
        <w:tc>
          <w:tcPr>
            <w:tcW w:w="841" w:type="dxa"/>
            <w:noWrap/>
            <w:hideMark/>
          </w:tcPr>
          <w:p w14:paraId="2C00949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42</w:t>
            </w:r>
          </w:p>
        </w:tc>
        <w:tc>
          <w:tcPr>
            <w:tcW w:w="980" w:type="dxa"/>
            <w:noWrap/>
            <w:hideMark/>
          </w:tcPr>
          <w:p w14:paraId="2D50A5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c>
          <w:tcPr>
            <w:tcW w:w="980" w:type="dxa"/>
            <w:noWrap/>
            <w:hideMark/>
          </w:tcPr>
          <w:p w14:paraId="09EB8CA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841" w:type="dxa"/>
            <w:noWrap/>
            <w:hideMark/>
          </w:tcPr>
          <w:p w14:paraId="2C80B81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c>
          <w:tcPr>
            <w:tcW w:w="840" w:type="dxa"/>
            <w:noWrap/>
            <w:hideMark/>
          </w:tcPr>
          <w:p w14:paraId="6124269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088" w:type="dxa"/>
            <w:noWrap/>
            <w:hideMark/>
          </w:tcPr>
          <w:p w14:paraId="42EA85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67</w:t>
            </w:r>
          </w:p>
        </w:tc>
      </w:tr>
      <w:tr w:rsidR="007937EB" w:rsidRPr="00AB23D3" w14:paraId="5F31E4E0"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4C7E8BE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732" w:type="dxa"/>
            <w:noWrap/>
            <w:hideMark/>
          </w:tcPr>
          <w:p w14:paraId="2DCA913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c>
          <w:tcPr>
            <w:tcW w:w="841" w:type="dxa"/>
            <w:noWrap/>
            <w:hideMark/>
          </w:tcPr>
          <w:p w14:paraId="4F30979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207</w:t>
            </w:r>
          </w:p>
        </w:tc>
        <w:tc>
          <w:tcPr>
            <w:tcW w:w="980" w:type="dxa"/>
            <w:noWrap/>
            <w:hideMark/>
          </w:tcPr>
          <w:p w14:paraId="163505D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102</w:t>
            </w:r>
          </w:p>
        </w:tc>
        <w:tc>
          <w:tcPr>
            <w:tcW w:w="841" w:type="dxa"/>
            <w:noWrap/>
            <w:hideMark/>
          </w:tcPr>
          <w:p w14:paraId="0B2E4F4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w:t>
            </w:r>
          </w:p>
        </w:tc>
        <w:tc>
          <w:tcPr>
            <w:tcW w:w="980" w:type="dxa"/>
            <w:noWrap/>
            <w:hideMark/>
          </w:tcPr>
          <w:p w14:paraId="0AA4B49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53</w:t>
            </w:r>
          </w:p>
        </w:tc>
        <w:tc>
          <w:tcPr>
            <w:tcW w:w="980" w:type="dxa"/>
            <w:noWrap/>
            <w:hideMark/>
          </w:tcPr>
          <w:p w14:paraId="6BB084C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841" w:type="dxa"/>
            <w:noWrap/>
            <w:hideMark/>
          </w:tcPr>
          <w:p w14:paraId="6DE2BF8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840" w:type="dxa"/>
            <w:noWrap/>
            <w:hideMark/>
          </w:tcPr>
          <w:p w14:paraId="2EDA73F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w:t>
            </w:r>
          </w:p>
        </w:tc>
        <w:tc>
          <w:tcPr>
            <w:tcW w:w="1088" w:type="dxa"/>
            <w:noWrap/>
            <w:hideMark/>
          </w:tcPr>
          <w:p w14:paraId="0DA0719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59</w:t>
            </w:r>
          </w:p>
        </w:tc>
      </w:tr>
      <w:tr w:rsidR="007937EB" w:rsidRPr="00AB23D3" w14:paraId="36F5DB6F"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1826425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732" w:type="dxa"/>
            <w:noWrap/>
            <w:hideMark/>
          </w:tcPr>
          <w:p w14:paraId="0ECCAD3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164</w:t>
            </w:r>
          </w:p>
        </w:tc>
        <w:tc>
          <w:tcPr>
            <w:tcW w:w="841" w:type="dxa"/>
            <w:noWrap/>
            <w:hideMark/>
          </w:tcPr>
          <w:p w14:paraId="5D1E297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188</w:t>
            </w:r>
          </w:p>
        </w:tc>
        <w:tc>
          <w:tcPr>
            <w:tcW w:w="980" w:type="dxa"/>
            <w:noWrap/>
            <w:hideMark/>
          </w:tcPr>
          <w:p w14:paraId="6929983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127</w:t>
            </w:r>
          </w:p>
        </w:tc>
        <w:tc>
          <w:tcPr>
            <w:tcW w:w="841" w:type="dxa"/>
            <w:noWrap/>
            <w:hideMark/>
          </w:tcPr>
          <w:p w14:paraId="7BC0611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58</w:t>
            </w:r>
          </w:p>
        </w:tc>
        <w:tc>
          <w:tcPr>
            <w:tcW w:w="980" w:type="dxa"/>
            <w:noWrap/>
            <w:hideMark/>
          </w:tcPr>
          <w:p w14:paraId="1E59D8F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55</w:t>
            </w:r>
          </w:p>
        </w:tc>
        <w:tc>
          <w:tcPr>
            <w:tcW w:w="980" w:type="dxa"/>
            <w:noWrap/>
            <w:hideMark/>
          </w:tcPr>
          <w:p w14:paraId="77E66B1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841" w:type="dxa"/>
            <w:noWrap/>
            <w:hideMark/>
          </w:tcPr>
          <w:p w14:paraId="5DA7B4B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840" w:type="dxa"/>
            <w:noWrap/>
            <w:hideMark/>
          </w:tcPr>
          <w:p w14:paraId="05CBA1A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w:t>
            </w:r>
          </w:p>
        </w:tc>
        <w:tc>
          <w:tcPr>
            <w:tcW w:w="1088" w:type="dxa"/>
            <w:noWrap/>
            <w:hideMark/>
          </w:tcPr>
          <w:p w14:paraId="7006263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r>
      <w:tr w:rsidR="007937EB" w:rsidRPr="00AB23D3" w14:paraId="0BE397B8"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10F0131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732" w:type="dxa"/>
            <w:noWrap/>
            <w:hideMark/>
          </w:tcPr>
          <w:p w14:paraId="6519CE3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841" w:type="dxa"/>
            <w:noWrap/>
            <w:hideMark/>
          </w:tcPr>
          <w:p w14:paraId="2A092B4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246</w:t>
            </w:r>
          </w:p>
        </w:tc>
        <w:tc>
          <w:tcPr>
            <w:tcW w:w="980" w:type="dxa"/>
            <w:noWrap/>
            <w:hideMark/>
          </w:tcPr>
          <w:p w14:paraId="3CCD78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136</w:t>
            </w:r>
          </w:p>
        </w:tc>
        <w:tc>
          <w:tcPr>
            <w:tcW w:w="841" w:type="dxa"/>
            <w:noWrap/>
            <w:hideMark/>
          </w:tcPr>
          <w:p w14:paraId="31A47F1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65</w:t>
            </w:r>
          </w:p>
        </w:tc>
        <w:tc>
          <w:tcPr>
            <w:tcW w:w="980" w:type="dxa"/>
            <w:noWrap/>
            <w:hideMark/>
          </w:tcPr>
          <w:p w14:paraId="0EACD6F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65</w:t>
            </w:r>
          </w:p>
        </w:tc>
        <w:tc>
          <w:tcPr>
            <w:tcW w:w="980" w:type="dxa"/>
            <w:noWrap/>
            <w:hideMark/>
          </w:tcPr>
          <w:p w14:paraId="17BFCFB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w:t>
            </w:r>
          </w:p>
        </w:tc>
        <w:tc>
          <w:tcPr>
            <w:tcW w:w="841" w:type="dxa"/>
            <w:noWrap/>
            <w:hideMark/>
          </w:tcPr>
          <w:p w14:paraId="3490A7B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w:t>
            </w:r>
          </w:p>
        </w:tc>
        <w:tc>
          <w:tcPr>
            <w:tcW w:w="840" w:type="dxa"/>
            <w:noWrap/>
            <w:hideMark/>
          </w:tcPr>
          <w:p w14:paraId="2C7E606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w:t>
            </w:r>
          </w:p>
        </w:tc>
        <w:tc>
          <w:tcPr>
            <w:tcW w:w="1088" w:type="dxa"/>
            <w:noWrap/>
            <w:hideMark/>
          </w:tcPr>
          <w:p w14:paraId="074562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72</w:t>
            </w:r>
          </w:p>
        </w:tc>
      </w:tr>
      <w:tr w:rsidR="007937EB" w:rsidRPr="00AB23D3" w14:paraId="0E137BC5"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35401A0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732" w:type="dxa"/>
            <w:noWrap/>
            <w:hideMark/>
          </w:tcPr>
          <w:p w14:paraId="7734450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189</w:t>
            </w:r>
          </w:p>
        </w:tc>
        <w:tc>
          <w:tcPr>
            <w:tcW w:w="841" w:type="dxa"/>
            <w:noWrap/>
            <w:hideMark/>
          </w:tcPr>
          <w:p w14:paraId="2B4820D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255</w:t>
            </w:r>
          </w:p>
        </w:tc>
        <w:tc>
          <w:tcPr>
            <w:tcW w:w="980" w:type="dxa"/>
            <w:noWrap/>
            <w:hideMark/>
          </w:tcPr>
          <w:p w14:paraId="09218E8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175</w:t>
            </w:r>
          </w:p>
        </w:tc>
        <w:tc>
          <w:tcPr>
            <w:tcW w:w="841" w:type="dxa"/>
            <w:noWrap/>
            <w:hideMark/>
          </w:tcPr>
          <w:p w14:paraId="6765E5D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95</w:t>
            </w:r>
          </w:p>
        </w:tc>
        <w:tc>
          <w:tcPr>
            <w:tcW w:w="980" w:type="dxa"/>
            <w:noWrap/>
            <w:hideMark/>
          </w:tcPr>
          <w:p w14:paraId="4B2FABF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980" w:type="dxa"/>
            <w:noWrap/>
            <w:hideMark/>
          </w:tcPr>
          <w:p w14:paraId="7EE61A4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w:t>
            </w:r>
          </w:p>
        </w:tc>
        <w:tc>
          <w:tcPr>
            <w:tcW w:w="841" w:type="dxa"/>
            <w:noWrap/>
            <w:hideMark/>
          </w:tcPr>
          <w:p w14:paraId="5C8AB19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w:t>
            </w:r>
          </w:p>
        </w:tc>
        <w:tc>
          <w:tcPr>
            <w:tcW w:w="840" w:type="dxa"/>
            <w:noWrap/>
            <w:hideMark/>
          </w:tcPr>
          <w:p w14:paraId="4FCBD6A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w:t>
            </w:r>
          </w:p>
        </w:tc>
        <w:tc>
          <w:tcPr>
            <w:tcW w:w="1088" w:type="dxa"/>
            <w:noWrap/>
            <w:hideMark/>
          </w:tcPr>
          <w:p w14:paraId="59F7AF7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r>
      <w:tr w:rsidR="007937EB" w:rsidRPr="00AB23D3" w14:paraId="471C1D19"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1C7FDAA2"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732" w:type="dxa"/>
            <w:noWrap/>
            <w:hideMark/>
          </w:tcPr>
          <w:p w14:paraId="6FF336D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216</w:t>
            </w:r>
          </w:p>
        </w:tc>
        <w:tc>
          <w:tcPr>
            <w:tcW w:w="841" w:type="dxa"/>
            <w:noWrap/>
            <w:hideMark/>
          </w:tcPr>
          <w:p w14:paraId="608AD21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243</w:t>
            </w:r>
          </w:p>
        </w:tc>
        <w:tc>
          <w:tcPr>
            <w:tcW w:w="980" w:type="dxa"/>
            <w:noWrap/>
            <w:hideMark/>
          </w:tcPr>
          <w:p w14:paraId="48AA47A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129</w:t>
            </w:r>
          </w:p>
        </w:tc>
        <w:tc>
          <w:tcPr>
            <w:tcW w:w="841" w:type="dxa"/>
            <w:noWrap/>
            <w:hideMark/>
          </w:tcPr>
          <w:p w14:paraId="478C555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980" w:type="dxa"/>
            <w:noWrap/>
            <w:hideMark/>
          </w:tcPr>
          <w:p w14:paraId="6DB3E6B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107</w:t>
            </w:r>
          </w:p>
        </w:tc>
        <w:tc>
          <w:tcPr>
            <w:tcW w:w="980" w:type="dxa"/>
            <w:noWrap/>
            <w:hideMark/>
          </w:tcPr>
          <w:p w14:paraId="29A6E61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841" w:type="dxa"/>
            <w:noWrap/>
            <w:hideMark/>
          </w:tcPr>
          <w:p w14:paraId="02D560D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840" w:type="dxa"/>
            <w:noWrap/>
            <w:hideMark/>
          </w:tcPr>
          <w:p w14:paraId="4EEFD35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w:t>
            </w:r>
          </w:p>
        </w:tc>
        <w:tc>
          <w:tcPr>
            <w:tcW w:w="1088" w:type="dxa"/>
            <w:noWrap/>
            <w:hideMark/>
          </w:tcPr>
          <w:p w14:paraId="618BB142"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44</w:t>
            </w:r>
          </w:p>
        </w:tc>
      </w:tr>
      <w:tr w:rsidR="007937EB" w:rsidRPr="00AB23D3" w14:paraId="643E1820"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1C95260B"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732" w:type="dxa"/>
            <w:noWrap/>
            <w:hideMark/>
          </w:tcPr>
          <w:p w14:paraId="20E1454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267</w:t>
            </w:r>
          </w:p>
        </w:tc>
        <w:tc>
          <w:tcPr>
            <w:tcW w:w="841" w:type="dxa"/>
            <w:noWrap/>
            <w:hideMark/>
          </w:tcPr>
          <w:p w14:paraId="7D2C2B2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257</w:t>
            </w:r>
          </w:p>
        </w:tc>
        <w:tc>
          <w:tcPr>
            <w:tcW w:w="980" w:type="dxa"/>
            <w:noWrap/>
            <w:hideMark/>
          </w:tcPr>
          <w:p w14:paraId="228080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137</w:t>
            </w:r>
          </w:p>
        </w:tc>
        <w:tc>
          <w:tcPr>
            <w:tcW w:w="841" w:type="dxa"/>
            <w:noWrap/>
            <w:hideMark/>
          </w:tcPr>
          <w:p w14:paraId="36C939B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90</w:t>
            </w:r>
          </w:p>
        </w:tc>
        <w:tc>
          <w:tcPr>
            <w:tcW w:w="980" w:type="dxa"/>
            <w:noWrap/>
            <w:hideMark/>
          </w:tcPr>
          <w:p w14:paraId="60B8EC3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71</w:t>
            </w:r>
          </w:p>
        </w:tc>
        <w:tc>
          <w:tcPr>
            <w:tcW w:w="980" w:type="dxa"/>
            <w:noWrap/>
            <w:hideMark/>
          </w:tcPr>
          <w:p w14:paraId="314ACAA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841" w:type="dxa"/>
            <w:noWrap/>
            <w:hideMark/>
          </w:tcPr>
          <w:p w14:paraId="1D4E40B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840" w:type="dxa"/>
            <w:noWrap/>
            <w:hideMark/>
          </w:tcPr>
          <w:p w14:paraId="5E16701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088" w:type="dxa"/>
            <w:noWrap/>
            <w:hideMark/>
          </w:tcPr>
          <w:p w14:paraId="1DD735F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45</w:t>
            </w:r>
          </w:p>
        </w:tc>
      </w:tr>
      <w:tr w:rsidR="007937EB" w:rsidRPr="00AB23D3" w14:paraId="71E63A2B"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3D3063D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732" w:type="dxa"/>
            <w:noWrap/>
            <w:hideMark/>
          </w:tcPr>
          <w:p w14:paraId="0472C4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336</w:t>
            </w:r>
          </w:p>
        </w:tc>
        <w:tc>
          <w:tcPr>
            <w:tcW w:w="841" w:type="dxa"/>
            <w:noWrap/>
            <w:hideMark/>
          </w:tcPr>
          <w:p w14:paraId="41F8F30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362</w:t>
            </w:r>
          </w:p>
        </w:tc>
        <w:tc>
          <w:tcPr>
            <w:tcW w:w="980" w:type="dxa"/>
            <w:noWrap/>
            <w:hideMark/>
          </w:tcPr>
          <w:p w14:paraId="068FA82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841" w:type="dxa"/>
            <w:noWrap/>
            <w:hideMark/>
          </w:tcPr>
          <w:p w14:paraId="5033003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132</w:t>
            </w:r>
          </w:p>
        </w:tc>
        <w:tc>
          <w:tcPr>
            <w:tcW w:w="980" w:type="dxa"/>
            <w:noWrap/>
            <w:hideMark/>
          </w:tcPr>
          <w:p w14:paraId="4F9C173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135</w:t>
            </w:r>
          </w:p>
        </w:tc>
        <w:tc>
          <w:tcPr>
            <w:tcW w:w="980" w:type="dxa"/>
            <w:noWrap/>
            <w:hideMark/>
          </w:tcPr>
          <w:p w14:paraId="3233A5F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52</w:t>
            </w:r>
          </w:p>
        </w:tc>
        <w:tc>
          <w:tcPr>
            <w:tcW w:w="841" w:type="dxa"/>
            <w:noWrap/>
            <w:hideMark/>
          </w:tcPr>
          <w:p w14:paraId="0273FBA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840" w:type="dxa"/>
            <w:noWrap/>
            <w:hideMark/>
          </w:tcPr>
          <w:p w14:paraId="3689411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w:t>
            </w:r>
          </w:p>
        </w:tc>
        <w:tc>
          <w:tcPr>
            <w:tcW w:w="1088" w:type="dxa"/>
            <w:noWrap/>
            <w:hideMark/>
          </w:tcPr>
          <w:p w14:paraId="4A92843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65</w:t>
            </w:r>
          </w:p>
        </w:tc>
      </w:tr>
      <w:tr w:rsidR="007937EB" w:rsidRPr="00AB23D3" w14:paraId="277C12D5"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285272D1"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732" w:type="dxa"/>
            <w:noWrap/>
            <w:hideMark/>
          </w:tcPr>
          <w:p w14:paraId="7E0B84A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460</w:t>
            </w:r>
          </w:p>
        </w:tc>
        <w:tc>
          <w:tcPr>
            <w:tcW w:w="841" w:type="dxa"/>
            <w:noWrap/>
            <w:hideMark/>
          </w:tcPr>
          <w:p w14:paraId="1AEDEF5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465</w:t>
            </w:r>
          </w:p>
        </w:tc>
        <w:tc>
          <w:tcPr>
            <w:tcW w:w="980" w:type="dxa"/>
            <w:noWrap/>
            <w:hideMark/>
          </w:tcPr>
          <w:p w14:paraId="350488D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330</w:t>
            </w:r>
          </w:p>
        </w:tc>
        <w:tc>
          <w:tcPr>
            <w:tcW w:w="841" w:type="dxa"/>
            <w:noWrap/>
            <w:hideMark/>
          </w:tcPr>
          <w:p w14:paraId="0A0299F1"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192</w:t>
            </w:r>
          </w:p>
        </w:tc>
        <w:tc>
          <w:tcPr>
            <w:tcW w:w="980" w:type="dxa"/>
            <w:noWrap/>
            <w:hideMark/>
          </w:tcPr>
          <w:p w14:paraId="20D8735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190</w:t>
            </w:r>
          </w:p>
        </w:tc>
        <w:tc>
          <w:tcPr>
            <w:tcW w:w="980" w:type="dxa"/>
            <w:noWrap/>
            <w:hideMark/>
          </w:tcPr>
          <w:p w14:paraId="2ACE953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w:t>
            </w:r>
          </w:p>
        </w:tc>
        <w:tc>
          <w:tcPr>
            <w:tcW w:w="841" w:type="dxa"/>
            <w:noWrap/>
            <w:hideMark/>
          </w:tcPr>
          <w:p w14:paraId="523E73E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60</w:t>
            </w:r>
          </w:p>
        </w:tc>
        <w:tc>
          <w:tcPr>
            <w:tcW w:w="840" w:type="dxa"/>
            <w:noWrap/>
            <w:hideMark/>
          </w:tcPr>
          <w:p w14:paraId="40F175D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23</w:t>
            </w:r>
          </w:p>
        </w:tc>
        <w:tc>
          <w:tcPr>
            <w:tcW w:w="1088" w:type="dxa"/>
            <w:noWrap/>
            <w:hideMark/>
          </w:tcPr>
          <w:p w14:paraId="0A422B1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87</w:t>
            </w:r>
          </w:p>
        </w:tc>
      </w:tr>
      <w:tr w:rsidR="007937EB" w:rsidRPr="00AB23D3" w14:paraId="138224AC"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79" w:type="dxa"/>
            <w:gridSpan w:val="2"/>
            <w:noWrap/>
            <w:hideMark/>
          </w:tcPr>
          <w:p w14:paraId="5DEB4A6C" w14:textId="77777777" w:rsidR="007937EB" w:rsidRPr="00AB23D3" w:rsidRDefault="007937EB" w:rsidP="007937EB">
            <w:pPr>
              <w:jc w:val="center"/>
              <w:rPr>
                <w:rFonts w:eastAsia="Times New Roman" w:cs="Times New Roman"/>
                <w:color w:val="000000"/>
                <w:sz w:val="20"/>
                <w:szCs w:val="20"/>
                <w:lang w:eastAsia="en-AU"/>
              </w:rPr>
            </w:pPr>
            <w:r w:rsidRPr="00AB23D3">
              <w:rPr>
                <w:rFonts w:eastAsia="Times New Roman" w:cs="Times New Roman"/>
                <w:color w:val="000000"/>
                <w:sz w:val="20"/>
                <w:szCs w:val="20"/>
                <w:lang w:eastAsia="en-AU"/>
              </w:rPr>
              <w:t>other age groups</w:t>
            </w:r>
          </w:p>
        </w:tc>
        <w:tc>
          <w:tcPr>
            <w:tcW w:w="841" w:type="dxa"/>
            <w:noWrap/>
            <w:hideMark/>
          </w:tcPr>
          <w:p w14:paraId="2692F14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p>
        </w:tc>
        <w:tc>
          <w:tcPr>
            <w:tcW w:w="980" w:type="dxa"/>
            <w:noWrap/>
            <w:hideMark/>
          </w:tcPr>
          <w:p w14:paraId="6E3F9ED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1" w:type="dxa"/>
            <w:noWrap/>
            <w:hideMark/>
          </w:tcPr>
          <w:p w14:paraId="19BD7A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80" w:type="dxa"/>
            <w:noWrap/>
            <w:hideMark/>
          </w:tcPr>
          <w:p w14:paraId="1519ABC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980" w:type="dxa"/>
            <w:noWrap/>
            <w:hideMark/>
          </w:tcPr>
          <w:p w14:paraId="14E0B1D7"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1" w:type="dxa"/>
            <w:noWrap/>
            <w:hideMark/>
          </w:tcPr>
          <w:p w14:paraId="0B133AD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840" w:type="dxa"/>
            <w:noWrap/>
            <w:hideMark/>
          </w:tcPr>
          <w:p w14:paraId="7BC4B9E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c>
          <w:tcPr>
            <w:tcW w:w="1088" w:type="dxa"/>
            <w:noWrap/>
            <w:hideMark/>
          </w:tcPr>
          <w:p w14:paraId="451D639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p>
        </w:tc>
      </w:tr>
      <w:tr w:rsidR="007937EB" w:rsidRPr="00AB23D3" w14:paraId="3FE82914"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02C59049"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2011</w:t>
            </w:r>
          </w:p>
        </w:tc>
        <w:tc>
          <w:tcPr>
            <w:tcW w:w="732" w:type="dxa"/>
            <w:noWrap/>
            <w:hideMark/>
          </w:tcPr>
          <w:p w14:paraId="703D040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203</w:t>
            </w:r>
          </w:p>
        </w:tc>
        <w:tc>
          <w:tcPr>
            <w:tcW w:w="841" w:type="dxa"/>
            <w:noWrap/>
            <w:hideMark/>
          </w:tcPr>
          <w:p w14:paraId="6FD073A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250</w:t>
            </w:r>
          </w:p>
        </w:tc>
        <w:tc>
          <w:tcPr>
            <w:tcW w:w="980" w:type="dxa"/>
            <w:noWrap/>
            <w:hideMark/>
          </w:tcPr>
          <w:p w14:paraId="2AF0FEC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199</w:t>
            </w:r>
          </w:p>
        </w:tc>
        <w:tc>
          <w:tcPr>
            <w:tcW w:w="841" w:type="dxa"/>
            <w:noWrap/>
            <w:hideMark/>
          </w:tcPr>
          <w:p w14:paraId="7A6A9B3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72</w:t>
            </w:r>
          </w:p>
        </w:tc>
        <w:tc>
          <w:tcPr>
            <w:tcW w:w="980" w:type="dxa"/>
            <w:noWrap/>
            <w:hideMark/>
          </w:tcPr>
          <w:p w14:paraId="66D16A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85</w:t>
            </w:r>
          </w:p>
        </w:tc>
        <w:tc>
          <w:tcPr>
            <w:tcW w:w="980" w:type="dxa"/>
            <w:noWrap/>
            <w:hideMark/>
          </w:tcPr>
          <w:p w14:paraId="0ADDF2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w:t>
            </w:r>
          </w:p>
        </w:tc>
        <w:tc>
          <w:tcPr>
            <w:tcW w:w="841" w:type="dxa"/>
            <w:noWrap/>
            <w:hideMark/>
          </w:tcPr>
          <w:p w14:paraId="7FAEDA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w:t>
            </w:r>
          </w:p>
        </w:tc>
        <w:tc>
          <w:tcPr>
            <w:tcW w:w="840" w:type="dxa"/>
            <w:noWrap/>
            <w:hideMark/>
          </w:tcPr>
          <w:p w14:paraId="720C9A3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10</w:t>
            </w:r>
          </w:p>
        </w:tc>
        <w:tc>
          <w:tcPr>
            <w:tcW w:w="1088" w:type="dxa"/>
            <w:noWrap/>
            <w:hideMark/>
          </w:tcPr>
          <w:p w14:paraId="68848B7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138</w:t>
            </w:r>
          </w:p>
        </w:tc>
      </w:tr>
      <w:tr w:rsidR="007937EB" w:rsidRPr="00AB23D3" w14:paraId="777DA8B8"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487CC8F8"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2012</w:t>
            </w:r>
          </w:p>
        </w:tc>
        <w:tc>
          <w:tcPr>
            <w:tcW w:w="732" w:type="dxa"/>
            <w:noWrap/>
            <w:hideMark/>
          </w:tcPr>
          <w:p w14:paraId="7636B0B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172</w:t>
            </w:r>
          </w:p>
        </w:tc>
        <w:tc>
          <w:tcPr>
            <w:tcW w:w="841" w:type="dxa"/>
            <w:noWrap/>
            <w:hideMark/>
          </w:tcPr>
          <w:p w14:paraId="2B26B93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240</w:t>
            </w:r>
          </w:p>
        </w:tc>
        <w:tc>
          <w:tcPr>
            <w:tcW w:w="980" w:type="dxa"/>
            <w:noWrap/>
            <w:hideMark/>
          </w:tcPr>
          <w:p w14:paraId="079C77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200</w:t>
            </w:r>
          </w:p>
        </w:tc>
        <w:tc>
          <w:tcPr>
            <w:tcW w:w="841" w:type="dxa"/>
            <w:noWrap/>
            <w:hideMark/>
          </w:tcPr>
          <w:p w14:paraId="18A81BF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67</w:t>
            </w:r>
          </w:p>
        </w:tc>
        <w:tc>
          <w:tcPr>
            <w:tcW w:w="980" w:type="dxa"/>
            <w:noWrap/>
            <w:hideMark/>
          </w:tcPr>
          <w:p w14:paraId="0446813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77</w:t>
            </w:r>
          </w:p>
        </w:tc>
        <w:tc>
          <w:tcPr>
            <w:tcW w:w="980" w:type="dxa"/>
            <w:noWrap/>
            <w:hideMark/>
          </w:tcPr>
          <w:p w14:paraId="1FD7FFB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35</w:t>
            </w:r>
          </w:p>
        </w:tc>
        <w:tc>
          <w:tcPr>
            <w:tcW w:w="841" w:type="dxa"/>
            <w:noWrap/>
            <w:hideMark/>
          </w:tcPr>
          <w:p w14:paraId="3C78BB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840" w:type="dxa"/>
            <w:noWrap/>
            <w:hideMark/>
          </w:tcPr>
          <w:p w14:paraId="7EB2C9E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088" w:type="dxa"/>
            <w:noWrap/>
            <w:hideMark/>
          </w:tcPr>
          <w:p w14:paraId="2BF8811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r>
      <w:tr w:rsidR="007937EB" w:rsidRPr="00AB23D3" w14:paraId="44386AE0"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2ABE98BA"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2013</w:t>
            </w:r>
          </w:p>
        </w:tc>
        <w:tc>
          <w:tcPr>
            <w:tcW w:w="732" w:type="dxa"/>
            <w:noWrap/>
            <w:hideMark/>
          </w:tcPr>
          <w:p w14:paraId="6CF5D10A"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207</w:t>
            </w:r>
          </w:p>
        </w:tc>
        <w:tc>
          <w:tcPr>
            <w:tcW w:w="841" w:type="dxa"/>
            <w:noWrap/>
            <w:hideMark/>
          </w:tcPr>
          <w:p w14:paraId="2D6152B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270</w:t>
            </w:r>
          </w:p>
        </w:tc>
        <w:tc>
          <w:tcPr>
            <w:tcW w:w="980" w:type="dxa"/>
            <w:noWrap/>
            <w:hideMark/>
          </w:tcPr>
          <w:p w14:paraId="09ADECB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181</w:t>
            </w:r>
          </w:p>
        </w:tc>
        <w:tc>
          <w:tcPr>
            <w:tcW w:w="841" w:type="dxa"/>
            <w:noWrap/>
            <w:hideMark/>
          </w:tcPr>
          <w:p w14:paraId="705E62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91</w:t>
            </w:r>
          </w:p>
        </w:tc>
        <w:tc>
          <w:tcPr>
            <w:tcW w:w="980" w:type="dxa"/>
            <w:noWrap/>
            <w:hideMark/>
          </w:tcPr>
          <w:p w14:paraId="700108C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980" w:type="dxa"/>
            <w:noWrap/>
            <w:hideMark/>
          </w:tcPr>
          <w:p w14:paraId="72BB48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39</w:t>
            </w:r>
          </w:p>
        </w:tc>
        <w:tc>
          <w:tcPr>
            <w:tcW w:w="841" w:type="dxa"/>
            <w:noWrap/>
            <w:hideMark/>
          </w:tcPr>
          <w:p w14:paraId="15CA377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33</w:t>
            </w:r>
          </w:p>
        </w:tc>
        <w:tc>
          <w:tcPr>
            <w:tcW w:w="840" w:type="dxa"/>
            <w:noWrap/>
            <w:hideMark/>
          </w:tcPr>
          <w:p w14:paraId="09BE62E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w:t>
            </w:r>
          </w:p>
        </w:tc>
        <w:tc>
          <w:tcPr>
            <w:tcW w:w="1088" w:type="dxa"/>
            <w:noWrap/>
            <w:hideMark/>
          </w:tcPr>
          <w:p w14:paraId="67E4811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154</w:t>
            </w:r>
          </w:p>
        </w:tc>
      </w:tr>
      <w:tr w:rsidR="007937EB" w:rsidRPr="00AB23D3" w14:paraId="30B27B6C"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4368FD53"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2014</w:t>
            </w:r>
          </w:p>
        </w:tc>
        <w:tc>
          <w:tcPr>
            <w:tcW w:w="732" w:type="dxa"/>
            <w:noWrap/>
            <w:hideMark/>
          </w:tcPr>
          <w:p w14:paraId="2DCB2CD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217</w:t>
            </w:r>
          </w:p>
        </w:tc>
        <w:tc>
          <w:tcPr>
            <w:tcW w:w="841" w:type="dxa"/>
            <w:noWrap/>
            <w:hideMark/>
          </w:tcPr>
          <w:p w14:paraId="6684568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274</w:t>
            </w:r>
          </w:p>
        </w:tc>
        <w:tc>
          <w:tcPr>
            <w:tcW w:w="980" w:type="dxa"/>
            <w:noWrap/>
            <w:hideMark/>
          </w:tcPr>
          <w:p w14:paraId="7DF9314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223</w:t>
            </w:r>
          </w:p>
        </w:tc>
        <w:tc>
          <w:tcPr>
            <w:tcW w:w="841" w:type="dxa"/>
            <w:noWrap/>
            <w:hideMark/>
          </w:tcPr>
          <w:p w14:paraId="5BE3F9E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88</w:t>
            </w:r>
          </w:p>
        </w:tc>
        <w:tc>
          <w:tcPr>
            <w:tcW w:w="980" w:type="dxa"/>
            <w:noWrap/>
            <w:hideMark/>
          </w:tcPr>
          <w:p w14:paraId="53F825F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110</w:t>
            </w:r>
          </w:p>
        </w:tc>
        <w:tc>
          <w:tcPr>
            <w:tcW w:w="980" w:type="dxa"/>
            <w:noWrap/>
            <w:hideMark/>
          </w:tcPr>
          <w:p w14:paraId="71D5039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w:t>
            </w:r>
          </w:p>
        </w:tc>
        <w:tc>
          <w:tcPr>
            <w:tcW w:w="841" w:type="dxa"/>
            <w:noWrap/>
            <w:hideMark/>
          </w:tcPr>
          <w:p w14:paraId="13F6AA2B"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w:t>
            </w:r>
          </w:p>
        </w:tc>
        <w:tc>
          <w:tcPr>
            <w:tcW w:w="840" w:type="dxa"/>
            <w:noWrap/>
            <w:hideMark/>
          </w:tcPr>
          <w:p w14:paraId="78EAFB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w:t>
            </w:r>
          </w:p>
        </w:tc>
        <w:tc>
          <w:tcPr>
            <w:tcW w:w="1088" w:type="dxa"/>
            <w:noWrap/>
            <w:hideMark/>
          </w:tcPr>
          <w:p w14:paraId="69AD195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144</w:t>
            </w:r>
          </w:p>
        </w:tc>
      </w:tr>
      <w:tr w:rsidR="007937EB" w:rsidRPr="00AB23D3" w14:paraId="5E5A1091"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4A359D06"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2015</w:t>
            </w:r>
          </w:p>
        </w:tc>
        <w:tc>
          <w:tcPr>
            <w:tcW w:w="732" w:type="dxa"/>
            <w:noWrap/>
            <w:hideMark/>
          </w:tcPr>
          <w:p w14:paraId="05D5D14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229</w:t>
            </w:r>
          </w:p>
        </w:tc>
        <w:tc>
          <w:tcPr>
            <w:tcW w:w="841" w:type="dxa"/>
            <w:noWrap/>
            <w:hideMark/>
          </w:tcPr>
          <w:p w14:paraId="76C9C84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272</w:t>
            </w:r>
          </w:p>
        </w:tc>
        <w:tc>
          <w:tcPr>
            <w:tcW w:w="980" w:type="dxa"/>
            <w:noWrap/>
            <w:hideMark/>
          </w:tcPr>
          <w:p w14:paraId="361492C6"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210</w:t>
            </w:r>
          </w:p>
        </w:tc>
        <w:tc>
          <w:tcPr>
            <w:tcW w:w="841" w:type="dxa"/>
            <w:noWrap/>
            <w:hideMark/>
          </w:tcPr>
          <w:p w14:paraId="4E4F8714"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99</w:t>
            </w:r>
          </w:p>
        </w:tc>
        <w:tc>
          <w:tcPr>
            <w:tcW w:w="980" w:type="dxa"/>
            <w:noWrap/>
            <w:hideMark/>
          </w:tcPr>
          <w:p w14:paraId="5BFDD93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114</w:t>
            </w:r>
          </w:p>
        </w:tc>
        <w:tc>
          <w:tcPr>
            <w:tcW w:w="980" w:type="dxa"/>
            <w:noWrap/>
            <w:hideMark/>
          </w:tcPr>
          <w:p w14:paraId="3483E4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47</w:t>
            </w:r>
          </w:p>
        </w:tc>
        <w:tc>
          <w:tcPr>
            <w:tcW w:w="841" w:type="dxa"/>
            <w:noWrap/>
            <w:hideMark/>
          </w:tcPr>
          <w:p w14:paraId="42D79AE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41</w:t>
            </w:r>
          </w:p>
        </w:tc>
        <w:tc>
          <w:tcPr>
            <w:tcW w:w="840" w:type="dxa"/>
            <w:noWrap/>
            <w:hideMark/>
          </w:tcPr>
          <w:p w14:paraId="645F5AB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24</w:t>
            </w:r>
          </w:p>
        </w:tc>
        <w:tc>
          <w:tcPr>
            <w:tcW w:w="1088" w:type="dxa"/>
            <w:noWrap/>
            <w:hideMark/>
          </w:tcPr>
          <w:p w14:paraId="3928693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142</w:t>
            </w:r>
          </w:p>
        </w:tc>
      </w:tr>
      <w:tr w:rsidR="007937EB" w:rsidRPr="00AB23D3" w14:paraId="4A013E4D"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403A687C"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2016</w:t>
            </w:r>
          </w:p>
        </w:tc>
        <w:tc>
          <w:tcPr>
            <w:tcW w:w="732" w:type="dxa"/>
            <w:noWrap/>
            <w:hideMark/>
          </w:tcPr>
          <w:p w14:paraId="1BC746C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205</w:t>
            </w:r>
          </w:p>
        </w:tc>
        <w:tc>
          <w:tcPr>
            <w:tcW w:w="841" w:type="dxa"/>
            <w:noWrap/>
            <w:hideMark/>
          </w:tcPr>
          <w:p w14:paraId="46F2D8B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272</w:t>
            </w:r>
          </w:p>
        </w:tc>
        <w:tc>
          <w:tcPr>
            <w:tcW w:w="980" w:type="dxa"/>
            <w:noWrap/>
            <w:hideMark/>
          </w:tcPr>
          <w:p w14:paraId="6D70ECEC"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197</w:t>
            </w:r>
          </w:p>
        </w:tc>
        <w:tc>
          <w:tcPr>
            <w:tcW w:w="841" w:type="dxa"/>
            <w:noWrap/>
            <w:hideMark/>
          </w:tcPr>
          <w:p w14:paraId="203E110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93</w:t>
            </w:r>
          </w:p>
        </w:tc>
        <w:tc>
          <w:tcPr>
            <w:tcW w:w="980" w:type="dxa"/>
            <w:noWrap/>
            <w:hideMark/>
          </w:tcPr>
          <w:p w14:paraId="081FCD41"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c>
          <w:tcPr>
            <w:tcW w:w="980" w:type="dxa"/>
            <w:noWrap/>
            <w:hideMark/>
          </w:tcPr>
          <w:p w14:paraId="4711E15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43</w:t>
            </w:r>
          </w:p>
        </w:tc>
        <w:tc>
          <w:tcPr>
            <w:tcW w:w="841" w:type="dxa"/>
            <w:noWrap/>
            <w:hideMark/>
          </w:tcPr>
          <w:p w14:paraId="13FDF529"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49</w:t>
            </w:r>
          </w:p>
        </w:tc>
        <w:tc>
          <w:tcPr>
            <w:tcW w:w="840" w:type="dxa"/>
            <w:noWrap/>
            <w:hideMark/>
          </w:tcPr>
          <w:p w14:paraId="10B2EEB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w:t>
            </w:r>
          </w:p>
        </w:tc>
        <w:tc>
          <w:tcPr>
            <w:tcW w:w="1088" w:type="dxa"/>
            <w:noWrap/>
            <w:hideMark/>
          </w:tcPr>
          <w:p w14:paraId="3B7D1E5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169</w:t>
            </w:r>
          </w:p>
        </w:tc>
      </w:tr>
      <w:tr w:rsidR="007937EB" w:rsidRPr="00AB23D3" w14:paraId="6DAEFC70"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2CBFFC3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2017</w:t>
            </w:r>
          </w:p>
        </w:tc>
        <w:tc>
          <w:tcPr>
            <w:tcW w:w="732" w:type="dxa"/>
            <w:noWrap/>
            <w:hideMark/>
          </w:tcPr>
          <w:p w14:paraId="5C3CC26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223</w:t>
            </w:r>
          </w:p>
        </w:tc>
        <w:tc>
          <w:tcPr>
            <w:tcW w:w="841" w:type="dxa"/>
            <w:noWrap/>
            <w:hideMark/>
          </w:tcPr>
          <w:p w14:paraId="21FB724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271</w:t>
            </w:r>
          </w:p>
        </w:tc>
        <w:tc>
          <w:tcPr>
            <w:tcW w:w="980" w:type="dxa"/>
            <w:noWrap/>
            <w:hideMark/>
          </w:tcPr>
          <w:p w14:paraId="465C5E8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260</w:t>
            </w:r>
          </w:p>
        </w:tc>
        <w:tc>
          <w:tcPr>
            <w:tcW w:w="841" w:type="dxa"/>
            <w:noWrap/>
            <w:hideMark/>
          </w:tcPr>
          <w:p w14:paraId="60A3D6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95</w:t>
            </w:r>
          </w:p>
        </w:tc>
        <w:tc>
          <w:tcPr>
            <w:tcW w:w="980" w:type="dxa"/>
            <w:noWrap/>
            <w:hideMark/>
          </w:tcPr>
          <w:p w14:paraId="086075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156</w:t>
            </w:r>
          </w:p>
        </w:tc>
        <w:tc>
          <w:tcPr>
            <w:tcW w:w="980" w:type="dxa"/>
            <w:noWrap/>
            <w:hideMark/>
          </w:tcPr>
          <w:p w14:paraId="778A838D"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65</w:t>
            </w:r>
          </w:p>
        </w:tc>
        <w:tc>
          <w:tcPr>
            <w:tcW w:w="841" w:type="dxa"/>
            <w:noWrap/>
            <w:hideMark/>
          </w:tcPr>
          <w:p w14:paraId="17E5B68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66</w:t>
            </w:r>
          </w:p>
        </w:tc>
        <w:tc>
          <w:tcPr>
            <w:tcW w:w="840" w:type="dxa"/>
            <w:noWrap/>
            <w:hideMark/>
          </w:tcPr>
          <w:p w14:paraId="629922A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29</w:t>
            </w:r>
          </w:p>
        </w:tc>
        <w:tc>
          <w:tcPr>
            <w:tcW w:w="1088" w:type="dxa"/>
            <w:noWrap/>
            <w:hideMark/>
          </w:tcPr>
          <w:p w14:paraId="27D33BEF"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167</w:t>
            </w:r>
          </w:p>
        </w:tc>
      </w:tr>
      <w:tr w:rsidR="007937EB" w:rsidRPr="00AB23D3" w14:paraId="103CC272"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6D1752DD"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2018</w:t>
            </w:r>
          </w:p>
        </w:tc>
        <w:tc>
          <w:tcPr>
            <w:tcW w:w="732" w:type="dxa"/>
            <w:noWrap/>
            <w:hideMark/>
          </w:tcPr>
          <w:p w14:paraId="32D2E3F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282</w:t>
            </w:r>
          </w:p>
        </w:tc>
        <w:tc>
          <w:tcPr>
            <w:tcW w:w="841" w:type="dxa"/>
            <w:noWrap/>
            <w:hideMark/>
          </w:tcPr>
          <w:p w14:paraId="5F815CE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312</w:t>
            </w:r>
          </w:p>
        </w:tc>
        <w:tc>
          <w:tcPr>
            <w:tcW w:w="980" w:type="dxa"/>
            <w:noWrap/>
            <w:hideMark/>
          </w:tcPr>
          <w:p w14:paraId="00D66E7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167</w:t>
            </w:r>
          </w:p>
        </w:tc>
        <w:tc>
          <w:tcPr>
            <w:tcW w:w="841" w:type="dxa"/>
            <w:noWrap/>
            <w:hideMark/>
          </w:tcPr>
          <w:p w14:paraId="3D580BC4"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116</w:t>
            </w:r>
          </w:p>
        </w:tc>
        <w:tc>
          <w:tcPr>
            <w:tcW w:w="980" w:type="dxa"/>
            <w:noWrap/>
            <w:hideMark/>
          </w:tcPr>
          <w:p w14:paraId="75C83DC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145</w:t>
            </w:r>
          </w:p>
        </w:tc>
        <w:tc>
          <w:tcPr>
            <w:tcW w:w="980" w:type="dxa"/>
            <w:noWrap/>
            <w:hideMark/>
          </w:tcPr>
          <w:p w14:paraId="1DF8312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74</w:t>
            </w:r>
          </w:p>
        </w:tc>
        <w:tc>
          <w:tcPr>
            <w:tcW w:w="841" w:type="dxa"/>
            <w:noWrap/>
            <w:hideMark/>
          </w:tcPr>
          <w:p w14:paraId="5583524E"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71</w:t>
            </w:r>
          </w:p>
        </w:tc>
        <w:tc>
          <w:tcPr>
            <w:tcW w:w="840" w:type="dxa"/>
            <w:noWrap/>
            <w:hideMark/>
          </w:tcPr>
          <w:p w14:paraId="29F954B3"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w:t>
            </w:r>
          </w:p>
        </w:tc>
        <w:tc>
          <w:tcPr>
            <w:tcW w:w="1088" w:type="dxa"/>
            <w:noWrap/>
            <w:hideMark/>
          </w:tcPr>
          <w:p w14:paraId="5D33331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133</w:t>
            </w:r>
          </w:p>
        </w:tc>
      </w:tr>
      <w:tr w:rsidR="007937EB" w:rsidRPr="00AB23D3" w14:paraId="17EA4D90"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05FC39E7"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2019</w:t>
            </w:r>
          </w:p>
        </w:tc>
        <w:tc>
          <w:tcPr>
            <w:tcW w:w="732" w:type="dxa"/>
            <w:noWrap/>
            <w:hideMark/>
          </w:tcPr>
          <w:p w14:paraId="3846060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283</w:t>
            </w:r>
          </w:p>
        </w:tc>
        <w:tc>
          <w:tcPr>
            <w:tcW w:w="841" w:type="dxa"/>
            <w:noWrap/>
            <w:hideMark/>
          </w:tcPr>
          <w:p w14:paraId="7161C30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313</w:t>
            </w:r>
          </w:p>
        </w:tc>
        <w:tc>
          <w:tcPr>
            <w:tcW w:w="980" w:type="dxa"/>
            <w:noWrap/>
            <w:hideMark/>
          </w:tcPr>
          <w:p w14:paraId="4E8311B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209</w:t>
            </w:r>
          </w:p>
        </w:tc>
        <w:tc>
          <w:tcPr>
            <w:tcW w:w="841" w:type="dxa"/>
            <w:noWrap/>
            <w:hideMark/>
          </w:tcPr>
          <w:p w14:paraId="154BB29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122</w:t>
            </w:r>
          </w:p>
        </w:tc>
        <w:tc>
          <w:tcPr>
            <w:tcW w:w="980" w:type="dxa"/>
            <w:noWrap/>
            <w:hideMark/>
          </w:tcPr>
          <w:p w14:paraId="140DF550"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174</w:t>
            </w:r>
          </w:p>
        </w:tc>
        <w:tc>
          <w:tcPr>
            <w:tcW w:w="980" w:type="dxa"/>
            <w:noWrap/>
            <w:hideMark/>
          </w:tcPr>
          <w:p w14:paraId="7688BDF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62</w:t>
            </w:r>
          </w:p>
        </w:tc>
        <w:tc>
          <w:tcPr>
            <w:tcW w:w="841" w:type="dxa"/>
            <w:noWrap/>
            <w:hideMark/>
          </w:tcPr>
          <w:p w14:paraId="76ECF75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77</w:t>
            </w:r>
          </w:p>
        </w:tc>
        <w:tc>
          <w:tcPr>
            <w:tcW w:w="840" w:type="dxa"/>
            <w:noWrap/>
            <w:hideMark/>
          </w:tcPr>
          <w:p w14:paraId="7BD97E1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22</w:t>
            </w:r>
          </w:p>
        </w:tc>
        <w:tc>
          <w:tcPr>
            <w:tcW w:w="1088" w:type="dxa"/>
            <w:noWrap/>
            <w:hideMark/>
          </w:tcPr>
          <w:p w14:paraId="61C68507"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119</w:t>
            </w:r>
          </w:p>
        </w:tc>
      </w:tr>
      <w:tr w:rsidR="007937EB" w:rsidRPr="00AB23D3" w14:paraId="214F006E" w14:textId="77777777" w:rsidTr="00E1733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12AE55FF"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2020</w:t>
            </w:r>
          </w:p>
        </w:tc>
        <w:tc>
          <w:tcPr>
            <w:tcW w:w="732" w:type="dxa"/>
            <w:noWrap/>
            <w:hideMark/>
          </w:tcPr>
          <w:p w14:paraId="4525D275"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367</w:t>
            </w:r>
          </w:p>
        </w:tc>
        <w:tc>
          <w:tcPr>
            <w:tcW w:w="841" w:type="dxa"/>
            <w:noWrap/>
            <w:hideMark/>
          </w:tcPr>
          <w:p w14:paraId="57079C8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382</w:t>
            </w:r>
          </w:p>
        </w:tc>
        <w:tc>
          <w:tcPr>
            <w:tcW w:w="980" w:type="dxa"/>
            <w:noWrap/>
            <w:hideMark/>
          </w:tcPr>
          <w:p w14:paraId="5A0CF8ED"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219</w:t>
            </w:r>
          </w:p>
        </w:tc>
        <w:tc>
          <w:tcPr>
            <w:tcW w:w="841" w:type="dxa"/>
            <w:noWrap/>
            <w:hideMark/>
          </w:tcPr>
          <w:p w14:paraId="3EB68F0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153</w:t>
            </w:r>
          </w:p>
        </w:tc>
        <w:tc>
          <w:tcPr>
            <w:tcW w:w="980" w:type="dxa"/>
            <w:noWrap/>
            <w:hideMark/>
          </w:tcPr>
          <w:p w14:paraId="7C9A3E88"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163</w:t>
            </w:r>
          </w:p>
        </w:tc>
        <w:tc>
          <w:tcPr>
            <w:tcW w:w="980" w:type="dxa"/>
            <w:noWrap/>
            <w:hideMark/>
          </w:tcPr>
          <w:p w14:paraId="445DE7AF"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84</w:t>
            </w:r>
          </w:p>
        </w:tc>
        <w:tc>
          <w:tcPr>
            <w:tcW w:w="841" w:type="dxa"/>
            <w:noWrap/>
            <w:hideMark/>
          </w:tcPr>
          <w:p w14:paraId="618DFD36"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96</w:t>
            </w:r>
          </w:p>
        </w:tc>
        <w:tc>
          <w:tcPr>
            <w:tcW w:w="840" w:type="dxa"/>
            <w:noWrap/>
            <w:hideMark/>
          </w:tcPr>
          <w:p w14:paraId="1F37FC40"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32</w:t>
            </w:r>
          </w:p>
        </w:tc>
        <w:tc>
          <w:tcPr>
            <w:tcW w:w="1088" w:type="dxa"/>
            <w:noWrap/>
            <w:hideMark/>
          </w:tcPr>
          <w:p w14:paraId="41D4F1DA" w14:textId="77777777" w:rsidR="007937EB" w:rsidRPr="00AB23D3" w:rsidRDefault="007937EB" w:rsidP="007937E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184</w:t>
            </w:r>
          </w:p>
        </w:tc>
      </w:tr>
      <w:tr w:rsidR="007937EB" w:rsidRPr="00AB23D3" w14:paraId="4EB5EFB0" w14:textId="77777777" w:rsidTr="00E1733B">
        <w:trPr>
          <w:trHeight w:val="300"/>
        </w:trPr>
        <w:tc>
          <w:tcPr>
            <w:cnfStyle w:val="001000000000" w:firstRow="0" w:lastRow="0" w:firstColumn="1" w:lastColumn="0" w:oddVBand="0" w:evenVBand="0" w:oddHBand="0" w:evenHBand="0" w:firstRowFirstColumn="0" w:firstRowLastColumn="0" w:lastRowFirstColumn="0" w:lastRowLastColumn="0"/>
            <w:tcW w:w="947" w:type="dxa"/>
            <w:noWrap/>
            <w:hideMark/>
          </w:tcPr>
          <w:p w14:paraId="6ED03355" w14:textId="77777777" w:rsidR="007937EB" w:rsidRPr="00AB23D3" w:rsidRDefault="007937EB" w:rsidP="007937EB">
            <w:pPr>
              <w:rPr>
                <w:rFonts w:eastAsia="Times New Roman" w:cs="Times New Roman"/>
                <w:color w:val="000000"/>
                <w:sz w:val="20"/>
                <w:szCs w:val="20"/>
                <w:lang w:eastAsia="en-AU"/>
              </w:rPr>
            </w:pPr>
            <w:r w:rsidRPr="00AB23D3">
              <w:rPr>
                <w:rFonts w:eastAsia="Times New Roman" w:cs="Times New Roman"/>
                <w:color w:val="000000"/>
                <w:sz w:val="20"/>
                <w:szCs w:val="20"/>
                <w:lang w:eastAsia="en-AU"/>
              </w:rPr>
              <w:t>2021</w:t>
            </w:r>
          </w:p>
        </w:tc>
        <w:tc>
          <w:tcPr>
            <w:tcW w:w="732" w:type="dxa"/>
            <w:noWrap/>
            <w:hideMark/>
          </w:tcPr>
          <w:p w14:paraId="444E26A2"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365</w:t>
            </w:r>
          </w:p>
        </w:tc>
        <w:tc>
          <w:tcPr>
            <w:tcW w:w="841" w:type="dxa"/>
            <w:noWrap/>
            <w:hideMark/>
          </w:tcPr>
          <w:p w14:paraId="052CFE48"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384</w:t>
            </w:r>
          </w:p>
        </w:tc>
        <w:tc>
          <w:tcPr>
            <w:tcW w:w="980" w:type="dxa"/>
            <w:noWrap/>
            <w:hideMark/>
          </w:tcPr>
          <w:p w14:paraId="2A23B313"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254</w:t>
            </w:r>
          </w:p>
        </w:tc>
        <w:tc>
          <w:tcPr>
            <w:tcW w:w="841" w:type="dxa"/>
            <w:noWrap/>
            <w:hideMark/>
          </w:tcPr>
          <w:p w14:paraId="3699AC1B"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151</w:t>
            </w:r>
          </w:p>
        </w:tc>
        <w:tc>
          <w:tcPr>
            <w:tcW w:w="980" w:type="dxa"/>
            <w:noWrap/>
            <w:hideMark/>
          </w:tcPr>
          <w:p w14:paraId="406C573C"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186</w:t>
            </w:r>
          </w:p>
        </w:tc>
        <w:tc>
          <w:tcPr>
            <w:tcW w:w="980" w:type="dxa"/>
            <w:noWrap/>
            <w:hideMark/>
          </w:tcPr>
          <w:p w14:paraId="175B60F5"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83</w:t>
            </w:r>
          </w:p>
        </w:tc>
        <w:tc>
          <w:tcPr>
            <w:tcW w:w="841" w:type="dxa"/>
            <w:noWrap/>
            <w:hideMark/>
          </w:tcPr>
          <w:p w14:paraId="27A3476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68</w:t>
            </w:r>
          </w:p>
        </w:tc>
        <w:tc>
          <w:tcPr>
            <w:tcW w:w="840" w:type="dxa"/>
            <w:noWrap/>
            <w:hideMark/>
          </w:tcPr>
          <w:p w14:paraId="3DF747A9"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34</w:t>
            </w:r>
          </w:p>
        </w:tc>
        <w:tc>
          <w:tcPr>
            <w:tcW w:w="1088" w:type="dxa"/>
            <w:noWrap/>
            <w:hideMark/>
          </w:tcPr>
          <w:p w14:paraId="5284E0EE" w14:textId="77777777" w:rsidR="007937EB" w:rsidRPr="00AB23D3" w:rsidRDefault="007937EB" w:rsidP="007937E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AB23D3">
              <w:rPr>
                <w:rFonts w:eastAsia="Times New Roman" w:cs="Times New Roman"/>
                <w:color w:val="000000"/>
                <w:sz w:val="20"/>
                <w:szCs w:val="20"/>
                <w:lang w:eastAsia="en-AU"/>
              </w:rPr>
              <w:t>158</w:t>
            </w:r>
          </w:p>
        </w:tc>
      </w:tr>
    </w:tbl>
    <w:p w14:paraId="37405F25" w14:textId="77777777" w:rsidR="00CC4109" w:rsidRPr="007937EB" w:rsidRDefault="00CC4109" w:rsidP="00CC4109">
      <w:pPr>
        <w:rPr>
          <w:rFonts w:asciiTheme="minorHAnsi" w:hAnsiTheme="minorHAnsi"/>
          <w:sz w:val="22"/>
        </w:rPr>
      </w:pPr>
    </w:p>
    <w:p w14:paraId="716F867C" w14:textId="11D37D1F" w:rsidR="00CC4109" w:rsidRPr="009507A4" w:rsidRDefault="00CC4109" w:rsidP="009507A4">
      <w:pPr>
        <w:pStyle w:val="Heading5"/>
      </w:pPr>
      <w:r w:rsidRPr="007937EB">
        <w:t xml:space="preserve">Annual NSW PIC calls about intentional paracetamol poisoning, showing the change in IR vs MR paracetamol (2011-2021).  </w:t>
      </w:r>
    </w:p>
    <w:tbl>
      <w:tblPr>
        <w:tblStyle w:val="ListTable2"/>
        <w:tblW w:w="7371" w:type="dxa"/>
        <w:tblLook w:val="04A0" w:firstRow="1" w:lastRow="0" w:firstColumn="1" w:lastColumn="0" w:noHBand="0" w:noVBand="1"/>
      </w:tblPr>
      <w:tblGrid>
        <w:gridCol w:w="709"/>
        <w:gridCol w:w="992"/>
        <w:gridCol w:w="993"/>
        <w:gridCol w:w="992"/>
        <w:gridCol w:w="850"/>
        <w:gridCol w:w="851"/>
        <w:gridCol w:w="1134"/>
        <w:gridCol w:w="850"/>
      </w:tblGrid>
      <w:tr w:rsidR="00CC4109" w:rsidRPr="00E636B7" w14:paraId="14CB67A6" w14:textId="77777777" w:rsidTr="00EF14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shd w:val="clear" w:color="auto" w:fill="595959" w:themeFill="text1" w:themeFillTint="A6"/>
            <w:noWrap/>
            <w:hideMark/>
          </w:tcPr>
          <w:p w14:paraId="5E873AB5" w14:textId="77777777" w:rsidR="00CC4109" w:rsidRPr="00E636B7" w:rsidRDefault="00CC4109" w:rsidP="00EF14B9">
            <w:pPr>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992" w:type="dxa"/>
            <w:shd w:val="clear" w:color="auto" w:fill="595959" w:themeFill="text1" w:themeFillTint="A6"/>
            <w:noWrap/>
            <w:hideMark/>
          </w:tcPr>
          <w:p w14:paraId="04E40EBE"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993" w:type="dxa"/>
            <w:shd w:val="clear" w:color="auto" w:fill="595959" w:themeFill="text1" w:themeFillTint="A6"/>
            <w:noWrap/>
            <w:hideMark/>
          </w:tcPr>
          <w:p w14:paraId="3C165276"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IR</w:t>
            </w:r>
          </w:p>
        </w:tc>
        <w:tc>
          <w:tcPr>
            <w:tcW w:w="992" w:type="dxa"/>
            <w:shd w:val="clear" w:color="auto" w:fill="595959" w:themeFill="text1" w:themeFillTint="A6"/>
            <w:noWrap/>
            <w:hideMark/>
          </w:tcPr>
          <w:p w14:paraId="3F663EA0"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850" w:type="dxa"/>
            <w:shd w:val="clear" w:color="auto" w:fill="595959" w:themeFill="text1" w:themeFillTint="A6"/>
            <w:noWrap/>
            <w:hideMark/>
          </w:tcPr>
          <w:p w14:paraId="507D5E16"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851" w:type="dxa"/>
            <w:shd w:val="clear" w:color="auto" w:fill="595959" w:themeFill="text1" w:themeFillTint="A6"/>
            <w:noWrap/>
            <w:hideMark/>
          </w:tcPr>
          <w:p w14:paraId="748F4349"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MR</w:t>
            </w:r>
          </w:p>
        </w:tc>
        <w:tc>
          <w:tcPr>
            <w:tcW w:w="1134" w:type="dxa"/>
            <w:shd w:val="clear" w:color="auto" w:fill="595959" w:themeFill="text1" w:themeFillTint="A6"/>
            <w:noWrap/>
            <w:hideMark/>
          </w:tcPr>
          <w:p w14:paraId="37154ACB"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850" w:type="dxa"/>
            <w:shd w:val="clear" w:color="auto" w:fill="595959" w:themeFill="text1" w:themeFillTint="A6"/>
            <w:noWrap/>
            <w:hideMark/>
          </w:tcPr>
          <w:p w14:paraId="46E33094" w14:textId="77777777" w:rsidR="00CC4109" w:rsidRPr="00E636B7" w:rsidRDefault="00CC4109" w:rsidP="00EF14B9">
            <w:pP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Total</w:t>
            </w:r>
          </w:p>
        </w:tc>
      </w:tr>
      <w:tr w:rsidR="00CC4109" w:rsidRPr="00E636B7" w14:paraId="2983A219"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shd w:val="clear" w:color="auto" w:fill="595959" w:themeFill="text1" w:themeFillTint="A6"/>
            <w:noWrap/>
            <w:hideMark/>
          </w:tcPr>
          <w:p w14:paraId="5A540287" w14:textId="77777777" w:rsidR="00CC4109" w:rsidRPr="00E636B7" w:rsidRDefault="00CC4109" w:rsidP="00EF14B9">
            <w:pPr>
              <w:jc w:val="right"/>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c>
          <w:tcPr>
            <w:tcW w:w="992" w:type="dxa"/>
            <w:shd w:val="clear" w:color="auto" w:fill="595959" w:themeFill="text1" w:themeFillTint="A6"/>
            <w:noWrap/>
            <w:hideMark/>
          </w:tcPr>
          <w:p w14:paraId="63F1C9DC"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5 to 19</w:t>
            </w:r>
          </w:p>
        </w:tc>
        <w:tc>
          <w:tcPr>
            <w:tcW w:w="993" w:type="dxa"/>
            <w:shd w:val="clear" w:color="auto" w:fill="595959" w:themeFill="text1" w:themeFillTint="A6"/>
            <w:noWrap/>
            <w:hideMark/>
          </w:tcPr>
          <w:p w14:paraId="4DD9EE70"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others</w:t>
            </w:r>
          </w:p>
        </w:tc>
        <w:tc>
          <w:tcPr>
            <w:tcW w:w="992" w:type="dxa"/>
            <w:shd w:val="clear" w:color="auto" w:fill="595959" w:themeFill="text1" w:themeFillTint="A6"/>
            <w:noWrap/>
            <w:hideMark/>
          </w:tcPr>
          <w:p w14:paraId="3C9D1FA5"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total IR</w:t>
            </w:r>
          </w:p>
        </w:tc>
        <w:tc>
          <w:tcPr>
            <w:tcW w:w="850" w:type="dxa"/>
            <w:shd w:val="clear" w:color="auto" w:fill="595959" w:themeFill="text1" w:themeFillTint="A6"/>
            <w:noWrap/>
            <w:hideMark/>
          </w:tcPr>
          <w:p w14:paraId="72D3D86D"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5 to 19</w:t>
            </w:r>
          </w:p>
        </w:tc>
        <w:tc>
          <w:tcPr>
            <w:tcW w:w="851" w:type="dxa"/>
            <w:shd w:val="clear" w:color="auto" w:fill="595959" w:themeFill="text1" w:themeFillTint="A6"/>
            <w:noWrap/>
            <w:hideMark/>
          </w:tcPr>
          <w:p w14:paraId="4422C57C"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others</w:t>
            </w:r>
          </w:p>
        </w:tc>
        <w:tc>
          <w:tcPr>
            <w:tcW w:w="1134" w:type="dxa"/>
            <w:shd w:val="clear" w:color="auto" w:fill="595959" w:themeFill="text1" w:themeFillTint="A6"/>
            <w:noWrap/>
            <w:hideMark/>
          </w:tcPr>
          <w:p w14:paraId="04FEF181"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total MR</w:t>
            </w:r>
          </w:p>
        </w:tc>
        <w:tc>
          <w:tcPr>
            <w:tcW w:w="850" w:type="dxa"/>
            <w:shd w:val="clear" w:color="auto" w:fill="595959" w:themeFill="text1" w:themeFillTint="A6"/>
            <w:noWrap/>
            <w:hideMark/>
          </w:tcPr>
          <w:p w14:paraId="438391F8" w14:textId="77777777" w:rsidR="00CC4109" w:rsidRPr="00E636B7" w:rsidRDefault="00CC4109" w:rsidP="00EF14B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FFFFFF" w:themeColor="background1"/>
                <w:sz w:val="20"/>
                <w:szCs w:val="20"/>
                <w:lang w:eastAsia="en-AU"/>
              </w:rPr>
            </w:pPr>
            <w:r w:rsidRPr="00E636B7">
              <w:rPr>
                <w:rFonts w:eastAsia="Times New Roman" w:cs="Times New Roman"/>
                <w:color w:val="FFFFFF" w:themeColor="background1"/>
                <w:sz w:val="20"/>
                <w:szCs w:val="20"/>
                <w:lang w:eastAsia="en-AU"/>
              </w:rPr>
              <w:t> </w:t>
            </w:r>
          </w:p>
        </w:tc>
      </w:tr>
      <w:tr w:rsidR="00CC4109" w:rsidRPr="00E636B7" w14:paraId="5B44E522"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9EE6C1A"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2011</w:t>
            </w:r>
          </w:p>
        </w:tc>
        <w:tc>
          <w:tcPr>
            <w:tcW w:w="992" w:type="dxa"/>
            <w:noWrap/>
            <w:hideMark/>
          </w:tcPr>
          <w:p w14:paraId="0AB6052E"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452</w:t>
            </w:r>
          </w:p>
        </w:tc>
        <w:tc>
          <w:tcPr>
            <w:tcW w:w="993" w:type="dxa"/>
            <w:noWrap/>
            <w:hideMark/>
          </w:tcPr>
          <w:p w14:paraId="03F16020"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929</w:t>
            </w:r>
          </w:p>
        </w:tc>
        <w:tc>
          <w:tcPr>
            <w:tcW w:w="992" w:type="dxa"/>
            <w:noWrap/>
            <w:hideMark/>
          </w:tcPr>
          <w:p w14:paraId="5E0157C2"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1381</w:t>
            </w:r>
          </w:p>
        </w:tc>
        <w:tc>
          <w:tcPr>
            <w:tcW w:w="850" w:type="dxa"/>
            <w:noWrap/>
            <w:hideMark/>
          </w:tcPr>
          <w:p w14:paraId="749086CA"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851" w:type="dxa"/>
            <w:noWrap/>
            <w:hideMark/>
          </w:tcPr>
          <w:p w14:paraId="678FE100"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134" w:type="dxa"/>
            <w:noWrap/>
            <w:hideMark/>
          </w:tcPr>
          <w:p w14:paraId="15B7B351"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850" w:type="dxa"/>
            <w:noWrap/>
            <w:hideMark/>
          </w:tcPr>
          <w:p w14:paraId="4366D6A2"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1469</w:t>
            </w:r>
          </w:p>
        </w:tc>
      </w:tr>
      <w:tr w:rsidR="00CC4109" w:rsidRPr="00E636B7" w14:paraId="5FEB46F0"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D1732D9"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2012</w:t>
            </w:r>
          </w:p>
        </w:tc>
        <w:tc>
          <w:tcPr>
            <w:tcW w:w="992" w:type="dxa"/>
            <w:noWrap/>
            <w:hideMark/>
          </w:tcPr>
          <w:p w14:paraId="7E06A571"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621</w:t>
            </w:r>
          </w:p>
        </w:tc>
        <w:tc>
          <w:tcPr>
            <w:tcW w:w="993" w:type="dxa"/>
            <w:noWrap/>
            <w:hideMark/>
          </w:tcPr>
          <w:p w14:paraId="6005CE92"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888</w:t>
            </w:r>
          </w:p>
        </w:tc>
        <w:tc>
          <w:tcPr>
            <w:tcW w:w="992" w:type="dxa"/>
            <w:noWrap/>
            <w:hideMark/>
          </w:tcPr>
          <w:p w14:paraId="59D28DE1"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1509</w:t>
            </w:r>
          </w:p>
        </w:tc>
        <w:tc>
          <w:tcPr>
            <w:tcW w:w="850" w:type="dxa"/>
            <w:noWrap/>
            <w:hideMark/>
          </w:tcPr>
          <w:p w14:paraId="7D99DE94"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851" w:type="dxa"/>
            <w:noWrap/>
            <w:hideMark/>
          </w:tcPr>
          <w:p w14:paraId="12FCDEE9"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134" w:type="dxa"/>
            <w:noWrap/>
            <w:hideMark/>
          </w:tcPr>
          <w:p w14:paraId="0A004FF6"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128</w:t>
            </w:r>
          </w:p>
        </w:tc>
        <w:tc>
          <w:tcPr>
            <w:tcW w:w="850" w:type="dxa"/>
            <w:noWrap/>
            <w:hideMark/>
          </w:tcPr>
          <w:p w14:paraId="49085680"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1637</w:t>
            </w:r>
          </w:p>
        </w:tc>
      </w:tr>
      <w:tr w:rsidR="00CC4109" w:rsidRPr="00E636B7" w14:paraId="013D191C"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600D483E"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2013</w:t>
            </w:r>
          </w:p>
        </w:tc>
        <w:tc>
          <w:tcPr>
            <w:tcW w:w="992" w:type="dxa"/>
            <w:noWrap/>
            <w:hideMark/>
          </w:tcPr>
          <w:p w14:paraId="7899514E"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706</w:t>
            </w:r>
          </w:p>
        </w:tc>
        <w:tc>
          <w:tcPr>
            <w:tcW w:w="993" w:type="dxa"/>
            <w:noWrap/>
            <w:hideMark/>
          </w:tcPr>
          <w:p w14:paraId="2CD114EC"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975</w:t>
            </w:r>
          </w:p>
        </w:tc>
        <w:tc>
          <w:tcPr>
            <w:tcW w:w="992" w:type="dxa"/>
            <w:noWrap/>
            <w:hideMark/>
          </w:tcPr>
          <w:p w14:paraId="6C1C77AD"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1681</w:t>
            </w:r>
          </w:p>
        </w:tc>
        <w:tc>
          <w:tcPr>
            <w:tcW w:w="850" w:type="dxa"/>
            <w:noWrap/>
            <w:hideMark/>
          </w:tcPr>
          <w:p w14:paraId="1B280ECD"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851" w:type="dxa"/>
            <w:noWrap/>
            <w:hideMark/>
          </w:tcPr>
          <w:p w14:paraId="6ACC9820"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134" w:type="dxa"/>
            <w:noWrap/>
            <w:hideMark/>
          </w:tcPr>
          <w:p w14:paraId="45F4F2AB"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c>
          <w:tcPr>
            <w:tcW w:w="850" w:type="dxa"/>
            <w:noWrap/>
            <w:hideMark/>
          </w:tcPr>
          <w:p w14:paraId="610E6B74"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1833</w:t>
            </w:r>
          </w:p>
        </w:tc>
      </w:tr>
      <w:tr w:rsidR="00CC4109" w:rsidRPr="00E636B7" w14:paraId="2A7E3A0B"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1FF90417"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2014</w:t>
            </w:r>
          </w:p>
        </w:tc>
        <w:tc>
          <w:tcPr>
            <w:tcW w:w="992" w:type="dxa"/>
            <w:noWrap/>
            <w:hideMark/>
          </w:tcPr>
          <w:p w14:paraId="2F1EB3A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597</w:t>
            </w:r>
          </w:p>
        </w:tc>
        <w:tc>
          <w:tcPr>
            <w:tcW w:w="993" w:type="dxa"/>
            <w:noWrap/>
            <w:hideMark/>
          </w:tcPr>
          <w:p w14:paraId="47E010E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1016</w:t>
            </w:r>
          </w:p>
        </w:tc>
        <w:tc>
          <w:tcPr>
            <w:tcW w:w="992" w:type="dxa"/>
            <w:noWrap/>
            <w:hideMark/>
          </w:tcPr>
          <w:p w14:paraId="79F68689"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1613</w:t>
            </w:r>
          </w:p>
        </w:tc>
        <w:tc>
          <w:tcPr>
            <w:tcW w:w="850" w:type="dxa"/>
            <w:noWrap/>
            <w:hideMark/>
          </w:tcPr>
          <w:p w14:paraId="019438E6"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851" w:type="dxa"/>
            <w:noWrap/>
            <w:hideMark/>
          </w:tcPr>
          <w:p w14:paraId="2E577E3D"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134" w:type="dxa"/>
            <w:noWrap/>
            <w:hideMark/>
          </w:tcPr>
          <w:p w14:paraId="6D92A3DB"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201</w:t>
            </w:r>
          </w:p>
        </w:tc>
        <w:tc>
          <w:tcPr>
            <w:tcW w:w="850" w:type="dxa"/>
            <w:noWrap/>
            <w:hideMark/>
          </w:tcPr>
          <w:p w14:paraId="2DA4E8A8"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1814</w:t>
            </w:r>
          </w:p>
        </w:tc>
      </w:tr>
      <w:tr w:rsidR="00CC4109" w:rsidRPr="00E636B7" w14:paraId="2DC9F337"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478576A3"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2015</w:t>
            </w:r>
          </w:p>
        </w:tc>
        <w:tc>
          <w:tcPr>
            <w:tcW w:w="992" w:type="dxa"/>
            <w:noWrap/>
            <w:hideMark/>
          </w:tcPr>
          <w:p w14:paraId="66251F5B"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590</w:t>
            </w:r>
          </w:p>
        </w:tc>
        <w:tc>
          <w:tcPr>
            <w:tcW w:w="993" w:type="dxa"/>
            <w:noWrap/>
            <w:hideMark/>
          </w:tcPr>
          <w:p w14:paraId="3930E596"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997</w:t>
            </w:r>
          </w:p>
        </w:tc>
        <w:tc>
          <w:tcPr>
            <w:tcW w:w="992" w:type="dxa"/>
            <w:noWrap/>
            <w:hideMark/>
          </w:tcPr>
          <w:p w14:paraId="23E48B2D"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1587</w:t>
            </w:r>
          </w:p>
        </w:tc>
        <w:tc>
          <w:tcPr>
            <w:tcW w:w="850" w:type="dxa"/>
            <w:noWrap/>
            <w:hideMark/>
          </w:tcPr>
          <w:p w14:paraId="11BC1577"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851" w:type="dxa"/>
            <w:noWrap/>
            <w:hideMark/>
          </w:tcPr>
          <w:p w14:paraId="77904115"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181</w:t>
            </w:r>
          </w:p>
        </w:tc>
        <w:tc>
          <w:tcPr>
            <w:tcW w:w="1134" w:type="dxa"/>
            <w:noWrap/>
            <w:hideMark/>
          </w:tcPr>
          <w:p w14:paraId="741DAE13"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247</w:t>
            </w:r>
          </w:p>
        </w:tc>
        <w:tc>
          <w:tcPr>
            <w:tcW w:w="850" w:type="dxa"/>
            <w:noWrap/>
            <w:hideMark/>
          </w:tcPr>
          <w:p w14:paraId="31ABFB06"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1834</w:t>
            </w:r>
          </w:p>
        </w:tc>
      </w:tr>
      <w:tr w:rsidR="00CC4109" w:rsidRPr="00E636B7" w14:paraId="744F941B"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37845D3F"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2016</w:t>
            </w:r>
          </w:p>
        </w:tc>
        <w:tc>
          <w:tcPr>
            <w:tcW w:w="992" w:type="dxa"/>
            <w:noWrap/>
            <w:hideMark/>
          </w:tcPr>
          <w:p w14:paraId="6BFA12AD"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703</w:t>
            </w:r>
          </w:p>
        </w:tc>
        <w:tc>
          <w:tcPr>
            <w:tcW w:w="993" w:type="dxa"/>
            <w:noWrap/>
            <w:hideMark/>
          </w:tcPr>
          <w:p w14:paraId="73AB5A0D"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1024</w:t>
            </w:r>
          </w:p>
        </w:tc>
        <w:tc>
          <w:tcPr>
            <w:tcW w:w="992" w:type="dxa"/>
            <w:noWrap/>
            <w:hideMark/>
          </w:tcPr>
          <w:p w14:paraId="0FAA9172"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1727</w:t>
            </w:r>
          </w:p>
        </w:tc>
        <w:tc>
          <w:tcPr>
            <w:tcW w:w="850" w:type="dxa"/>
            <w:noWrap/>
            <w:hideMark/>
          </w:tcPr>
          <w:p w14:paraId="1D9A8B79"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851" w:type="dxa"/>
            <w:noWrap/>
            <w:hideMark/>
          </w:tcPr>
          <w:p w14:paraId="4CE55841"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157</w:t>
            </w:r>
          </w:p>
        </w:tc>
        <w:tc>
          <w:tcPr>
            <w:tcW w:w="1134" w:type="dxa"/>
            <w:noWrap/>
            <w:hideMark/>
          </w:tcPr>
          <w:p w14:paraId="15779167"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243</w:t>
            </w:r>
          </w:p>
        </w:tc>
        <w:tc>
          <w:tcPr>
            <w:tcW w:w="850" w:type="dxa"/>
            <w:noWrap/>
            <w:hideMark/>
          </w:tcPr>
          <w:p w14:paraId="2711E374"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1970</w:t>
            </w:r>
          </w:p>
        </w:tc>
      </w:tr>
      <w:tr w:rsidR="00CC4109" w:rsidRPr="00E636B7" w14:paraId="7ACBF6E9"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BF1CE24"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2017</w:t>
            </w:r>
          </w:p>
        </w:tc>
        <w:tc>
          <w:tcPr>
            <w:tcW w:w="992" w:type="dxa"/>
            <w:noWrap/>
            <w:hideMark/>
          </w:tcPr>
          <w:p w14:paraId="767DF824"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827</w:t>
            </w:r>
          </w:p>
        </w:tc>
        <w:tc>
          <w:tcPr>
            <w:tcW w:w="993" w:type="dxa"/>
            <w:noWrap/>
            <w:hideMark/>
          </w:tcPr>
          <w:p w14:paraId="59A57EB4"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1177</w:t>
            </w:r>
          </w:p>
        </w:tc>
        <w:tc>
          <w:tcPr>
            <w:tcW w:w="992" w:type="dxa"/>
            <w:noWrap/>
            <w:hideMark/>
          </w:tcPr>
          <w:p w14:paraId="3CFAA285"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2004</w:t>
            </w:r>
          </w:p>
        </w:tc>
        <w:tc>
          <w:tcPr>
            <w:tcW w:w="850" w:type="dxa"/>
            <w:noWrap/>
            <w:hideMark/>
          </w:tcPr>
          <w:p w14:paraId="7639AE11"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851" w:type="dxa"/>
            <w:noWrap/>
            <w:hideMark/>
          </w:tcPr>
          <w:p w14:paraId="1DD7B5A5"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134" w:type="dxa"/>
            <w:noWrap/>
            <w:hideMark/>
          </w:tcPr>
          <w:p w14:paraId="77602AF8"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244</w:t>
            </w:r>
          </w:p>
        </w:tc>
        <w:tc>
          <w:tcPr>
            <w:tcW w:w="850" w:type="dxa"/>
            <w:noWrap/>
            <w:hideMark/>
          </w:tcPr>
          <w:p w14:paraId="3F5D567E"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2248</w:t>
            </w:r>
          </w:p>
        </w:tc>
      </w:tr>
      <w:tr w:rsidR="00CC4109" w:rsidRPr="00E636B7" w14:paraId="2AB9A718"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7DCC525C"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2018</w:t>
            </w:r>
          </w:p>
        </w:tc>
        <w:tc>
          <w:tcPr>
            <w:tcW w:w="992" w:type="dxa"/>
            <w:noWrap/>
            <w:hideMark/>
          </w:tcPr>
          <w:p w14:paraId="22808E3B"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823</w:t>
            </w:r>
          </w:p>
        </w:tc>
        <w:tc>
          <w:tcPr>
            <w:tcW w:w="993" w:type="dxa"/>
            <w:noWrap/>
            <w:hideMark/>
          </w:tcPr>
          <w:p w14:paraId="38DD3C2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1168</w:t>
            </w:r>
          </w:p>
        </w:tc>
        <w:tc>
          <w:tcPr>
            <w:tcW w:w="992" w:type="dxa"/>
            <w:noWrap/>
            <w:hideMark/>
          </w:tcPr>
          <w:p w14:paraId="1A5AAD3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1991</w:t>
            </w:r>
          </w:p>
        </w:tc>
        <w:tc>
          <w:tcPr>
            <w:tcW w:w="850" w:type="dxa"/>
            <w:noWrap/>
            <w:hideMark/>
          </w:tcPr>
          <w:p w14:paraId="23B4F905"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851" w:type="dxa"/>
            <w:noWrap/>
            <w:hideMark/>
          </w:tcPr>
          <w:p w14:paraId="70C1F1F5"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149</w:t>
            </w:r>
          </w:p>
        </w:tc>
        <w:tc>
          <w:tcPr>
            <w:tcW w:w="1134" w:type="dxa"/>
            <w:noWrap/>
            <w:hideMark/>
          </w:tcPr>
          <w:p w14:paraId="5B6C263C"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235</w:t>
            </w:r>
          </w:p>
        </w:tc>
        <w:tc>
          <w:tcPr>
            <w:tcW w:w="850" w:type="dxa"/>
            <w:noWrap/>
            <w:hideMark/>
          </w:tcPr>
          <w:p w14:paraId="5F03AABB"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2226</w:t>
            </w:r>
          </w:p>
        </w:tc>
      </w:tr>
      <w:tr w:rsidR="00CC4109" w:rsidRPr="00E636B7" w14:paraId="12C7981D"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F4C116C"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2019</w:t>
            </w:r>
          </w:p>
        </w:tc>
        <w:tc>
          <w:tcPr>
            <w:tcW w:w="992" w:type="dxa"/>
            <w:noWrap/>
            <w:hideMark/>
          </w:tcPr>
          <w:p w14:paraId="14451D93"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874</w:t>
            </w:r>
          </w:p>
        </w:tc>
        <w:tc>
          <w:tcPr>
            <w:tcW w:w="993" w:type="dxa"/>
            <w:noWrap/>
            <w:hideMark/>
          </w:tcPr>
          <w:p w14:paraId="3A8C52DD"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1216</w:t>
            </w:r>
          </w:p>
        </w:tc>
        <w:tc>
          <w:tcPr>
            <w:tcW w:w="992" w:type="dxa"/>
            <w:noWrap/>
            <w:hideMark/>
          </w:tcPr>
          <w:p w14:paraId="3453C68C"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2090</w:t>
            </w:r>
          </w:p>
        </w:tc>
        <w:tc>
          <w:tcPr>
            <w:tcW w:w="850" w:type="dxa"/>
            <w:noWrap/>
            <w:hideMark/>
          </w:tcPr>
          <w:p w14:paraId="0CF4AFAC"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851" w:type="dxa"/>
            <w:noWrap/>
            <w:hideMark/>
          </w:tcPr>
          <w:p w14:paraId="2203FF8D"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165</w:t>
            </w:r>
          </w:p>
        </w:tc>
        <w:tc>
          <w:tcPr>
            <w:tcW w:w="1134" w:type="dxa"/>
            <w:noWrap/>
            <w:hideMark/>
          </w:tcPr>
          <w:p w14:paraId="0E6F8231"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244</w:t>
            </w:r>
          </w:p>
        </w:tc>
        <w:tc>
          <w:tcPr>
            <w:tcW w:w="850" w:type="dxa"/>
            <w:noWrap/>
            <w:hideMark/>
          </w:tcPr>
          <w:p w14:paraId="66E24D97"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2334</w:t>
            </w:r>
          </w:p>
        </w:tc>
      </w:tr>
      <w:tr w:rsidR="00CC4109" w:rsidRPr="00E636B7" w14:paraId="533499FA" w14:textId="77777777" w:rsidTr="00EF14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0E23467D"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2020</w:t>
            </w:r>
          </w:p>
        </w:tc>
        <w:tc>
          <w:tcPr>
            <w:tcW w:w="992" w:type="dxa"/>
            <w:noWrap/>
            <w:hideMark/>
          </w:tcPr>
          <w:p w14:paraId="7A53D47E"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1259</w:t>
            </w:r>
          </w:p>
        </w:tc>
        <w:tc>
          <w:tcPr>
            <w:tcW w:w="993" w:type="dxa"/>
            <w:noWrap/>
            <w:hideMark/>
          </w:tcPr>
          <w:p w14:paraId="7D0BD09E"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1440</w:t>
            </w:r>
          </w:p>
        </w:tc>
        <w:tc>
          <w:tcPr>
            <w:tcW w:w="992" w:type="dxa"/>
            <w:noWrap/>
            <w:hideMark/>
          </w:tcPr>
          <w:p w14:paraId="494F3E80"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2699</w:t>
            </w:r>
          </w:p>
        </w:tc>
        <w:tc>
          <w:tcPr>
            <w:tcW w:w="850" w:type="dxa"/>
            <w:noWrap/>
            <w:hideMark/>
          </w:tcPr>
          <w:p w14:paraId="001D8D25"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851" w:type="dxa"/>
            <w:noWrap/>
            <w:hideMark/>
          </w:tcPr>
          <w:p w14:paraId="08BC735A"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240</w:t>
            </w:r>
          </w:p>
        </w:tc>
        <w:tc>
          <w:tcPr>
            <w:tcW w:w="1134" w:type="dxa"/>
            <w:noWrap/>
            <w:hideMark/>
          </w:tcPr>
          <w:p w14:paraId="40A1EBE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350</w:t>
            </w:r>
          </w:p>
        </w:tc>
        <w:tc>
          <w:tcPr>
            <w:tcW w:w="850" w:type="dxa"/>
            <w:noWrap/>
            <w:hideMark/>
          </w:tcPr>
          <w:p w14:paraId="1EE5066F" w14:textId="77777777" w:rsidR="00CC4109" w:rsidRPr="00E636B7" w:rsidRDefault="00CC4109" w:rsidP="00EF14B9">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3049</w:t>
            </w:r>
          </w:p>
        </w:tc>
      </w:tr>
      <w:tr w:rsidR="00CC4109" w:rsidRPr="00E636B7" w14:paraId="225074E7" w14:textId="77777777" w:rsidTr="00EF14B9">
        <w:trPr>
          <w:trHeight w:val="300"/>
        </w:trPr>
        <w:tc>
          <w:tcPr>
            <w:cnfStyle w:val="001000000000" w:firstRow="0" w:lastRow="0" w:firstColumn="1" w:lastColumn="0" w:oddVBand="0" w:evenVBand="0" w:oddHBand="0" w:evenHBand="0" w:firstRowFirstColumn="0" w:firstRowLastColumn="0" w:lastRowFirstColumn="0" w:lastRowLastColumn="0"/>
            <w:tcW w:w="709" w:type="dxa"/>
            <w:noWrap/>
            <w:hideMark/>
          </w:tcPr>
          <w:p w14:paraId="2403FADE" w14:textId="77777777" w:rsidR="00CC4109" w:rsidRPr="00E636B7" w:rsidRDefault="00CC4109" w:rsidP="00EF14B9">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2021</w:t>
            </w:r>
          </w:p>
        </w:tc>
        <w:tc>
          <w:tcPr>
            <w:tcW w:w="992" w:type="dxa"/>
            <w:noWrap/>
            <w:hideMark/>
          </w:tcPr>
          <w:p w14:paraId="47BBD178"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1762</w:t>
            </w:r>
          </w:p>
        </w:tc>
        <w:tc>
          <w:tcPr>
            <w:tcW w:w="993" w:type="dxa"/>
            <w:noWrap/>
            <w:hideMark/>
          </w:tcPr>
          <w:p w14:paraId="0B5FB2A0"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1484</w:t>
            </w:r>
          </w:p>
        </w:tc>
        <w:tc>
          <w:tcPr>
            <w:tcW w:w="992" w:type="dxa"/>
            <w:noWrap/>
            <w:hideMark/>
          </w:tcPr>
          <w:p w14:paraId="71546948"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3246</w:t>
            </w:r>
          </w:p>
        </w:tc>
        <w:tc>
          <w:tcPr>
            <w:tcW w:w="850" w:type="dxa"/>
            <w:noWrap/>
            <w:hideMark/>
          </w:tcPr>
          <w:p w14:paraId="4E57E219"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851" w:type="dxa"/>
            <w:noWrap/>
            <w:hideMark/>
          </w:tcPr>
          <w:p w14:paraId="1C89A523"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199</w:t>
            </w:r>
          </w:p>
        </w:tc>
        <w:tc>
          <w:tcPr>
            <w:tcW w:w="1134" w:type="dxa"/>
            <w:noWrap/>
            <w:hideMark/>
          </w:tcPr>
          <w:p w14:paraId="6790F133"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329</w:t>
            </w:r>
          </w:p>
        </w:tc>
        <w:tc>
          <w:tcPr>
            <w:tcW w:w="850" w:type="dxa"/>
            <w:noWrap/>
            <w:hideMark/>
          </w:tcPr>
          <w:p w14:paraId="3E82284A" w14:textId="77777777" w:rsidR="00CC4109" w:rsidRPr="00E636B7" w:rsidRDefault="00CC4109" w:rsidP="00EF14B9">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3575</w:t>
            </w:r>
          </w:p>
        </w:tc>
      </w:tr>
    </w:tbl>
    <w:p w14:paraId="03A1897A" w14:textId="77777777" w:rsidR="00CC4109" w:rsidRPr="007937EB" w:rsidRDefault="00CC4109" w:rsidP="00CC4109">
      <w:pPr>
        <w:rPr>
          <w:rFonts w:asciiTheme="minorHAnsi" w:hAnsiTheme="minorHAnsi"/>
          <w:sz w:val="22"/>
        </w:rPr>
      </w:pPr>
    </w:p>
    <w:p w14:paraId="1C808B17" w14:textId="137AFFF7" w:rsidR="00E1733B" w:rsidRDefault="00E1733B">
      <w:pPr>
        <w:rPr>
          <w:b/>
          <w:bCs/>
        </w:rPr>
      </w:pPr>
      <w:r>
        <w:rPr>
          <w:b/>
          <w:bCs/>
        </w:rPr>
        <w:br w:type="page"/>
      </w:r>
    </w:p>
    <w:p w14:paraId="47BF8F8E" w14:textId="3D05CA7F" w:rsidR="00E1733B" w:rsidRPr="009507A4" w:rsidRDefault="00E2395F" w:rsidP="009507A4">
      <w:pPr>
        <w:pStyle w:val="Heading5"/>
        <w:rPr>
          <w:lang w:val="en-US"/>
        </w:rPr>
      </w:pPr>
      <w:r w:rsidRPr="007937EB">
        <w:rPr>
          <w:lang w:val="en-US"/>
        </w:rPr>
        <w:t>Single ingredient product by intent</w:t>
      </w:r>
    </w:p>
    <w:tbl>
      <w:tblPr>
        <w:tblStyle w:val="ListTable2"/>
        <w:tblW w:w="5000" w:type="pct"/>
        <w:tblLayout w:type="fixed"/>
        <w:tblLook w:val="04A0" w:firstRow="1" w:lastRow="0" w:firstColumn="1" w:lastColumn="0" w:noHBand="0" w:noVBand="1"/>
      </w:tblPr>
      <w:tblGrid>
        <w:gridCol w:w="1295"/>
        <w:gridCol w:w="1296"/>
        <w:gridCol w:w="1296"/>
        <w:gridCol w:w="1295"/>
        <w:gridCol w:w="1296"/>
        <w:gridCol w:w="1296"/>
        <w:gridCol w:w="1296"/>
      </w:tblGrid>
      <w:tr w:rsidR="00E1733B" w:rsidRPr="007937EB" w14:paraId="368F8DA7" w14:textId="77777777" w:rsidTr="00CC41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64EFD5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2011</w:t>
            </w:r>
          </w:p>
        </w:tc>
        <w:tc>
          <w:tcPr>
            <w:tcW w:w="1296" w:type="dxa"/>
            <w:noWrap/>
            <w:hideMark/>
          </w:tcPr>
          <w:p w14:paraId="2F5A5F15"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5--19</w:t>
            </w:r>
          </w:p>
        </w:tc>
        <w:tc>
          <w:tcPr>
            <w:tcW w:w="1296" w:type="dxa"/>
            <w:noWrap/>
            <w:hideMark/>
          </w:tcPr>
          <w:p w14:paraId="38FE65FF"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Others</w:t>
            </w:r>
          </w:p>
        </w:tc>
        <w:tc>
          <w:tcPr>
            <w:tcW w:w="1295" w:type="dxa"/>
            <w:noWrap/>
            <w:hideMark/>
          </w:tcPr>
          <w:p w14:paraId="129BB86A"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 xml:space="preserve">All single intentional </w:t>
            </w:r>
          </w:p>
        </w:tc>
        <w:tc>
          <w:tcPr>
            <w:tcW w:w="1296" w:type="dxa"/>
            <w:noWrap/>
            <w:hideMark/>
          </w:tcPr>
          <w:p w14:paraId="7AFE66A3"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5--19</w:t>
            </w:r>
          </w:p>
        </w:tc>
        <w:tc>
          <w:tcPr>
            <w:tcW w:w="1296" w:type="dxa"/>
            <w:noWrap/>
            <w:hideMark/>
          </w:tcPr>
          <w:p w14:paraId="0CB47AE5"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Others</w:t>
            </w:r>
          </w:p>
        </w:tc>
        <w:tc>
          <w:tcPr>
            <w:tcW w:w="1296" w:type="dxa"/>
            <w:noWrap/>
            <w:hideMark/>
          </w:tcPr>
          <w:p w14:paraId="02DB6A74" w14:textId="77777777" w:rsidR="00E1733B" w:rsidRPr="00E636B7" w:rsidRDefault="00E1733B" w:rsidP="00CC410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 xml:space="preserve">All single accidental </w:t>
            </w:r>
          </w:p>
        </w:tc>
      </w:tr>
      <w:tr w:rsidR="00E1733B" w:rsidRPr="007937EB" w14:paraId="2FD37B1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C3A0B4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19CF517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41756F0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5" w:type="dxa"/>
            <w:noWrap/>
            <w:hideMark/>
          </w:tcPr>
          <w:p w14:paraId="5130C10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6" w:type="dxa"/>
            <w:noWrap/>
            <w:hideMark/>
          </w:tcPr>
          <w:p w14:paraId="566AC5F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5939A86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13FEC4E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r>
      <w:tr w:rsidR="00E1733B" w:rsidRPr="007937EB" w14:paraId="366C2F6B"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F2650F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5BFDCAC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32584DF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5" w:type="dxa"/>
            <w:noWrap/>
            <w:hideMark/>
          </w:tcPr>
          <w:p w14:paraId="00B2EBC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c>
          <w:tcPr>
            <w:tcW w:w="1296" w:type="dxa"/>
            <w:noWrap/>
            <w:hideMark/>
          </w:tcPr>
          <w:p w14:paraId="6B0AC60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175B7A2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2B6AAC9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r>
      <w:tr w:rsidR="00E1733B" w:rsidRPr="007937EB" w14:paraId="1BBF8F08"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F63DA6F"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4BFC7D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2C6346B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5" w:type="dxa"/>
            <w:noWrap/>
            <w:hideMark/>
          </w:tcPr>
          <w:p w14:paraId="779CEE1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146</w:t>
            </w:r>
          </w:p>
        </w:tc>
        <w:tc>
          <w:tcPr>
            <w:tcW w:w="1296" w:type="dxa"/>
            <w:noWrap/>
            <w:hideMark/>
          </w:tcPr>
          <w:p w14:paraId="5A66BBC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6" w:type="dxa"/>
            <w:noWrap/>
            <w:hideMark/>
          </w:tcPr>
          <w:p w14:paraId="323D950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7F8B3D6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w:t>
            </w:r>
          </w:p>
        </w:tc>
      </w:tr>
      <w:tr w:rsidR="00E1733B" w:rsidRPr="007937EB" w14:paraId="7733AF38"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EDEEE1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95FB29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1752BEA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5" w:type="dxa"/>
            <w:noWrap/>
            <w:hideMark/>
          </w:tcPr>
          <w:p w14:paraId="5C68827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3062678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4A2B4EE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7A7F0D7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r>
      <w:tr w:rsidR="00E1733B" w:rsidRPr="007937EB" w14:paraId="3E79A799"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4D5EB4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6DAF1CD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71F14F9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5" w:type="dxa"/>
            <w:noWrap/>
            <w:hideMark/>
          </w:tcPr>
          <w:p w14:paraId="51877A1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135</w:t>
            </w:r>
          </w:p>
        </w:tc>
        <w:tc>
          <w:tcPr>
            <w:tcW w:w="1296" w:type="dxa"/>
            <w:noWrap/>
            <w:hideMark/>
          </w:tcPr>
          <w:p w14:paraId="5564D37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18129FF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1D9028C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r>
      <w:tr w:rsidR="00E1733B" w:rsidRPr="007937EB" w14:paraId="6146844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C1F66B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3BB4FF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29AA98B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5" w:type="dxa"/>
            <w:noWrap/>
            <w:hideMark/>
          </w:tcPr>
          <w:p w14:paraId="10B1F8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c>
          <w:tcPr>
            <w:tcW w:w="1296" w:type="dxa"/>
            <w:noWrap/>
            <w:hideMark/>
          </w:tcPr>
          <w:p w14:paraId="1686EF4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51976D9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3953DCB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r>
      <w:tr w:rsidR="00E1733B" w:rsidRPr="007937EB" w14:paraId="07CF5DA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94CD1E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431CB93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w:t>
            </w:r>
          </w:p>
        </w:tc>
        <w:tc>
          <w:tcPr>
            <w:tcW w:w="1296" w:type="dxa"/>
            <w:noWrap/>
            <w:hideMark/>
          </w:tcPr>
          <w:p w14:paraId="3FFB802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5" w:type="dxa"/>
            <w:noWrap/>
            <w:hideMark/>
          </w:tcPr>
          <w:p w14:paraId="2E71137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4304A34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23F7EB7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791077C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r>
      <w:tr w:rsidR="00E1733B" w:rsidRPr="007937EB" w14:paraId="19BEA1CB"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48225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F5A1B3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5ED26B3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5" w:type="dxa"/>
            <w:noWrap/>
            <w:hideMark/>
          </w:tcPr>
          <w:p w14:paraId="4966ED5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c>
          <w:tcPr>
            <w:tcW w:w="1296" w:type="dxa"/>
            <w:noWrap/>
            <w:hideMark/>
          </w:tcPr>
          <w:p w14:paraId="0CAC522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49D8DF2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1FF51F4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127</w:t>
            </w:r>
          </w:p>
        </w:tc>
      </w:tr>
      <w:tr w:rsidR="00E1733B" w:rsidRPr="007937EB" w14:paraId="5054C005"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151B3E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766F5F8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29B0001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5" w:type="dxa"/>
            <w:noWrap/>
            <w:hideMark/>
          </w:tcPr>
          <w:p w14:paraId="5FFFD0D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c>
          <w:tcPr>
            <w:tcW w:w="1296" w:type="dxa"/>
            <w:noWrap/>
            <w:hideMark/>
          </w:tcPr>
          <w:p w14:paraId="73FC80B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38E2721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62401AE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r>
      <w:tr w:rsidR="00E1733B" w:rsidRPr="007937EB" w14:paraId="58FF7A0A"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E57712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5B9DEB1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6" w:type="dxa"/>
            <w:noWrap/>
            <w:hideMark/>
          </w:tcPr>
          <w:p w14:paraId="5450DB7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5" w:type="dxa"/>
            <w:noWrap/>
            <w:hideMark/>
          </w:tcPr>
          <w:p w14:paraId="3CFF9B8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c>
          <w:tcPr>
            <w:tcW w:w="1296" w:type="dxa"/>
            <w:noWrap/>
            <w:hideMark/>
          </w:tcPr>
          <w:p w14:paraId="34FF42B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3FAF662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46EEFA2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r>
      <w:tr w:rsidR="00E1733B" w:rsidRPr="007937EB" w14:paraId="788D1691"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BF9C39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17D1A8F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614CB4A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5" w:type="dxa"/>
            <w:noWrap/>
            <w:hideMark/>
          </w:tcPr>
          <w:p w14:paraId="56BBFE4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149</w:t>
            </w:r>
          </w:p>
        </w:tc>
        <w:tc>
          <w:tcPr>
            <w:tcW w:w="1296" w:type="dxa"/>
            <w:noWrap/>
            <w:hideMark/>
          </w:tcPr>
          <w:p w14:paraId="0515E04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334AB7E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547DC8C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r>
      <w:tr w:rsidR="00E1733B" w:rsidRPr="007937EB" w14:paraId="73DC8353"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7A7BE6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594117E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13F4E5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64AC38E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c>
          <w:tcPr>
            <w:tcW w:w="1296" w:type="dxa"/>
            <w:noWrap/>
            <w:hideMark/>
          </w:tcPr>
          <w:p w14:paraId="3E0F56E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6D8587C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36B5B48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108</w:t>
            </w:r>
          </w:p>
        </w:tc>
      </w:tr>
      <w:tr w:rsidR="00E1733B" w:rsidRPr="007937EB" w14:paraId="069A46EE"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DA6FBE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2012</w:t>
            </w:r>
          </w:p>
        </w:tc>
        <w:tc>
          <w:tcPr>
            <w:tcW w:w="1296" w:type="dxa"/>
            <w:noWrap/>
            <w:hideMark/>
          </w:tcPr>
          <w:p w14:paraId="3A1A33AB"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A3CF8DF"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30243D02"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9453FD4"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0AE9A81"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56A35AE"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2B8C3BC6"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79FCF88"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78E981A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311FB71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28BEC11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6" w:type="dxa"/>
            <w:noWrap/>
            <w:hideMark/>
          </w:tcPr>
          <w:p w14:paraId="39029F3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34A2F79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6B014A4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r>
      <w:tr w:rsidR="00E1733B" w:rsidRPr="007937EB" w14:paraId="2BE99041"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DDDDFA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03D95FB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4539876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5" w:type="dxa"/>
            <w:noWrap/>
            <w:hideMark/>
          </w:tcPr>
          <w:p w14:paraId="4B0B924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w:t>
            </w:r>
          </w:p>
        </w:tc>
        <w:tc>
          <w:tcPr>
            <w:tcW w:w="1296" w:type="dxa"/>
            <w:noWrap/>
            <w:hideMark/>
          </w:tcPr>
          <w:p w14:paraId="15F7287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45D887C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1EDD53E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r>
      <w:tr w:rsidR="00E1733B" w:rsidRPr="007937EB" w14:paraId="2893E03A"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A4FC95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21EB92C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6" w:type="dxa"/>
            <w:noWrap/>
            <w:hideMark/>
          </w:tcPr>
          <w:p w14:paraId="656BA2E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5" w:type="dxa"/>
            <w:noWrap/>
            <w:hideMark/>
          </w:tcPr>
          <w:p w14:paraId="6D556F5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c>
          <w:tcPr>
            <w:tcW w:w="1296" w:type="dxa"/>
            <w:noWrap/>
            <w:hideMark/>
          </w:tcPr>
          <w:p w14:paraId="019DBE1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1B915B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3260045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r>
      <w:tr w:rsidR="00E1733B" w:rsidRPr="007937EB" w14:paraId="5B14CC7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C0DE60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4C3D76C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6D02EB0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5" w:type="dxa"/>
            <w:noWrap/>
            <w:hideMark/>
          </w:tcPr>
          <w:p w14:paraId="23FEC4C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c>
          <w:tcPr>
            <w:tcW w:w="1296" w:type="dxa"/>
            <w:noWrap/>
            <w:hideMark/>
          </w:tcPr>
          <w:p w14:paraId="7FD0F04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w:t>
            </w:r>
          </w:p>
        </w:tc>
        <w:tc>
          <w:tcPr>
            <w:tcW w:w="1296" w:type="dxa"/>
            <w:noWrap/>
            <w:hideMark/>
          </w:tcPr>
          <w:p w14:paraId="0D9E745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12E0F49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r>
      <w:tr w:rsidR="00E1733B" w:rsidRPr="007937EB" w14:paraId="0946516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7F4586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03F149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5A8D6B4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5" w:type="dxa"/>
            <w:noWrap/>
            <w:hideMark/>
          </w:tcPr>
          <w:p w14:paraId="7E59ECB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296" w:type="dxa"/>
            <w:noWrap/>
            <w:hideMark/>
          </w:tcPr>
          <w:p w14:paraId="5ADB2BD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252D4DE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5611F08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r>
      <w:tr w:rsidR="00E1733B" w:rsidRPr="007937EB" w14:paraId="19DCF1F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9AE944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697AF47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2D00FAB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5" w:type="dxa"/>
            <w:noWrap/>
            <w:hideMark/>
          </w:tcPr>
          <w:p w14:paraId="199FA3B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1296" w:type="dxa"/>
            <w:noWrap/>
            <w:hideMark/>
          </w:tcPr>
          <w:p w14:paraId="1C5762E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5F7A8BE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7B557E5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r>
      <w:tr w:rsidR="00E1733B" w:rsidRPr="007937EB" w14:paraId="01C01E58"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C3BCEF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2D80076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23A948F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5" w:type="dxa"/>
            <w:noWrap/>
            <w:hideMark/>
          </w:tcPr>
          <w:p w14:paraId="3062302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41DE605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0B230CC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5AAEDF7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r>
      <w:tr w:rsidR="00E1733B" w:rsidRPr="007937EB" w14:paraId="331A47E3"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258D35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64B05B0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5CA091F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5" w:type="dxa"/>
            <w:noWrap/>
            <w:hideMark/>
          </w:tcPr>
          <w:p w14:paraId="170C0DE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c>
          <w:tcPr>
            <w:tcW w:w="1296" w:type="dxa"/>
            <w:noWrap/>
            <w:hideMark/>
          </w:tcPr>
          <w:p w14:paraId="447DABE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2438D97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33FAAF0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r>
      <w:tr w:rsidR="00E1733B" w:rsidRPr="007937EB" w14:paraId="6A5FF205"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24491D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6B9C2F7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61D6995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5" w:type="dxa"/>
            <w:noWrap/>
            <w:hideMark/>
          </w:tcPr>
          <w:p w14:paraId="00C56AA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6" w:type="dxa"/>
            <w:noWrap/>
            <w:hideMark/>
          </w:tcPr>
          <w:p w14:paraId="309996E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0F3E2C8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5F3E0C0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132</w:t>
            </w:r>
          </w:p>
        </w:tc>
      </w:tr>
      <w:tr w:rsidR="00E1733B" w:rsidRPr="007937EB" w14:paraId="1B669342"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DD4960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5F8BD60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129E4B1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5" w:type="dxa"/>
            <w:noWrap/>
            <w:hideMark/>
          </w:tcPr>
          <w:p w14:paraId="5DB2AF6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167</w:t>
            </w:r>
          </w:p>
        </w:tc>
        <w:tc>
          <w:tcPr>
            <w:tcW w:w="1296" w:type="dxa"/>
            <w:noWrap/>
            <w:hideMark/>
          </w:tcPr>
          <w:p w14:paraId="2B00EA2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5D238FD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385120D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r>
      <w:tr w:rsidR="00E1733B" w:rsidRPr="007937EB" w14:paraId="4D7517C4"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92BFDB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37B0BB1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1206D70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2B74B1D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153</w:t>
            </w:r>
          </w:p>
        </w:tc>
        <w:tc>
          <w:tcPr>
            <w:tcW w:w="1296" w:type="dxa"/>
            <w:noWrap/>
            <w:hideMark/>
          </w:tcPr>
          <w:p w14:paraId="36D74DB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7CCD195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6351A00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r>
      <w:tr w:rsidR="00E1733B" w:rsidRPr="007937EB" w14:paraId="0C48B928"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01D914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295AE07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1E619A8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5" w:type="dxa"/>
            <w:noWrap/>
            <w:hideMark/>
          </w:tcPr>
          <w:p w14:paraId="2173205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122</w:t>
            </w:r>
          </w:p>
        </w:tc>
        <w:tc>
          <w:tcPr>
            <w:tcW w:w="1296" w:type="dxa"/>
            <w:noWrap/>
            <w:hideMark/>
          </w:tcPr>
          <w:p w14:paraId="58AB780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w:t>
            </w:r>
          </w:p>
        </w:tc>
        <w:tc>
          <w:tcPr>
            <w:tcW w:w="1296" w:type="dxa"/>
            <w:noWrap/>
            <w:hideMark/>
          </w:tcPr>
          <w:p w14:paraId="45286BA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3AB6A79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r>
      <w:tr w:rsidR="00E1733B" w:rsidRPr="007937EB" w14:paraId="7A413B7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CF3F0D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2013</w:t>
            </w:r>
          </w:p>
        </w:tc>
        <w:tc>
          <w:tcPr>
            <w:tcW w:w="1296" w:type="dxa"/>
            <w:noWrap/>
            <w:hideMark/>
          </w:tcPr>
          <w:p w14:paraId="156A9876"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567971F"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621D5933"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AF3EAAC"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A7E869A"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2FE8BAE"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11B1332F"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394543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5C6F0A0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2ADFD4A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5" w:type="dxa"/>
            <w:noWrap/>
            <w:hideMark/>
          </w:tcPr>
          <w:p w14:paraId="67ECFF8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149</w:t>
            </w:r>
          </w:p>
        </w:tc>
        <w:tc>
          <w:tcPr>
            <w:tcW w:w="1296" w:type="dxa"/>
            <w:noWrap/>
            <w:hideMark/>
          </w:tcPr>
          <w:p w14:paraId="0A13AC1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2FBEDF1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4880D67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r>
      <w:tr w:rsidR="00E1733B" w:rsidRPr="007937EB" w14:paraId="22BDEE35"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605474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238C20E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51D7C51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5DAFF40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157</w:t>
            </w:r>
          </w:p>
        </w:tc>
        <w:tc>
          <w:tcPr>
            <w:tcW w:w="1296" w:type="dxa"/>
            <w:noWrap/>
            <w:hideMark/>
          </w:tcPr>
          <w:p w14:paraId="42312B4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7356E76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67F7A69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r>
      <w:tr w:rsidR="00E1733B" w:rsidRPr="007937EB" w14:paraId="5B81A48C"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B681F7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148B617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4226A7E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5" w:type="dxa"/>
            <w:noWrap/>
            <w:hideMark/>
          </w:tcPr>
          <w:p w14:paraId="600375E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c>
          <w:tcPr>
            <w:tcW w:w="1296" w:type="dxa"/>
            <w:noWrap/>
            <w:hideMark/>
          </w:tcPr>
          <w:p w14:paraId="7FCEC88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3AEECF6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7698B5C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r>
      <w:tr w:rsidR="00E1733B" w:rsidRPr="007937EB" w14:paraId="56EED9C1"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7927D6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9E0C90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6F8C123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5" w:type="dxa"/>
            <w:noWrap/>
            <w:hideMark/>
          </w:tcPr>
          <w:p w14:paraId="6BA4970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154</w:t>
            </w:r>
          </w:p>
        </w:tc>
        <w:tc>
          <w:tcPr>
            <w:tcW w:w="1296" w:type="dxa"/>
            <w:noWrap/>
            <w:hideMark/>
          </w:tcPr>
          <w:p w14:paraId="2443FFA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w:t>
            </w:r>
          </w:p>
        </w:tc>
        <w:tc>
          <w:tcPr>
            <w:tcW w:w="1296" w:type="dxa"/>
            <w:noWrap/>
            <w:hideMark/>
          </w:tcPr>
          <w:p w14:paraId="5FB478F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2991BC3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r>
      <w:tr w:rsidR="00E1733B" w:rsidRPr="007937EB" w14:paraId="2B5FA14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424B56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2F5006A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2C1C5DD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5" w:type="dxa"/>
            <w:noWrap/>
            <w:hideMark/>
          </w:tcPr>
          <w:p w14:paraId="574979F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172</w:t>
            </w:r>
          </w:p>
        </w:tc>
        <w:tc>
          <w:tcPr>
            <w:tcW w:w="1296" w:type="dxa"/>
            <w:noWrap/>
            <w:hideMark/>
          </w:tcPr>
          <w:p w14:paraId="38D7F52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w:t>
            </w:r>
          </w:p>
        </w:tc>
        <w:tc>
          <w:tcPr>
            <w:tcW w:w="1296" w:type="dxa"/>
            <w:noWrap/>
            <w:hideMark/>
          </w:tcPr>
          <w:p w14:paraId="4FE4DAD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19AD609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r>
      <w:tr w:rsidR="00E1733B" w:rsidRPr="007937EB" w14:paraId="654093E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EBAF68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358FD1A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696A30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5" w:type="dxa"/>
            <w:noWrap/>
            <w:hideMark/>
          </w:tcPr>
          <w:p w14:paraId="29C3759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158</w:t>
            </w:r>
          </w:p>
        </w:tc>
        <w:tc>
          <w:tcPr>
            <w:tcW w:w="1296" w:type="dxa"/>
            <w:noWrap/>
            <w:hideMark/>
          </w:tcPr>
          <w:p w14:paraId="4A83D5A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3EA8952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646DD99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r>
      <w:tr w:rsidR="00E1733B" w:rsidRPr="007937EB" w14:paraId="7F84EC0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977B56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0077F7A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1563BE0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5" w:type="dxa"/>
            <w:noWrap/>
            <w:hideMark/>
          </w:tcPr>
          <w:p w14:paraId="2E7D9A3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w:t>
            </w:r>
          </w:p>
        </w:tc>
        <w:tc>
          <w:tcPr>
            <w:tcW w:w="1296" w:type="dxa"/>
            <w:noWrap/>
            <w:hideMark/>
          </w:tcPr>
          <w:p w14:paraId="2390F6A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0B52F9E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094A394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r>
      <w:tr w:rsidR="00E1733B" w:rsidRPr="007937EB" w14:paraId="76587B0B"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960328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6A7E72A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1000565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5" w:type="dxa"/>
            <w:noWrap/>
            <w:hideMark/>
          </w:tcPr>
          <w:p w14:paraId="77FC345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165</w:t>
            </w:r>
          </w:p>
        </w:tc>
        <w:tc>
          <w:tcPr>
            <w:tcW w:w="1296" w:type="dxa"/>
            <w:noWrap/>
            <w:hideMark/>
          </w:tcPr>
          <w:p w14:paraId="2171FD4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2D0E3B7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160C710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r>
      <w:tr w:rsidR="00E1733B" w:rsidRPr="007937EB" w14:paraId="0D9EE5BF"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B7557F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1FBCB26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251566E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5" w:type="dxa"/>
            <w:noWrap/>
            <w:hideMark/>
          </w:tcPr>
          <w:p w14:paraId="4118551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5D8582F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65FEF4C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01008FF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r>
      <w:tr w:rsidR="00E1733B" w:rsidRPr="007937EB" w14:paraId="1746893F"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E0980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7A34CFA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570FBF2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5" w:type="dxa"/>
            <w:noWrap/>
            <w:hideMark/>
          </w:tcPr>
          <w:p w14:paraId="12243BB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149</w:t>
            </w:r>
          </w:p>
        </w:tc>
        <w:tc>
          <w:tcPr>
            <w:tcW w:w="1296" w:type="dxa"/>
            <w:noWrap/>
            <w:hideMark/>
          </w:tcPr>
          <w:p w14:paraId="1313B67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764AFA8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3579A89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r>
      <w:tr w:rsidR="00E1733B" w:rsidRPr="007937EB" w14:paraId="2C7661D5"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80BF32F"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4D7CF58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4DE39F9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306D7CF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143</w:t>
            </w:r>
          </w:p>
        </w:tc>
        <w:tc>
          <w:tcPr>
            <w:tcW w:w="1296" w:type="dxa"/>
            <w:noWrap/>
            <w:hideMark/>
          </w:tcPr>
          <w:p w14:paraId="736073F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6" w:type="dxa"/>
            <w:noWrap/>
            <w:hideMark/>
          </w:tcPr>
          <w:p w14:paraId="564D88D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7787B6A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r>
      <w:tr w:rsidR="00E1733B" w:rsidRPr="007937EB" w14:paraId="744DF2CF"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494015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4D03719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1828AC2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5" w:type="dxa"/>
            <w:noWrap/>
            <w:hideMark/>
          </w:tcPr>
          <w:p w14:paraId="6B61444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c>
          <w:tcPr>
            <w:tcW w:w="1296" w:type="dxa"/>
            <w:noWrap/>
            <w:hideMark/>
          </w:tcPr>
          <w:p w14:paraId="0D848DF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148000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32369DB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r>
      <w:tr w:rsidR="00E1733B" w:rsidRPr="007937EB" w14:paraId="227B6FE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D68F44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2014</w:t>
            </w:r>
          </w:p>
        </w:tc>
        <w:tc>
          <w:tcPr>
            <w:tcW w:w="1296" w:type="dxa"/>
            <w:noWrap/>
            <w:hideMark/>
          </w:tcPr>
          <w:p w14:paraId="6E6FEBAE"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6B172B6"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708A9DBC"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0D22B89"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9DCF285"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C50CAA8"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6F2D849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481388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1C6268B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0656F31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5" w:type="dxa"/>
            <w:noWrap/>
            <w:hideMark/>
          </w:tcPr>
          <w:p w14:paraId="50B89A5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6" w:type="dxa"/>
            <w:noWrap/>
            <w:hideMark/>
          </w:tcPr>
          <w:p w14:paraId="5504CA8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33DB54B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004EEED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r>
      <w:tr w:rsidR="00E1733B" w:rsidRPr="007937EB" w14:paraId="4C581AC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043C668"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031F654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6" w:type="dxa"/>
            <w:noWrap/>
            <w:hideMark/>
          </w:tcPr>
          <w:p w14:paraId="667CA13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5" w:type="dxa"/>
            <w:noWrap/>
            <w:hideMark/>
          </w:tcPr>
          <w:p w14:paraId="5642A29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6" w:type="dxa"/>
            <w:noWrap/>
            <w:hideMark/>
          </w:tcPr>
          <w:p w14:paraId="5563536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5E82FE7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62680A1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r>
      <w:tr w:rsidR="00E1733B" w:rsidRPr="007937EB" w14:paraId="1F9DDB94"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B0818E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30AF991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5B905B3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c>
          <w:tcPr>
            <w:tcW w:w="1295" w:type="dxa"/>
            <w:noWrap/>
            <w:hideMark/>
          </w:tcPr>
          <w:p w14:paraId="4C08741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200</w:t>
            </w:r>
          </w:p>
        </w:tc>
        <w:tc>
          <w:tcPr>
            <w:tcW w:w="1296" w:type="dxa"/>
            <w:noWrap/>
            <w:hideMark/>
          </w:tcPr>
          <w:p w14:paraId="7B59B29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3B26870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50170EC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r>
      <w:tr w:rsidR="00E1733B" w:rsidRPr="007937EB" w14:paraId="15D8A37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5FD91F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BD551F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71B7965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5" w:type="dxa"/>
            <w:noWrap/>
            <w:hideMark/>
          </w:tcPr>
          <w:p w14:paraId="2B0FD82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19E3575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41994C1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3107DDE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w:t>
            </w:r>
          </w:p>
        </w:tc>
      </w:tr>
      <w:tr w:rsidR="00E1733B" w:rsidRPr="007937EB" w14:paraId="59947339"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303B6B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08563F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0858101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5" w:type="dxa"/>
            <w:noWrap/>
            <w:hideMark/>
          </w:tcPr>
          <w:p w14:paraId="356EC9C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139</w:t>
            </w:r>
          </w:p>
        </w:tc>
        <w:tc>
          <w:tcPr>
            <w:tcW w:w="1296" w:type="dxa"/>
            <w:noWrap/>
            <w:hideMark/>
          </w:tcPr>
          <w:p w14:paraId="7640B02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2AB3FEC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5642BE8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r>
      <w:tr w:rsidR="00E1733B" w:rsidRPr="007937EB" w14:paraId="2546B033"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F15294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59DE2F6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6" w:type="dxa"/>
            <w:noWrap/>
            <w:hideMark/>
          </w:tcPr>
          <w:p w14:paraId="3BCDB11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5" w:type="dxa"/>
            <w:noWrap/>
            <w:hideMark/>
          </w:tcPr>
          <w:p w14:paraId="5D0F0F4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25C8F2E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w:t>
            </w:r>
          </w:p>
        </w:tc>
        <w:tc>
          <w:tcPr>
            <w:tcW w:w="1296" w:type="dxa"/>
            <w:noWrap/>
            <w:hideMark/>
          </w:tcPr>
          <w:p w14:paraId="291C3E6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6" w:type="dxa"/>
            <w:noWrap/>
            <w:hideMark/>
          </w:tcPr>
          <w:p w14:paraId="3B93844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r>
      <w:tr w:rsidR="00E1733B" w:rsidRPr="007937EB" w14:paraId="658C747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E2598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3D91C1C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1BC39D1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c>
          <w:tcPr>
            <w:tcW w:w="1295" w:type="dxa"/>
            <w:noWrap/>
            <w:hideMark/>
          </w:tcPr>
          <w:p w14:paraId="3A6DBB1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158</w:t>
            </w:r>
          </w:p>
        </w:tc>
        <w:tc>
          <w:tcPr>
            <w:tcW w:w="1296" w:type="dxa"/>
            <w:noWrap/>
            <w:hideMark/>
          </w:tcPr>
          <w:p w14:paraId="1EAE5AD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21E0820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3CE9847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r>
      <w:tr w:rsidR="00E1733B" w:rsidRPr="007937EB" w14:paraId="79F66FAC"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85DF1B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270FFC6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2B5321A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5" w:type="dxa"/>
            <w:noWrap/>
            <w:hideMark/>
          </w:tcPr>
          <w:p w14:paraId="2F4012B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481BA02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66DC84B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34DC13F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132</w:t>
            </w:r>
          </w:p>
        </w:tc>
      </w:tr>
      <w:tr w:rsidR="00E1733B" w:rsidRPr="007937EB" w14:paraId="4D2F8E5D"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E27193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3D00077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452B0CA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5" w:type="dxa"/>
            <w:noWrap/>
            <w:hideMark/>
          </w:tcPr>
          <w:p w14:paraId="1F91A49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175</w:t>
            </w:r>
          </w:p>
        </w:tc>
        <w:tc>
          <w:tcPr>
            <w:tcW w:w="1296" w:type="dxa"/>
            <w:noWrap/>
            <w:hideMark/>
          </w:tcPr>
          <w:p w14:paraId="3163C54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5B93931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477E23C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r>
      <w:tr w:rsidR="00E1733B" w:rsidRPr="007937EB" w14:paraId="72B0BE2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475766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194C277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1993804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5" w:type="dxa"/>
            <w:noWrap/>
            <w:hideMark/>
          </w:tcPr>
          <w:p w14:paraId="4AAC575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167</w:t>
            </w:r>
          </w:p>
        </w:tc>
        <w:tc>
          <w:tcPr>
            <w:tcW w:w="1296" w:type="dxa"/>
            <w:noWrap/>
            <w:hideMark/>
          </w:tcPr>
          <w:p w14:paraId="50A0807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86E6FB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7FBF8DD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r>
      <w:tr w:rsidR="00E1733B" w:rsidRPr="007937EB" w14:paraId="017E67A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17BCA98"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0517D66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7E88F53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5" w:type="dxa"/>
            <w:noWrap/>
            <w:hideMark/>
          </w:tcPr>
          <w:p w14:paraId="67338B5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c>
          <w:tcPr>
            <w:tcW w:w="1296" w:type="dxa"/>
            <w:noWrap/>
            <w:hideMark/>
          </w:tcPr>
          <w:p w14:paraId="3F74584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6D6C4C7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6EBDC6B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r>
      <w:tr w:rsidR="00E1733B" w:rsidRPr="007937EB" w14:paraId="1473FC81"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95C2D0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1038C6A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6D28E64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5" w:type="dxa"/>
            <w:noWrap/>
            <w:hideMark/>
          </w:tcPr>
          <w:p w14:paraId="551813A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127</w:t>
            </w:r>
          </w:p>
        </w:tc>
        <w:tc>
          <w:tcPr>
            <w:tcW w:w="1296" w:type="dxa"/>
            <w:noWrap/>
            <w:hideMark/>
          </w:tcPr>
          <w:p w14:paraId="17B7CFD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01ADCFA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6" w:type="dxa"/>
            <w:noWrap/>
            <w:hideMark/>
          </w:tcPr>
          <w:p w14:paraId="04037A3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w:t>
            </w:r>
          </w:p>
        </w:tc>
      </w:tr>
      <w:tr w:rsidR="00E1733B" w:rsidRPr="007937EB" w14:paraId="25F6658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0AAA2A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2015</w:t>
            </w:r>
          </w:p>
        </w:tc>
        <w:tc>
          <w:tcPr>
            <w:tcW w:w="1296" w:type="dxa"/>
            <w:noWrap/>
            <w:hideMark/>
          </w:tcPr>
          <w:p w14:paraId="6D2E4A99"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3F0D003"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6868C373"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61F141B"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15316EA"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BA2F74F"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7D19495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8A2692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09A8C6F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6" w:type="dxa"/>
            <w:noWrap/>
            <w:hideMark/>
          </w:tcPr>
          <w:p w14:paraId="2AE6152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5" w:type="dxa"/>
            <w:noWrap/>
            <w:hideMark/>
          </w:tcPr>
          <w:p w14:paraId="57C632B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69945D2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7BC5EC9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6" w:type="dxa"/>
            <w:noWrap/>
            <w:hideMark/>
          </w:tcPr>
          <w:p w14:paraId="7311633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r>
      <w:tr w:rsidR="00E1733B" w:rsidRPr="007937EB" w14:paraId="45341DD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20812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50068AB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260412A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5" w:type="dxa"/>
            <w:noWrap/>
            <w:hideMark/>
          </w:tcPr>
          <w:p w14:paraId="054D574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145</w:t>
            </w:r>
          </w:p>
        </w:tc>
        <w:tc>
          <w:tcPr>
            <w:tcW w:w="1296" w:type="dxa"/>
            <w:noWrap/>
            <w:hideMark/>
          </w:tcPr>
          <w:p w14:paraId="031A363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1F9F3D7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6" w:type="dxa"/>
            <w:noWrap/>
            <w:hideMark/>
          </w:tcPr>
          <w:p w14:paraId="3B04E0E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w:t>
            </w:r>
          </w:p>
        </w:tc>
      </w:tr>
      <w:tr w:rsidR="00E1733B" w:rsidRPr="007937EB" w14:paraId="7513752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B6A600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3AF1F37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6F15BB5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2FC0479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141</w:t>
            </w:r>
          </w:p>
        </w:tc>
        <w:tc>
          <w:tcPr>
            <w:tcW w:w="1296" w:type="dxa"/>
            <w:noWrap/>
            <w:hideMark/>
          </w:tcPr>
          <w:p w14:paraId="7E87C0E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8FF3AB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327CB40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r>
      <w:tr w:rsidR="00E1733B" w:rsidRPr="007937EB" w14:paraId="6596DAF9"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682B96F"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0107D7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73AA032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5" w:type="dxa"/>
            <w:noWrap/>
            <w:hideMark/>
          </w:tcPr>
          <w:p w14:paraId="5C48404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c>
          <w:tcPr>
            <w:tcW w:w="1296" w:type="dxa"/>
            <w:noWrap/>
            <w:hideMark/>
          </w:tcPr>
          <w:p w14:paraId="5AD7559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11FB3B4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6E1CE55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129</w:t>
            </w:r>
          </w:p>
        </w:tc>
      </w:tr>
      <w:tr w:rsidR="00E1733B" w:rsidRPr="007937EB" w14:paraId="24E2BB1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75B6E4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9A2823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2A6B664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5" w:type="dxa"/>
            <w:noWrap/>
            <w:hideMark/>
          </w:tcPr>
          <w:p w14:paraId="754099B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156</w:t>
            </w:r>
          </w:p>
        </w:tc>
        <w:tc>
          <w:tcPr>
            <w:tcW w:w="1296" w:type="dxa"/>
            <w:noWrap/>
            <w:hideMark/>
          </w:tcPr>
          <w:p w14:paraId="4A57254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0C3EF0F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65AFD09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r>
      <w:tr w:rsidR="00E1733B" w:rsidRPr="007937EB" w14:paraId="270C8AA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92FAFE8"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257C0F4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2361FE6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5" w:type="dxa"/>
            <w:noWrap/>
            <w:hideMark/>
          </w:tcPr>
          <w:p w14:paraId="01690AA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156</w:t>
            </w:r>
          </w:p>
        </w:tc>
        <w:tc>
          <w:tcPr>
            <w:tcW w:w="1296" w:type="dxa"/>
            <w:noWrap/>
            <w:hideMark/>
          </w:tcPr>
          <w:p w14:paraId="35C9CD8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19DF9F3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32EC1C7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r>
      <w:tr w:rsidR="00E1733B" w:rsidRPr="007937EB" w14:paraId="119539C3"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730BDF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13F5035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398D696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5" w:type="dxa"/>
            <w:noWrap/>
            <w:hideMark/>
          </w:tcPr>
          <w:p w14:paraId="0110B37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296" w:type="dxa"/>
            <w:noWrap/>
            <w:hideMark/>
          </w:tcPr>
          <w:p w14:paraId="78C18E0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3473A74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6" w:type="dxa"/>
            <w:noWrap/>
            <w:hideMark/>
          </w:tcPr>
          <w:p w14:paraId="53E4F4E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135</w:t>
            </w:r>
          </w:p>
        </w:tc>
      </w:tr>
      <w:tr w:rsidR="00E1733B" w:rsidRPr="007937EB" w14:paraId="4772A5A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4D5A58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333B6AD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097F2C5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5" w:type="dxa"/>
            <w:noWrap/>
            <w:hideMark/>
          </w:tcPr>
          <w:p w14:paraId="6ED5358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186</w:t>
            </w:r>
          </w:p>
        </w:tc>
        <w:tc>
          <w:tcPr>
            <w:tcW w:w="1296" w:type="dxa"/>
            <w:noWrap/>
            <w:hideMark/>
          </w:tcPr>
          <w:p w14:paraId="0473B57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66066BD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6" w:type="dxa"/>
            <w:noWrap/>
            <w:hideMark/>
          </w:tcPr>
          <w:p w14:paraId="1F6381A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179</w:t>
            </w:r>
          </w:p>
        </w:tc>
      </w:tr>
      <w:tr w:rsidR="00E1733B" w:rsidRPr="007937EB" w14:paraId="48E26CB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449254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5526C33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4B1C134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5" w:type="dxa"/>
            <w:noWrap/>
            <w:hideMark/>
          </w:tcPr>
          <w:p w14:paraId="0F1DA0F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169</w:t>
            </w:r>
          </w:p>
        </w:tc>
        <w:tc>
          <w:tcPr>
            <w:tcW w:w="1296" w:type="dxa"/>
            <w:noWrap/>
            <w:hideMark/>
          </w:tcPr>
          <w:p w14:paraId="7EB58A8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158F887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6" w:type="dxa"/>
            <w:noWrap/>
            <w:hideMark/>
          </w:tcPr>
          <w:p w14:paraId="3E727AE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145</w:t>
            </w:r>
          </w:p>
        </w:tc>
      </w:tr>
      <w:tr w:rsidR="00E1733B" w:rsidRPr="007937EB" w14:paraId="6C9D9113"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171EFD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7B0BD86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1079256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5" w:type="dxa"/>
            <w:noWrap/>
            <w:hideMark/>
          </w:tcPr>
          <w:p w14:paraId="129CDFB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c>
          <w:tcPr>
            <w:tcW w:w="1296" w:type="dxa"/>
            <w:noWrap/>
            <w:hideMark/>
          </w:tcPr>
          <w:p w14:paraId="273F86F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4B2A560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c>
          <w:tcPr>
            <w:tcW w:w="1296" w:type="dxa"/>
            <w:noWrap/>
            <w:hideMark/>
          </w:tcPr>
          <w:p w14:paraId="3233144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r>
      <w:tr w:rsidR="00E1733B" w:rsidRPr="007937EB" w14:paraId="5B5E518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3D3895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1548261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0BE9503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5" w:type="dxa"/>
            <w:noWrap/>
            <w:hideMark/>
          </w:tcPr>
          <w:p w14:paraId="10B61E8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184</w:t>
            </w:r>
          </w:p>
        </w:tc>
        <w:tc>
          <w:tcPr>
            <w:tcW w:w="1296" w:type="dxa"/>
            <w:noWrap/>
            <w:hideMark/>
          </w:tcPr>
          <w:p w14:paraId="35BCDEE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29C02BE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6" w:type="dxa"/>
            <w:noWrap/>
            <w:hideMark/>
          </w:tcPr>
          <w:p w14:paraId="4C61B4B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r>
      <w:tr w:rsidR="00E1733B" w:rsidRPr="007937EB" w14:paraId="22C75B9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C6A96B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3024A8D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096D5EE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5" w:type="dxa"/>
            <w:noWrap/>
            <w:hideMark/>
          </w:tcPr>
          <w:p w14:paraId="43DF6D6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141</w:t>
            </w:r>
          </w:p>
        </w:tc>
        <w:tc>
          <w:tcPr>
            <w:tcW w:w="1296" w:type="dxa"/>
            <w:noWrap/>
            <w:hideMark/>
          </w:tcPr>
          <w:p w14:paraId="6D7426C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1C00D33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66B4024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w:t>
            </w:r>
          </w:p>
        </w:tc>
      </w:tr>
      <w:tr w:rsidR="00E1733B" w:rsidRPr="007937EB" w14:paraId="13A0981C"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510AF5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2016</w:t>
            </w:r>
          </w:p>
        </w:tc>
        <w:tc>
          <w:tcPr>
            <w:tcW w:w="1296" w:type="dxa"/>
            <w:noWrap/>
            <w:hideMark/>
          </w:tcPr>
          <w:p w14:paraId="7C23FC30"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B8EBE3E"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7E250D49"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E7BB5A2"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AF3FB78"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D02E890"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311FAFEA"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2F81BB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534B7E5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6" w:type="dxa"/>
            <w:noWrap/>
            <w:hideMark/>
          </w:tcPr>
          <w:p w14:paraId="123AA10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5" w:type="dxa"/>
            <w:noWrap/>
            <w:hideMark/>
          </w:tcPr>
          <w:p w14:paraId="6E415A9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c>
          <w:tcPr>
            <w:tcW w:w="1296" w:type="dxa"/>
            <w:noWrap/>
            <w:hideMark/>
          </w:tcPr>
          <w:p w14:paraId="5C3C6DA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1546843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4D4A295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r>
      <w:tr w:rsidR="00E1733B" w:rsidRPr="007937EB" w14:paraId="08570CD6"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7AC734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1DCF71B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3A4B3EA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5" w:type="dxa"/>
            <w:noWrap/>
            <w:hideMark/>
          </w:tcPr>
          <w:p w14:paraId="73B00C3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c>
          <w:tcPr>
            <w:tcW w:w="1296" w:type="dxa"/>
            <w:noWrap/>
            <w:hideMark/>
          </w:tcPr>
          <w:p w14:paraId="43D2BCD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06A2F93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35408C6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146</w:t>
            </w:r>
          </w:p>
        </w:tc>
      </w:tr>
      <w:tr w:rsidR="00E1733B" w:rsidRPr="007937EB" w14:paraId="1FF120B7"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E9410D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155AF5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2F3463C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c>
          <w:tcPr>
            <w:tcW w:w="1295" w:type="dxa"/>
            <w:noWrap/>
            <w:hideMark/>
          </w:tcPr>
          <w:p w14:paraId="07E5054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182</w:t>
            </w:r>
          </w:p>
        </w:tc>
        <w:tc>
          <w:tcPr>
            <w:tcW w:w="1296" w:type="dxa"/>
            <w:noWrap/>
            <w:hideMark/>
          </w:tcPr>
          <w:p w14:paraId="7808B79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0178995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6" w:type="dxa"/>
            <w:noWrap/>
            <w:hideMark/>
          </w:tcPr>
          <w:p w14:paraId="0A9F64F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r>
      <w:tr w:rsidR="00E1733B" w:rsidRPr="007937EB" w14:paraId="42017B92"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080C85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7916D4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5119440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5" w:type="dxa"/>
            <w:noWrap/>
            <w:hideMark/>
          </w:tcPr>
          <w:p w14:paraId="51545D7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133</w:t>
            </w:r>
          </w:p>
        </w:tc>
        <w:tc>
          <w:tcPr>
            <w:tcW w:w="1296" w:type="dxa"/>
            <w:noWrap/>
            <w:hideMark/>
          </w:tcPr>
          <w:p w14:paraId="2C93A28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36CE391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20719F8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r>
      <w:tr w:rsidR="00E1733B" w:rsidRPr="007937EB" w14:paraId="0867266B"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DEE6A1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4E694E0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38E3093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78E5059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178</w:t>
            </w:r>
          </w:p>
        </w:tc>
        <w:tc>
          <w:tcPr>
            <w:tcW w:w="1296" w:type="dxa"/>
            <w:noWrap/>
            <w:hideMark/>
          </w:tcPr>
          <w:p w14:paraId="0514CC8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09F5FF2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3D4B2F6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122</w:t>
            </w:r>
          </w:p>
        </w:tc>
      </w:tr>
      <w:tr w:rsidR="00E1733B" w:rsidRPr="007937EB" w14:paraId="30A89762"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83984B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51A5B3B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5CEBDC0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5F64D80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154</w:t>
            </w:r>
          </w:p>
        </w:tc>
        <w:tc>
          <w:tcPr>
            <w:tcW w:w="1296" w:type="dxa"/>
            <w:noWrap/>
            <w:hideMark/>
          </w:tcPr>
          <w:p w14:paraId="3ABF619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5B0F1B9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6DA366B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r>
      <w:tr w:rsidR="00E1733B" w:rsidRPr="007937EB" w14:paraId="1075BAE7"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C44BD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5B9F3F2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07462A7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5" w:type="dxa"/>
            <w:noWrap/>
            <w:hideMark/>
          </w:tcPr>
          <w:p w14:paraId="29D7B74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165</w:t>
            </w:r>
          </w:p>
        </w:tc>
        <w:tc>
          <w:tcPr>
            <w:tcW w:w="1296" w:type="dxa"/>
            <w:noWrap/>
            <w:hideMark/>
          </w:tcPr>
          <w:p w14:paraId="539FD4E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35B8344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101</w:t>
            </w:r>
          </w:p>
        </w:tc>
        <w:tc>
          <w:tcPr>
            <w:tcW w:w="1296" w:type="dxa"/>
            <w:noWrap/>
            <w:hideMark/>
          </w:tcPr>
          <w:p w14:paraId="76BB749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137</w:t>
            </w:r>
          </w:p>
        </w:tc>
      </w:tr>
      <w:tr w:rsidR="00E1733B" w:rsidRPr="007937EB" w14:paraId="5F994959"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F8FD9C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CA37BE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46D5B62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w:t>
            </w:r>
          </w:p>
        </w:tc>
        <w:tc>
          <w:tcPr>
            <w:tcW w:w="1295" w:type="dxa"/>
            <w:noWrap/>
            <w:hideMark/>
          </w:tcPr>
          <w:p w14:paraId="0FBA7A9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178</w:t>
            </w:r>
          </w:p>
        </w:tc>
        <w:tc>
          <w:tcPr>
            <w:tcW w:w="1296" w:type="dxa"/>
            <w:noWrap/>
            <w:hideMark/>
          </w:tcPr>
          <w:p w14:paraId="7FFEE7E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7114317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c>
          <w:tcPr>
            <w:tcW w:w="1296" w:type="dxa"/>
            <w:noWrap/>
            <w:hideMark/>
          </w:tcPr>
          <w:p w14:paraId="2EBB397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188</w:t>
            </w:r>
          </w:p>
        </w:tc>
      </w:tr>
      <w:tr w:rsidR="00E1733B" w:rsidRPr="007937EB" w14:paraId="26596444"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69FCC7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0B74227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0159EC6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c>
          <w:tcPr>
            <w:tcW w:w="1295" w:type="dxa"/>
            <w:noWrap/>
            <w:hideMark/>
          </w:tcPr>
          <w:p w14:paraId="71CF948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168</w:t>
            </w:r>
          </w:p>
        </w:tc>
        <w:tc>
          <w:tcPr>
            <w:tcW w:w="1296" w:type="dxa"/>
            <w:noWrap/>
            <w:hideMark/>
          </w:tcPr>
          <w:p w14:paraId="43818F6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5C66522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5C6B95A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143</w:t>
            </w:r>
          </w:p>
        </w:tc>
      </w:tr>
      <w:tr w:rsidR="00E1733B" w:rsidRPr="007937EB" w14:paraId="495651D1"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683F7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1056E1D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7022BE6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5" w:type="dxa"/>
            <w:noWrap/>
            <w:hideMark/>
          </w:tcPr>
          <w:p w14:paraId="7FEEA82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182</w:t>
            </w:r>
          </w:p>
        </w:tc>
        <w:tc>
          <w:tcPr>
            <w:tcW w:w="1296" w:type="dxa"/>
            <w:noWrap/>
            <w:hideMark/>
          </w:tcPr>
          <w:p w14:paraId="01B6492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491FF97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6" w:type="dxa"/>
            <w:noWrap/>
            <w:hideMark/>
          </w:tcPr>
          <w:p w14:paraId="6AB1FD7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139</w:t>
            </w:r>
          </w:p>
        </w:tc>
      </w:tr>
      <w:tr w:rsidR="00E1733B" w:rsidRPr="007937EB" w14:paraId="3D05DC9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F8D9B9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4697A3F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4279EA9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c>
          <w:tcPr>
            <w:tcW w:w="1295" w:type="dxa"/>
            <w:noWrap/>
            <w:hideMark/>
          </w:tcPr>
          <w:p w14:paraId="5A2A3F2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w:t>
            </w:r>
          </w:p>
        </w:tc>
        <w:tc>
          <w:tcPr>
            <w:tcW w:w="1296" w:type="dxa"/>
            <w:noWrap/>
            <w:hideMark/>
          </w:tcPr>
          <w:p w14:paraId="21C4DAB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180840E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0FAEB94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r>
      <w:tr w:rsidR="00E1733B" w:rsidRPr="007937EB" w14:paraId="51E3DB7E"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4EB540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7302A67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47B8357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00E7C5D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c>
          <w:tcPr>
            <w:tcW w:w="1296" w:type="dxa"/>
            <w:noWrap/>
            <w:hideMark/>
          </w:tcPr>
          <w:p w14:paraId="569C7D2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4C7A0AA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00F8550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r>
      <w:tr w:rsidR="00E1733B" w:rsidRPr="007937EB" w14:paraId="359585B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D684FB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2017</w:t>
            </w:r>
          </w:p>
        </w:tc>
        <w:tc>
          <w:tcPr>
            <w:tcW w:w="1296" w:type="dxa"/>
            <w:noWrap/>
            <w:hideMark/>
          </w:tcPr>
          <w:p w14:paraId="15C6BD61"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45BF7ED"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5742EFBA"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DF387FD"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2B4D172"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DD3E8C4"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6B868A8B"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4368CA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7BBEA2B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5B75C56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w:t>
            </w:r>
          </w:p>
        </w:tc>
        <w:tc>
          <w:tcPr>
            <w:tcW w:w="1295" w:type="dxa"/>
            <w:noWrap/>
            <w:hideMark/>
          </w:tcPr>
          <w:p w14:paraId="50223EB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174</w:t>
            </w:r>
          </w:p>
        </w:tc>
        <w:tc>
          <w:tcPr>
            <w:tcW w:w="1296" w:type="dxa"/>
            <w:noWrap/>
            <w:hideMark/>
          </w:tcPr>
          <w:p w14:paraId="4CCC742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5A8FEFA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5EEAA9F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r>
      <w:tr w:rsidR="00E1733B" w:rsidRPr="007937EB" w14:paraId="3BF5BE8D"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7DEA5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3093B83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2E0DE63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5" w:type="dxa"/>
            <w:noWrap/>
            <w:hideMark/>
          </w:tcPr>
          <w:p w14:paraId="6645076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170</w:t>
            </w:r>
          </w:p>
        </w:tc>
        <w:tc>
          <w:tcPr>
            <w:tcW w:w="1296" w:type="dxa"/>
            <w:noWrap/>
            <w:hideMark/>
          </w:tcPr>
          <w:p w14:paraId="013A8C5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3E275BE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06FD3C0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w:t>
            </w:r>
          </w:p>
        </w:tc>
      </w:tr>
      <w:tr w:rsidR="00E1733B" w:rsidRPr="007937EB" w14:paraId="1644527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D9BFC6A"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442F5C8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6" w:type="dxa"/>
            <w:noWrap/>
            <w:hideMark/>
          </w:tcPr>
          <w:p w14:paraId="67FC8D3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5" w:type="dxa"/>
            <w:noWrap/>
            <w:hideMark/>
          </w:tcPr>
          <w:p w14:paraId="5EC2545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216</w:t>
            </w:r>
          </w:p>
        </w:tc>
        <w:tc>
          <w:tcPr>
            <w:tcW w:w="1296" w:type="dxa"/>
            <w:noWrap/>
            <w:hideMark/>
          </w:tcPr>
          <w:p w14:paraId="602A73E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57AC7C9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0F35993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114</w:t>
            </w:r>
          </w:p>
        </w:tc>
      </w:tr>
      <w:tr w:rsidR="00E1733B" w:rsidRPr="007937EB" w14:paraId="6408C16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61D480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3C60D40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69B25C0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5" w:type="dxa"/>
            <w:noWrap/>
            <w:hideMark/>
          </w:tcPr>
          <w:p w14:paraId="7A80F8F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148</w:t>
            </w:r>
          </w:p>
        </w:tc>
        <w:tc>
          <w:tcPr>
            <w:tcW w:w="1296" w:type="dxa"/>
            <w:noWrap/>
            <w:hideMark/>
          </w:tcPr>
          <w:p w14:paraId="40DD058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7A2B1E5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6" w:type="dxa"/>
            <w:noWrap/>
            <w:hideMark/>
          </w:tcPr>
          <w:p w14:paraId="6337857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128</w:t>
            </w:r>
          </w:p>
        </w:tc>
      </w:tr>
      <w:tr w:rsidR="00E1733B" w:rsidRPr="007937EB" w14:paraId="539FEE2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EEFB68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0D3B12E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2E51971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5" w:type="dxa"/>
            <w:noWrap/>
            <w:hideMark/>
          </w:tcPr>
          <w:p w14:paraId="0B1E1F6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178</w:t>
            </w:r>
          </w:p>
        </w:tc>
        <w:tc>
          <w:tcPr>
            <w:tcW w:w="1296" w:type="dxa"/>
            <w:noWrap/>
            <w:hideMark/>
          </w:tcPr>
          <w:p w14:paraId="1DA7884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3F24388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6" w:type="dxa"/>
            <w:noWrap/>
            <w:hideMark/>
          </w:tcPr>
          <w:p w14:paraId="6B987A7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r>
      <w:tr w:rsidR="00E1733B" w:rsidRPr="007937EB" w14:paraId="290C4D5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7FC81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762C4BE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1C69FC6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1295" w:type="dxa"/>
            <w:noWrap/>
            <w:hideMark/>
          </w:tcPr>
          <w:p w14:paraId="2904902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209</w:t>
            </w:r>
          </w:p>
        </w:tc>
        <w:tc>
          <w:tcPr>
            <w:tcW w:w="1296" w:type="dxa"/>
            <w:noWrap/>
            <w:hideMark/>
          </w:tcPr>
          <w:p w14:paraId="2F1BCDE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58B6588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6" w:type="dxa"/>
            <w:noWrap/>
            <w:hideMark/>
          </w:tcPr>
          <w:p w14:paraId="666E1AF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r>
      <w:tr w:rsidR="00E1733B" w:rsidRPr="007937EB" w14:paraId="5FD1B3E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800E35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351F6D4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11B03EB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5" w:type="dxa"/>
            <w:noWrap/>
            <w:hideMark/>
          </w:tcPr>
          <w:p w14:paraId="3162F15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178</w:t>
            </w:r>
          </w:p>
        </w:tc>
        <w:tc>
          <w:tcPr>
            <w:tcW w:w="1296" w:type="dxa"/>
            <w:noWrap/>
            <w:hideMark/>
          </w:tcPr>
          <w:p w14:paraId="3BD1379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644DD93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6" w:type="dxa"/>
            <w:noWrap/>
            <w:hideMark/>
          </w:tcPr>
          <w:p w14:paraId="19940D5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146</w:t>
            </w:r>
          </w:p>
        </w:tc>
      </w:tr>
      <w:tr w:rsidR="00E1733B" w:rsidRPr="007937EB" w14:paraId="5F6E71F7"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AF070B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4520688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0757EE2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108</w:t>
            </w:r>
          </w:p>
        </w:tc>
        <w:tc>
          <w:tcPr>
            <w:tcW w:w="1295" w:type="dxa"/>
            <w:noWrap/>
            <w:hideMark/>
          </w:tcPr>
          <w:p w14:paraId="5357E41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197</w:t>
            </w:r>
          </w:p>
        </w:tc>
        <w:tc>
          <w:tcPr>
            <w:tcW w:w="1296" w:type="dxa"/>
            <w:noWrap/>
            <w:hideMark/>
          </w:tcPr>
          <w:p w14:paraId="6DD75B9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79E0AF8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6" w:type="dxa"/>
            <w:noWrap/>
            <w:hideMark/>
          </w:tcPr>
          <w:p w14:paraId="3BB9BC0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180</w:t>
            </w:r>
          </w:p>
        </w:tc>
      </w:tr>
      <w:tr w:rsidR="00E1733B" w:rsidRPr="007937EB" w14:paraId="2039CF2B"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B16F76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2B1D3E9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1BF73ED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c>
          <w:tcPr>
            <w:tcW w:w="1295" w:type="dxa"/>
            <w:noWrap/>
            <w:hideMark/>
          </w:tcPr>
          <w:p w14:paraId="7731731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181</w:t>
            </w:r>
          </w:p>
        </w:tc>
        <w:tc>
          <w:tcPr>
            <w:tcW w:w="1296" w:type="dxa"/>
            <w:noWrap/>
            <w:hideMark/>
          </w:tcPr>
          <w:p w14:paraId="3F1A69F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7361075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6C62AAA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r>
      <w:tr w:rsidR="00E1733B" w:rsidRPr="007937EB" w14:paraId="13F054B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4CD59E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34FE85A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235A1AE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1295" w:type="dxa"/>
            <w:noWrap/>
            <w:hideMark/>
          </w:tcPr>
          <w:p w14:paraId="52C600F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216</w:t>
            </w:r>
          </w:p>
        </w:tc>
        <w:tc>
          <w:tcPr>
            <w:tcW w:w="1296" w:type="dxa"/>
            <w:noWrap/>
            <w:hideMark/>
          </w:tcPr>
          <w:p w14:paraId="111F7AF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7FBD25E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1663F66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124</w:t>
            </w:r>
          </w:p>
        </w:tc>
      </w:tr>
      <w:tr w:rsidR="00E1733B" w:rsidRPr="007937EB" w14:paraId="3B2329D2"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5EDAF2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0A65C63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7D70D07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122</w:t>
            </w:r>
          </w:p>
        </w:tc>
        <w:tc>
          <w:tcPr>
            <w:tcW w:w="1295" w:type="dxa"/>
            <w:noWrap/>
            <w:hideMark/>
          </w:tcPr>
          <w:p w14:paraId="6BF950F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212</w:t>
            </w:r>
          </w:p>
        </w:tc>
        <w:tc>
          <w:tcPr>
            <w:tcW w:w="1296" w:type="dxa"/>
            <w:noWrap/>
            <w:hideMark/>
          </w:tcPr>
          <w:p w14:paraId="56A3424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27</w:t>
            </w:r>
          </w:p>
        </w:tc>
        <w:tc>
          <w:tcPr>
            <w:tcW w:w="1296" w:type="dxa"/>
            <w:noWrap/>
            <w:hideMark/>
          </w:tcPr>
          <w:p w14:paraId="5032B36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441A2C5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r>
      <w:tr w:rsidR="00E1733B" w:rsidRPr="007937EB" w14:paraId="0DB168F8"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F08239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0649806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4CD03D5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w:t>
            </w:r>
          </w:p>
        </w:tc>
        <w:tc>
          <w:tcPr>
            <w:tcW w:w="1295" w:type="dxa"/>
            <w:noWrap/>
            <w:hideMark/>
          </w:tcPr>
          <w:p w14:paraId="6BCD525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169</w:t>
            </w:r>
          </w:p>
        </w:tc>
        <w:tc>
          <w:tcPr>
            <w:tcW w:w="1296" w:type="dxa"/>
            <w:noWrap/>
            <w:hideMark/>
          </w:tcPr>
          <w:p w14:paraId="3EDC045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199F042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046E11E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r>
      <w:tr w:rsidR="00E1733B" w:rsidRPr="007937EB" w14:paraId="44F10FF8"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A149F5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2018</w:t>
            </w:r>
          </w:p>
        </w:tc>
        <w:tc>
          <w:tcPr>
            <w:tcW w:w="1296" w:type="dxa"/>
            <w:noWrap/>
            <w:hideMark/>
          </w:tcPr>
          <w:p w14:paraId="34320E72"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F610194"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4786869F"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EE76558"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E27A3CE"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1C3F093"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1295A9E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EFE6B6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316AD46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6A63AE5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0D25070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149</w:t>
            </w:r>
          </w:p>
        </w:tc>
        <w:tc>
          <w:tcPr>
            <w:tcW w:w="1296" w:type="dxa"/>
            <w:noWrap/>
            <w:hideMark/>
          </w:tcPr>
          <w:p w14:paraId="608C01F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763554A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76FE3DC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r>
      <w:tr w:rsidR="00E1733B" w:rsidRPr="007937EB" w14:paraId="79F07DA3"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2A4DBD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599197E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417E1F0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c>
          <w:tcPr>
            <w:tcW w:w="1295" w:type="dxa"/>
            <w:noWrap/>
            <w:hideMark/>
          </w:tcPr>
          <w:p w14:paraId="1E788D9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175</w:t>
            </w:r>
          </w:p>
        </w:tc>
        <w:tc>
          <w:tcPr>
            <w:tcW w:w="1296" w:type="dxa"/>
            <w:noWrap/>
            <w:hideMark/>
          </w:tcPr>
          <w:p w14:paraId="11DD532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72CB722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01E644F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w:t>
            </w:r>
          </w:p>
        </w:tc>
      </w:tr>
      <w:tr w:rsidR="00E1733B" w:rsidRPr="007937EB" w14:paraId="275BEA99"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A10C21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0FF3B2A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131A25B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5" w:type="dxa"/>
            <w:noWrap/>
            <w:hideMark/>
          </w:tcPr>
          <w:p w14:paraId="6D24831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178</w:t>
            </w:r>
          </w:p>
        </w:tc>
        <w:tc>
          <w:tcPr>
            <w:tcW w:w="1296" w:type="dxa"/>
            <w:noWrap/>
            <w:hideMark/>
          </w:tcPr>
          <w:p w14:paraId="2CC4EA8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1965541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5F56FE0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r>
      <w:tr w:rsidR="00E1733B" w:rsidRPr="007937EB" w14:paraId="35378BD8"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C43AED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1B9693D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7AB1977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124</w:t>
            </w:r>
          </w:p>
        </w:tc>
        <w:tc>
          <w:tcPr>
            <w:tcW w:w="1295" w:type="dxa"/>
            <w:noWrap/>
            <w:hideMark/>
          </w:tcPr>
          <w:p w14:paraId="0A0D52B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192</w:t>
            </w:r>
          </w:p>
        </w:tc>
        <w:tc>
          <w:tcPr>
            <w:tcW w:w="1296" w:type="dxa"/>
            <w:noWrap/>
            <w:hideMark/>
          </w:tcPr>
          <w:p w14:paraId="3C2B8BF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6DA4D61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c>
          <w:tcPr>
            <w:tcW w:w="1296" w:type="dxa"/>
            <w:noWrap/>
            <w:hideMark/>
          </w:tcPr>
          <w:p w14:paraId="67B566D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r>
      <w:tr w:rsidR="00E1733B" w:rsidRPr="007937EB" w14:paraId="5C58A87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EFC9E5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2C53EE7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2AEF0F5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5" w:type="dxa"/>
            <w:noWrap/>
            <w:hideMark/>
          </w:tcPr>
          <w:p w14:paraId="302B34A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163</w:t>
            </w:r>
          </w:p>
        </w:tc>
        <w:tc>
          <w:tcPr>
            <w:tcW w:w="1296" w:type="dxa"/>
            <w:noWrap/>
            <w:hideMark/>
          </w:tcPr>
          <w:p w14:paraId="048E995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6D9CA54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114</w:t>
            </w:r>
          </w:p>
        </w:tc>
        <w:tc>
          <w:tcPr>
            <w:tcW w:w="1296" w:type="dxa"/>
            <w:noWrap/>
            <w:hideMark/>
          </w:tcPr>
          <w:p w14:paraId="2D7E2B8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157</w:t>
            </w:r>
          </w:p>
        </w:tc>
      </w:tr>
      <w:tr w:rsidR="00E1733B" w:rsidRPr="007937EB" w14:paraId="4A042449"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044CA6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7A16C3E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5667B03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c>
          <w:tcPr>
            <w:tcW w:w="1295" w:type="dxa"/>
            <w:noWrap/>
            <w:hideMark/>
          </w:tcPr>
          <w:p w14:paraId="62DF381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201</w:t>
            </w:r>
          </w:p>
        </w:tc>
        <w:tc>
          <w:tcPr>
            <w:tcW w:w="1296" w:type="dxa"/>
            <w:noWrap/>
            <w:hideMark/>
          </w:tcPr>
          <w:p w14:paraId="2878BB7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3ABC21D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c>
          <w:tcPr>
            <w:tcW w:w="1296" w:type="dxa"/>
            <w:noWrap/>
            <w:hideMark/>
          </w:tcPr>
          <w:p w14:paraId="5E6B00A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r>
      <w:tr w:rsidR="00E1733B" w:rsidRPr="007937EB" w14:paraId="30B995D2"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BF0F1C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0577BF9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5DFE30C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w:t>
            </w:r>
          </w:p>
        </w:tc>
        <w:tc>
          <w:tcPr>
            <w:tcW w:w="1295" w:type="dxa"/>
            <w:noWrap/>
            <w:hideMark/>
          </w:tcPr>
          <w:p w14:paraId="7BA297E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w:t>
            </w:r>
          </w:p>
        </w:tc>
        <w:tc>
          <w:tcPr>
            <w:tcW w:w="1296" w:type="dxa"/>
            <w:noWrap/>
            <w:hideMark/>
          </w:tcPr>
          <w:p w14:paraId="27AAC06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5CA3111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c>
          <w:tcPr>
            <w:tcW w:w="1296" w:type="dxa"/>
            <w:noWrap/>
            <w:hideMark/>
          </w:tcPr>
          <w:p w14:paraId="76D3A6F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r>
      <w:tr w:rsidR="00E1733B" w:rsidRPr="007937EB" w14:paraId="6745BCDB"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AB55A6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7A59F55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w:t>
            </w:r>
          </w:p>
        </w:tc>
        <w:tc>
          <w:tcPr>
            <w:tcW w:w="1296" w:type="dxa"/>
            <w:noWrap/>
            <w:hideMark/>
          </w:tcPr>
          <w:p w14:paraId="6825CED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5" w:type="dxa"/>
            <w:noWrap/>
            <w:hideMark/>
          </w:tcPr>
          <w:p w14:paraId="0D7DE06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214</w:t>
            </w:r>
          </w:p>
        </w:tc>
        <w:tc>
          <w:tcPr>
            <w:tcW w:w="1296" w:type="dxa"/>
            <w:noWrap/>
            <w:hideMark/>
          </w:tcPr>
          <w:p w14:paraId="3116D3B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53C5F15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6BC7B3B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w:t>
            </w:r>
          </w:p>
        </w:tc>
      </w:tr>
      <w:tr w:rsidR="00E1733B" w:rsidRPr="007937EB" w14:paraId="68D2BDE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96B0DDF"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1B002EE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6" w:type="dxa"/>
            <w:noWrap/>
            <w:hideMark/>
          </w:tcPr>
          <w:p w14:paraId="7115314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c>
          <w:tcPr>
            <w:tcW w:w="1295" w:type="dxa"/>
            <w:noWrap/>
            <w:hideMark/>
          </w:tcPr>
          <w:p w14:paraId="55117D2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205</w:t>
            </w:r>
          </w:p>
        </w:tc>
        <w:tc>
          <w:tcPr>
            <w:tcW w:w="1296" w:type="dxa"/>
            <w:noWrap/>
            <w:hideMark/>
          </w:tcPr>
          <w:p w14:paraId="1AFB899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3EDAAE8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6" w:type="dxa"/>
            <w:noWrap/>
            <w:hideMark/>
          </w:tcPr>
          <w:p w14:paraId="6665C21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r>
      <w:tr w:rsidR="00E1733B" w:rsidRPr="007937EB" w14:paraId="68C11EB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7CCE5F7"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0A9F2FC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17F82F9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c>
          <w:tcPr>
            <w:tcW w:w="1295" w:type="dxa"/>
            <w:noWrap/>
            <w:hideMark/>
          </w:tcPr>
          <w:p w14:paraId="2745C4D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189</w:t>
            </w:r>
          </w:p>
        </w:tc>
        <w:tc>
          <w:tcPr>
            <w:tcW w:w="1296" w:type="dxa"/>
            <w:noWrap/>
            <w:hideMark/>
          </w:tcPr>
          <w:p w14:paraId="3A9C320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153942C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50C3207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r>
      <w:tr w:rsidR="00E1733B" w:rsidRPr="007937EB" w14:paraId="3387B325"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3C52AA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4E01208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1C49C42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c>
          <w:tcPr>
            <w:tcW w:w="1295" w:type="dxa"/>
            <w:noWrap/>
            <w:hideMark/>
          </w:tcPr>
          <w:p w14:paraId="54F7796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229</w:t>
            </w:r>
          </w:p>
        </w:tc>
        <w:tc>
          <w:tcPr>
            <w:tcW w:w="1296" w:type="dxa"/>
            <w:noWrap/>
            <w:hideMark/>
          </w:tcPr>
          <w:p w14:paraId="34F8CE0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48043D6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65B3887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154</w:t>
            </w:r>
          </w:p>
        </w:tc>
      </w:tr>
      <w:tr w:rsidR="00E1733B" w:rsidRPr="007937EB" w14:paraId="409B439F"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7F071D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5E4B8E4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139D555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5" w:type="dxa"/>
            <w:noWrap/>
            <w:hideMark/>
          </w:tcPr>
          <w:p w14:paraId="15DEC80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170</w:t>
            </w:r>
          </w:p>
        </w:tc>
        <w:tc>
          <w:tcPr>
            <w:tcW w:w="1296" w:type="dxa"/>
            <w:noWrap/>
            <w:hideMark/>
          </w:tcPr>
          <w:p w14:paraId="1EABEEC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44F46AB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6FAFA6B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r>
      <w:tr w:rsidR="00E1733B" w:rsidRPr="007937EB" w14:paraId="591D3B78"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F7E0AE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2019</w:t>
            </w:r>
          </w:p>
        </w:tc>
        <w:tc>
          <w:tcPr>
            <w:tcW w:w="1296" w:type="dxa"/>
            <w:noWrap/>
            <w:hideMark/>
          </w:tcPr>
          <w:p w14:paraId="4174CEC1"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92C9A9B"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7F33F3A3"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716B16C"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CA143CB"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1B28822"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02DACC23"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17F507F"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1C3FF32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5C60D36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c>
          <w:tcPr>
            <w:tcW w:w="1295" w:type="dxa"/>
            <w:noWrap/>
            <w:hideMark/>
          </w:tcPr>
          <w:p w14:paraId="099BBA6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177</w:t>
            </w:r>
          </w:p>
        </w:tc>
        <w:tc>
          <w:tcPr>
            <w:tcW w:w="1296" w:type="dxa"/>
            <w:noWrap/>
            <w:hideMark/>
          </w:tcPr>
          <w:p w14:paraId="364B48B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0131E7B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7292BFF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129</w:t>
            </w:r>
          </w:p>
        </w:tc>
      </w:tr>
      <w:tr w:rsidR="00E1733B" w:rsidRPr="007937EB" w14:paraId="2BF347DF"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ED6074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13E2CB6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7EA0E76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5" w:type="dxa"/>
            <w:noWrap/>
            <w:hideMark/>
          </w:tcPr>
          <w:p w14:paraId="7DDA703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296" w:type="dxa"/>
            <w:noWrap/>
            <w:hideMark/>
          </w:tcPr>
          <w:p w14:paraId="400F324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2208172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w:t>
            </w:r>
          </w:p>
        </w:tc>
        <w:tc>
          <w:tcPr>
            <w:tcW w:w="1296" w:type="dxa"/>
            <w:noWrap/>
            <w:hideMark/>
          </w:tcPr>
          <w:p w14:paraId="2B6DBCD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154</w:t>
            </w:r>
          </w:p>
        </w:tc>
      </w:tr>
      <w:tr w:rsidR="00E1733B" w:rsidRPr="007937EB" w14:paraId="320A2D2E"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F190AD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EC1588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6" w:type="dxa"/>
            <w:noWrap/>
            <w:hideMark/>
          </w:tcPr>
          <w:p w14:paraId="0A6E3A5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150</w:t>
            </w:r>
          </w:p>
        </w:tc>
        <w:tc>
          <w:tcPr>
            <w:tcW w:w="1295" w:type="dxa"/>
            <w:noWrap/>
            <w:hideMark/>
          </w:tcPr>
          <w:p w14:paraId="41C1DD6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237</w:t>
            </w:r>
          </w:p>
        </w:tc>
        <w:tc>
          <w:tcPr>
            <w:tcW w:w="1296" w:type="dxa"/>
            <w:noWrap/>
            <w:hideMark/>
          </w:tcPr>
          <w:p w14:paraId="455857B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69290AD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66930A9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148</w:t>
            </w:r>
          </w:p>
        </w:tc>
      </w:tr>
      <w:tr w:rsidR="00E1733B" w:rsidRPr="007937EB" w14:paraId="66547BE4"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B740DE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3E457E9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0B15C7B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c>
          <w:tcPr>
            <w:tcW w:w="1295" w:type="dxa"/>
            <w:noWrap/>
            <w:hideMark/>
          </w:tcPr>
          <w:p w14:paraId="5D9A6F3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194</w:t>
            </w:r>
          </w:p>
        </w:tc>
        <w:tc>
          <w:tcPr>
            <w:tcW w:w="1296" w:type="dxa"/>
            <w:noWrap/>
            <w:hideMark/>
          </w:tcPr>
          <w:p w14:paraId="08A8BD3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4C6F979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c>
          <w:tcPr>
            <w:tcW w:w="1296" w:type="dxa"/>
            <w:noWrap/>
            <w:hideMark/>
          </w:tcPr>
          <w:p w14:paraId="7018111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147</w:t>
            </w:r>
          </w:p>
        </w:tc>
      </w:tr>
      <w:tr w:rsidR="00E1733B" w:rsidRPr="007937EB" w14:paraId="01DC521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221C04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73D9631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75BA5AC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5" w:type="dxa"/>
            <w:noWrap/>
            <w:hideMark/>
          </w:tcPr>
          <w:p w14:paraId="0938F81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176</w:t>
            </w:r>
          </w:p>
        </w:tc>
        <w:tc>
          <w:tcPr>
            <w:tcW w:w="1296" w:type="dxa"/>
            <w:noWrap/>
            <w:hideMark/>
          </w:tcPr>
          <w:p w14:paraId="6992003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2120105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c>
          <w:tcPr>
            <w:tcW w:w="1296" w:type="dxa"/>
            <w:noWrap/>
            <w:hideMark/>
          </w:tcPr>
          <w:p w14:paraId="662057F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r>
      <w:tr w:rsidR="00E1733B" w:rsidRPr="007937EB" w14:paraId="46A786A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C45F34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2292CA1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74603A2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5" w:type="dxa"/>
            <w:noWrap/>
            <w:hideMark/>
          </w:tcPr>
          <w:p w14:paraId="2AA4144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176</w:t>
            </w:r>
          </w:p>
        </w:tc>
        <w:tc>
          <w:tcPr>
            <w:tcW w:w="1296" w:type="dxa"/>
            <w:noWrap/>
            <w:hideMark/>
          </w:tcPr>
          <w:p w14:paraId="73A9E80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5837AD1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6" w:type="dxa"/>
            <w:noWrap/>
            <w:hideMark/>
          </w:tcPr>
          <w:p w14:paraId="6AF7FCB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171</w:t>
            </w:r>
          </w:p>
        </w:tc>
      </w:tr>
      <w:tr w:rsidR="00E1733B" w:rsidRPr="007937EB" w14:paraId="5280373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E64E5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555797D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1C68530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5" w:type="dxa"/>
            <w:noWrap/>
            <w:hideMark/>
          </w:tcPr>
          <w:p w14:paraId="69469B3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169</w:t>
            </w:r>
          </w:p>
        </w:tc>
        <w:tc>
          <w:tcPr>
            <w:tcW w:w="1296" w:type="dxa"/>
            <w:noWrap/>
            <w:hideMark/>
          </w:tcPr>
          <w:p w14:paraId="54BDA57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0A816BD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129</w:t>
            </w:r>
          </w:p>
        </w:tc>
        <w:tc>
          <w:tcPr>
            <w:tcW w:w="1296" w:type="dxa"/>
            <w:noWrap/>
            <w:hideMark/>
          </w:tcPr>
          <w:p w14:paraId="22131E5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179</w:t>
            </w:r>
          </w:p>
        </w:tc>
      </w:tr>
      <w:tr w:rsidR="00E1733B" w:rsidRPr="007937EB" w14:paraId="64A1B2F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BD30EA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0AE4DB3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08BA33E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125</w:t>
            </w:r>
          </w:p>
        </w:tc>
        <w:tc>
          <w:tcPr>
            <w:tcW w:w="1295" w:type="dxa"/>
            <w:noWrap/>
            <w:hideMark/>
          </w:tcPr>
          <w:p w14:paraId="6A651E5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223</w:t>
            </w:r>
          </w:p>
        </w:tc>
        <w:tc>
          <w:tcPr>
            <w:tcW w:w="1296" w:type="dxa"/>
            <w:noWrap/>
            <w:hideMark/>
          </w:tcPr>
          <w:p w14:paraId="444A0D7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67F3F6A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c>
          <w:tcPr>
            <w:tcW w:w="1296" w:type="dxa"/>
            <w:noWrap/>
            <w:hideMark/>
          </w:tcPr>
          <w:p w14:paraId="154A761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173</w:t>
            </w:r>
          </w:p>
        </w:tc>
      </w:tr>
      <w:tr w:rsidR="00E1733B" w:rsidRPr="007937EB" w14:paraId="21458A4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A5A85D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6DCC7A9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6" w:type="dxa"/>
            <w:noWrap/>
            <w:hideMark/>
          </w:tcPr>
          <w:p w14:paraId="5887E0A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121</w:t>
            </w:r>
          </w:p>
        </w:tc>
        <w:tc>
          <w:tcPr>
            <w:tcW w:w="1295" w:type="dxa"/>
            <w:noWrap/>
            <w:hideMark/>
          </w:tcPr>
          <w:p w14:paraId="6FC1380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223</w:t>
            </w:r>
          </w:p>
        </w:tc>
        <w:tc>
          <w:tcPr>
            <w:tcW w:w="1296" w:type="dxa"/>
            <w:noWrap/>
            <w:hideMark/>
          </w:tcPr>
          <w:p w14:paraId="628E956B"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13070AE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135</w:t>
            </w:r>
          </w:p>
        </w:tc>
        <w:tc>
          <w:tcPr>
            <w:tcW w:w="1296" w:type="dxa"/>
            <w:noWrap/>
            <w:hideMark/>
          </w:tcPr>
          <w:p w14:paraId="103A226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189</w:t>
            </w:r>
          </w:p>
        </w:tc>
      </w:tr>
      <w:tr w:rsidR="00E1733B" w:rsidRPr="007937EB" w14:paraId="545AF313"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3D691A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599D53B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w:t>
            </w:r>
          </w:p>
        </w:tc>
        <w:tc>
          <w:tcPr>
            <w:tcW w:w="1296" w:type="dxa"/>
            <w:noWrap/>
            <w:hideMark/>
          </w:tcPr>
          <w:p w14:paraId="03A1238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c>
          <w:tcPr>
            <w:tcW w:w="1295" w:type="dxa"/>
            <w:noWrap/>
            <w:hideMark/>
          </w:tcPr>
          <w:p w14:paraId="57DC53D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206</w:t>
            </w:r>
          </w:p>
        </w:tc>
        <w:tc>
          <w:tcPr>
            <w:tcW w:w="1296" w:type="dxa"/>
            <w:noWrap/>
            <w:hideMark/>
          </w:tcPr>
          <w:p w14:paraId="3A897DF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47B1D67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c>
          <w:tcPr>
            <w:tcW w:w="1296" w:type="dxa"/>
            <w:noWrap/>
            <w:hideMark/>
          </w:tcPr>
          <w:p w14:paraId="0C7DE23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128</w:t>
            </w:r>
          </w:p>
        </w:tc>
      </w:tr>
      <w:tr w:rsidR="00E1733B" w:rsidRPr="007937EB" w14:paraId="3BA06045"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02BFD1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729A19D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1CDF862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118</w:t>
            </w:r>
          </w:p>
        </w:tc>
        <w:tc>
          <w:tcPr>
            <w:tcW w:w="1295" w:type="dxa"/>
            <w:noWrap/>
            <w:hideMark/>
          </w:tcPr>
          <w:p w14:paraId="4629A59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197</w:t>
            </w:r>
          </w:p>
        </w:tc>
        <w:tc>
          <w:tcPr>
            <w:tcW w:w="1296" w:type="dxa"/>
            <w:noWrap/>
            <w:hideMark/>
          </w:tcPr>
          <w:p w14:paraId="46C2402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2524487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c>
          <w:tcPr>
            <w:tcW w:w="1296" w:type="dxa"/>
            <w:noWrap/>
            <w:hideMark/>
          </w:tcPr>
          <w:p w14:paraId="7BFD332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r>
      <w:tr w:rsidR="00E1733B" w:rsidRPr="007937EB" w14:paraId="56D059AB"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29A0FB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3B59680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6FF87CC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137</w:t>
            </w:r>
          </w:p>
        </w:tc>
        <w:tc>
          <w:tcPr>
            <w:tcW w:w="1295" w:type="dxa"/>
            <w:noWrap/>
            <w:hideMark/>
          </w:tcPr>
          <w:p w14:paraId="2AD7CCE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201</w:t>
            </w:r>
          </w:p>
        </w:tc>
        <w:tc>
          <w:tcPr>
            <w:tcW w:w="1296" w:type="dxa"/>
            <w:noWrap/>
            <w:hideMark/>
          </w:tcPr>
          <w:p w14:paraId="33DBFE3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19B3CD4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124</w:t>
            </w:r>
          </w:p>
        </w:tc>
        <w:tc>
          <w:tcPr>
            <w:tcW w:w="1296" w:type="dxa"/>
            <w:noWrap/>
            <w:hideMark/>
          </w:tcPr>
          <w:p w14:paraId="21D72C6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w:t>
            </w:r>
          </w:p>
        </w:tc>
      </w:tr>
      <w:tr w:rsidR="00E1733B" w:rsidRPr="007937EB" w14:paraId="0D726F20"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20CC99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2020</w:t>
            </w:r>
          </w:p>
        </w:tc>
        <w:tc>
          <w:tcPr>
            <w:tcW w:w="1296" w:type="dxa"/>
            <w:noWrap/>
            <w:hideMark/>
          </w:tcPr>
          <w:p w14:paraId="0F9D8E5B"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A6AE1E5"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6168E7CE"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091ACF8"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FA5657C"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7331326" w14:textId="77777777" w:rsidR="00E1733B" w:rsidRPr="00E636B7" w:rsidRDefault="00E1733B" w:rsidP="00E1733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61DB6B95"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A1DDBB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6681F09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21F6A77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148</w:t>
            </w:r>
          </w:p>
        </w:tc>
        <w:tc>
          <w:tcPr>
            <w:tcW w:w="1295" w:type="dxa"/>
            <w:noWrap/>
            <w:hideMark/>
          </w:tcPr>
          <w:p w14:paraId="0E827FC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221</w:t>
            </w:r>
          </w:p>
        </w:tc>
        <w:tc>
          <w:tcPr>
            <w:tcW w:w="1296" w:type="dxa"/>
            <w:noWrap/>
            <w:hideMark/>
          </w:tcPr>
          <w:p w14:paraId="3F6DCEF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72A8A38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6" w:type="dxa"/>
            <w:noWrap/>
            <w:hideMark/>
          </w:tcPr>
          <w:p w14:paraId="4A956F4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143</w:t>
            </w:r>
          </w:p>
        </w:tc>
      </w:tr>
      <w:tr w:rsidR="00E1733B" w:rsidRPr="007937EB" w14:paraId="0D75E017"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BB1D1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5A575BF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6" w:type="dxa"/>
            <w:noWrap/>
            <w:hideMark/>
          </w:tcPr>
          <w:p w14:paraId="646FC21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129</w:t>
            </w:r>
          </w:p>
        </w:tc>
        <w:tc>
          <w:tcPr>
            <w:tcW w:w="1295" w:type="dxa"/>
            <w:noWrap/>
            <w:hideMark/>
          </w:tcPr>
          <w:p w14:paraId="2E75980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231</w:t>
            </w:r>
          </w:p>
        </w:tc>
        <w:tc>
          <w:tcPr>
            <w:tcW w:w="1296" w:type="dxa"/>
            <w:noWrap/>
            <w:hideMark/>
          </w:tcPr>
          <w:p w14:paraId="70568D7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w:t>
            </w:r>
          </w:p>
        </w:tc>
        <w:tc>
          <w:tcPr>
            <w:tcW w:w="1296" w:type="dxa"/>
            <w:noWrap/>
            <w:hideMark/>
          </w:tcPr>
          <w:p w14:paraId="437F477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c>
          <w:tcPr>
            <w:tcW w:w="1296" w:type="dxa"/>
            <w:noWrap/>
            <w:hideMark/>
          </w:tcPr>
          <w:p w14:paraId="04E62DC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r>
      <w:tr w:rsidR="00E1733B" w:rsidRPr="007937EB" w14:paraId="169D8151"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E2294D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0FB3F43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05AB9C6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132</w:t>
            </w:r>
          </w:p>
        </w:tc>
        <w:tc>
          <w:tcPr>
            <w:tcW w:w="1295" w:type="dxa"/>
            <w:noWrap/>
            <w:hideMark/>
          </w:tcPr>
          <w:p w14:paraId="239BA90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227</w:t>
            </w:r>
          </w:p>
        </w:tc>
        <w:tc>
          <w:tcPr>
            <w:tcW w:w="1296" w:type="dxa"/>
            <w:noWrap/>
            <w:hideMark/>
          </w:tcPr>
          <w:p w14:paraId="25B15A2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1FDD2CE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6" w:type="dxa"/>
            <w:noWrap/>
            <w:hideMark/>
          </w:tcPr>
          <w:p w14:paraId="030FF7A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135</w:t>
            </w:r>
          </w:p>
        </w:tc>
      </w:tr>
      <w:tr w:rsidR="00E1733B" w:rsidRPr="007937EB" w14:paraId="2355C57C"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376AF42"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B2E559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6B972B5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124</w:t>
            </w:r>
          </w:p>
        </w:tc>
        <w:tc>
          <w:tcPr>
            <w:tcW w:w="1295" w:type="dxa"/>
            <w:noWrap/>
            <w:hideMark/>
          </w:tcPr>
          <w:p w14:paraId="2165C72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205</w:t>
            </w:r>
          </w:p>
        </w:tc>
        <w:tc>
          <w:tcPr>
            <w:tcW w:w="1296" w:type="dxa"/>
            <w:noWrap/>
            <w:hideMark/>
          </w:tcPr>
          <w:p w14:paraId="5894E47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630DEB9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281406C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r>
      <w:tr w:rsidR="00E1733B" w:rsidRPr="007937EB" w14:paraId="0C5C90AE"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C85E5D0"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27CE262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c>
          <w:tcPr>
            <w:tcW w:w="1296" w:type="dxa"/>
            <w:noWrap/>
            <w:hideMark/>
          </w:tcPr>
          <w:p w14:paraId="2A9A1B2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158</w:t>
            </w:r>
          </w:p>
        </w:tc>
        <w:tc>
          <w:tcPr>
            <w:tcW w:w="1295" w:type="dxa"/>
            <w:noWrap/>
            <w:hideMark/>
          </w:tcPr>
          <w:p w14:paraId="75108C7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261</w:t>
            </w:r>
          </w:p>
        </w:tc>
        <w:tc>
          <w:tcPr>
            <w:tcW w:w="1296" w:type="dxa"/>
            <w:noWrap/>
            <w:hideMark/>
          </w:tcPr>
          <w:p w14:paraId="16E9C79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27</w:t>
            </w:r>
          </w:p>
        </w:tc>
        <w:tc>
          <w:tcPr>
            <w:tcW w:w="1296" w:type="dxa"/>
            <w:noWrap/>
            <w:hideMark/>
          </w:tcPr>
          <w:p w14:paraId="219B9AC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124</w:t>
            </w:r>
          </w:p>
        </w:tc>
        <w:tc>
          <w:tcPr>
            <w:tcW w:w="1296" w:type="dxa"/>
            <w:noWrap/>
            <w:hideMark/>
          </w:tcPr>
          <w:p w14:paraId="698E1F8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r>
      <w:tr w:rsidR="00E1733B" w:rsidRPr="007937EB" w14:paraId="2CE72450"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62728B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3752F07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c>
          <w:tcPr>
            <w:tcW w:w="1296" w:type="dxa"/>
            <w:noWrap/>
            <w:hideMark/>
          </w:tcPr>
          <w:p w14:paraId="03DEFCB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c>
          <w:tcPr>
            <w:tcW w:w="1295" w:type="dxa"/>
            <w:noWrap/>
            <w:hideMark/>
          </w:tcPr>
          <w:p w14:paraId="1C91ADE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245</w:t>
            </w:r>
          </w:p>
        </w:tc>
        <w:tc>
          <w:tcPr>
            <w:tcW w:w="1296" w:type="dxa"/>
            <w:noWrap/>
            <w:hideMark/>
          </w:tcPr>
          <w:p w14:paraId="1BC9645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181A326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6" w:type="dxa"/>
            <w:noWrap/>
            <w:hideMark/>
          </w:tcPr>
          <w:p w14:paraId="400C24A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158</w:t>
            </w:r>
          </w:p>
        </w:tc>
      </w:tr>
      <w:tr w:rsidR="00E1733B" w:rsidRPr="007937EB" w14:paraId="039B3D67"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A68DE64"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6428672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116</w:t>
            </w:r>
          </w:p>
        </w:tc>
        <w:tc>
          <w:tcPr>
            <w:tcW w:w="1296" w:type="dxa"/>
            <w:noWrap/>
            <w:hideMark/>
          </w:tcPr>
          <w:p w14:paraId="7D0B738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5" w:type="dxa"/>
            <w:noWrap/>
            <w:hideMark/>
          </w:tcPr>
          <w:p w14:paraId="3B5AF84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233</w:t>
            </w:r>
          </w:p>
        </w:tc>
        <w:tc>
          <w:tcPr>
            <w:tcW w:w="1296" w:type="dxa"/>
            <w:noWrap/>
            <w:hideMark/>
          </w:tcPr>
          <w:p w14:paraId="2BF287B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124E4B5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126</w:t>
            </w:r>
          </w:p>
        </w:tc>
        <w:tc>
          <w:tcPr>
            <w:tcW w:w="1296" w:type="dxa"/>
            <w:noWrap/>
            <w:hideMark/>
          </w:tcPr>
          <w:p w14:paraId="60ADB8E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r>
      <w:tr w:rsidR="00E1733B" w:rsidRPr="007937EB" w14:paraId="2C2C1130"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58F56D5"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7030EF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170</w:t>
            </w:r>
          </w:p>
        </w:tc>
        <w:tc>
          <w:tcPr>
            <w:tcW w:w="1296" w:type="dxa"/>
            <w:noWrap/>
            <w:hideMark/>
          </w:tcPr>
          <w:p w14:paraId="6B6298B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295" w:type="dxa"/>
            <w:noWrap/>
            <w:hideMark/>
          </w:tcPr>
          <w:p w14:paraId="40895CA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325</w:t>
            </w:r>
          </w:p>
        </w:tc>
        <w:tc>
          <w:tcPr>
            <w:tcW w:w="1296" w:type="dxa"/>
            <w:noWrap/>
            <w:hideMark/>
          </w:tcPr>
          <w:p w14:paraId="70B53BA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73BF4C1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128</w:t>
            </w:r>
          </w:p>
        </w:tc>
        <w:tc>
          <w:tcPr>
            <w:tcW w:w="1296" w:type="dxa"/>
            <w:noWrap/>
            <w:hideMark/>
          </w:tcPr>
          <w:p w14:paraId="0CD6EC1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r>
      <w:tr w:rsidR="00E1733B" w:rsidRPr="007937EB" w14:paraId="2F93D39C"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19C285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4EC3890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c>
          <w:tcPr>
            <w:tcW w:w="1296" w:type="dxa"/>
            <w:noWrap/>
            <w:hideMark/>
          </w:tcPr>
          <w:p w14:paraId="3E6C0CE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156</w:t>
            </w:r>
          </w:p>
        </w:tc>
        <w:tc>
          <w:tcPr>
            <w:tcW w:w="1295" w:type="dxa"/>
            <w:noWrap/>
            <w:hideMark/>
          </w:tcPr>
          <w:p w14:paraId="523811CC"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287</w:t>
            </w:r>
          </w:p>
        </w:tc>
        <w:tc>
          <w:tcPr>
            <w:tcW w:w="1296" w:type="dxa"/>
            <w:noWrap/>
            <w:hideMark/>
          </w:tcPr>
          <w:p w14:paraId="4C0FA01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w:t>
            </w:r>
          </w:p>
        </w:tc>
        <w:tc>
          <w:tcPr>
            <w:tcW w:w="1296" w:type="dxa"/>
            <w:noWrap/>
            <w:hideMark/>
          </w:tcPr>
          <w:p w14:paraId="0E7C87A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153</w:t>
            </w:r>
          </w:p>
        </w:tc>
        <w:tc>
          <w:tcPr>
            <w:tcW w:w="1296" w:type="dxa"/>
            <w:noWrap/>
            <w:hideMark/>
          </w:tcPr>
          <w:p w14:paraId="5A6D564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182</w:t>
            </w:r>
          </w:p>
        </w:tc>
      </w:tr>
      <w:tr w:rsidR="00E1733B" w:rsidRPr="007937EB" w14:paraId="4DB5B49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529DE2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423BD61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6" w:type="dxa"/>
            <w:noWrap/>
            <w:hideMark/>
          </w:tcPr>
          <w:p w14:paraId="0C90B6A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147</w:t>
            </w:r>
          </w:p>
        </w:tc>
        <w:tc>
          <w:tcPr>
            <w:tcW w:w="1295" w:type="dxa"/>
            <w:noWrap/>
            <w:hideMark/>
          </w:tcPr>
          <w:p w14:paraId="26BBE20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285</w:t>
            </w:r>
          </w:p>
        </w:tc>
        <w:tc>
          <w:tcPr>
            <w:tcW w:w="1296" w:type="dxa"/>
            <w:noWrap/>
            <w:hideMark/>
          </w:tcPr>
          <w:p w14:paraId="10DB440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46CE2C7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129</w:t>
            </w:r>
          </w:p>
        </w:tc>
        <w:tc>
          <w:tcPr>
            <w:tcW w:w="1296" w:type="dxa"/>
            <w:noWrap/>
            <w:hideMark/>
          </w:tcPr>
          <w:p w14:paraId="6E8DB71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r>
      <w:tr w:rsidR="00E1733B" w:rsidRPr="007937EB" w14:paraId="1B28B3D3"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DEBAF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51B8281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144</w:t>
            </w:r>
          </w:p>
        </w:tc>
        <w:tc>
          <w:tcPr>
            <w:tcW w:w="1296" w:type="dxa"/>
            <w:noWrap/>
            <w:hideMark/>
          </w:tcPr>
          <w:p w14:paraId="20E7E72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141</w:t>
            </w:r>
          </w:p>
        </w:tc>
        <w:tc>
          <w:tcPr>
            <w:tcW w:w="1295" w:type="dxa"/>
            <w:noWrap/>
            <w:hideMark/>
          </w:tcPr>
          <w:p w14:paraId="7B9CB93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285</w:t>
            </w:r>
          </w:p>
        </w:tc>
        <w:tc>
          <w:tcPr>
            <w:tcW w:w="1296" w:type="dxa"/>
            <w:noWrap/>
            <w:hideMark/>
          </w:tcPr>
          <w:p w14:paraId="467A1CD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55B238C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6" w:type="dxa"/>
            <w:noWrap/>
            <w:hideMark/>
          </w:tcPr>
          <w:p w14:paraId="313A0D9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157</w:t>
            </w:r>
          </w:p>
        </w:tc>
      </w:tr>
      <w:tr w:rsidR="00E1733B" w:rsidRPr="007937EB" w14:paraId="3E9F004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387683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7CB4DEA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6" w:type="dxa"/>
            <w:noWrap/>
            <w:hideMark/>
          </w:tcPr>
          <w:p w14:paraId="41CF08C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139</w:t>
            </w:r>
          </w:p>
        </w:tc>
        <w:tc>
          <w:tcPr>
            <w:tcW w:w="1295" w:type="dxa"/>
            <w:noWrap/>
            <w:hideMark/>
          </w:tcPr>
          <w:p w14:paraId="3E91BA2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244</w:t>
            </w:r>
          </w:p>
        </w:tc>
        <w:tc>
          <w:tcPr>
            <w:tcW w:w="1296" w:type="dxa"/>
            <w:noWrap/>
            <w:hideMark/>
          </w:tcPr>
          <w:p w14:paraId="779F328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3163108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136</w:t>
            </w:r>
          </w:p>
        </w:tc>
        <w:tc>
          <w:tcPr>
            <w:tcW w:w="1296" w:type="dxa"/>
            <w:noWrap/>
            <w:hideMark/>
          </w:tcPr>
          <w:p w14:paraId="407E0BF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175</w:t>
            </w:r>
          </w:p>
        </w:tc>
      </w:tr>
      <w:tr w:rsidR="00E1733B" w:rsidRPr="007937EB" w14:paraId="724F945F"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4DA073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2021</w:t>
            </w:r>
          </w:p>
        </w:tc>
        <w:tc>
          <w:tcPr>
            <w:tcW w:w="1296" w:type="dxa"/>
            <w:noWrap/>
            <w:hideMark/>
          </w:tcPr>
          <w:p w14:paraId="6B54CDDB"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F6A3FF9"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1A24FF36"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85F8699"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3BB561A"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4E2F7F6" w14:textId="77777777" w:rsidR="00E1733B" w:rsidRPr="00E636B7" w:rsidRDefault="00E1733B" w:rsidP="00E1733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E1733B" w:rsidRPr="007937EB" w14:paraId="0C1AD0AD"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1FBF1F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697DF7C7"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20977AE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5" w:type="dxa"/>
            <w:noWrap/>
            <w:hideMark/>
          </w:tcPr>
          <w:p w14:paraId="6E5332E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245</w:t>
            </w:r>
          </w:p>
        </w:tc>
        <w:tc>
          <w:tcPr>
            <w:tcW w:w="1296" w:type="dxa"/>
            <w:noWrap/>
            <w:hideMark/>
          </w:tcPr>
          <w:p w14:paraId="08D3D3B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416D84D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123</w:t>
            </w:r>
          </w:p>
        </w:tc>
        <w:tc>
          <w:tcPr>
            <w:tcW w:w="1296" w:type="dxa"/>
            <w:noWrap/>
            <w:hideMark/>
          </w:tcPr>
          <w:p w14:paraId="218F28B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141</w:t>
            </w:r>
          </w:p>
        </w:tc>
      </w:tr>
      <w:tr w:rsidR="00E1733B" w:rsidRPr="007937EB" w14:paraId="647A0FD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BC4338B"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30FA4C44"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145</w:t>
            </w:r>
          </w:p>
        </w:tc>
        <w:tc>
          <w:tcPr>
            <w:tcW w:w="1296" w:type="dxa"/>
            <w:noWrap/>
            <w:hideMark/>
          </w:tcPr>
          <w:p w14:paraId="0D4C8E6B"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152</w:t>
            </w:r>
          </w:p>
        </w:tc>
        <w:tc>
          <w:tcPr>
            <w:tcW w:w="1295" w:type="dxa"/>
            <w:noWrap/>
            <w:hideMark/>
          </w:tcPr>
          <w:p w14:paraId="4D005DC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297</w:t>
            </w:r>
          </w:p>
        </w:tc>
        <w:tc>
          <w:tcPr>
            <w:tcW w:w="1296" w:type="dxa"/>
            <w:noWrap/>
            <w:hideMark/>
          </w:tcPr>
          <w:p w14:paraId="221BBE3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1D5D330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114</w:t>
            </w:r>
          </w:p>
        </w:tc>
        <w:tc>
          <w:tcPr>
            <w:tcW w:w="1296" w:type="dxa"/>
            <w:noWrap/>
            <w:hideMark/>
          </w:tcPr>
          <w:p w14:paraId="1B7B4E5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r>
      <w:tr w:rsidR="00E1733B" w:rsidRPr="007937EB" w14:paraId="739640B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BD8A16"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37673A9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179</w:t>
            </w:r>
          </w:p>
        </w:tc>
        <w:tc>
          <w:tcPr>
            <w:tcW w:w="1296" w:type="dxa"/>
            <w:noWrap/>
            <w:hideMark/>
          </w:tcPr>
          <w:p w14:paraId="0E3EBEF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c>
          <w:tcPr>
            <w:tcW w:w="1295" w:type="dxa"/>
            <w:noWrap/>
            <w:hideMark/>
          </w:tcPr>
          <w:p w14:paraId="182FFD7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338</w:t>
            </w:r>
          </w:p>
        </w:tc>
        <w:tc>
          <w:tcPr>
            <w:tcW w:w="1296" w:type="dxa"/>
            <w:noWrap/>
            <w:hideMark/>
          </w:tcPr>
          <w:p w14:paraId="041B96E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3177BE48"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1296" w:type="dxa"/>
            <w:noWrap/>
            <w:hideMark/>
          </w:tcPr>
          <w:p w14:paraId="59CB9EC1"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168</w:t>
            </w:r>
          </w:p>
        </w:tc>
      </w:tr>
      <w:tr w:rsidR="00E1733B" w:rsidRPr="007937EB" w14:paraId="7FFFAF2D"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63D3D7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566CC73D"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153</w:t>
            </w:r>
          </w:p>
        </w:tc>
        <w:tc>
          <w:tcPr>
            <w:tcW w:w="1296" w:type="dxa"/>
            <w:noWrap/>
            <w:hideMark/>
          </w:tcPr>
          <w:p w14:paraId="26245F6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151</w:t>
            </w:r>
          </w:p>
        </w:tc>
        <w:tc>
          <w:tcPr>
            <w:tcW w:w="1295" w:type="dxa"/>
            <w:noWrap/>
            <w:hideMark/>
          </w:tcPr>
          <w:p w14:paraId="5C6CD00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304</w:t>
            </w:r>
          </w:p>
        </w:tc>
        <w:tc>
          <w:tcPr>
            <w:tcW w:w="1296" w:type="dxa"/>
            <w:noWrap/>
            <w:hideMark/>
          </w:tcPr>
          <w:p w14:paraId="55748B2E"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730C553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c>
          <w:tcPr>
            <w:tcW w:w="1296" w:type="dxa"/>
            <w:noWrap/>
            <w:hideMark/>
          </w:tcPr>
          <w:p w14:paraId="3B2E730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170</w:t>
            </w:r>
          </w:p>
        </w:tc>
      </w:tr>
      <w:tr w:rsidR="00E1733B" w:rsidRPr="007937EB" w14:paraId="0C128A8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EF0572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54CF65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194</w:t>
            </w:r>
          </w:p>
        </w:tc>
        <w:tc>
          <w:tcPr>
            <w:tcW w:w="1296" w:type="dxa"/>
            <w:noWrap/>
            <w:hideMark/>
          </w:tcPr>
          <w:p w14:paraId="6493731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120</w:t>
            </w:r>
          </w:p>
        </w:tc>
        <w:tc>
          <w:tcPr>
            <w:tcW w:w="1295" w:type="dxa"/>
            <w:noWrap/>
            <w:hideMark/>
          </w:tcPr>
          <w:p w14:paraId="07B44E5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314</w:t>
            </w:r>
          </w:p>
        </w:tc>
        <w:tc>
          <w:tcPr>
            <w:tcW w:w="1296" w:type="dxa"/>
            <w:noWrap/>
            <w:hideMark/>
          </w:tcPr>
          <w:p w14:paraId="2B2E56E5"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2BC8494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6" w:type="dxa"/>
            <w:noWrap/>
            <w:hideMark/>
          </w:tcPr>
          <w:p w14:paraId="3DAF606A"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168</w:t>
            </w:r>
          </w:p>
        </w:tc>
      </w:tr>
      <w:tr w:rsidR="00E1733B" w:rsidRPr="007937EB" w14:paraId="427F3B40"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E58B2C9"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6BCF91C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177</w:t>
            </w:r>
          </w:p>
        </w:tc>
        <w:tc>
          <w:tcPr>
            <w:tcW w:w="1296" w:type="dxa"/>
            <w:noWrap/>
            <w:hideMark/>
          </w:tcPr>
          <w:p w14:paraId="1518411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134</w:t>
            </w:r>
          </w:p>
        </w:tc>
        <w:tc>
          <w:tcPr>
            <w:tcW w:w="1295" w:type="dxa"/>
            <w:noWrap/>
            <w:hideMark/>
          </w:tcPr>
          <w:p w14:paraId="5E8588A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311</w:t>
            </w:r>
          </w:p>
        </w:tc>
        <w:tc>
          <w:tcPr>
            <w:tcW w:w="1296" w:type="dxa"/>
            <w:noWrap/>
            <w:hideMark/>
          </w:tcPr>
          <w:p w14:paraId="43D99B68"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0E2BCBF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131</w:t>
            </w:r>
          </w:p>
        </w:tc>
        <w:tc>
          <w:tcPr>
            <w:tcW w:w="1296" w:type="dxa"/>
            <w:noWrap/>
            <w:hideMark/>
          </w:tcPr>
          <w:p w14:paraId="413C546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165</w:t>
            </w:r>
          </w:p>
        </w:tc>
      </w:tr>
      <w:tr w:rsidR="00E1733B" w:rsidRPr="007937EB" w14:paraId="4BA42A04"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610F0CD"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72F2A72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164</w:t>
            </w:r>
          </w:p>
        </w:tc>
        <w:tc>
          <w:tcPr>
            <w:tcW w:w="1296" w:type="dxa"/>
            <w:noWrap/>
            <w:hideMark/>
          </w:tcPr>
          <w:p w14:paraId="6204B78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155</w:t>
            </w:r>
          </w:p>
        </w:tc>
        <w:tc>
          <w:tcPr>
            <w:tcW w:w="1295" w:type="dxa"/>
            <w:noWrap/>
            <w:hideMark/>
          </w:tcPr>
          <w:p w14:paraId="6A02714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319</w:t>
            </w:r>
          </w:p>
        </w:tc>
        <w:tc>
          <w:tcPr>
            <w:tcW w:w="1296" w:type="dxa"/>
            <w:noWrap/>
            <w:hideMark/>
          </w:tcPr>
          <w:p w14:paraId="7AC01DC2"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3742966F"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1091FD04"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140</w:t>
            </w:r>
          </w:p>
        </w:tc>
      </w:tr>
      <w:tr w:rsidR="00E1733B" w:rsidRPr="007937EB" w14:paraId="0EA94B11"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3ECB1B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5A69D62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181</w:t>
            </w:r>
          </w:p>
        </w:tc>
        <w:tc>
          <w:tcPr>
            <w:tcW w:w="1296" w:type="dxa"/>
            <w:noWrap/>
            <w:hideMark/>
          </w:tcPr>
          <w:p w14:paraId="2948692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115</w:t>
            </w:r>
          </w:p>
        </w:tc>
        <w:tc>
          <w:tcPr>
            <w:tcW w:w="1295" w:type="dxa"/>
            <w:noWrap/>
            <w:hideMark/>
          </w:tcPr>
          <w:p w14:paraId="59F7141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296</w:t>
            </w:r>
          </w:p>
        </w:tc>
        <w:tc>
          <w:tcPr>
            <w:tcW w:w="1296" w:type="dxa"/>
            <w:noWrap/>
            <w:hideMark/>
          </w:tcPr>
          <w:p w14:paraId="76C9EFFF"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3C08F456"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122</w:t>
            </w:r>
          </w:p>
        </w:tc>
        <w:tc>
          <w:tcPr>
            <w:tcW w:w="1296" w:type="dxa"/>
            <w:noWrap/>
            <w:hideMark/>
          </w:tcPr>
          <w:p w14:paraId="3E9253E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161</w:t>
            </w:r>
          </w:p>
        </w:tc>
      </w:tr>
      <w:tr w:rsidR="00E1733B" w:rsidRPr="007937EB" w14:paraId="26C6A056"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FB17A9C"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26B96553"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138</w:t>
            </w:r>
          </w:p>
        </w:tc>
        <w:tc>
          <w:tcPr>
            <w:tcW w:w="1296" w:type="dxa"/>
            <w:noWrap/>
            <w:hideMark/>
          </w:tcPr>
          <w:p w14:paraId="3170F2E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139</w:t>
            </w:r>
          </w:p>
        </w:tc>
        <w:tc>
          <w:tcPr>
            <w:tcW w:w="1295" w:type="dxa"/>
            <w:noWrap/>
            <w:hideMark/>
          </w:tcPr>
          <w:p w14:paraId="552341E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277</w:t>
            </w:r>
          </w:p>
        </w:tc>
        <w:tc>
          <w:tcPr>
            <w:tcW w:w="1296" w:type="dxa"/>
            <w:noWrap/>
            <w:hideMark/>
          </w:tcPr>
          <w:p w14:paraId="44A4781D"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74A0BCA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55728E36"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132</w:t>
            </w:r>
          </w:p>
        </w:tc>
      </w:tr>
      <w:tr w:rsidR="00E1733B" w:rsidRPr="007937EB" w14:paraId="2E57B1E3"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D01BA3E"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36529C7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176</w:t>
            </w:r>
          </w:p>
        </w:tc>
        <w:tc>
          <w:tcPr>
            <w:tcW w:w="1296" w:type="dxa"/>
            <w:noWrap/>
            <w:hideMark/>
          </w:tcPr>
          <w:p w14:paraId="1A484C3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157</w:t>
            </w:r>
          </w:p>
        </w:tc>
        <w:tc>
          <w:tcPr>
            <w:tcW w:w="1295" w:type="dxa"/>
            <w:noWrap/>
            <w:hideMark/>
          </w:tcPr>
          <w:p w14:paraId="62A046B9"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333</w:t>
            </w:r>
          </w:p>
        </w:tc>
        <w:tc>
          <w:tcPr>
            <w:tcW w:w="1296" w:type="dxa"/>
            <w:noWrap/>
            <w:hideMark/>
          </w:tcPr>
          <w:p w14:paraId="39C60D4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7DF785F3"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113</w:t>
            </w:r>
          </w:p>
        </w:tc>
        <w:tc>
          <w:tcPr>
            <w:tcW w:w="1296" w:type="dxa"/>
            <w:noWrap/>
            <w:hideMark/>
          </w:tcPr>
          <w:p w14:paraId="1BDAA77A"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135</w:t>
            </w:r>
          </w:p>
        </w:tc>
      </w:tr>
      <w:tr w:rsidR="00E1733B" w:rsidRPr="007937EB" w14:paraId="0534519A" w14:textId="77777777" w:rsidTr="00CC410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5501EA3"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1DB456D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159</w:t>
            </w:r>
          </w:p>
        </w:tc>
        <w:tc>
          <w:tcPr>
            <w:tcW w:w="1296" w:type="dxa"/>
            <w:noWrap/>
            <w:hideMark/>
          </w:tcPr>
          <w:p w14:paraId="2A753BAC"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130</w:t>
            </w:r>
          </w:p>
        </w:tc>
        <w:tc>
          <w:tcPr>
            <w:tcW w:w="1295" w:type="dxa"/>
            <w:noWrap/>
            <w:hideMark/>
          </w:tcPr>
          <w:p w14:paraId="6E7EF1B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289</w:t>
            </w:r>
          </w:p>
        </w:tc>
        <w:tc>
          <w:tcPr>
            <w:tcW w:w="1296" w:type="dxa"/>
            <w:noWrap/>
            <w:hideMark/>
          </w:tcPr>
          <w:p w14:paraId="170C47E9"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4D2F794E"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114</w:t>
            </w:r>
          </w:p>
        </w:tc>
        <w:tc>
          <w:tcPr>
            <w:tcW w:w="1296" w:type="dxa"/>
            <w:noWrap/>
            <w:hideMark/>
          </w:tcPr>
          <w:p w14:paraId="314D8000" w14:textId="77777777" w:rsidR="00E1733B" w:rsidRPr="00E636B7" w:rsidRDefault="00E1733B" w:rsidP="00E1733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160</w:t>
            </w:r>
          </w:p>
        </w:tc>
      </w:tr>
      <w:tr w:rsidR="00E1733B" w:rsidRPr="007937EB" w14:paraId="2C98EEE1" w14:textId="77777777" w:rsidTr="00CC4109">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32B2D01" w14:textId="77777777" w:rsidR="00E1733B" w:rsidRPr="00E636B7" w:rsidRDefault="00E1733B" w:rsidP="00E1733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6A6A51B5"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c>
          <w:tcPr>
            <w:tcW w:w="1296" w:type="dxa"/>
            <w:noWrap/>
            <w:hideMark/>
          </w:tcPr>
          <w:p w14:paraId="0BCD7E8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133</w:t>
            </w:r>
          </w:p>
        </w:tc>
        <w:tc>
          <w:tcPr>
            <w:tcW w:w="1295" w:type="dxa"/>
            <w:noWrap/>
            <w:hideMark/>
          </w:tcPr>
          <w:p w14:paraId="657A9DA2"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252</w:t>
            </w:r>
          </w:p>
        </w:tc>
        <w:tc>
          <w:tcPr>
            <w:tcW w:w="1296" w:type="dxa"/>
            <w:noWrap/>
            <w:hideMark/>
          </w:tcPr>
          <w:p w14:paraId="2BFE4557"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w:t>
            </w:r>
          </w:p>
        </w:tc>
        <w:tc>
          <w:tcPr>
            <w:tcW w:w="1296" w:type="dxa"/>
            <w:noWrap/>
            <w:hideMark/>
          </w:tcPr>
          <w:p w14:paraId="54B6ED40"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111</w:t>
            </w:r>
          </w:p>
        </w:tc>
        <w:tc>
          <w:tcPr>
            <w:tcW w:w="1296" w:type="dxa"/>
            <w:noWrap/>
            <w:hideMark/>
          </w:tcPr>
          <w:p w14:paraId="08B89781" w14:textId="77777777" w:rsidR="00E1733B" w:rsidRPr="00E636B7" w:rsidRDefault="00E1733B" w:rsidP="00E1733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136</w:t>
            </w:r>
          </w:p>
        </w:tc>
      </w:tr>
    </w:tbl>
    <w:p w14:paraId="78D2274A" w14:textId="77777777" w:rsidR="007937EB" w:rsidRPr="007937EB" w:rsidRDefault="007937EB" w:rsidP="007937EB">
      <w:pPr>
        <w:rPr>
          <w:rFonts w:asciiTheme="minorHAnsi" w:hAnsiTheme="minorHAnsi"/>
          <w:sz w:val="22"/>
          <w:lang w:val="en-US"/>
        </w:rPr>
      </w:pPr>
    </w:p>
    <w:p w14:paraId="313A3473" w14:textId="77777777" w:rsidR="007937EB" w:rsidRPr="007937EB" w:rsidRDefault="007937EB" w:rsidP="00596E66">
      <w:pPr>
        <w:pStyle w:val="Heading5"/>
        <w:rPr>
          <w:lang w:val="en-US"/>
        </w:rPr>
      </w:pPr>
      <w:r w:rsidRPr="007937EB">
        <w:rPr>
          <w:lang w:val="en-US"/>
        </w:rPr>
        <w:t>Combination product by intent</w:t>
      </w:r>
    </w:p>
    <w:tbl>
      <w:tblPr>
        <w:tblStyle w:val="ListTable2"/>
        <w:tblW w:w="5000" w:type="pct"/>
        <w:tblLayout w:type="fixed"/>
        <w:tblLook w:val="04A0" w:firstRow="1" w:lastRow="0" w:firstColumn="1" w:lastColumn="0" w:noHBand="0" w:noVBand="1"/>
      </w:tblPr>
      <w:tblGrid>
        <w:gridCol w:w="1295"/>
        <w:gridCol w:w="1296"/>
        <w:gridCol w:w="1296"/>
        <w:gridCol w:w="1295"/>
        <w:gridCol w:w="1296"/>
        <w:gridCol w:w="1296"/>
        <w:gridCol w:w="1296"/>
      </w:tblGrid>
      <w:tr w:rsidR="007937EB" w:rsidRPr="007937EB" w14:paraId="16619BDF" w14:textId="77777777" w:rsidTr="009A5C7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0FAEF47" w14:textId="77777777" w:rsidR="007937EB" w:rsidRPr="00E636B7" w:rsidRDefault="007937EB" w:rsidP="009A5C78">
            <w:pPr>
              <w:jc w:val="right"/>
              <w:rPr>
                <w:rFonts w:eastAsia="Times New Roman" w:cs="Times New Roman"/>
                <w:color w:val="000000"/>
                <w:sz w:val="20"/>
                <w:szCs w:val="20"/>
                <w:lang w:eastAsia="en-AU"/>
              </w:rPr>
            </w:pPr>
            <w:r w:rsidRPr="00E636B7">
              <w:rPr>
                <w:rFonts w:eastAsia="Times New Roman" w:cs="Times New Roman"/>
                <w:color w:val="000000"/>
                <w:sz w:val="20"/>
                <w:szCs w:val="20"/>
                <w:lang w:eastAsia="en-AU"/>
              </w:rPr>
              <w:t>2011</w:t>
            </w:r>
          </w:p>
        </w:tc>
        <w:tc>
          <w:tcPr>
            <w:tcW w:w="1296" w:type="dxa"/>
            <w:noWrap/>
            <w:hideMark/>
          </w:tcPr>
          <w:p w14:paraId="55BA45EB"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5--19</w:t>
            </w:r>
          </w:p>
        </w:tc>
        <w:tc>
          <w:tcPr>
            <w:tcW w:w="1296" w:type="dxa"/>
            <w:noWrap/>
            <w:hideMark/>
          </w:tcPr>
          <w:p w14:paraId="66191B04"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Others</w:t>
            </w:r>
          </w:p>
        </w:tc>
        <w:tc>
          <w:tcPr>
            <w:tcW w:w="1295" w:type="dxa"/>
            <w:noWrap/>
            <w:hideMark/>
          </w:tcPr>
          <w:p w14:paraId="6C2E4FB4"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 xml:space="preserve">All combination intentional </w:t>
            </w:r>
          </w:p>
        </w:tc>
        <w:tc>
          <w:tcPr>
            <w:tcW w:w="1296" w:type="dxa"/>
            <w:noWrap/>
            <w:hideMark/>
          </w:tcPr>
          <w:p w14:paraId="47B491C5"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5--19</w:t>
            </w:r>
          </w:p>
        </w:tc>
        <w:tc>
          <w:tcPr>
            <w:tcW w:w="1296" w:type="dxa"/>
            <w:noWrap/>
            <w:hideMark/>
          </w:tcPr>
          <w:p w14:paraId="75490343"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Others</w:t>
            </w:r>
          </w:p>
        </w:tc>
        <w:tc>
          <w:tcPr>
            <w:tcW w:w="1296" w:type="dxa"/>
            <w:noWrap/>
            <w:hideMark/>
          </w:tcPr>
          <w:p w14:paraId="0D0F133C" w14:textId="77777777" w:rsidR="007937EB" w:rsidRPr="00E636B7"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 xml:space="preserve">All combination accidental </w:t>
            </w:r>
          </w:p>
        </w:tc>
      </w:tr>
      <w:tr w:rsidR="007937EB" w:rsidRPr="007937EB" w14:paraId="58F3FEF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A580E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1D4EA49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6D0CEEB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242E2B8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1A49E16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1F58AE5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28261B5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r>
      <w:tr w:rsidR="007937EB" w:rsidRPr="007937EB" w14:paraId="6E471797"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886D0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43CC24C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09AAA6D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5" w:type="dxa"/>
            <w:noWrap/>
            <w:hideMark/>
          </w:tcPr>
          <w:p w14:paraId="72CFCF8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2958B80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4B98732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3286891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1F9DD763"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860F7F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7B14843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5D21C7A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73F5A4E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31C39A6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3806C6F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770BED5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35CE5260"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55CB94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513C70C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16BF143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5" w:type="dxa"/>
            <w:noWrap/>
            <w:hideMark/>
          </w:tcPr>
          <w:p w14:paraId="3B76D22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5869E68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71BDD59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1AB8923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r>
      <w:tr w:rsidR="007937EB" w:rsidRPr="007937EB" w14:paraId="0FAB36B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73AF32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B8F2DE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7EE0F81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5" w:type="dxa"/>
            <w:noWrap/>
            <w:hideMark/>
          </w:tcPr>
          <w:p w14:paraId="179A904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1F9CD7D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5F1239B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593CE1B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r>
      <w:tr w:rsidR="007937EB" w:rsidRPr="007937EB" w14:paraId="1A8650DF"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65DF3A7"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4D590ED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6C9BC27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5" w:type="dxa"/>
            <w:noWrap/>
            <w:hideMark/>
          </w:tcPr>
          <w:p w14:paraId="2E7F75E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6ADB7E6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018E156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42D9044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1111AD96"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DD92C9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7F91665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080EFEC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424FF6F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10C2858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w:t>
            </w:r>
          </w:p>
        </w:tc>
        <w:tc>
          <w:tcPr>
            <w:tcW w:w="1296" w:type="dxa"/>
            <w:noWrap/>
            <w:hideMark/>
          </w:tcPr>
          <w:p w14:paraId="1189421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59B85E9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r>
      <w:tr w:rsidR="007937EB" w:rsidRPr="007937EB" w14:paraId="1C69AC81"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E3D0817"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366C47D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730C520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3AB3B15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1AA7CF9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32D3C46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012250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r>
      <w:tr w:rsidR="007937EB" w:rsidRPr="007937EB" w14:paraId="3C7FF38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D0B9D8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61A6AF5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2A0E79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01E18BB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44B88DC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772386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28E035E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r>
      <w:tr w:rsidR="007937EB" w:rsidRPr="007937EB" w14:paraId="553A0A8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3AF108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3E1A26F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0C55D1B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535AEFE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62B196D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1F51CA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6" w:type="dxa"/>
            <w:noWrap/>
            <w:hideMark/>
          </w:tcPr>
          <w:p w14:paraId="435955B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r>
      <w:tr w:rsidR="007937EB" w:rsidRPr="007937EB" w14:paraId="0383B04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EB3782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3614203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3D25C25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5" w:type="dxa"/>
            <w:noWrap/>
            <w:hideMark/>
          </w:tcPr>
          <w:p w14:paraId="6C9D58F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6B6A37D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64ED441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7D5A127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r>
      <w:tr w:rsidR="007937EB" w:rsidRPr="007937EB" w14:paraId="713EE0BF"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E0E8B9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3F0E7DC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29FCAF7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5" w:type="dxa"/>
            <w:noWrap/>
            <w:hideMark/>
          </w:tcPr>
          <w:p w14:paraId="5DE5009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3555555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25B796F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0F27499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r>
      <w:tr w:rsidR="007937EB" w:rsidRPr="007937EB" w14:paraId="6E7FC90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440F6C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2012</w:t>
            </w:r>
          </w:p>
        </w:tc>
        <w:tc>
          <w:tcPr>
            <w:tcW w:w="1296" w:type="dxa"/>
            <w:noWrap/>
            <w:hideMark/>
          </w:tcPr>
          <w:p w14:paraId="1B46E4DE"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9C6C635"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29AEA384"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BC3C4A3"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05B7836"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01F5EAD"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1ED157A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74FAB2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06666F4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22C6FA4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5" w:type="dxa"/>
            <w:noWrap/>
            <w:hideMark/>
          </w:tcPr>
          <w:p w14:paraId="467BBA8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13AF8CE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0BC8AA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6C1FE64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r>
      <w:tr w:rsidR="007937EB" w:rsidRPr="007937EB" w14:paraId="66B24BD8"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01C8E3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42899B9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3421E89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5" w:type="dxa"/>
            <w:noWrap/>
            <w:hideMark/>
          </w:tcPr>
          <w:p w14:paraId="13E587D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6798C41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6AA71AF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27C25E8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r>
      <w:tr w:rsidR="007937EB" w:rsidRPr="007937EB" w14:paraId="1C5C756B"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1148AA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C17820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CE344B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5" w:type="dxa"/>
            <w:noWrap/>
            <w:hideMark/>
          </w:tcPr>
          <w:p w14:paraId="15CF1C8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45866C4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0F444E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4603D70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r>
      <w:tr w:rsidR="007937EB" w:rsidRPr="007937EB" w14:paraId="50EB649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2114FD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0D31511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37FF97B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5" w:type="dxa"/>
            <w:noWrap/>
            <w:hideMark/>
          </w:tcPr>
          <w:p w14:paraId="636D586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74E5FF7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3687AA4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w:t>
            </w:r>
          </w:p>
        </w:tc>
        <w:tc>
          <w:tcPr>
            <w:tcW w:w="1296" w:type="dxa"/>
            <w:noWrap/>
            <w:hideMark/>
          </w:tcPr>
          <w:p w14:paraId="0D9CBC2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r>
      <w:tr w:rsidR="007937EB" w:rsidRPr="007937EB" w14:paraId="7E6D9AB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17E935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1FE7BAC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17F4A76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1FC5F43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0837338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48C1AA4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6" w:type="dxa"/>
            <w:noWrap/>
            <w:hideMark/>
          </w:tcPr>
          <w:p w14:paraId="48AF0C0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r>
      <w:tr w:rsidR="007937EB" w:rsidRPr="007937EB" w14:paraId="1E4E1BA3"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DD582C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1307B2F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296A567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5" w:type="dxa"/>
            <w:noWrap/>
            <w:hideMark/>
          </w:tcPr>
          <w:p w14:paraId="6F8338A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1820D4A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3E89F17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4D00446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37068A3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586F05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14C009D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264524D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5" w:type="dxa"/>
            <w:noWrap/>
            <w:hideMark/>
          </w:tcPr>
          <w:p w14:paraId="45A403E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4035C78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6A34320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c>
          <w:tcPr>
            <w:tcW w:w="1296" w:type="dxa"/>
            <w:noWrap/>
            <w:hideMark/>
          </w:tcPr>
          <w:p w14:paraId="6F7001E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33A109B3"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0F1EF0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2C6A864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0DAD286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5" w:type="dxa"/>
            <w:noWrap/>
            <w:hideMark/>
          </w:tcPr>
          <w:p w14:paraId="46F2F6F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71FA3B5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27C4A8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3E75433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r>
      <w:tr w:rsidR="007937EB" w:rsidRPr="007937EB" w14:paraId="78743E2D"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3FDD4A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7BD395C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7F2508D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5" w:type="dxa"/>
            <w:noWrap/>
            <w:hideMark/>
          </w:tcPr>
          <w:p w14:paraId="4AD035E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6" w:type="dxa"/>
            <w:noWrap/>
            <w:hideMark/>
          </w:tcPr>
          <w:p w14:paraId="30B1DCF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327743C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247004C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43</w:t>
            </w:r>
          </w:p>
        </w:tc>
      </w:tr>
      <w:tr w:rsidR="007937EB" w:rsidRPr="007937EB" w14:paraId="189A5EE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E82362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0464BFC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281EED7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4587FD5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0D0DCA2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6511A0D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70556F4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r>
      <w:tr w:rsidR="007937EB" w:rsidRPr="007937EB" w14:paraId="01F7B621"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5372CE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60C2EFE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317AB4D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5" w:type="dxa"/>
            <w:noWrap/>
            <w:hideMark/>
          </w:tcPr>
          <w:p w14:paraId="4B790F0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6" w:type="dxa"/>
            <w:noWrap/>
            <w:hideMark/>
          </w:tcPr>
          <w:p w14:paraId="7E422E5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4BF9E08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4C26A79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r>
      <w:tr w:rsidR="007937EB" w:rsidRPr="007937EB" w14:paraId="55649CF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712CFE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47BEA87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7850A12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48437EE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6067679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w:t>
            </w:r>
          </w:p>
        </w:tc>
        <w:tc>
          <w:tcPr>
            <w:tcW w:w="1296" w:type="dxa"/>
            <w:noWrap/>
            <w:hideMark/>
          </w:tcPr>
          <w:p w14:paraId="79FEBEC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CE918A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r>
      <w:tr w:rsidR="007937EB" w:rsidRPr="007937EB" w14:paraId="3AED976F"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FE6435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2013</w:t>
            </w:r>
          </w:p>
        </w:tc>
        <w:tc>
          <w:tcPr>
            <w:tcW w:w="1296" w:type="dxa"/>
            <w:noWrap/>
            <w:hideMark/>
          </w:tcPr>
          <w:p w14:paraId="0FB310E4"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39BC6F4"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6A2C6D75"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5701425"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7C1A5D5"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B03C6C7"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1AD3E6DF"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7D760A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2CA4C78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488686F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5" w:type="dxa"/>
            <w:noWrap/>
            <w:hideMark/>
          </w:tcPr>
          <w:p w14:paraId="6BF4892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1F3F35D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5701B02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76CFBEB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r>
      <w:tr w:rsidR="007937EB" w:rsidRPr="007937EB" w14:paraId="5E1B5E3B"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4CA6A4"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6DA1D32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742F008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5" w:type="dxa"/>
            <w:noWrap/>
            <w:hideMark/>
          </w:tcPr>
          <w:p w14:paraId="4A34D24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6774ACE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021A57C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47A69E8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r>
      <w:tr w:rsidR="007937EB" w:rsidRPr="007937EB" w14:paraId="11F7C5C8"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AFAE41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60CF3F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19F8FC2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7FEDB2A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5CEB14F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418F59F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337B083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6EF86D5B"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96B574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560045E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6386026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5" w:type="dxa"/>
            <w:noWrap/>
            <w:hideMark/>
          </w:tcPr>
          <w:p w14:paraId="2717540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44FF813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190DBBD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6" w:type="dxa"/>
            <w:noWrap/>
            <w:hideMark/>
          </w:tcPr>
          <w:p w14:paraId="3EEB967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r>
      <w:tr w:rsidR="007937EB" w:rsidRPr="007937EB" w14:paraId="220ECB9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B882E4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426320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6FD6FAE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25652AF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352F247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6C96F36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760467C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r>
      <w:tr w:rsidR="007937EB" w:rsidRPr="007937EB" w14:paraId="5A1F36E6"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CA40DA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2CADB9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1FA5116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1A9A003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2106859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123EA16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07C2E03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r>
      <w:tr w:rsidR="007937EB" w:rsidRPr="007937EB" w14:paraId="7C6E7EF7"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A8A0ED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1D69110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62BFCE6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5" w:type="dxa"/>
            <w:noWrap/>
            <w:hideMark/>
          </w:tcPr>
          <w:p w14:paraId="735E257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7DD08DE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44E126B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0C9648A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2A69BCB5"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609C86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305B2A2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346D269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5" w:type="dxa"/>
            <w:noWrap/>
            <w:hideMark/>
          </w:tcPr>
          <w:p w14:paraId="5A6E0B1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4AACD0A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62CD08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6ECC306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4ED43864"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57924C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0384A28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125C3D1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5" w:type="dxa"/>
            <w:noWrap/>
            <w:hideMark/>
          </w:tcPr>
          <w:p w14:paraId="77A11EC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7B25CC2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741689C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1FB0706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r>
      <w:tr w:rsidR="007937EB" w:rsidRPr="007937EB" w14:paraId="732DE603"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E84378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7153492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23293FF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5" w:type="dxa"/>
            <w:noWrap/>
            <w:hideMark/>
          </w:tcPr>
          <w:p w14:paraId="0087E3F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784035A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5257C5E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0C4FF9C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r>
      <w:tr w:rsidR="007937EB" w:rsidRPr="007937EB" w14:paraId="5198CC7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2DDED1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56DC4EE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5CCC212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5" w:type="dxa"/>
            <w:noWrap/>
            <w:hideMark/>
          </w:tcPr>
          <w:p w14:paraId="1E20AD3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66A1B48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6496821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33</w:t>
            </w:r>
          </w:p>
        </w:tc>
        <w:tc>
          <w:tcPr>
            <w:tcW w:w="1296" w:type="dxa"/>
            <w:noWrap/>
            <w:hideMark/>
          </w:tcPr>
          <w:p w14:paraId="7D08B1C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r>
      <w:tr w:rsidR="007937EB" w:rsidRPr="007937EB" w14:paraId="2FDB560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DE92C2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25509B9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206E5A7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4491097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0B25786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378883D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0B35F3E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r>
      <w:tr w:rsidR="007937EB" w:rsidRPr="007937EB" w14:paraId="124366BB"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C80850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2014</w:t>
            </w:r>
          </w:p>
        </w:tc>
        <w:tc>
          <w:tcPr>
            <w:tcW w:w="1296" w:type="dxa"/>
            <w:noWrap/>
            <w:hideMark/>
          </w:tcPr>
          <w:p w14:paraId="397CAE72"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F3D0EC5"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646CA715"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752B2DC"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AA480C7"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3ED50DA"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0729580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EC8DBD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3AA7958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4A1F8F7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5" w:type="dxa"/>
            <w:noWrap/>
            <w:hideMark/>
          </w:tcPr>
          <w:p w14:paraId="37CFB00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35A006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571906A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7621BBA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5E7E8FA3"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822D457"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4B38F89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63A6147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756C285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51548F4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3408C85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6" w:type="dxa"/>
            <w:noWrap/>
            <w:hideMark/>
          </w:tcPr>
          <w:p w14:paraId="4FFAAAF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r>
      <w:tr w:rsidR="007937EB" w:rsidRPr="007937EB" w14:paraId="6F69AFB0"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859575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5678EA3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77BD331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5" w:type="dxa"/>
            <w:noWrap/>
            <w:hideMark/>
          </w:tcPr>
          <w:p w14:paraId="305ECD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3FF1477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26500C4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67F2F9E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4D05D03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485E98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605D8E6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002BF60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5" w:type="dxa"/>
            <w:noWrap/>
            <w:hideMark/>
          </w:tcPr>
          <w:p w14:paraId="31896B3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100</w:t>
            </w:r>
          </w:p>
        </w:tc>
        <w:tc>
          <w:tcPr>
            <w:tcW w:w="1296" w:type="dxa"/>
            <w:noWrap/>
            <w:hideMark/>
          </w:tcPr>
          <w:p w14:paraId="7FE3EC0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65E3EF1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74571D2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72DAEAE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31265D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23D9ACF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70CE55A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36B7D4A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456622D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7A53B54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785F15F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6C3BAE24"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372FDC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7D7EB55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0100136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5" w:type="dxa"/>
            <w:noWrap/>
            <w:hideMark/>
          </w:tcPr>
          <w:p w14:paraId="7AF59B8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3B5D6C7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0A1689A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1DAC0B5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r>
      <w:tr w:rsidR="007937EB" w:rsidRPr="007937EB" w14:paraId="211EAF1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8949B5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0818CAB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3A250A4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5" w:type="dxa"/>
            <w:noWrap/>
            <w:hideMark/>
          </w:tcPr>
          <w:p w14:paraId="3A08D43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7FC1E3D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4C4ED99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07FD728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r>
      <w:tr w:rsidR="007937EB" w:rsidRPr="007937EB" w14:paraId="6A35132D"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1307C6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2C21038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099083B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5" w:type="dxa"/>
            <w:noWrap/>
            <w:hideMark/>
          </w:tcPr>
          <w:p w14:paraId="081AF0F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0C9BA8A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4AA2A00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5BE1382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r>
      <w:tr w:rsidR="007937EB" w:rsidRPr="007937EB" w14:paraId="0E3ACF79"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12D96B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1CFBBD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00A1BB3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5" w:type="dxa"/>
            <w:noWrap/>
            <w:hideMark/>
          </w:tcPr>
          <w:p w14:paraId="5798973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13ED9EC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1DF0108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1DB6F0A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526BF8E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1360D2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11A373D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46A02E2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0A16E60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2B8416C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0569AD0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421FA0E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r>
      <w:tr w:rsidR="007937EB" w:rsidRPr="007937EB" w14:paraId="6384E209"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338D15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05C305F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25C9948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5" w:type="dxa"/>
            <w:noWrap/>
            <w:hideMark/>
          </w:tcPr>
          <w:p w14:paraId="4153BBC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4458D9F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1FAE32B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78DD795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r>
      <w:tr w:rsidR="007937EB" w:rsidRPr="007937EB" w14:paraId="33282D0E"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BE04E9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67347A4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634309D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5" w:type="dxa"/>
            <w:noWrap/>
            <w:hideMark/>
          </w:tcPr>
          <w:p w14:paraId="1DDCA0F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34172DB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7841C27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0DCE01C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19E76F26"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755372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2015</w:t>
            </w:r>
          </w:p>
        </w:tc>
        <w:tc>
          <w:tcPr>
            <w:tcW w:w="1296" w:type="dxa"/>
            <w:noWrap/>
            <w:hideMark/>
          </w:tcPr>
          <w:p w14:paraId="0B325899"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57D8F3E"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5CED1710"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E9A9CFA"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C84E654"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185179A"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75EBD22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E9FD68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34F6BF9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7920813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5" w:type="dxa"/>
            <w:noWrap/>
            <w:hideMark/>
          </w:tcPr>
          <w:p w14:paraId="6F0AA6E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6" w:type="dxa"/>
            <w:noWrap/>
            <w:hideMark/>
          </w:tcPr>
          <w:p w14:paraId="06B29A8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w:t>
            </w:r>
          </w:p>
        </w:tc>
        <w:tc>
          <w:tcPr>
            <w:tcW w:w="1296" w:type="dxa"/>
            <w:noWrap/>
            <w:hideMark/>
          </w:tcPr>
          <w:p w14:paraId="0CE005F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0950A58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r>
      <w:tr w:rsidR="007937EB" w:rsidRPr="007937EB" w14:paraId="09A03EB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2E9603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7E1D974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5040F1D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5" w:type="dxa"/>
            <w:noWrap/>
            <w:hideMark/>
          </w:tcPr>
          <w:p w14:paraId="668A420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61141BF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5B811A7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02E0EAE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r>
      <w:tr w:rsidR="007937EB" w:rsidRPr="007937EB" w14:paraId="068B2D0E"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392BF0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0FB8855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34E068E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2024F08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442D6FD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1E289FC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1785E41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739B5259"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44C338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1A607EE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02F24A9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5" w:type="dxa"/>
            <w:noWrap/>
            <w:hideMark/>
          </w:tcPr>
          <w:p w14:paraId="2424BD2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307863E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159D2EE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4A1DC85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r>
      <w:tr w:rsidR="007937EB" w:rsidRPr="007937EB" w14:paraId="31E553EA"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8B308A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775F02B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w:t>
            </w:r>
          </w:p>
        </w:tc>
        <w:tc>
          <w:tcPr>
            <w:tcW w:w="1296" w:type="dxa"/>
            <w:noWrap/>
            <w:hideMark/>
          </w:tcPr>
          <w:p w14:paraId="12F74A5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94</w:t>
            </w:r>
          </w:p>
        </w:tc>
        <w:tc>
          <w:tcPr>
            <w:tcW w:w="1295" w:type="dxa"/>
            <w:noWrap/>
            <w:hideMark/>
          </w:tcPr>
          <w:p w14:paraId="33EAF5B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119</w:t>
            </w:r>
          </w:p>
        </w:tc>
        <w:tc>
          <w:tcPr>
            <w:tcW w:w="1296" w:type="dxa"/>
            <w:noWrap/>
            <w:hideMark/>
          </w:tcPr>
          <w:p w14:paraId="57E25E9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2253247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6AAAB4C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r>
      <w:tr w:rsidR="007937EB" w:rsidRPr="007937EB" w14:paraId="179AB5A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5D0FEE4"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7DCF443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13791EE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5" w:type="dxa"/>
            <w:noWrap/>
            <w:hideMark/>
          </w:tcPr>
          <w:p w14:paraId="28A3D98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30DD57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3672B79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69F92F5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r>
      <w:tr w:rsidR="007937EB" w:rsidRPr="007937EB" w14:paraId="0AD5CE2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537FB0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6FA6CF5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6D6DA14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5" w:type="dxa"/>
            <w:noWrap/>
            <w:hideMark/>
          </w:tcPr>
          <w:p w14:paraId="21D1557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c>
          <w:tcPr>
            <w:tcW w:w="1296" w:type="dxa"/>
            <w:noWrap/>
            <w:hideMark/>
          </w:tcPr>
          <w:p w14:paraId="76C7CDD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6A31236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7A28D08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r>
      <w:tr w:rsidR="007937EB" w:rsidRPr="007937EB" w14:paraId="78DE247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75162E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84B805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2386AC2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5" w:type="dxa"/>
            <w:noWrap/>
            <w:hideMark/>
          </w:tcPr>
          <w:p w14:paraId="0087DA6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c>
          <w:tcPr>
            <w:tcW w:w="1296" w:type="dxa"/>
            <w:noWrap/>
            <w:hideMark/>
          </w:tcPr>
          <w:p w14:paraId="76D30AD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1952ECD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1D559FB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r>
      <w:tr w:rsidR="007937EB" w:rsidRPr="007937EB" w14:paraId="0341C9C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D2A17B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52DD892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17E3486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5" w:type="dxa"/>
            <w:noWrap/>
            <w:hideMark/>
          </w:tcPr>
          <w:p w14:paraId="055D69D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c>
          <w:tcPr>
            <w:tcW w:w="1296" w:type="dxa"/>
            <w:noWrap/>
            <w:hideMark/>
          </w:tcPr>
          <w:p w14:paraId="6BB22F7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2DD3408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1C5EFDF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r>
      <w:tr w:rsidR="007937EB" w:rsidRPr="007937EB" w14:paraId="28345A91"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DE73B27"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7AD508C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59BFBC2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5" w:type="dxa"/>
            <w:noWrap/>
            <w:hideMark/>
          </w:tcPr>
          <w:p w14:paraId="2BA2CF3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1FF3FB5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6DFD552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2AB977C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r>
      <w:tr w:rsidR="007937EB" w:rsidRPr="007937EB" w14:paraId="1969EE5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B8347A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766025A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619292F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5" w:type="dxa"/>
            <w:noWrap/>
            <w:hideMark/>
          </w:tcPr>
          <w:p w14:paraId="4F1C4F2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0C15E4C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3EF5D2E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6" w:type="dxa"/>
            <w:noWrap/>
            <w:hideMark/>
          </w:tcPr>
          <w:p w14:paraId="77A8950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r>
      <w:tr w:rsidR="007937EB" w:rsidRPr="007937EB" w14:paraId="577A95F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FE9F78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1DCA6B3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797FB6A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5" w:type="dxa"/>
            <w:noWrap/>
            <w:hideMark/>
          </w:tcPr>
          <w:p w14:paraId="339016A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97</w:t>
            </w:r>
          </w:p>
        </w:tc>
        <w:tc>
          <w:tcPr>
            <w:tcW w:w="1296" w:type="dxa"/>
            <w:noWrap/>
            <w:hideMark/>
          </w:tcPr>
          <w:p w14:paraId="39C24F8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6E70AFD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7417FE1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13B0B7B6"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4D8CD3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2016</w:t>
            </w:r>
          </w:p>
        </w:tc>
        <w:tc>
          <w:tcPr>
            <w:tcW w:w="1296" w:type="dxa"/>
            <w:noWrap/>
            <w:hideMark/>
          </w:tcPr>
          <w:p w14:paraId="5C45D407"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DE405F4"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2FC553AF"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02825BC"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F3C69DF"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BB68247"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099A5CE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D847364"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5D4BBEF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3DE9B21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5" w:type="dxa"/>
            <w:noWrap/>
            <w:hideMark/>
          </w:tcPr>
          <w:p w14:paraId="4962FF1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6" w:type="dxa"/>
            <w:noWrap/>
            <w:hideMark/>
          </w:tcPr>
          <w:p w14:paraId="75E004A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2E1FF7A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40</w:t>
            </w:r>
          </w:p>
        </w:tc>
        <w:tc>
          <w:tcPr>
            <w:tcW w:w="1296" w:type="dxa"/>
            <w:noWrap/>
            <w:hideMark/>
          </w:tcPr>
          <w:p w14:paraId="1B6B975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r>
      <w:tr w:rsidR="007937EB" w:rsidRPr="007937EB" w14:paraId="6E6E86CE"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1EB7B91"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41F0152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3267A0A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5" w:type="dxa"/>
            <w:noWrap/>
            <w:hideMark/>
          </w:tcPr>
          <w:p w14:paraId="4C8C10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345637F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6AADC47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2757CD5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r>
      <w:tr w:rsidR="007937EB" w:rsidRPr="007937EB" w14:paraId="0D728714"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136901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4543650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4586A13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5" w:type="dxa"/>
            <w:noWrap/>
            <w:hideMark/>
          </w:tcPr>
          <w:p w14:paraId="58E4A51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c>
          <w:tcPr>
            <w:tcW w:w="1296" w:type="dxa"/>
            <w:noWrap/>
            <w:hideMark/>
          </w:tcPr>
          <w:p w14:paraId="569EF7F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2B9C966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3143B48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r>
      <w:tr w:rsidR="007937EB" w:rsidRPr="007937EB" w14:paraId="008A0896"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DB4B56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18A0E20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6F0CE34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5" w:type="dxa"/>
            <w:noWrap/>
            <w:hideMark/>
          </w:tcPr>
          <w:p w14:paraId="5C7779A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6E83B0E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4D26333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6" w:type="dxa"/>
            <w:noWrap/>
            <w:hideMark/>
          </w:tcPr>
          <w:p w14:paraId="4D8849F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r>
      <w:tr w:rsidR="007937EB" w:rsidRPr="007937EB" w14:paraId="50D8AF85"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A78080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79D8F4D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1335006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5" w:type="dxa"/>
            <w:noWrap/>
            <w:hideMark/>
          </w:tcPr>
          <w:p w14:paraId="735CEFF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6" w:type="dxa"/>
            <w:noWrap/>
            <w:hideMark/>
          </w:tcPr>
          <w:p w14:paraId="4F6DD4C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4389BE2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165187F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r>
      <w:tr w:rsidR="007937EB" w:rsidRPr="007937EB" w14:paraId="0FF4D8EB"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D2570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5761C65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5D01E74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5" w:type="dxa"/>
            <w:noWrap/>
            <w:hideMark/>
          </w:tcPr>
          <w:p w14:paraId="2D13083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4E2F8D0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1143592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5FC126A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r>
      <w:tr w:rsidR="007937EB" w:rsidRPr="007937EB" w14:paraId="3432620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F3279B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0E73A91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27</w:t>
            </w:r>
          </w:p>
        </w:tc>
        <w:tc>
          <w:tcPr>
            <w:tcW w:w="1296" w:type="dxa"/>
            <w:noWrap/>
            <w:hideMark/>
          </w:tcPr>
          <w:p w14:paraId="062986E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5" w:type="dxa"/>
            <w:noWrap/>
            <w:hideMark/>
          </w:tcPr>
          <w:p w14:paraId="02293FB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114</w:t>
            </w:r>
          </w:p>
        </w:tc>
        <w:tc>
          <w:tcPr>
            <w:tcW w:w="1296" w:type="dxa"/>
            <w:noWrap/>
            <w:hideMark/>
          </w:tcPr>
          <w:p w14:paraId="037CE86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69EC8A5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3285058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r>
      <w:tr w:rsidR="007937EB" w:rsidRPr="007937EB" w14:paraId="56406EA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BE7EA7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5B1B4A2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6" w:type="dxa"/>
            <w:noWrap/>
            <w:hideMark/>
          </w:tcPr>
          <w:p w14:paraId="40F8690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5" w:type="dxa"/>
            <w:noWrap/>
            <w:hideMark/>
          </w:tcPr>
          <w:p w14:paraId="14E0ECA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c>
          <w:tcPr>
            <w:tcW w:w="1296" w:type="dxa"/>
            <w:noWrap/>
            <w:hideMark/>
          </w:tcPr>
          <w:p w14:paraId="13E2CF3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7F33DB3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036F0C8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r>
      <w:tr w:rsidR="007937EB" w:rsidRPr="007937EB" w14:paraId="31E6A5F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0E123A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58219F9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1CF499E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102</w:t>
            </w:r>
          </w:p>
        </w:tc>
        <w:tc>
          <w:tcPr>
            <w:tcW w:w="1295" w:type="dxa"/>
            <w:noWrap/>
            <w:hideMark/>
          </w:tcPr>
          <w:p w14:paraId="6EC2339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128</w:t>
            </w:r>
          </w:p>
        </w:tc>
        <w:tc>
          <w:tcPr>
            <w:tcW w:w="1296" w:type="dxa"/>
            <w:noWrap/>
            <w:hideMark/>
          </w:tcPr>
          <w:p w14:paraId="2B42634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2CE6730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1FD7B92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r>
      <w:tr w:rsidR="007937EB" w:rsidRPr="007937EB" w14:paraId="64E9AE71"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879F9A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7A6B5E5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040F5EB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5" w:type="dxa"/>
            <w:noWrap/>
            <w:hideMark/>
          </w:tcPr>
          <w:p w14:paraId="5CB158F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1AAFB8D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62526B7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0EF194E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r>
      <w:tr w:rsidR="007937EB" w:rsidRPr="007937EB" w14:paraId="7B6700C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3D6070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74D9946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5A1F180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5" w:type="dxa"/>
            <w:noWrap/>
            <w:hideMark/>
          </w:tcPr>
          <w:p w14:paraId="75EA5C1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c>
          <w:tcPr>
            <w:tcW w:w="1296" w:type="dxa"/>
            <w:noWrap/>
            <w:hideMark/>
          </w:tcPr>
          <w:p w14:paraId="3ADC1FD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29BD952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690EE4A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15D818A7"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95ED3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47BB55A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78D1408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5" w:type="dxa"/>
            <w:noWrap/>
            <w:hideMark/>
          </w:tcPr>
          <w:p w14:paraId="0EA6687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6" w:type="dxa"/>
            <w:noWrap/>
            <w:hideMark/>
          </w:tcPr>
          <w:p w14:paraId="2102983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7B95460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28AD27A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r>
      <w:tr w:rsidR="007937EB" w:rsidRPr="007937EB" w14:paraId="31A90AF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E367B5D"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2017</w:t>
            </w:r>
          </w:p>
        </w:tc>
        <w:tc>
          <w:tcPr>
            <w:tcW w:w="1296" w:type="dxa"/>
            <w:noWrap/>
            <w:hideMark/>
          </w:tcPr>
          <w:p w14:paraId="2B275735"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F495D7A"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5C93E743"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11BDC4B"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4DEF2C1"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81390DB"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4CABF5B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D172ED4"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3D6C473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7DF4FEC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5" w:type="dxa"/>
            <w:noWrap/>
            <w:hideMark/>
          </w:tcPr>
          <w:p w14:paraId="3ADE93B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109</w:t>
            </w:r>
          </w:p>
        </w:tc>
        <w:tc>
          <w:tcPr>
            <w:tcW w:w="1296" w:type="dxa"/>
            <w:noWrap/>
            <w:hideMark/>
          </w:tcPr>
          <w:p w14:paraId="07D5F70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3673753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066430A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r>
      <w:tr w:rsidR="007937EB" w:rsidRPr="007937EB" w14:paraId="5C7CC393"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BFE9FB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7242CDD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07E02D6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5" w:type="dxa"/>
            <w:noWrap/>
            <w:hideMark/>
          </w:tcPr>
          <w:p w14:paraId="3E3A1F4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110</w:t>
            </w:r>
          </w:p>
        </w:tc>
        <w:tc>
          <w:tcPr>
            <w:tcW w:w="1296" w:type="dxa"/>
            <w:noWrap/>
            <w:hideMark/>
          </w:tcPr>
          <w:p w14:paraId="56CEF1B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5C1BA3D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2B68547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r>
      <w:tr w:rsidR="007937EB" w:rsidRPr="007937EB" w14:paraId="0F295F94"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967CBA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5DFC72B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38C91D3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96</w:t>
            </w:r>
          </w:p>
        </w:tc>
        <w:tc>
          <w:tcPr>
            <w:tcW w:w="1295" w:type="dxa"/>
            <w:noWrap/>
            <w:hideMark/>
          </w:tcPr>
          <w:p w14:paraId="1673695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6" w:type="dxa"/>
            <w:noWrap/>
            <w:hideMark/>
          </w:tcPr>
          <w:p w14:paraId="649C8FE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6548BF2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32DACE4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7FF40A57"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144710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79B1FA1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3BD3C2D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93</w:t>
            </w:r>
          </w:p>
        </w:tc>
        <w:tc>
          <w:tcPr>
            <w:tcW w:w="1295" w:type="dxa"/>
            <w:noWrap/>
            <w:hideMark/>
          </w:tcPr>
          <w:p w14:paraId="45E7337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c>
          <w:tcPr>
            <w:tcW w:w="1296" w:type="dxa"/>
            <w:noWrap/>
            <w:hideMark/>
          </w:tcPr>
          <w:p w14:paraId="51AEF36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3FBCFB6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6" w:type="dxa"/>
            <w:noWrap/>
            <w:hideMark/>
          </w:tcPr>
          <w:p w14:paraId="50058CB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r>
      <w:tr w:rsidR="007937EB" w:rsidRPr="007937EB" w14:paraId="4215CB0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03D9ED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6703AC6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12F9761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0732EF5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4814F14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66787F9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6" w:type="dxa"/>
            <w:noWrap/>
            <w:hideMark/>
          </w:tcPr>
          <w:p w14:paraId="37C2AA8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r>
      <w:tr w:rsidR="007937EB" w:rsidRPr="007937EB" w14:paraId="334B21E2"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919886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4393BE1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15F0B2A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4E01936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6" w:type="dxa"/>
            <w:noWrap/>
            <w:hideMark/>
          </w:tcPr>
          <w:p w14:paraId="2D80596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w:t>
            </w:r>
          </w:p>
        </w:tc>
        <w:tc>
          <w:tcPr>
            <w:tcW w:w="1296" w:type="dxa"/>
            <w:noWrap/>
            <w:hideMark/>
          </w:tcPr>
          <w:p w14:paraId="2FF31B8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6" w:type="dxa"/>
            <w:noWrap/>
            <w:hideMark/>
          </w:tcPr>
          <w:p w14:paraId="1C74436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r>
      <w:tr w:rsidR="007937EB" w:rsidRPr="007937EB" w14:paraId="7FEC2C5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45FB5E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46D2B18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1BF1EBA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c>
          <w:tcPr>
            <w:tcW w:w="1295" w:type="dxa"/>
            <w:noWrap/>
            <w:hideMark/>
          </w:tcPr>
          <w:p w14:paraId="2AEB1EF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190EEE4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6CD6D9E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097245C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112</w:t>
            </w:r>
          </w:p>
        </w:tc>
      </w:tr>
      <w:tr w:rsidR="007937EB" w:rsidRPr="007937EB" w14:paraId="5861031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26D531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5719FC7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1AF729E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80</w:t>
            </w:r>
          </w:p>
        </w:tc>
        <w:tc>
          <w:tcPr>
            <w:tcW w:w="1295" w:type="dxa"/>
            <w:noWrap/>
            <w:hideMark/>
          </w:tcPr>
          <w:p w14:paraId="170FB0D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104</w:t>
            </w:r>
          </w:p>
        </w:tc>
        <w:tc>
          <w:tcPr>
            <w:tcW w:w="1296" w:type="dxa"/>
            <w:noWrap/>
            <w:hideMark/>
          </w:tcPr>
          <w:p w14:paraId="4FFF7F0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17B9B48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4A4F1EE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r>
      <w:tr w:rsidR="007937EB" w:rsidRPr="007937EB" w14:paraId="19C1240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CC089A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216CE47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69868B0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5" w:type="dxa"/>
            <w:noWrap/>
            <w:hideMark/>
          </w:tcPr>
          <w:p w14:paraId="6990F39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107</w:t>
            </w:r>
          </w:p>
        </w:tc>
        <w:tc>
          <w:tcPr>
            <w:tcW w:w="1296" w:type="dxa"/>
            <w:noWrap/>
            <w:hideMark/>
          </w:tcPr>
          <w:p w14:paraId="78DDFCC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7738954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50C4677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103</w:t>
            </w:r>
          </w:p>
        </w:tc>
      </w:tr>
      <w:tr w:rsidR="007937EB" w:rsidRPr="007937EB" w14:paraId="3CE467D4"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18F1EE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0AA1EE1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0136F41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98</w:t>
            </w:r>
          </w:p>
        </w:tc>
        <w:tc>
          <w:tcPr>
            <w:tcW w:w="1295" w:type="dxa"/>
            <w:noWrap/>
            <w:hideMark/>
          </w:tcPr>
          <w:p w14:paraId="343E0D9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117</w:t>
            </w:r>
          </w:p>
        </w:tc>
        <w:tc>
          <w:tcPr>
            <w:tcW w:w="1296" w:type="dxa"/>
            <w:noWrap/>
            <w:hideMark/>
          </w:tcPr>
          <w:p w14:paraId="4B9D06E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621F444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648AD39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r>
      <w:tr w:rsidR="007937EB" w:rsidRPr="007937EB" w14:paraId="11C8A858"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170024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6114954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6DB031D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106</w:t>
            </w:r>
          </w:p>
        </w:tc>
        <w:tc>
          <w:tcPr>
            <w:tcW w:w="1295" w:type="dxa"/>
            <w:noWrap/>
            <w:hideMark/>
          </w:tcPr>
          <w:p w14:paraId="1B75E06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127</w:t>
            </w:r>
          </w:p>
        </w:tc>
        <w:tc>
          <w:tcPr>
            <w:tcW w:w="1296" w:type="dxa"/>
            <w:noWrap/>
            <w:hideMark/>
          </w:tcPr>
          <w:p w14:paraId="142E7F4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w:t>
            </w:r>
          </w:p>
        </w:tc>
        <w:tc>
          <w:tcPr>
            <w:tcW w:w="1296" w:type="dxa"/>
            <w:noWrap/>
            <w:hideMark/>
          </w:tcPr>
          <w:p w14:paraId="56D6631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79A388E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r>
      <w:tr w:rsidR="007937EB" w:rsidRPr="007937EB" w14:paraId="4D6B2E3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9EEECF1"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3E04C38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57CCD93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5" w:type="dxa"/>
            <w:noWrap/>
            <w:hideMark/>
          </w:tcPr>
          <w:p w14:paraId="68B528E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c>
          <w:tcPr>
            <w:tcW w:w="1296" w:type="dxa"/>
            <w:noWrap/>
            <w:hideMark/>
          </w:tcPr>
          <w:p w14:paraId="08EE382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35ECDFA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5B4DA97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r>
      <w:tr w:rsidR="007937EB" w:rsidRPr="007937EB" w14:paraId="5638DB3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3D8FB14"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2018</w:t>
            </w:r>
          </w:p>
        </w:tc>
        <w:tc>
          <w:tcPr>
            <w:tcW w:w="1296" w:type="dxa"/>
            <w:noWrap/>
            <w:hideMark/>
          </w:tcPr>
          <w:p w14:paraId="5624F4D9"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2D206B7"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2E588B2D"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5DFF805"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C3A93E9"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E491F0B"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271870AD"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E3D936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7B4BF35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2BC40BA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5" w:type="dxa"/>
            <w:noWrap/>
            <w:hideMark/>
          </w:tcPr>
          <w:p w14:paraId="1B00E46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c>
          <w:tcPr>
            <w:tcW w:w="1296" w:type="dxa"/>
            <w:noWrap/>
            <w:hideMark/>
          </w:tcPr>
          <w:p w14:paraId="0C474D9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w:t>
            </w:r>
          </w:p>
        </w:tc>
        <w:tc>
          <w:tcPr>
            <w:tcW w:w="1296" w:type="dxa"/>
            <w:noWrap/>
            <w:hideMark/>
          </w:tcPr>
          <w:p w14:paraId="26784B3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6FEB0B2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7C1D20F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FA760A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0333F5A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7B63113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5" w:type="dxa"/>
            <w:noWrap/>
            <w:hideMark/>
          </w:tcPr>
          <w:p w14:paraId="2297F16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86</w:t>
            </w:r>
          </w:p>
        </w:tc>
        <w:tc>
          <w:tcPr>
            <w:tcW w:w="1296" w:type="dxa"/>
            <w:noWrap/>
            <w:hideMark/>
          </w:tcPr>
          <w:p w14:paraId="3A15C4F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7032979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5FEF585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3831CC04"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486FE1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49CDDE1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79CD10B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5" w:type="dxa"/>
            <w:noWrap/>
            <w:hideMark/>
          </w:tcPr>
          <w:p w14:paraId="4B07DEF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0801FF3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4FA8345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02EC241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r>
      <w:tr w:rsidR="007937EB" w:rsidRPr="007937EB" w14:paraId="79B69A5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96C95B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05B94DC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30EA78A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2E238DF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2508FFE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w:t>
            </w:r>
          </w:p>
        </w:tc>
        <w:tc>
          <w:tcPr>
            <w:tcW w:w="1296" w:type="dxa"/>
            <w:noWrap/>
            <w:hideMark/>
          </w:tcPr>
          <w:p w14:paraId="654E71A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0D6BC02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r>
      <w:tr w:rsidR="007937EB" w:rsidRPr="007937EB" w14:paraId="0753FC71"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D4CBC9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3EC191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w:t>
            </w:r>
          </w:p>
        </w:tc>
        <w:tc>
          <w:tcPr>
            <w:tcW w:w="1296" w:type="dxa"/>
            <w:noWrap/>
            <w:hideMark/>
          </w:tcPr>
          <w:p w14:paraId="038C5E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5" w:type="dxa"/>
            <w:noWrap/>
            <w:hideMark/>
          </w:tcPr>
          <w:p w14:paraId="3B04D83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43E8360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3E6CDE1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7191F43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r>
      <w:tr w:rsidR="007937EB" w:rsidRPr="007937EB" w14:paraId="6072764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C082FB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211BC0A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40BA5E1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c>
          <w:tcPr>
            <w:tcW w:w="1295" w:type="dxa"/>
            <w:noWrap/>
            <w:hideMark/>
          </w:tcPr>
          <w:p w14:paraId="48B99F7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142811D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60405A7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1FDC45E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r>
      <w:tr w:rsidR="007937EB" w:rsidRPr="007937EB" w14:paraId="4146BE5E"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22F4C1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0B86FC3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5486154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38</w:t>
            </w:r>
          </w:p>
        </w:tc>
        <w:tc>
          <w:tcPr>
            <w:tcW w:w="1295" w:type="dxa"/>
            <w:noWrap/>
            <w:hideMark/>
          </w:tcPr>
          <w:p w14:paraId="36EC36F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1F047AB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w:t>
            </w:r>
          </w:p>
        </w:tc>
        <w:tc>
          <w:tcPr>
            <w:tcW w:w="1296" w:type="dxa"/>
            <w:noWrap/>
            <w:hideMark/>
          </w:tcPr>
          <w:p w14:paraId="09E49D0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22696B5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r>
      <w:tr w:rsidR="007937EB" w:rsidRPr="007937EB" w14:paraId="1C54419A"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20201F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3212A7E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10BFA80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36</w:t>
            </w:r>
          </w:p>
        </w:tc>
        <w:tc>
          <w:tcPr>
            <w:tcW w:w="1295" w:type="dxa"/>
            <w:noWrap/>
            <w:hideMark/>
          </w:tcPr>
          <w:p w14:paraId="239DD1F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788D884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w:t>
            </w:r>
          </w:p>
        </w:tc>
        <w:tc>
          <w:tcPr>
            <w:tcW w:w="1296" w:type="dxa"/>
            <w:noWrap/>
            <w:hideMark/>
          </w:tcPr>
          <w:p w14:paraId="68B24D4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1B4AB6D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r>
      <w:tr w:rsidR="007937EB" w:rsidRPr="007937EB" w14:paraId="5EE0B0B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76563F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37B915A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5281A65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52D6B07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6" w:type="dxa"/>
            <w:noWrap/>
            <w:hideMark/>
          </w:tcPr>
          <w:p w14:paraId="113DB2A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06FBAB8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6" w:type="dxa"/>
            <w:noWrap/>
            <w:hideMark/>
          </w:tcPr>
          <w:p w14:paraId="7FF115D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r>
      <w:tr w:rsidR="007937EB" w:rsidRPr="007937EB" w14:paraId="57D8B386"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CE8A9B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34C3724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4904BD0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5" w:type="dxa"/>
            <w:noWrap/>
            <w:hideMark/>
          </w:tcPr>
          <w:p w14:paraId="55D4933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57200DA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03B9933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015292D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1F303022"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F6BFEF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5D20FC2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55766DB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3B5CB20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6E2632C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4A7792C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6847A27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r>
      <w:tr w:rsidR="007937EB" w:rsidRPr="007937EB" w14:paraId="64605E0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6B342B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761379C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6434184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5" w:type="dxa"/>
            <w:noWrap/>
            <w:hideMark/>
          </w:tcPr>
          <w:p w14:paraId="3D93D97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6C0AB89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72587D8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47D57E7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r>
      <w:tr w:rsidR="007937EB" w:rsidRPr="007937EB" w14:paraId="43FFBDA1"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00466D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2019</w:t>
            </w:r>
          </w:p>
        </w:tc>
        <w:tc>
          <w:tcPr>
            <w:tcW w:w="1296" w:type="dxa"/>
            <w:noWrap/>
            <w:hideMark/>
          </w:tcPr>
          <w:p w14:paraId="23E9612E"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B41E1D9"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39822E41"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52354715"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0F4D7CE"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C07D83F"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1ABDD4CE"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51AB40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2C79A25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25</w:t>
            </w:r>
          </w:p>
        </w:tc>
        <w:tc>
          <w:tcPr>
            <w:tcW w:w="1296" w:type="dxa"/>
            <w:noWrap/>
            <w:hideMark/>
          </w:tcPr>
          <w:p w14:paraId="51560B7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6D01E97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7D660D8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w:t>
            </w:r>
          </w:p>
        </w:tc>
        <w:tc>
          <w:tcPr>
            <w:tcW w:w="1296" w:type="dxa"/>
            <w:noWrap/>
            <w:hideMark/>
          </w:tcPr>
          <w:p w14:paraId="4F23220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11DE5DB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r>
      <w:tr w:rsidR="007937EB" w:rsidRPr="007937EB" w14:paraId="78DEF0C7"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F99937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41BB11A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40A0E9D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5" w:type="dxa"/>
            <w:noWrap/>
            <w:hideMark/>
          </w:tcPr>
          <w:p w14:paraId="7837C37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6" w:type="dxa"/>
            <w:noWrap/>
            <w:hideMark/>
          </w:tcPr>
          <w:p w14:paraId="0E523DF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0420EEB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7E72100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r>
      <w:tr w:rsidR="007937EB" w:rsidRPr="007937EB" w14:paraId="623A1CD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BC800B3"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2CF96F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50E0381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44D4651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233790B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25B81A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22D1B5D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r>
      <w:tr w:rsidR="007937EB" w:rsidRPr="007937EB" w14:paraId="059841E4"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A70A011"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7DB9AF1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577E524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5" w:type="dxa"/>
            <w:noWrap/>
            <w:hideMark/>
          </w:tcPr>
          <w:p w14:paraId="2426664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702D688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19102DF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1CBFCFE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r>
      <w:tr w:rsidR="007937EB" w:rsidRPr="007937EB" w14:paraId="39E166BA"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D24814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C8126A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41B50A5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595BA45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77</w:t>
            </w:r>
          </w:p>
        </w:tc>
        <w:tc>
          <w:tcPr>
            <w:tcW w:w="1296" w:type="dxa"/>
            <w:noWrap/>
            <w:hideMark/>
          </w:tcPr>
          <w:p w14:paraId="2BBCA8E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7FA84CB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76947F3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84</w:t>
            </w:r>
          </w:p>
        </w:tc>
      </w:tr>
      <w:tr w:rsidR="007937EB" w:rsidRPr="007937EB" w14:paraId="55AA7C50"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172ED041"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79F8098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3B93726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5" w:type="dxa"/>
            <w:noWrap/>
            <w:hideMark/>
          </w:tcPr>
          <w:p w14:paraId="229920A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74</w:t>
            </w:r>
          </w:p>
        </w:tc>
        <w:tc>
          <w:tcPr>
            <w:tcW w:w="1296" w:type="dxa"/>
            <w:noWrap/>
            <w:hideMark/>
          </w:tcPr>
          <w:p w14:paraId="67867FD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2DE2EE1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75D3B3E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r>
      <w:tr w:rsidR="007937EB" w:rsidRPr="007937EB" w14:paraId="37167D49"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86FF497"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4A06EB1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0674DD7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4C6011F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c>
          <w:tcPr>
            <w:tcW w:w="1296" w:type="dxa"/>
            <w:noWrap/>
            <w:hideMark/>
          </w:tcPr>
          <w:p w14:paraId="1C9E096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75DA56C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5440054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99</w:t>
            </w:r>
          </w:p>
        </w:tc>
      </w:tr>
      <w:tr w:rsidR="007937EB" w:rsidRPr="007937EB" w14:paraId="03268DFA"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4D117D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48D318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16</w:t>
            </w:r>
          </w:p>
        </w:tc>
        <w:tc>
          <w:tcPr>
            <w:tcW w:w="1296" w:type="dxa"/>
            <w:noWrap/>
            <w:hideMark/>
          </w:tcPr>
          <w:p w14:paraId="07B2FE5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67</w:t>
            </w:r>
          </w:p>
        </w:tc>
        <w:tc>
          <w:tcPr>
            <w:tcW w:w="1295" w:type="dxa"/>
            <w:noWrap/>
            <w:hideMark/>
          </w:tcPr>
          <w:p w14:paraId="78D301D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51FAEA4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21FA76C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85</w:t>
            </w:r>
          </w:p>
        </w:tc>
        <w:tc>
          <w:tcPr>
            <w:tcW w:w="1296" w:type="dxa"/>
            <w:noWrap/>
            <w:hideMark/>
          </w:tcPr>
          <w:p w14:paraId="20AC0AC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105</w:t>
            </w:r>
          </w:p>
        </w:tc>
      </w:tr>
      <w:tr w:rsidR="007937EB" w:rsidRPr="007937EB" w14:paraId="6AAF9FD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92151D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0E4D6A6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20</w:t>
            </w:r>
          </w:p>
        </w:tc>
        <w:tc>
          <w:tcPr>
            <w:tcW w:w="1296" w:type="dxa"/>
            <w:noWrap/>
            <w:hideMark/>
          </w:tcPr>
          <w:p w14:paraId="4AF8560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5" w:type="dxa"/>
            <w:noWrap/>
            <w:hideMark/>
          </w:tcPr>
          <w:p w14:paraId="3409052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5916EB3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17</w:t>
            </w:r>
          </w:p>
        </w:tc>
        <w:tc>
          <w:tcPr>
            <w:tcW w:w="1296" w:type="dxa"/>
            <w:noWrap/>
            <w:hideMark/>
          </w:tcPr>
          <w:p w14:paraId="5F49FB6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343EDCF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92</w:t>
            </w:r>
          </w:p>
        </w:tc>
      </w:tr>
      <w:tr w:rsidR="007937EB" w:rsidRPr="007937EB" w14:paraId="184DBBDB"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E939FB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3064356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23</w:t>
            </w:r>
          </w:p>
        </w:tc>
        <w:tc>
          <w:tcPr>
            <w:tcW w:w="1296" w:type="dxa"/>
            <w:noWrap/>
            <w:hideMark/>
          </w:tcPr>
          <w:p w14:paraId="0F61BA8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333D045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46DD364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2F78417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3374863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76</w:t>
            </w:r>
          </w:p>
        </w:tc>
      </w:tr>
      <w:tr w:rsidR="007937EB" w:rsidRPr="007937EB" w14:paraId="619BFA6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92C8C2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3D09E54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14</w:t>
            </w:r>
          </w:p>
        </w:tc>
        <w:tc>
          <w:tcPr>
            <w:tcW w:w="1296" w:type="dxa"/>
            <w:noWrap/>
            <w:hideMark/>
          </w:tcPr>
          <w:p w14:paraId="3FAE7DB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5" w:type="dxa"/>
            <w:noWrap/>
            <w:hideMark/>
          </w:tcPr>
          <w:p w14:paraId="241A691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243D8DD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6878253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6" w:type="dxa"/>
            <w:noWrap/>
            <w:hideMark/>
          </w:tcPr>
          <w:p w14:paraId="64385ED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r>
      <w:tr w:rsidR="007937EB" w:rsidRPr="007937EB" w14:paraId="7EAC88FB"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7E160F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5C52862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22</w:t>
            </w:r>
          </w:p>
        </w:tc>
        <w:tc>
          <w:tcPr>
            <w:tcW w:w="1296" w:type="dxa"/>
            <w:noWrap/>
            <w:hideMark/>
          </w:tcPr>
          <w:p w14:paraId="64F161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5" w:type="dxa"/>
            <w:noWrap/>
            <w:hideMark/>
          </w:tcPr>
          <w:p w14:paraId="1B367BD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1438AE4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5D81EFB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6" w:type="dxa"/>
            <w:noWrap/>
            <w:hideMark/>
          </w:tcPr>
          <w:p w14:paraId="5CD551B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r>
      <w:tr w:rsidR="007937EB" w:rsidRPr="007937EB" w14:paraId="4B844F60"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C100B88"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2020</w:t>
            </w:r>
          </w:p>
        </w:tc>
        <w:tc>
          <w:tcPr>
            <w:tcW w:w="1296" w:type="dxa"/>
            <w:noWrap/>
            <w:hideMark/>
          </w:tcPr>
          <w:p w14:paraId="4E972E1B"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18D0A983"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1803C90E"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6444D5FB"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3FD1EB5B"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733ECE7C" w14:textId="77777777" w:rsidR="007937EB" w:rsidRPr="00E636B7" w:rsidRDefault="007937EB" w:rsidP="007937EB">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026B4192"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DE5F81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6A6C02A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4CAF325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5" w:type="dxa"/>
            <w:noWrap/>
            <w:hideMark/>
          </w:tcPr>
          <w:p w14:paraId="7829F8E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7D3DDD6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49648B0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3136125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r>
      <w:tr w:rsidR="007937EB" w:rsidRPr="007937EB" w14:paraId="57EA22EB"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7BF31F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2CECA5D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0DA373D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5" w:type="dxa"/>
            <w:noWrap/>
            <w:hideMark/>
          </w:tcPr>
          <w:p w14:paraId="52A0ACB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790DE01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245B7BE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57</w:t>
            </w:r>
          </w:p>
        </w:tc>
        <w:tc>
          <w:tcPr>
            <w:tcW w:w="1296" w:type="dxa"/>
            <w:noWrap/>
            <w:hideMark/>
          </w:tcPr>
          <w:p w14:paraId="64ACE56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6ED2F2D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C4A848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61CB5C9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51AB675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5" w:type="dxa"/>
            <w:noWrap/>
            <w:hideMark/>
          </w:tcPr>
          <w:p w14:paraId="37A7683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6" w:type="dxa"/>
            <w:noWrap/>
            <w:hideMark/>
          </w:tcPr>
          <w:p w14:paraId="2C54EA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50B5346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6" w:type="dxa"/>
            <w:noWrap/>
            <w:hideMark/>
          </w:tcPr>
          <w:p w14:paraId="52A714B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r>
      <w:tr w:rsidR="007937EB" w:rsidRPr="007937EB" w14:paraId="5CC3C4C7"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DBB290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0022B6D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13</w:t>
            </w:r>
          </w:p>
        </w:tc>
        <w:tc>
          <w:tcPr>
            <w:tcW w:w="1296" w:type="dxa"/>
            <w:noWrap/>
            <w:hideMark/>
          </w:tcPr>
          <w:p w14:paraId="4ECBE9E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5" w:type="dxa"/>
            <w:noWrap/>
            <w:hideMark/>
          </w:tcPr>
          <w:p w14:paraId="7FDA3B4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72212FF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w:t>
            </w:r>
          </w:p>
        </w:tc>
        <w:tc>
          <w:tcPr>
            <w:tcW w:w="1296" w:type="dxa"/>
            <w:noWrap/>
            <w:hideMark/>
          </w:tcPr>
          <w:p w14:paraId="7E3B006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388B8D9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r>
      <w:tr w:rsidR="007937EB" w:rsidRPr="007937EB" w14:paraId="0FEE5B5F"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D60E7D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69AB5CB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6E103C4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5" w:type="dxa"/>
            <w:noWrap/>
            <w:hideMark/>
          </w:tcPr>
          <w:p w14:paraId="7FE6712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79</w:t>
            </w:r>
          </w:p>
        </w:tc>
        <w:tc>
          <w:tcPr>
            <w:tcW w:w="1296" w:type="dxa"/>
            <w:noWrap/>
            <w:hideMark/>
          </w:tcPr>
          <w:p w14:paraId="468F9F8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0EE837C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c>
          <w:tcPr>
            <w:tcW w:w="1296" w:type="dxa"/>
            <w:noWrap/>
            <w:hideMark/>
          </w:tcPr>
          <w:p w14:paraId="7DB1253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r>
      <w:tr w:rsidR="007937EB" w:rsidRPr="007937EB" w14:paraId="1A3BB1CD"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63406A1"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54EF346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77B9BB5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c>
          <w:tcPr>
            <w:tcW w:w="1295" w:type="dxa"/>
            <w:noWrap/>
            <w:hideMark/>
          </w:tcPr>
          <w:p w14:paraId="2B55D33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71</w:t>
            </w:r>
          </w:p>
        </w:tc>
        <w:tc>
          <w:tcPr>
            <w:tcW w:w="1296" w:type="dxa"/>
            <w:noWrap/>
            <w:hideMark/>
          </w:tcPr>
          <w:p w14:paraId="1695160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707B396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64</w:t>
            </w:r>
          </w:p>
        </w:tc>
        <w:tc>
          <w:tcPr>
            <w:tcW w:w="1296" w:type="dxa"/>
            <w:noWrap/>
            <w:hideMark/>
          </w:tcPr>
          <w:p w14:paraId="4256E27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r>
      <w:tr w:rsidR="007937EB" w:rsidRPr="007937EB" w14:paraId="69B52D9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F20B78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252D766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5C244ED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46</w:t>
            </w:r>
          </w:p>
        </w:tc>
        <w:tc>
          <w:tcPr>
            <w:tcW w:w="1295" w:type="dxa"/>
            <w:noWrap/>
            <w:hideMark/>
          </w:tcPr>
          <w:p w14:paraId="77F09C5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65</w:t>
            </w:r>
          </w:p>
        </w:tc>
        <w:tc>
          <w:tcPr>
            <w:tcW w:w="1296" w:type="dxa"/>
            <w:noWrap/>
            <w:hideMark/>
          </w:tcPr>
          <w:p w14:paraId="64AB7FF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2258FB0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4AA2FC4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r>
      <w:tr w:rsidR="007937EB" w:rsidRPr="007937EB" w14:paraId="4E876244"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6A31F7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1AFA429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37</w:t>
            </w:r>
          </w:p>
        </w:tc>
        <w:tc>
          <w:tcPr>
            <w:tcW w:w="1296" w:type="dxa"/>
            <w:noWrap/>
            <w:hideMark/>
          </w:tcPr>
          <w:p w14:paraId="0DD95D1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5" w:type="dxa"/>
            <w:noWrap/>
            <w:hideMark/>
          </w:tcPr>
          <w:p w14:paraId="66D52B1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95</w:t>
            </w:r>
          </w:p>
        </w:tc>
        <w:tc>
          <w:tcPr>
            <w:tcW w:w="1296" w:type="dxa"/>
            <w:noWrap/>
            <w:hideMark/>
          </w:tcPr>
          <w:p w14:paraId="1AE24B1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7666E334"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642730C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r>
      <w:tr w:rsidR="007937EB" w:rsidRPr="007937EB" w14:paraId="4A3A5893"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AD19CFA"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167FE73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43D6960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5" w:type="dxa"/>
            <w:noWrap/>
            <w:hideMark/>
          </w:tcPr>
          <w:p w14:paraId="1A4765D7"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c>
          <w:tcPr>
            <w:tcW w:w="1296" w:type="dxa"/>
            <w:noWrap/>
            <w:hideMark/>
          </w:tcPr>
          <w:p w14:paraId="401A98E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w:t>
            </w:r>
          </w:p>
        </w:tc>
        <w:tc>
          <w:tcPr>
            <w:tcW w:w="1296" w:type="dxa"/>
            <w:noWrap/>
            <w:hideMark/>
          </w:tcPr>
          <w:p w14:paraId="5768F82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6" w:type="dxa"/>
            <w:noWrap/>
            <w:hideMark/>
          </w:tcPr>
          <w:p w14:paraId="71043A38"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13DB0CB3"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B64DE5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27B2686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025C051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5" w:type="dxa"/>
            <w:noWrap/>
            <w:hideMark/>
          </w:tcPr>
          <w:p w14:paraId="1F3D379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75</w:t>
            </w:r>
          </w:p>
        </w:tc>
        <w:tc>
          <w:tcPr>
            <w:tcW w:w="1296" w:type="dxa"/>
            <w:noWrap/>
            <w:hideMark/>
          </w:tcPr>
          <w:p w14:paraId="0A8AD16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0A90780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6" w:type="dxa"/>
            <w:noWrap/>
            <w:hideMark/>
          </w:tcPr>
          <w:p w14:paraId="635A221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r>
      <w:tr w:rsidR="007937EB" w:rsidRPr="007937EB" w14:paraId="6FE1C580"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582ECE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1AC7CE9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18</w:t>
            </w:r>
          </w:p>
        </w:tc>
        <w:tc>
          <w:tcPr>
            <w:tcW w:w="1296" w:type="dxa"/>
            <w:noWrap/>
            <w:hideMark/>
          </w:tcPr>
          <w:p w14:paraId="7E4C1FF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5" w:type="dxa"/>
            <w:noWrap/>
            <w:hideMark/>
          </w:tcPr>
          <w:p w14:paraId="4972FC4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5B46116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2A15964C"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6" w:type="dxa"/>
            <w:noWrap/>
            <w:hideMark/>
          </w:tcPr>
          <w:p w14:paraId="1933B63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r>
      <w:tr w:rsidR="007937EB" w:rsidRPr="007937EB" w14:paraId="1FD8FAB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362ACD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3B8CCEB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19</w:t>
            </w:r>
          </w:p>
        </w:tc>
        <w:tc>
          <w:tcPr>
            <w:tcW w:w="1296" w:type="dxa"/>
            <w:noWrap/>
            <w:hideMark/>
          </w:tcPr>
          <w:p w14:paraId="23E398A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6D6310E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73</w:t>
            </w:r>
          </w:p>
        </w:tc>
        <w:tc>
          <w:tcPr>
            <w:tcW w:w="1296" w:type="dxa"/>
            <w:noWrap/>
            <w:hideMark/>
          </w:tcPr>
          <w:p w14:paraId="0C8C8BD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w:t>
            </w:r>
          </w:p>
        </w:tc>
        <w:tc>
          <w:tcPr>
            <w:tcW w:w="1296" w:type="dxa"/>
            <w:noWrap/>
            <w:hideMark/>
          </w:tcPr>
          <w:p w14:paraId="06DE999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24B71CC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66</w:t>
            </w:r>
          </w:p>
        </w:tc>
      </w:tr>
      <w:tr w:rsidR="007937EB" w:rsidRPr="007937EB" w14:paraId="643975C9"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216AC7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2021</w:t>
            </w:r>
          </w:p>
        </w:tc>
        <w:tc>
          <w:tcPr>
            <w:tcW w:w="1296" w:type="dxa"/>
            <w:noWrap/>
            <w:hideMark/>
          </w:tcPr>
          <w:p w14:paraId="1AE46D90"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484BF698"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5" w:type="dxa"/>
            <w:noWrap/>
            <w:hideMark/>
          </w:tcPr>
          <w:p w14:paraId="253FF16C"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11D8BA9"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05839A8E"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c>
          <w:tcPr>
            <w:tcW w:w="1296" w:type="dxa"/>
            <w:noWrap/>
            <w:hideMark/>
          </w:tcPr>
          <w:p w14:paraId="24CCE9FE" w14:textId="77777777" w:rsidR="007937EB" w:rsidRPr="00E636B7" w:rsidRDefault="007937EB" w:rsidP="007937EB">
            <w:pP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000000"/>
                <w:sz w:val="20"/>
                <w:szCs w:val="20"/>
                <w:lang w:eastAsia="en-AU"/>
              </w:rPr>
            </w:pPr>
            <w:r w:rsidRPr="00E636B7">
              <w:rPr>
                <w:rFonts w:eastAsia="Times New Roman" w:cs="Times New Roman"/>
                <w:b/>
                <w:bCs/>
                <w:color w:val="000000"/>
                <w:sz w:val="20"/>
                <w:szCs w:val="20"/>
                <w:lang w:eastAsia="en-AU"/>
              </w:rPr>
              <w:t> </w:t>
            </w:r>
          </w:p>
        </w:tc>
      </w:tr>
      <w:tr w:rsidR="007937EB" w:rsidRPr="007937EB" w14:paraId="206EB5DF"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B6888E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Jan</w:t>
            </w:r>
          </w:p>
        </w:tc>
        <w:tc>
          <w:tcPr>
            <w:tcW w:w="1296" w:type="dxa"/>
            <w:noWrap/>
            <w:hideMark/>
          </w:tcPr>
          <w:p w14:paraId="4459849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3940CAA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69</w:t>
            </w:r>
          </w:p>
        </w:tc>
        <w:tc>
          <w:tcPr>
            <w:tcW w:w="1295" w:type="dxa"/>
            <w:noWrap/>
            <w:hideMark/>
          </w:tcPr>
          <w:p w14:paraId="05AA75A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90</w:t>
            </w:r>
          </w:p>
        </w:tc>
        <w:tc>
          <w:tcPr>
            <w:tcW w:w="1296" w:type="dxa"/>
            <w:noWrap/>
            <w:hideMark/>
          </w:tcPr>
          <w:p w14:paraId="7770687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w:t>
            </w:r>
          </w:p>
        </w:tc>
        <w:tc>
          <w:tcPr>
            <w:tcW w:w="1296" w:type="dxa"/>
            <w:noWrap/>
            <w:hideMark/>
          </w:tcPr>
          <w:p w14:paraId="2E64DDD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58</w:t>
            </w:r>
          </w:p>
        </w:tc>
        <w:tc>
          <w:tcPr>
            <w:tcW w:w="1296" w:type="dxa"/>
            <w:noWrap/>
            <w:hideMark/>
          </w:tcPr>
          <w:p w14:paraId="6EA08DD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r>
      <w:tr w:rsidR="007937EB" w:rsidRPr="007937EB" w14:paraId="1100CBDC"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243DF3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Feb</w:t>
            </w:r>
          </w:p>
        </w:tc>
        <w:tc>
          <w:tcPr>
            <w:tcW w:w="1296" w:type="dxa"/>
            <w:noWrap/>
            <w:hideMark/>
          </w:tcPr>
          <w:p w14:paraId="10D6109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28</w:t>
            </w:r>
          </w:p>
        </w:tc>
        <w:tc>
          <w:tcPr>
            <w:tcW w:w="1296" w:type="dxa"/>
            <w:noWrap/>
            <w:hideMark/>
          </w:tcPr>
          <w:p w14:paraId="7F47A77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5" w:type="dxa"/>
            <w:noWrap/>
            <w:hideMark/>
          </w:tcPr>
          <w:p w14:paraId="7AF0003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91</w:t>
            </w:r>
          </w:p>
        </w:tc>
        <w:tc>
          <w:tcPr>
            <w:tcW w:w="1296" w:type="dxa"/>
            <w:noWrap/>
            <w:hideMark/>
          </w:tcPr>
          <w:p w14:paraId="6445B14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60AE9C2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25AA4AB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r>
      <w:tr w:rsidR="007937EB" w:rsidRPr="007937EB" w14:paraId="1C809D7A"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699830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Mar</w:t>
            </w:r>
          </w:p>
        </w:tc>
        <w:tc>
          <w:tcPr>
            <w:tcW w:w="1296" w:type="dxa"/>
            <w:noWrap/>
            <w:hideMark/>
          </w:tcPr>
          <w:p w14:paraId="2A45522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21</w:t>
            </w:r>
          </w:p>
        </w:tc>
        <w:tc>
          <w:tcPr>
            <w:tcW w:w="1296" w:type="dxa"/>
            <w:noWrap/>
            <w:hideMark/>
          </w:tcPr>
          <w:p w14:paraId="406E7AF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5" w:type="dxa"/>
            <w:noWrap/>
            <w:hideMark/>
          </w:tcPr>
          <w:p w14:paraId="6971124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70</w:t>
            </w:r>
          </w:p>
        </w:tc>
        <w:tc>
          <w:tcPr>
            <w:tcW w:w="1296" w:type="dxa"/>
            <w:noWrap/>
            <w:hideMark/>
          </w:tcPr>
          <w:p w14:paraId="31D7FE5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464659A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6" w:type="dxa"/>
            <w:noWrap/>
            <w:hideMark/>
          </w:tcPr>
          <w:p w14:paraId="13EA3F07"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r>
      <w:tr w:rsidR="007937EB" w:rsidRPr="007937EB" w14:paraId="21601588"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0D261210"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Apr</w:t>
            </w:r>
          </w:p>
        </w:tc>
        <w:tc>
          <w:tcPr>
            <w:tcW w:w="1296" w:type="dxa"/>
            <w:noWrap/>
            <w:hideMark/>
          </w:tcPr>
          <w:p w14:paraId="088FA0E5"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24</w:t>
            </w:r>
          </w:p>
        </w:tc>
        <w:tc>
          <w:tcPr>
            <w:tcW w:w="1296" w:type="dxa"/>
            <w:noWrap/>
            <w:hideMark/>
          </w:tcPr>
          <w:p w14:paraId="091C23B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39</w:t>
            </w:r>
          </w:p>
        </w:tc>
        <w:tc>
          <w:tcPr>
            <w:tcW w:w="1295" w:type="dxa"/>
            <w:noWrap/>
            <w:hideMark/>
          </w:tcPr>
          <w:p w14:paraId="1792277A"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63</w:t>
            </w:r>
          </w:p>
        </w:tc>
        <w:tc>
          <w:tcPr>
            <w:tcW w:w="1296" w:type="dxa"/>
            <w:noWrap/>
            <w:hideMark/>
          </w:tcPr>
          <w:p w14:paraId="5D01358E"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12</w:t>
            </w:r>
          </w:p>
        </w:tc>
        <w:tc>
          <w:tcPr>
            <w:tcW w:w="1296" w:type="dxa"/>
            <w:noWrap/>
            <w:hideMark/>
          </w:tcPr>
          <w:p w14:paraId="1270784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50</w:t>
            </w:r>
          </w:p>
        </w:tc>
        <w:tc>
          <w:tcPr>
            <w:tcW w:w="1296" w:type="dxa"/>
            <w:noWrap/>
            <w:hideMark/>
          </w:tcPr>
          <w:p w14:paraId="7FC41B81"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r>
      <w:tr w:rsidR="007937EB" w:rsidRPr="007937EB" w14:paraId="77825342"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7E26CB02"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May</w:t>
            </w:r>
          </w:p>
        </w:tc>
        <w:tc>
          <w:tcPr>
            <w:tcW w:w="1296" w:type="dxa"/>
            <w:noWrap/>
            <w:hideMark/>
          </w:tcPr>
          <w:p w14:paraId="31470C4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35</w:t>
            </w:r>
          </w:p>
        </w:tc>
        <w:tc>
          <w:tcPr>
            <w:tcW w:w="1296" w:type="dxa"/>
            <w:noWrap/>
            <w:hideMark/>
          </w:tcPr>
          <w:p w14:paraId="0DAFDA7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54</w:t>
            </w:r>
          </w:p>
        </w:tc>
        <w:tc>
          <w:tcPr>
            <w:tcW w:w="1295" w:type="dxa"/>
            <w:noWrap/>
            <w:hideMark/>
          </w:tcPr>
          <w:p w14:paraId="2E5DB232"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5B89F843"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570602D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c>
          <w:tcPr>
            <w:tcW w:w="1296" w:type="dxa"/>
            <w:noWrap/>
            <w:hideMark/>
          </w:tcPr>
          <w:p w14:paraId="1CA816E0"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72</w:t>
            </w:r>
          </w:p>
        </w:tc>
      </w:tr>
      <w:tr w:rsidR="007937EB" w:rsidRPr="007937EB" w14:paraId="5242E956"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DC0FA8B"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Jun</w:t>
            </w:r>
          </w:p>
        </w:tc>
        <w:tc>
          <w:tcPr>
            <w:tcW w:w="1296" w:type="dxa"/>
            <w:noWrap/>
            <w:hideMark/>
          </w:tcPr>
          <w:p w14:paraId="4F58922B"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30</w:t>
            </w:r>
          </w:p>
        </w:tc>
        <w:tc>
          <w:tcPr>
            <w:tcW w:w="1296" w:type="dxa"/>
            <w:noWrap/>
            <w:hideMark/>
          </w:tcPr>
          <w:p w14:paraId="13EC562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c>
          <w:tcPr>
            <w:tcW w:w="1295" w:type="dxa"/>
            <w:noWrap/>
            <w:hideMark/>
          </w:tcPr>
          <w:p w14:paraId="6CB1405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89</w:t>
            </w:r>
          </w:p>
        </w:tc>
        <w:tc>
          <w:tcPr>
            <w:tcW w:w="1296" w:type="dxa"/>
            <w:noWrap/>
            <w:hideMark/>
          </w:tcPr>
          <w:p w14:paraId="66FF7D8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10</w:t>
            </w:r>
          </w:p>
        </w:tc>
        <w:tc>
          <w:tcPr>
            <w:tcW w:w="1296" w:type="dxa"/>
            <w:noWrap/>
            <w:hideMark/>
          </w:tcPr>
          <w:p w14:paraId="727FE8E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68</w:t>
            </w:r>
          </w:p>
        </w:tc>
        <w:tc>
          <w:tcPr>
            <w:tcW w:w="1296" w:type="dxa"/>
            <w:noWrap/>
            <w:hideMark/>
          </w:tcPr>
          <w:p w14:paraId="3015E019"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78</w:t>
            </w:r>
          </w:p>
        </w:tc>
      </w:tr>
      <w:tr w:rsidR="007937EB" w:rsidRPr="007937EB" w14:paraId="472DBD8C"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6BFE624E"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Jul</w:t>
            </w:r>
          </w:p>
        </w:tc>
        <w:tc>
          <w:tcPr>
            <w:tcW w:w="1296" w:type="dxa"/>
            <w:noWrap/>
            <w:hideMark/>
          </w:tcPr>
          <w:p w14:paraId="190E30EA"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27</w:t>
            </w:r>
          </w:p>
        </w:tc>
        <w:tc>
          <w:tcPr>
            <w:tcW w:w="1296" w:type="dxa"/>
            <w:noWrap/>
            <w:hideMark/>
          </w:tcPr>
          <w:p w14:paraId="50774E1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60</w:t>
            </w:r>
          </w:p>
        </w:tc>
        <w:tc>
          <w:tcPr>
            <w:tcW w:w="1295" w:type="dxa"/>
            <w:noWrap/>
            <w:hideMark/>
          </w:tcPr>
          <w:p w14:paraId="0BFC5E7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87</w:t>
            </w:r>
          </w:p>
        </w:tc>
        <w:tc>
          <w:tcPr>
            <w:tcW w:w="1296" w:type="dxa"/>
            <w:noWrap/>
            <w:hideMark/>
          </w:tcPr>
          <w:p w14:paraId="6BC1C4D6"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03A9475F"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1023C44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61</w:t>
            </w:r>
          </w:p>
        </w:tc>
      </w:tr>
      <w:tr w:rsidR="007937EB" w:rsidRPr="007937EB" w14:paraId="358BEF76"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0CD70F6"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Aug</w:t>
            </w:r>
          </w:p>
        </w:tc>
        <w:tc>
          <w:tcPr>
            <w:tcW w:w="1296" w:type="dxa"/>
            <w:noWrap/>
            <w:hideMark/>
          </w:tcPr>
          <w:p w14:paraId="247363B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34</w:t>
            </w:r>
          </w:p>
        </w:tc>
        <w:tc>
          <w:tcPr>
            <w:tcW w:w="1296" w:type="dxa"/>
            <w:noWrap/>
            <w:hideMark/>
          </w:tcPr>
          <w:p w14:paraId="79C4140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49</w:t>
            </w:r>
          </w:p>
        </w:tc>
        <w:tc>
          <w:tcPr>
            <w:tcW w:w="1295" w:type="dxa"/>
            <w:noWrap/>
            <w:hideMark/>
          </w:tcPr>
          <w:p w14:paraId="724045A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83</w:t>
            </w:r>
          </w:p>
        </w:tc>
        <w:tc>
          <w:tcPr>
            <w:tcW w:w="1296" w:type="dxa"/>
            <w:noWrap/>
            <w:hideMark/>
          </w:tcPr>
          <w:p w14:paraId="26BBEE4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w:t>
            </w:r>
          </w:p>
        </w:tc>
        <w:tc>
          <w:tcPr>
            <w:tcW w:w="1296" w:type="dxa"/>
            <w:noWrap/>
            <w:hideMark/>
          </w:tcPr>
          <w:p w14:paraId="12B0197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48</w:t>
            </w:r>
          </w:p>
        </w:tc>
        <w:tc>
          <w:tcPr>
            <w:tcW w:w="1296" w:type="dxa"/>
            <w:noWrap/>
            <w:hideMark/>
          </w:tcPr>
          <w:p w14:paraId="08CCD82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53</w:t>
            </w:r>
          </w:p>
        </w:tc>
      </w:tr>
      <w:tr w:rsidR="007937EB" w:rsidRPr="007937EB" w14:paraId="0C986C45"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546E3F4F"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Sep</w:t>
            </w:r>
          </w:p>
        </w:tc>
        <w:tc>
          <w:tcPr>
            <w:tcW w:w="1296" w:type="dxa"/>
            <w:noWrap/>
            <w:hideMark/>
          </w:tcPr>
          <w:p w14:paraId="247F917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31</w:t>
            </w:r>
          </w:p>
        </w:tc>
        <w:tc>
          <w:tcPr>
            <w:tcW w:w="1296" w:type="dxa"/>
            <w:noWrap/>
            <w:hideMark/>
          </w:tcPr>
          <w:p w14:paraId="4CFB6A6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51</w:t>
            </w:r>
          </w:p>
        </w:tc>
        <w:tc>
          <w:tcPr>
            <w:tcW w:w="1295" w:type="dxa"/>
            <w:noWrap/>
            <w:hideMark/>
          </w:tcPr>
          <w:p w14:paraId="642EB149"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82</w:t>
            </w:r>
          </w:p>
        </w:tc>
        <w:tc>
          <w:tcPr>
            <w:tcW w:w="1296" w:type="dxa"/>
            <w:noWrap/>
            <w:hideMark/>
          </w:tcPr>
          <w:p w14:paraId="6E54279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9</w:t>
            </w:r>
          </w:p>
        </w:tc>
        <w:tc>
          <w:tcPr>
            <w:tcW w:w="1296" w:type="dxa"/>
            <w:noWrap/>
            <w:hideMark/>
          </w:tcPr>
          <w:p w14:paraId="2D80BA08"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3E6D9275"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41</w:t>
            </w:r>
          </w:p>
        </w:tc>
      </w:tr>
      <w:tr w:rsidR="007937EB" w:rsidRPr="007937EB" w14:paraId="2F8C41F9"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4E7E5DC5"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Oct</w:t>
            </w:r>
          </w:p>
        </w:tc>
        <w:tc>
          <w:tcPr>
            <w:tcW w:w="1296" w:type="dxa"/>
            <w:noWrap/>
            <w:hideMark/>
          </w:tcPr>
          <w:p w14:paraId="60E02C1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26</w:t>
            </w:r>
          </w:p>
        </w:tc>
        <w:tc>
          <w:tcPr>
            <w:tcW w:w="1296" w:type="dxa"/>
            <w:noWrap/>
            <w:hideMark/>
          </w:tcPr>
          <w:p w14:paraId="1307C91F"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c>
          <w:tcPr>
            <w:tcW w:w="1295" w:type="dxa"/>
            <w:noWrap/>
            <w:hideMark/>
          </w:tcPr>
          <w:p w14:paraId="2CBB532D"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81</w:t>
            </w:r>
          </w:p>
        </w:tc>
        <w:tc>
          <w:tcPr>
            <w:tcW w:w="1296" w:type="dxa"/>
            <w:noWrap/>
            <w:hideMark/>
          </w:tcPr>
          <w:p w14:paraId="29729F9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w:t>
            </w:r>
          </w:p>
        </w:tc>
        <w:tc>
          <w:tcPr>
            <w:tcW w:w="1296" w:type="dxa"/>
            <w:noWrap/>
            <w:hideMark/>
          </w:tcPr>
          <w:p w14:paraId="2D605CB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42</w:t>
            </w:r>
          </w:p>
        </w:tc>
        <w:tc>
          <w:tcPr>
            <w:tcW w:w="1296" w:type="dxa"/>
            <w:noWrap/>
            <w:hideMark/>
          </w:tcPr>
          <w:p w14:paraId="64D08BB3"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45</w:t>
            </w:r>
          </w:p>
        </w:tc>
      </w:tr>
      <w:tr w:rsidR="007937EB" w:rsidRPr="007937EB" w14:paraId="4F707966" w14:textId="77777777" w:rsidTr="009A5C7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32CBAF2C"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Nov</w:t>
            </w:r>
          </w:p>
        </w:tc>
        <w:tc>
          <w:tcPr>
            <w:tcW w:w="1296" w:type="dxa"/>
            <w:noWrap/>
            <w:hideMark/>
          </w:tcPr>
          <w:p w14:paraId="4B0BE9EC"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32</w:t>
            </w:r>
          </w:p>
        </w:tc>
        <w:tc>
          <w:tcPr>
            <w:tcW w:w="1296" w:type="dxa"/>
            <w:noWrap/>
            <w:hideMark/>
          </w:tcPr>
          <w:p w14:paraId="2319F2C1"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56</w:t>
            </w:r>
          </w:p>
        </w:tc>
        <w:tc>
          <w:tcPr>
            <w:tcW w:w="1295" w:type="dxa"/>
            <w:noWrap/>
            <w:hideMark/>
          </w:tcPr>
          <w:p w14:paraId="35829ECB"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88</w:t>
            </w:r>
          </w:p>
        </w:tc>
        <w:tc>
          <w:tcPr>
            <w:tcW w:w="1296" w:type="dxa"/>
            <w:noWrap/>
            <w:hideMark/>
          </w:tcPr>
          <w:p w14:paraId="6F12B2ED"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7</w:t>
            </w:r>
          </w:p>
        </w:tc>
        <w:tc>
          <w:tcPr>
            <w:tcW w:w="1296" w:type="dxa"/>
            <w:noWrap/>
            <w:hideMark/>
          </w:tcPr>
          <w:p w14:paraId="3B671E7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52</w:t>
            </w:r>
          </w:p>
        </w:tc>
        <w:tc>
          <w:tcPr>
            <w:tcW w:w="1296" w:type="dxa"/>
            <w:noWrap/>
            <w:hideMark/>
          </w:tcPr>
          <w:p w14:paraId="7E098CEE" w14:textId="77777777" w:rsidR="007937EB" w:rsidRPr="00E636B7"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59</w:t>
            </w:r>
          </w:p>
        </w:tc>
      </w:tr>
      <w:tr w:rsidR="007937EB" w:rsidRPr="007937EB" w14:paraId="7A6D5CF7" w14:textId="77777777" w:rsidTr="009A5C78">
        <w:trPr>
          <w:trHeight w:val="300"/>
        </w:trPr>
        <w:tc>
          <w:tcPr>
            <w:cnfStyle w:val="001000000000" w:firstRow="0" w:lastRow="0" w:firstColumn="1" w:lastColumn="0" w:oddVBand="0" w:evenVBand="0" w:oddHBand="0" w:evenHBand="0" w:firstRowFirstColumn="0" w:firstRowLastColumn="0" w:lastRowFirstColumn="0" w:lastRowLastColumn="0"/>
            <w:tcW w:w="1295" w:type="dxa"/>
            <w:noWrap/>
            <w:hideMark/>
          </w:tcPr>
          <w:p w14:paraId="28EE3079" w14:textId="77777777" w:rsidR="007937EB" w:rsidRPr="00E636B7" w:rsidRDefault="007937EB" w:rsidP="007937EB">
            <w:pPr>
              <w:rPr>
                <w:rFonts w:eastAsia="Times New Roman" w:cs="Times New Roman"/>
                <w:color w:val="000000"/>
                <w:sz w:val="20"/>
                <w:szCs w:val="20"/>
                <w:lang w:eastAsia="en-AU"/>
              </w:rPr>
            </w:pPr>
            <w:r w:rsidRPr="00E636B7">
              <w:rPr>
                <w:rFonts w:eastAsia="Times New Roman" w:cs="Times New Roman"/>
                <w:color w:val="000000"/>
                <w:sz w:val="20"/>
                <w:szCs w:val="20"/>
                <w:lang w:eastAsia="en-AU"/>
              </w:rPr>
              <w:t>Dec</w:t>
            </w:r>
          </w:p>
        </w:tc>
        <w:tc>
          <w:tcPr>
            <w:tcW w:w="1296" w:type="dxa"/>
            <w:noWrap/>
            <w:hideMark/>
          </w:tcPr>
          <w:p w14:paraId="54C6537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15</w:t>
            </w:r>
          </w:p>
        </w:tc>
        <w:tc>
          <w:tcPr>
            <w:tcW w:w="1296" w:type="dxa"/>
            <w:noWrap/>
            <w:hideMark/>
          </w:tcPr>
          <w:p w14:paraId="577C0CD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47</w:t>
            </w:r>
          </w:p>
        </w:tc>
        <w:tc>
          <w:tcPr>
            <w:tcW w:w="1295" w:type="dxa"/>
            <w:noWrap/>
            <w:hideMark/>
          </w:tcPr>
          <w:p w14:paraId="4D045D94"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62</w:t>
            </w:r>
          </w:p>
        </w:tc>
        <w:tc>
          <w:tcPr>
            <w:tcW w:w="1296" w:type="dxa"/>
            <w:noWrap/>
            <w:hideMark/>
          </w:tcPr>
          <w:p w14:paraId="3B86E4B0"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11</w:t>
            </w:r>
          </w:p>
        </w:tc>
        <w:tc>
          <w:tcPr>
            <w:tcW w:w="1296" w:type="dxa"/>
            <w:noWrap/>
            <w:hideMark/>
          </w:tcPr>
          <w:p w14:paraId="40FFF952"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44</w:t>
            </w:r>
          </w:p>
        </w:tc>
        <w:tc>
          <w:tcPr>
            <w:tcW w:w="1296" w:type="dxa"/>
            <w:noWrap/>
            <w:hideMark/>
          </w:tcPr>
          <w:p w14:paraId="370CA046" w14:textId="77777777" w:rsidR="007937EB" w:rsidRPr="00E636B7"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E636B7">
              <w:rPr>
                <w:rFonts w:eastAsia="Times New Roman" w:cs="Times New Roman"/>
                <w:color w:val="000000"/>
                <w:sz w:val="20"/>
                <w:szCs w:val="20"/>
                <w:lang w:eastAsia="en-AU"/>
              </w:rPr>
              <w:t>55</w:t>
            </w:r>
          </w:p>
        </w:tc>
      </w:tr>
    </w:tbl>
    <w:p w14:paraId="50947122" w14:textId="77777777" w:rsidR="007937EB" w:rsidRPr="007937EB" w:rsidRDefault="007937EB" w:rsidP="007937EB">
      <w:pPr>
        <w:rPr>
          <w:rFonts w:asciiTheme="minorHAnsi" w:hAnsiTheme="minorHAnsi"/>
          <w:sz w:val="22"/>
          <w:lang w:val="en-US"/>
        </w:rPr>
      </w:pPr>
    </w:p>
    <w:p w14:paraId="69C4F380" w14:textId="77777777" w:rsidR="007937EB" w:rsidRPr="007937EB" w:rsidRDefault="007937EB" w:rsidP="00596E66">
      <w:pPr>
        <w:pStyle w:val="Heading5"/>
        <w:rPr>
          <w:lang w:val="en-US"/>
        </w:rPr>
      </w:pPr>
      <w:r w:rsidRPr="007937EB">
        <w:t>Intentional ibuprofen poisoning events per month (by age group), and change in total and proportion due to ibuprofen combinations after 2018 codeine S4 scheduling</w:t>
      </w:r>
    </w:p>
    <w:tbl>
      <w:tblPr>
        <w:tblStyle w:val="ListTable2"/>
        <w:tblW w:w="9072" w:type="dxa"/>
        <w:tblLayout w:type="fixed"/>
        <w:tblLook w:val="04A0" w:firstRow="1" w:lastRow="0" w:firstColumn="1" w:lastColumn="0" w:noHBand="0" w:noVBand="1"/>
      </w:tblPr>
      <w:tblGrid>
        <w:gridCol w:w="1814"/>
        <w:gridCol w:w="1814"/>
        <w:gridCol w:w="1815"/>
        <w:gridCol w:w="1814"/>
        <w:gridCol w:w="1815"/>
      </w:tblGrid>
      <w:tr w:rsidR="007937EB" w:rsidRPr="007937EB" w14:paraId="2F3A8BCF" w14:textId="77777777" w:rsidTr="009A5C7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3BE60A6" w14:textId="77777777" w:rsidR="007937EB" w:rsidRPr="00D0012A" w:rsidRDefault="007937EB" w:rsidP="007937EB">
            <w:pPr>
              <w:rPr>
                <w:rFonts w:eastAsia="Times New Roman" w:cs="Times New Roman"/>
                <w:sz w:val="20"/>
                <w:szCs w:val="20"/>
                <w:lang w:eastAsia="en-AU"/>
              </w:rPr>
            </w:pPr>
          </w:p>
        </w:tc>
        <w:tc>
          <w:tcPr>
            <w:tcW w:w="1814" w:type="dxa"/>
            <w:noWrap/>
            <w:hideMark/>
          </w:tcPr>
          <w:p w14:paraId="798E9066" w14:textId="77777777" w:rsidR="007937EB" w:rsidRPr="00D0012A"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Child/adolescent</w:t>
            </w:r>
          </w:p>
        </w:tc>
        <w:tc>
          <w:tcPr>
            <w:tcW w:w="1815" w:type="dxa"/>
            <w:noWrap/>
            <w:hideMark/>
          </w:tcPr>
          <w:p w14:paraId="6D469FEC" w14:textId="77777777" w:rsidR="007937EB" w:rsidRPr="00D0012A"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Adult/elderly/unknown</w:t>
            </w:r>
          </w:p>
        </w:tc>
        <w:tc>
          <w:tcPr>
            <w:tcW w:w="1814" w:type="dxa"/>
            <w:noWrap/>
            <w:hideMark/>
          </w:tcPr>
          <w:p w14:paraId="49721F23" w14:textId="77777777" w:rsidR="007937EB" w:rsidRPr="00D0012A"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 xml:space="preserve">Total </w:t>
            </w:r>
          </w:p>
        </w:tc>
        <w:tc>
          <w:tcPr>
            <w:tcW w:w="1815" w:type="dxa"/>
            <w:noWrap/>
            <w:hideMark/>
          </w:tcPr>
          <w:p w14:paraId="3A216C0A" w14:textId="77777777" w:rsidR="007937EB" w:rsidRPr="00D0012A" w:rsidRDefault="007937EB" w:rsidP="009A5C7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 xml:space="preserve">Combination products </w:t>
            </w:r>
          </w:p>
        </w:tc>
      </w:tr>
      <w:tr w:rsidR="007937EB" w:rsidRPr="007937EB" w14:paraId="5EAC8707"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412454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Jan-11</w:t>
            </w:r>
          </w:p>
        </w:tc>
        <w:tc>
          <w:tcPr>
            <w:tcW w:w="1814" w:type="dxa"/>
            <w:noWrap/>
            <w:hideMark/>
          </w:tcPr>
          <w:p w14:paraId="7BF9E1F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c>
          <w:tcPr>
            <w:tcW w:w="1815" w:type="dxa"/>
            <w:noWrap/>
            <w:hideMark/>
          </w:tcPr>
          <w:p w14:paraId="3C5F44C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35</w:t>
            </w:r>
          </w:p>
        </w:tc>
        <w:tc>
          <w:tcPr>
            <w:tcW w:w="1814" w:type="dxa"/>
            <w:noWrap/>
            <w:hideMark/>
          </w:tcPr>
          <w:p w14:paraId="2DDF7EF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5" w:type="dxa"/>
            <w:noWrap/>
            <w:hideMark/>
          </w:tcPr>
          <w:p w14:paraId="72165AF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759CC8B0"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BC4F48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Feb-11</w:t>
            </w:r>
          </w:p>
        </w:tc>
        <w:tc>
          <w:tcPr>
            <w:tcW w:w="1814" w:type="dxa"/>
            <w:noWrap/>
            <w:hideMark/>
          </w:tcPr>
          <w:p w14:paraId="6DE5C8D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c>
          <w:tcPr>
            <w:tcW w:w="1815" w:type="dxa"/>
            <w:noWrap/>
            <w:hideMark/>
          </w:tcPr>
          <w:p w14:paraId="2356CC3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4" w:type="dxa"/>
            <w:noWrap/>
            <w:hideMark/>
          </w:tcPr>
          <w:p w14:paraId="53E5AB1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2CE2031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08A099A4"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ACC118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Mar-11</w:t>
            </w:r>
          </w:p>
        </w:tc>
        <w:tc>
          <w:tcPr>
            <w:tcW w:w="1814" w:type="dxa"/>
            <w:noWrap/>
            <w:hideMark/>
          </w:tcPr>
          <w:p w14:paraId="21C86E9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21</w:t>
            </w:r>
          </w:p>
        </w:tc>
        <w:tc>
          <w:tcPr>
            <w:tcW w:w="1815" w:type="dxa"/>
            <w:noWrap/>
            <w:hideMark/>
          </w:tcPr>
          <w:p w14:paraId="2147397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52</w:t>
            </w:r>
          </w:p>
        </w:tc>
        <w:tc>
          <w:tcPr>
            <w:tcW w:w="1814" w:type="dxa"/>
            <w:noWrap/>
            <w:hideMark/>
          </w:tcPr>
          <w:p w14:paraId="4474ADA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4B36993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1C48613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432E71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Apr-11</w:t>
            </w:r>
          </w:p>
        </w:tc>
        <w:tc>
          <w:tcPr>
            <w:tcW w:w="1814" w:type="dxa"/>
            <w:noWrap/>
            <w:hideMark/>
          </w:tcPr>
          <w:p w14:paraId="7FD763B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18</w:t>
            </w:r>
          </w:p>
        </w:tc>
        <w:tc>
          <w:tcPr>
            <w:tcW w:w="1815" w:type="dxa"/>
            <w:noWrap/>
            <w:hideMark/>
          </w:tcPr>
          <w:p w14:paraId="051A77C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637285A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59</w:t>
            </w:r>
          </w:p>
        </w:tc>
        <w:tc>
          <w:tcPr>
            <w:tcW w:w="1815" w:type="dxa"/>
            <w:noWrap/>
            <w:hideMark/>
          </w:tcPr>
          <w:p w14:paraId="3B7F435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6C5F3D0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FC63C5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May-11</w:t>
            </w:r>
          </w:p>
        </w:tc>
        <w:tc>
          <w:tcPr>
            <w:tcW w:w="1814" w:type="dxa"/>
            <w:noWrap/>
            <w:hideMark/>
          </w:tcPr>
          <w:p w14:paraId="1304D84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19</w:t>
            </w:r>
          </w:p>
        </w:tc>
        <w:tc>
          <w:tcPr>
            <w:tcW w:w="1815" w:type="dxa"/>
            <w:noWrap/>
            <w:hideMark/>
          </w:tcPr>
          <w:p w14:paraId="3BE8ED8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4" w:type="dxa"/>
            <w:noWrap/>
            <w:hideMark/>
          </w:tcPr>
          <w:p w14:paraId="71EC816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5" w:type="dxa"/>
            <w:noWrap/>
            <w:hideMark/>
          </w:tcPr>
          <w:p w14:paraId="192CF27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r>
      <w:tr w:rsidR="007937EB" w:rsidRPr="007937EB" w14:paraId="7E649BB1"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CB47E4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Jun-11</w:t>
            </w:r>
          </w:p>
        </w:tc>
        <w:tc>
          <w:tcPr>
            <w:tcW w:w="1814" w:type="dxa"/>
            <w:noWrap/>
            <w:hideMark/>
          </w:tcPr>
          <w:p w14:paraId="535C0EE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21</w:t>
            </w:r>
          </w:p>
        </w:tc>
        <w:tc>
          <w:tcPr>
            <w:tcW w:w="1815" w:type="dxa"/>
            <w:noWrap/>
            <w:hideMark/>
          </w:tcPr>
          <w:p w14:paraId="0DB5845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4" w:type="dxa"/>
            <w:noWrap/>
            <w:hideMark/>
          </w:tcPr>
          <w:p w14:paraId="07A3138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77</w:t>
            </w:r>
          </w:p>
        </w:tc>
        <w:tc>
          <w:tcPr>
            <w:tcW w:w="1815" w:type="dxa"/>
            <w:noWrap/>
            <w:hideMark/>
          </w:tcPr>
          <w:p w14:paraId="16315A5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24</w:t>
            </w:r>
          </w:p>
        </w:tc>
      </w:tr>
      <w:tr w:rsidR="007937EB" w:rsidRPr="007937EB" w14:paraId="27BAC5F6"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4B5C37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Jul-11</w:t>
            </w:r>
          </w:p>
        </w:tc>
        <w:tc>
          <w:tcPr>
            <w:tcW w:w="1814" w:type="dxa"/>
            <w:noWrap/>
            <w:hideMark/>
          </w:tcPr>
          <w:p w14:paraId="7C17C6D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c>
          <w:tcPr>
            <w:tcW w:w="1815" w:type="dxa"/>
            <w:noWrap/>
            <w:hideMark/>
          </w:tcPr>
          <w:p w14:paraId="37347C5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4" w:type="dxa"/>
            <w:noWrap/>
            <w:hideMark/>
          </w:tcPr>
          <w:p w14:paraId="739261F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5" w:type="dxa"/>
            <w:noWrap/>
            <w:hideMark/>
          </w:tcPr>
          <w:p w14:paraId="51C5AE4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w:t>
            </w:r>
          </w:p>
        </w:tc>
      </w:tr>
      <w:tr w:rsidR="007937EB" w:rsidRPr="007937EB" w14:paraId="6D284920"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34939B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Aug-11</w:t>
            </w:r>
          </w:p>
        </w:tc>
        <w:tc>
          <w:tcPr>
            <w:tcW w:w="1814" w:type="dxa"/>
            <w:noWrap/>
            <w:hideMark/>
          </w:tcPr>
          <w:p w14:paraId="6B3923E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c>
          <w:tcPr>
            <w:tcW w:w="1815" w:type="dxa"/>
            <w:noWrap/>
            <w:hideMark/>
          </w:tcPr>
          <w:p w14:paraId="0A228A9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60</w:t>
            </w:r>
          </w:p>
        </w:tc>
        <w:tc>
          <w:tcPr>
            <w:tcW w:w="1814" w:type="dxa"/>
            <w:noWrap/>
            <w:hideMark/>
          </w:tcPr>
          <w:p w14:paraId="6A2B958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76</w:t>
            </w:r>
          </w:p>
        </w:tc>
        <w:tc>
          <w:tcPr>
            <w:tcW w:w="1815" w:type="dxa"/>
            <w:noWrap/>
            <w:hideMark/>
          </w:tcPr>
          <w:p w14:paraId="251336C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r>
      <w:tr w:rsidR="007937EB" w:rsidRPr="007937EB" w14:paraId="4147278F"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D8A479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Sep-11</w:t>
            </w:r>
          </w:p>
        </w:tc>
        <w:tc>
          <w:tcPr>
            <w:tcW w:w="1814" w:type="dxa"/>
            <w:noWrap/>
            <w:hideMark/>
          </w:tcPr>
          <w:p w14:paraId="7CEA169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26</w:t>
            </w:r>
          </w:p>
        </w:tc>
        <w:tc>
          <w:tcPr>
            <w:tcW w:w="1815" w:type="dxa"/>
            <w:noWrap/>
            <w:hideMark/>
          </w:tcPr>
          <w:p w14:paraId="3B71A6C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38</w:t>
            </w:r>
          </w:p>
        </w:tc>
        <w:tc>
          <w:tcPr>
            <w:tcW w:w="1814" w:type="dxa"/>
            <w:noWrap/>
            <w:hideMark/>
          </w:tcPr>
          <w:p w14:paraId="1217E6F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64</w:t>
            </w:r>
          </w:p>
        </w:tc>
        <w:tc>
          <w:tcPr>
            <w:tcW w:w="1815" w:type="dxa"/>
            <w:noWrap/>
            <w:hideMark/>
          </w:tcPr>
          <w:p w14:paraId="3A03DD2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r>
      <w:tr w:rsidR="007937EB" w:rsidRPr="007937EB" w14:paraId="1DA7AB3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1C57A5B"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Oct-11</w:t>
            </w:r>
          </w:p>
        </w:tc>
        <w:tc>
          <w:tcPr>
            <w:tcW w:w="1814" w:type="dxa"/>
            <w:noWrap/>
            <w:hideMark/>
          </w:tcPr>
          <w:p w14:paraId="6FF3D3F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26</w:t>
            </w:r>
          </w:p>
        </w:tc>
        <w:tc>
          <w:tcPr>
            <w:tcW w:w="1815" w:type="dxa"/>
            <w:noWrap/>
            <w:hideMark/>
          </w:tcPr>
          <w:p w14:paraId="7818966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4" w:type="dxa"/>
            <w:noWrap/>
            <w:hideMark/>
          </w:tcPr>
          <w:p w14:paraId="624FEE2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2F7103B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5D04961B"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46037D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Nov-11</w:t>
            </w:r>
          </w:p>
        </w:tc>
        <w:tc>
          <w:tcPr>
            <w:tcW w:w="1814" w:type="dxa"/>
            <w:noWrap/>
            <w:hideMark/>
          </w:tcPr>
          <w:p w14:paraId="3A4C262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28</w:t>
            </w:r>
          </w:p>
        </w:tc>
        <w:tc>
          <w:tcPr>
            <w:tcW w:w="1815" w:type="dxa"/>
            <w:noWrap/>
            <w:hideMark/>
          </w:tcPr>
          <w:p w14:paraId="16606C3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34</w:t>
            </w:r>
          </w:p>
        </w:tc>
        <w:tc>
          <w:tcPr>
            <w:tcW w:w="1814" w:type="dxa"/>
            <w:noWrap/>
            <w:hideMark/>
          </w:tcPr>
          <w:p w14:paraId="0C24C08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62</w:t>
            </w:r>
          </w:p>
        </w:tc>
        <w:tc>
          <w:tcPr>
            <w:tcW w:w="1815" w:type="dxa"/>
            <w:noWrap/>
            <w:hideMark/>
          </w:tcPr>
          <w:p w14:paraId="78FB554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60292824"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3FF84EB"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Dec-11</w:t>
            </w:r>
          </w:p>
        </w:tc>
        <w:tc>
          <w:tcPr>
            <w:tcW w:w="1814" w:type="dxa"/>
            <w:noWrap/>
            <w:hideMark/>
          </w:tcPr>
          <w:p w14:paraId="4C9AEF8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c>
          <w:tcPr>
            <w:tcW w:w="1815" w:type="dxa"/>
            <w:noWrap/>
            <w:hideMark/>
          </w:tcPr>
          <w:p w14:paraId="6EE4FFA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4" w:type="dxa"/>
            <w:noWrap/>
            <w:hideMark/>
          </w:tcPr>
          <w:p w14:paraId="6230F7D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5" w:type="dxa"/>
            <w:noWrap/>
            <w:hideMark/>
          </w:tcPr>
          <w:p w14:paraId="0BA1FB0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r>
      <w:tr w:rsidR="007937EB" w:rsidRPr="007937EB" w14:paraId="5F48F4F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5F5E80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Jan-12</w:t>
            </w:r>
          </w:p>
        </w:tc>
        <w:tc>
          <w:tcPr>
            <w:tcW w:w="1814" w:type="dxa"/>
            <w:noWrap/>
            <w:hideMark/>
          </w:tcPr>
          <w:p w14:paraId="65D37DE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19</w:t>
            </w:r>
          </w:p>
        </w:tc>
        <w:tc>
          <w:tcPr>
            <w:tcW w:w="1815" w:type="dxa"/>
            <w:noWrap/>
            <w:hideMark/>
          </w:tcPr>
          <w:p w14:paraId="7D910E0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40D52FD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4D981AC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r>
      <w:tr w:rsidR="007937EB" w:rsidRPr="007937EB" w14:paraId="3B679465"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CE9FD4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Feb-12</w:t>
            </w:r>
          </w:p>
        </w:tc>
        <w:tc>
          <w:tcPr>
            <w:tcW w:w="1814" w:type="dxa"/>
            <w:noWrap/>
            <w:hideMark/>
          </w:tcPr>
          <w:p w14:paraId="07A5341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27</w:t>
            </w:r>
          </w:p>
        </w:tc>
        <w:tc>
          <w:tcPr>
            <w:tcW w:w="1815" w:type="dxa"/>
            <w:noWrap/>
            <w:hideMark/>
          </w:tcPr>
          <w:p w14:paraId="67CC979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4" w:type="dxa"/>
            <w:noWrap/>
            <w:hideMark/>
          </w:tcPr>
          <w:p w14:paraId="2EE08D5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72</w:t>
            </w:r>
          </w:p>
        </w:tc>
        <w:tc>
          <w:tcPr>
            <w:tcW w:w="1815" w:type="dxa"/>
            <w:noWrap/>
            <w:hideMark/>
          </w:tcPr>
          <w:p w14:paraId="779C1F3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3FEFCD2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FB4BEB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Mar-12</w:t>
            </w:r>
          </w:p>
        </w:tc>
        <w:tc>
          <w:tcPr>
            <w:tcW w:w="1814" w:type="dxa"/>
            <w:noWrap/>
            <w:hideMark/>
          </w:tcPr>
          <w:p w14:paraId="2405F62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27</w:t>
            </w:r>
          </w:p>
        </w:tc>
        <w:tc>
          <w:tcPr>
            <w:tcW w:w="1815" w:type="dxa"/>
            <w:noWrap/>
            <w:hideMark/>
          </w:tcPr>
          <w:p w14:paraId="13C2324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1C0FB96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68</w:t>
            </w:r>
          </w:p>
        </w:tc>
        <w:tc>
          <w:tcPr>
            <w:tcW w:w="1815" w:type="dxa"/>
            <w:noWrap/>
            <w:hideMark/>
          </w:tcPr>
          <w:p w14:paraId="224804E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2AEFE92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D9E51D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Apr-12</w:t>
            </w:r>
          </w:p>
        </w:tc>
        <w:tc>
          <w:tcPr>
            <w:tcW w:w="1814" w:type="dxa"/>
            <w:noWrap/>
            <w:hideMark/>
          </w:tcPr>
          <w:p w14:paraId="6DB5BA6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22</w:t>
            </w:r>
          </w:p>
        </w:tc>
        <w:tc>
          <w:tcPr>
            <w:tcW w:w="1815" w:type="dxa"/>
            <w:noWrap/>
            <w:hideMark/>
          </w:tcPr>
          <w:p w14:paraId="6FBD0EC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34</w:t>
            </w:r>
          </w:p>
        </w:tc>
        <w:tc>
          <w:tcPr>
            <w:tcW w:w="1814" w:type="dxa"/>
            <w:noWrap/>
            <w:hideMark/>
          </w:tcPr>
          <w:p w14:paraId="42EDEBB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5" w:type="dxa"/>
            <w:noWrap/>
            <w:hideMark/>
          </w:tcPr>
          <w:p w14:paraId="3C79E26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30FCADC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0D0658B"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May-12</w:t>
            </w:r>
          </w:p>
        </w:tc>
        <w:tc>
          <w:tcPr>
            <w:tcW w:w="1814" w:type="dxa"/>
            <w:noWrap/>
            <w:hideMark/>
          </w:tcPr>
          <w:p w14:paraId="65D4604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24</w:t>
            </w:r>
          </w:p>
        </w:tc>
        <w:tc>
          <w:tcPr>
            <w:tcW w:w="1815" w:type="dxa"/>
            <w:noWrap/>
            <w:hideMark/>
          </w:tcPr>
          <w:p w14:paraId="1F7F963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4" w:type="dxa"/>
            <w:noWrap/>
            <w:hideMark/>
          </w:tcPr>
          <w:p w14:paraId="7CB345F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72</w:t>
            </w:r>
          </w:p>
        </w:tc>
        <w:tc>
          <w:tcPr>
            <w:tcW w:w="1815" w:type="dxa"/>
            <w:noWrap/>
            <w:hideMark/>
          </w:tcPr>
          <w:p w14:paraId="04905AE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44FD636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8A3A54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Jun-12</w:t>
            </w:r>
          </w:p>
        </w:tc>
        <w:tc>
          <w:tcPr>
            <w:tcW w:w="1814" w:type="dxa"/>
            <w:noWrap/>
            <w:hideMark/>
          </w:tcPr>
          <w:p w14:paraId="6908638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25</w:t>
            </w:r>
          </w:p>
        </w:tc>
        <w:tc>
          <w:tcPr>
            <w:tcW w:w="1815" w:type="dxa"/>
            <w:noWrap/>
            <w:hideMark/>
          </w:tcPr>
          <w:p w14:paraId="01DFA1A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7B49CC3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592D96C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w:t>
            </w:r>
          </w:p>
        </w:tc>
      </w:tr>
      <w:tr w:rsidR="007937EB" w:rsidRPr="007937EB" w14:paraId="5B942BF2"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7DC02F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Jul-12</w:t>
            </w:r>
          </w:p>
        </w:tc>
        <w:tc>
          <w:tcPr>
            <w:tcW w:w="1814" w:type="dxa"/>
            <w:noWrap/>
            <w:hideMark/>
          </w:tcPr>
          <w:p w14:paraId="5E6BC58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23</w:t>
            </w:r>
          </w:p>
        </w:tc>
        <w:tc>
          <w:tcPr>
            <w:tcW w:w="1815" w:type="dxa"/>
            <w:noWrap/>
            <w:hideMark/>
          </w:tcPr>
          <w:p w14:paraId="6785C48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4" w:type="dxa"/>
            <w:noWrap/>
            <w:hideMark/>
          </w:tcPr>
          <w:p w14:paraId="11D14BE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68</w:t>
            </w:r>
          </w:p>
        </w:tc>
        <w:tc>
          <w:tcPr>
            <w:tcW w:w="1815" w:type="dxa"/>
            <w:noWrap/>
            <w:hideMark/>
          </w:tcPr>
          <w:p w14:paraId="2558D29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3B3E3279"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E66C02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Aug-12</w:t>
            </w:r>
          </w:p>
        </w:tc>
        <w:tc>
          <w:tcPr>
            <w:tcW w:w="1814" w:type="dxa"/>
            <w:noWrap/>
            <w:hideMark/>
          </w:tcPr>
          <w:p w14:paraId="26E563F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31</w:t>
            </w:r>
          </w:p>
        </w:tc>
        <w:tc>
          <w:tcPr>
            <w:tcW w:w="1815" w:type="dxa"/>
            <w:noWrap/>
            <w:hideMark/>
          </w:tcPr>
          <w:p w14:paraId="4938DA7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4" w:type="dxa"/>
            <w:noWrap/>
            <w:hideMark/>
          </w:tcPr>
          <w:p w14:paraId="2522CC7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77</w:t>
            </w:r>
          </w:p>
        </w:tc>
        <w:tc>
          <w:tcPr>
            <w:tcW w:w="1815" w:type="dxa"/>
            <w:noWrap/>
            <w:hideMark/>
          </w:tcPr>
          <w:p w14:paraId="430BEAD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4FAEE986"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C230E0B"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Sep-12</w:t>
            </w:r>
          </w:p>
        </w:tc>
        <w:tc>
          <w:tcPr>
            <w:tcW w:w="1814" w:type="dxa"/>
            <w:noWrap/>
            <w:hideMark/>
          </w:tcPr>
          <w:p w14:paraId="47DE9DC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36</w:t>
            </w:r>
          </w:p>
        </w:tc>
        <w:tc>
          <w:tcPr>
            <w:tcW w:w="1815" w:type="dxa"/>
            <w:noWrap/>
            <w:hideMark/>
          </w:tcPr>
          <w:p w14:paraId="4257B6B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3A09084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77</w:t>
            </w:r>
          </w:p>
        </w:tc>
        <w:tc>
          <w:tcPr>
            <w:tcW w:w="1815" w:type="dxa"/>
            <w:noWrap/>
            <w:hideMark/>
          </w:tcPr>
          <w:p w14:paraId="07908E4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4B7BBC43"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441883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Oct-12</w:t>
            </w:r>
          </w:p>
        </w:tc>
        <w:tc>
          <w:tcPr>
            <w:tcW w:w="1814" w:type="dxa"/>
            <w:noWrap/>
            <w:hideMark/>
          </w:tcPr>
          <w:p w14:paraId="61131A8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5" w:type="dxa"/>
            <w:noWrap/>
            <w:hideMark/>
          </w:tcPr>
          <w:p w14:paraId="34ED1BC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4" w:type="dxa"/>
            <w:noWrap/>
            <w:hideMark/>
          </w:tcPr>
          <w:p w14:paraId="0750B69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101</w:t>
            </w:r>
          </w:p>
        </w:tc>
        <w:tc>
          <w:tcPr>
            <w:tcW w:w="1815" w:type="dxa"/>
            <w:noWrap/>
            <w:hideMark/>
          </w:tcPr>
          <w:p w14:paraId="3E79389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2B7BDD8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4F228E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Nov-12</w:t>
            </w:r>
          </w:p>
        </w:tc>
        <w:tc>
          <w:tcPr>
            <w:tcW w:w="1814" w:type="dxa"/>
            <w:noWrap/>
            <w:hideMark/>
          </w:tcPr>
          <w:p w14:paraId="391852E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7532379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228BB8D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78</w:t>
            </w:r>
          </w:p>
        </w:tc>
        <w:tc>
          <w:tcPr>
            <w:tcW w:w="1815" w:type="dxa"/>
            <w:noWrap/>
            <w:hideMark/>
          </w:tcPr>
          <w:p w14:paraId="653E8B8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r>
      <w:tr w:rsidR="007937EB" w:rsidRPr="007937EB" w14:paraId="5C23F125"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9EEB7A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Dec-12</w:t>
            </w:r>
          </w:p>
        </w:tc>
        <w:tc>
          <w:tcPr>
            <w:tcW w:w="1814" w:type="dxa"/>
            <w:noWrap/>
            <w:hideMark/>
          </w:tcPr>
          <w:p w14:paraId="66081DD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24</w:t>
            </w:r>
          </w:p>
        </w:tc>
        <w:tc>
          <w:tcPr>
            <w:tcW w:w="1815" w:type="dxa"/>
            <w:noWrap/>
            <w:hideMark/>
          </w:tcPr>
          <w:p w14:paraId="606DA65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4" w:type="dxa"/>
            <w:noWrap/>
            <w:hideMark/>
          </w:tcPr>
          <w:p w14:paraId="6992F3E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80</w:t>
            </w:r>
          </w:p>
        </w:tc>
        <w:tc>
          <w:tcPr>
            <w:tcW w:w="1815" w:type="dxa"/>
            <w:noWrap/>
            <w:hideMark/>
          </w:tcPr>
          <w:p w14:paraId="45A4BE4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620A151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9E70C5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Jan-13</w:t>
            </w:r>
          </w:p>
        </w:tc>
        <w:tc>
          <w:tcPr>
            <w:tcW w:w="1814" w:type="dxa"/>
            <w:noWrap/>
            <w:hideMark/>
          </w:tcPr>
          <w:p w14:paraId="5FD1D8D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33</w:t>
            </w:r>
          </w:p>
        </w:tc>
        <w:tc>
          <w:tcPr>
            <w:tcW w:w="1815" w:type="dxa"/>
            <w:noWrap/>
            <w:hideMark/>
          </w:tcPr>
          <w:p w14:paraId="1077E15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620D3D9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w:t>
            </w:r>
          </w:p>
        </w:tc>
        <w:tc>
          <w:tcPr>
            <w:tcW w:w="1815" w:type="dxa"/>
            <w:noWrap/>
            <w:hideMark/>
          </w:tcPr>
          <w:p w14:paraId="30FFD7E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65F9F9E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7D8670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Feb-13</w:t>
            </w:r>
          </w:p>
        </w:tc>
        <w:tc>
          <w:tcPr>
            <w:tcW w:w="1814" w:type="dxa"/>
            <w:noWrap/>
            <w:hideMark/>
          </w:tcPr>
          <w:p w14:paraId="03F5568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28</w:t>
            </w:r>
          </w:p>
        </w:tc>
        <w:tc>
          <w:tcPr>
            <w:tcW w:w="1815" w:type="dxa"/>
            <w:noWrap/>
            <w:hideMark/>
          </w:tcPr>
          <w:p w14:paraId="7606455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4" w:type="dxa"/>
            <w:noWrap/>
            <w:hideMark/>
          </w:tcPr>
          <w:p w14:paraId="699F574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74</w:t>
            </w:r>
          </w:p>
        </w:tc>
        <w:tc>
          <w:tcPr>
            <w:tcW w:w="1815" w:type="dxa"/>
            <w:noWrap/>
            <w:hideMark/>
          </w:tcPr>
          <w:p w14:paraId="20E400A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4DEE7331"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1F5210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Mar-13</w:t>
            </w:r>
          </w:p>
        </w:tc>
        <w:tc>
          <w:tcPr>
            <w:tcW w:w="1814" w:type="dxa"/>
            <w:noWrap/>
            <w:hideMark/>
          </w:tcPr>
          <w:p w14:paraId="740205E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26</w:t>
            </w:r>
          </w:p>
        </w:tc>
        <w:tc>
          <w:tcPr>
            <w:tcW w:w="1815" w:type="dxa"/>
            <w:noWrap/>
            <w:hideMark/>
          </w:tcPr>
          <w:p w14:paraId="0CA862E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32E618F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67</w:t>
            </w:r>
          </w:p>
        </w:tc>
        <w:tc>
          <w:tcPr>
            <w:tcW w:w="1815" w:type="dxa"/>
            <w:noWrap/>
            <w:hideMark/>
          </w:tcPr>
          <w:p w14:paraId="4059BE8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7A93429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FC6033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Apr-13</w:t>
            </w:r>
          </w:p>
        </w:tc>
        <w:tc>
          <w:tcPr>
            <w:tcW w:w="1814" w:type="dxa"/>
            <w:noWrap/>
            <w:hideMark/>
          </w:tcPr>
          <w:p w14:paraId="7A75CB0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13FA2C3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7F7F638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82</w:t>
            </w:r>
          </w:p>
        </w:tc>
        <w:tc>
          <w:tcPr>
            <w:tcW w:w="1815" w:type="dxa"/>
            <w:noWrap/>
            <w:hideMark/>
          </w:tcPr>
          <w:p w14:paraId="551AA75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w:t>
            </w:r>
          </w:p>
        </w:tc>
      </w:tr>
      <w:tr w:rsidR="007937EB" w:rsidRPr="007937EB" w14:paraId="7089C37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E6DC62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May-13</w:t>
            </w:r>
          </w:p>
        </w:tc>
        <w:tc>
          <w:tcPr>
            <w:tcW w:w="1814" w:type="dxa"/>
            <w:noWrap/>
            <w:hideMark/>
          </w:tcPr>
          <w:p w14:paraId="5458EFA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5" w:type="dxa"/>
            <w:noWrap/>
            <w:hideMark/>
          </w:tcPr>
          <w:p w14:paraId="72EFFB1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4" w:type="dxa"/>
            <w:noWrap/>
            <w:hideMark/>
          </w:tcPr>
          <w:p w14:paraId="7B809E7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91</w:t>
            </w:r>
          </w:p>
        </w:tc>
        <w:tc>
          <w:tcPr>
            <w:tcW w:w="1815" w:type="dxa"/>
            <w:noWrap/>
            <w:hideMark/>
          </w:tcPr>
          <w:p w14:paraId="104CE21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r>
      <w:tr w:rsidR="007937EB" w:rsidRPr="007937EB" w14:paraId="471FBC7B"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01BF6BB"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Jun-13</w:t>
            </w:r>
          </w:p>
        </w:tc>
        <w:tc>
          <w:tcPr>
            <w:tcW w:w="1814" w:type="dxa"/>
            <w:noWrap/>
            <w:hideMark/>
          </w:tcPr>
          <w:p w14:paraId="7BD549C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407B91F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35</w:t>
            </w:r>
          </w:p>
        </w:tc>
        <w:tc>
          <w:tcPr>
            <w:tcW w:w="1814" w:type="dxa"/>
            <w:noWrap/>
            <w:hideMark/>
          </w:tcPr>
          <w:p w14:paraId="5F9C49C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67</w:t>
            </w:r>
          </w:p>
        </w:tc>
        <w:tc>
          <w:tcPr>
            <w:tcW w:w="1815" w:type="dxa"/>
            <w:noWrap/>
            <w:hideMark/>
          </w:tcPr>
          <w:p w14:paraId="09C78AA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049CE64F"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78E85E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Jul-13</w:t>
            </w:r>
          </w:p>
        </w:tc>
        <w:tc>
          <w:tcPr>
            <w:tcW w:w="1814" w:type="dxa"/>
            <w:noWrap/>
            <w:hideMark/>
          </w:tcPr>
          <w:p w14:paraId="21B4239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33</w:t>
            </w:r>
          </w:p>
        </w:tc>
        <w:tc>
          <w:tcPr>
            <w:tcW w:w="1815" w:type="dxa"/>
            <w:noWrap/>
            <w:hideMark/>
          </w:tcPr>
          <w:p w14:paraId="16C56F6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4" w:type="dxa"/>
            <w:noWrap/>
            <w:hideMark/>
          </w:tcPr>
          <w:p w14:paraId="2F4FBAA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78</w:t>
            </w:r>
          </w:p>
        </w:tc>
        <w:tc>
          <w:tcPr>
            <w:tcW w:w="1815" w:type="dxa"/>
            <w:noWrap/>
            <w:hideMark/>
          </w:tcPr>
          <w:p w14:paraId="20B96D2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4F3A2C00"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23C0B3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Aug-13</w:t>
            </w:r>
          </w:p>
        </w:tc>
        <w:tc>
          <w:tcPr>
            <w:tcW w:w="1814" w:type="dxa"/>
            <w:noWrap/>
            <w:hideMark/>
          </w:tcPr>
          <w:p w14:paraId="2486FE6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69DA321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72C1A96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92</w:t>
            </w:r>
          </w:p>
        </w:tc>
        <w:tc>
          <w:tcPr>
            <w:tcW w:w="1815" w:type="dxa"/>
            <w:noWrap/>
            <w:hideMark/>
          </w:tcPr>
          <w:p w14:paraId="0A8C9B9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r>
      <w:tr w:rsidR="007937EB" w:rsidRPr="007937EB" w14:paraId="482B2547"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5B6D9A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Sep-13</w:t>
            </w:r>
          </w:p>
        </w:tc>
        <w:tc>
          <w:tcPr>
            <w:tcW w:w="1814" w:type="dxa"/>
            <w:noWrap/>
            <w:hideMark/>
          </w:tcPr>
          <w:p w14:paraId="52C9042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29</w:t>
            </w:r>
          </w:p>
        </w:tc>
        <w:tc>
          <w:tcPr>
            <w:tcW w:w="1815" w:type="dxa"/>
            <w:noWrap/>
            <w:hideMark/>
          </w:tcPr>
          <w:p w14:paraId="04B2461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46385B2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7B0D4C0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1977364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A41E23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Oct-13</w:t>
            </w:r>
          </w:p>
        </w:tc>
        <w:tc>
          <w:tcPr>
            <w:tcW w:w="1814" w:type="dxa"/>
            <w:noWrap/>
            <w:hideMark/>
          </w:tcPr>
          <w:p w14:paraId="0C8F63F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28</w:t>
            </w:r>
          </w:p>
        </w:tc>
        <w:tc>
          <w:tcPr>
            <w:tcW w:w="1815" w:type="dxa"/>
            <w:noWrap/>
            <w:hideMark/>
          </w:tcPr>
          <w:p w14:paraId="73FBDA3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1FEF731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69</w:t>
            </w:r>
          </w:p>
        </w:tc>
        <w:tc>
          <w:tcPr>
            <w:tcW w:w="1815" w:type="dxa"/>
            <w:noWrap/>
            <w:hideMark/>
          </w:tcPr>
          <w:p w14:paraId="401FA7D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07E555F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D69303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Nov-13</w:t>
            </w:r>
          </w:p>
        </w:tc>
        <w:tc>
          <w:tcPr>
            <w:tcW w:w="1814" w:type="dxa"/>
            <w:noWrap/>
            <w:hideMark/>
          </w:tcPr>
          <w:p w14:paraId="176B3DD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0831349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62BBF8A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80</w:t>
            </w:r>
          </w:p>
        </w:tc>
        <w:tc>
          <w:tcPr>
            <w:tcW w:w="1815" w:type="dxa"/>
            <w:noWrap/>
            <w:hideMark/>
          </w:tcPr>
          <w:p w14:paraId="603FBA9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29622CE9"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41EF5C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Dec-13</w:t>
            </w:r>
          </w:p>
        </w:tc>
        <w:tc>
          <w:tcPr>
            <w:tcW w:w="1814" w:type="dxa"/>
            <w:noWrap/>
            <w:hideMark/>
          </w:tcPr>
          <w:p w14:paraId="32C7134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18</w:t>
            </w:r>
          </w:p>
        </w:tc>
        <w:tc>
          <w:tcPr>
            <w:tcW w:w="1815" w:type="dxa"/>
            <w:noWrap/>
            <w:hideMark/>
          </w:tcPr>
          <w:p w14:paraId="1A3C6C8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44</w:t>
            </w:r>
          </w:p>
        </w:tc>
        <w:tc>
          <w:tcPr>
            <w:tcW w:w="1814" w:type="dxa"/>
            <w:noWrap/>
            <w:hideMark/>
          </w:tcPr>
          <w:p w14:paraId="1B1C650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62</w:t>
            </w:r>
          </w:p>
        </w:tc>
        <w:tc>
          <w:tcPr>
            <w:tcW w:w="1815" w:type="dxa"/>
            <w:noWrap/>
            <w:hideMark/>
          </w:tcPr>
          <w:p w14:paraId="2B5CFCF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7547CA2C"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661A68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Jan-14</w:t>
            </w:r>
          </w:p>
        </w:tc>
        <w:tc>
          <w:tcPr>
            <w:tcW w:w="1814" w:type="dxa"/>
            <w:noWrap/>
            <w:hideMark/>
          </w:tcPr>
          <w:p w14:paraId="5B3F937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c>
          <w:tcPr>
            <w:tcW w:w="1815" w:type="dxa"/>
            <w:noWrap/>
            <w:hideMark/>
          </w:tcPr>
          <w:p w14:paraId="31091C1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458677D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67</w:t>
            </w:r>
          </w:p>
        </w:tc>
        <w:tc>
          <w:tcPr>
            <w:tcW w:w="1815" w:type="dxa"/>
            <w:noWrap/>
            <w:hideMark/>
          </w:tcPr>
          <w:p w14:paraId="52B1424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r>
      <w:tr w:rsidR="007937EB" w:rsidRPr="007937EB" w14:paraId="423F88DE"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E23DEE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Feb-14</w:t>
            </w:r>
          </w:p>
        </w:tc>
        <w:tc>
          <w:tcPr>
            <w:tcW w:w="1814" w:type="dxa"/>
            <w:noWrap/>
            <w:hideMark/>
          </w:tcPr>
          <w:p w14:paraId="212B844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22</w:t>
            </w:r>
          </w:p>
        </w:tc>
        <w:tc>
          <w:tcPr>
            <w:tcW w:w="1815" w:type="dxa"/>
            <w:noWrap/>
            <w:hideMark/>
          </w:tcPr>
          <w:p w14:paraId="1D7DBC3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4" w:type="dxa"/>
            <w:noWrap/>
            <w:hideMark/>
          </w:tcPr>
          <w:p w14:paraId="7BAAFE9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62</w:t>
            </w:r>
          </w:p>
        </w:tc>
        <w:tc>
          <w:tcPr>
            <w:tcW w:w="1815" w:type="dxa"/>
            <w:noWrap/>
            <w:hideMark/>
          </w:tcPr>
          <w:p w14:paraId="69F6F5C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382825A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A72819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Mar-14</w:t>
            </w:r>
          </w:p>
        </w:tc>
        <w:tc>
          <w:tcPr>
            <w:tcW w:w="1814" w:type="dxa"/>
            <w:noWrap/>
            <w:hideMark/>
          </w:tcPr>
          <w:p w14:paraId="35E3637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5" w:type="dxa"/>
            <w:noWrap/>
            <w:hideMark/>
          </w:tcPr>
          <w:p w14:paraId="6F6C8B1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75</w:t>
            </w:r>
          </w:p>
        </w:tc>
        <w:tc>
          <w:tcPr>
            <w:tcW w:w="1814" w:type="dxa"/>
            <w:noWrap/>
            <w:hideMark/>
          </w:tcPr>
          <w:p w14:paraId="322226D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115</w:t>
            </w:r>
          </w:p>
        </w:tc>
        <w:tc>
          <w:tcPr>
            <w:tcW w:w="1815" w:type="dxa"/>
            <w:noWrap/>
            <w:hideMark/>
          </w:tcPr>
          <w:p w14:paraId="6339B6D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31594176"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73A5A4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Apr-14</w:t>
            </w:r>
          </w:p>
        </w:tc>
        <w:tc>
          <w:tcPr>
            <w:tcW w:w="1814" w:type="dxa"/>
            <w:noWrap/>
            <w:hideMark/>
          </w:tcPr>
          <w:p w14:paraId="14A730D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26</w:t>
            </w:r>
          </w:p>
        </w:tc>
        <w:tc>
          <w:tcPr>
            <w:tcW w:w="1815" w:type="dxa"/>
            <w:noWrap/>
            <w:hideMark/>
          </w:tcPr>
          <w:p w14:paraId="6D0A4F8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3F9A8FB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2788420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6FE78A36"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831139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May-14</w:t>
            </w:r>
          </w:p>
        </w:tc>
        <w:tc>
          <w:tcPr>
            <w:tcW w:w="1814" w:type="dxa"/>
            <w:noWrap/>
            <w:hideMark/>
          </w:tcPr>
          <w:p w14:paraId="1DC8C1B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33</w:t>
            </w:r>
          </w:p>
        </w:tc>
        <w:tc>
          <w:tcPr>
            <w:tcW w:w="1815" w:type="dxa"/>
            <w:noWrap/>
            <w:hideMark/>
          </w:tcPr>
          <w:p w14:paraId="39BCAF7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16A38F1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83</w:t>
            </w:r>
          </w:p>
        </w:tc>
        <w:tc>
          <w:tcPr>
            <w:tcW w:w="1815" w:type="dxa"/>
            <w:noWrap/>
            <w:hideMark/>
          </w:tcPr>
          <w:p w14:paraId="1BB4532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150DDE1B"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0AE218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Jun-14</w:t>
            </w:r>
          </w:p>
        </w:tc>
        <w:tc>
          <w:tcPr>
            <w:tcW w:w="1814" w:type="dxa"/>
            <w:noWrap/>
            <w:hideMark/>
          </w:tcPr>
          <w:p w14:paraId="5349A8F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25</w:t>
            </w:r>
          </w:p>
        </w:tc>
        <w:tc>
          <w:tcPr>
            <w:tcW w:w="1815" w:type="dxa"/>
            <w:noWrap/>
            <w:hideMark/>
          </w:tcPr>
          <w:p w14:paraId="4BE2D80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51</w:t>
            </w:r>
          </w:p>
        </w:tc>
        <w:tc>
          <w:tcPr>
            <w:tcW w:w="1814" w:type="dxa"/>
            <w:noWrap/>
            <w:hideMark/>
          </w:tcPr>
          <w:p w14:paraId="588754E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76</w:t>
            </w:r>
          </w:p>
        </w:tc>
        <w:tc>
          <w:tcPr>
            <w:tcW w:w="1815" w:type="dxa"/>
            <w:noWrap/>
            <w:hideMark/>
          </w:tcPr>
          <w:p w14:paraId="5AD0BDC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18</w:t>
            </w:r>
          </w:p>
        </w:tc>
      </w:tr>
      <w:tr w:rsidR="007937EB" w:rsidRPr="007937EB" w14:paraId="4224F2C9"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00E5E9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Jul-14</w:t>
            </w:r>
          </w:p>
        </w:tc>
        <w:tc>
          <w:tcPr>
            <w:tcW w:w="1814" w:type="dxa"/>
            <w:noWrap/>
            <w:hideMark/>
          </w:tcPr>
          <w:p w14:paraId="52509EB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79E527E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4" w:type="dxa"/>
            <w:noWrap/>
            <w:hideMark/>
          </w:tcPr>
          <w:p w14:paraId="67395BF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1E8A7E8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r>
      <w:tr w:rsidR="007937EB" w:rsidRPr="007937EB" w14:paraId="4189799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E82D88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Aug-14</w:t>
            </w:r>
          </w:p>
        </w:tc>
        <w:tc>
          <w:tcPr>
            <w:tcW w:w="1814" w:type="dxa"/>
            <w:noWrap/>
            <w:hideMark/>
          </w:tcPr>
          <w:p w14:paraId="1CB9357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5" w:type="dxa"/>
            <w:noWrap/>
            <w:hideMark/>
          </w:tcPr>
          <w:p w14:paraId="084402B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38</w:t>
            </w:r>
          </w:p>
        </w:tc>
        <w:tc>
          <w:tcPr>
            <w:tcW w:w="1814" w:type="dxa"/>
            <w:noWrap/>
            <w:hideMark/>
          </w:tcPr>
          <w:p w14:paraId="34284DE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78</w:t>
            </w:r>
          </w:p>
        </w:tc>
        <w:tc>
          <w:tcPr>
            <w:tcW w:w="1815" w:type="dxa"/>
            <w:noWrap/>
            <w:hideMark/>
          </w:tcPr>
          <w:p w14:paraId="0941EF6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34DF2520"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20A5A6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Sep-14</w:t>
            </w:r>
          </w:p>
        </w:tc>
        <w:tc>
          <w:tcPr>
            <w:tcW w:w="1814" w:type="dxa"/>
            <w:noWrap/>
            <w:hideMark/>
          </w:tcPr>
          <w:p w14:paraId="723B761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6E2D30A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4" w:type="dxa"/>
            <w:noWrap/>
            <w:hideMark/>
          </w:tcPr>
          <w:p w14:paraId="56B1809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729E102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629154D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FA01ED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Oct-14</w:t>
            </w:r>
          </w:p>
        </w:tc>
        <w:tc>
          <w:tcPr>
            <w:tcW w:w="1814" w:type="dxa"/>
            <w:noWrap/>
            <w:hideMark/>
          </w:tcPr>
          <w:p w14:paraId="6CCC966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7FB35F3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1F587A7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94</w:t>
            </w:r>
          </w:p>
        </w:tc>
        <w:tc>
          <w:tcPr>
            <w:tcW w:w="1815" w:type="dxa"/>
            <w:noWrap/>
            <w:hideMark/>
          </w:tcPr>
          <w:p w14:paraId="205E73E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56B336C1"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C7163F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Nov-14</w:t>
            </w:r>
          </w:p>
        </w:tc>
        <w:tc>
          <w:tcPr>
            <w:tcW w:w="1814" w:type="dxa"/>
            <w:noWrap/>
            <w:hideMark/>
          </w:tcPr>
          <w:p w14:paraId="251612F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29</w:t>
            </w:r>
          </w:p>
        </w:tc>
        <w:tc>
          <w:tcPr>
            <w:tcW w:w="1815" w:type="dxa"/>
            <w:noWrap/>
            <w:hideMark/>
          </w:tcPr>
          <w:p w14:paraId="5AE1713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4" w:type="dxa"/>
            <w:noWrap/>
            <w:hideMark/>
          </w:tcPr>
          <w:p w14:paraId="15C0C6F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w:t>
            </w:r>
          </w:p>
        </w:tc>
        <w:tc>
          <w:tcPr>
            <w:tcW w:w="1815" w:type="dxa"/>
            <w:noWrap/>
            <w:hideMark/>
          </w:tcPr>
          <w:p w14:paraId="1F9CA00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r>
      <w:tr w:rsidR="007937EB" w:rsidRPr="007937EB" w14:paraId="0FE55BD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44875A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Dec-14</w:t>
            </w:r>
          </w:p>
        </w:tc>
        <w:tc>
          <w:tcPr>
            <w:tcW w:w="1814" w:type="dxa"/>
            <w:noWrap/>
            <w:hideMark/>
          </w:tcPr>
          <w:p w14:paraId="5AD5BAC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18</w:t>
            </w:r>
          </w:p>
        </w:tc>
        <w:tc>
          <w:tcPr>
            <w:tcW w:w="1815" w:type="dxa"/>
            <w:noWrap/>
            <w:hideMark/>
          </w:tcPr>
          <w:p w14:paraId="546BC9A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67</w:t>
            </w:r>
          </w:p>
        </w:tc>
        <w:tc>
          <w:tcPr>
            <w:tcW w:w="1814" w:type="dxa"/>
            <w:noWrap/>
            <w:hideMark/>
          </w:tcPr>
          <w:p w14:paraId="4623BF3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85</w:t>
            </w:r>
          </w:p>
        </w:tc>
        <w:tc>
          <w:tcPr>
            <w:tcW w:w="1815" w:type="dxa"/>
            <w:noWrap/>
            <w:hideMark/>
          </w:tcPr>
          <w:p w14:paraId="646B9FF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3B07187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D002F8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Jan-15</w:t>
            </w:r>
          </w:p>
        </w:tc>
        <w:tc>
          <w:tcPr>
            <w:tcW w:w="1814" w:type="dxa"/>
            <w:noWrap/>
            <w:hideMark/>
          </w:tcPr>
          <w:p w14:paraId="3B2C164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255F592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4" w:type="dxa"/>
            <w:noWrap/>
            <w:hideMark/>
          </w:tcPr>
          <w:p w14:paraId="55EC830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69</w:t>
            </w:r>
          </w:p>
        </w:tc>
        <w:tc>
          <w:tcPr>
            <w:tcW w:w="1815" w:type="dxa"/>
            <w:noWrap/>
            <w:hideMark/>
          </w:tcPr>
          <w:p w14:paraId="6D6AF35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4BA8781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A436E3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Feb-15</w:t>
            </w:r>
          </w:p>
        </w:tc>
        <w:tc>
          <w:tcPr>
            <w:tcW w:w="1814" w:type="dxa"/>
            <w:noWrap/>
            <w:hideMark/>
          </w:tcPr>
          <w:p w14:paraId="27E8290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21</w:t>
            </w:r>
          </w:p>
        </w:tc>
        <w:tc>
          <w:tcPr>
            <w:tcW w:w="1815" w:type="dxa"/>
            <w:noWrap/>
            <w:hideMark/>
          </w:tcPr>
          <w:p w14:paraId="107A740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57</w:t>
            </w:r>
          </w:p>
        </w:tc>
        <w:tc>
          <w:tcPr>
            <w:tcW w:w="1814" w:type="dxa"/>
            <w:noWrap/>
            <w:hideMark/>
          </w:tcPr>
          <w:p w14:paraId="44C1971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78</w:t>
            </w:r>
          </w:p>
        </w:tc>
        <w:tc>
          <w:tcPr>
            <w:tcW w:w="1815" w:type="dxa"/>
            <w:noWrap/>
            <w:hideMark/>
          </w:tcPr>
          <w:p w14:paraId="51CD4A4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686E8132"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913D77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Mar-15</w:t>
            </w:r>
          </w:p>
        </w:tc>
        <w:tc>
          <w:tcPr>
            <w:tcW w:w="1814" w:type="dxa"/>
            <w:noWrap/>
            <w:hideMark/>
          </w:tcPr>
          <w:p w14:paraId="293D79D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5" w:type="dxa"/>
            <w:noWrap/>
            <w:hideMark/>
          </w:tcPr>
          <w:p w14:paraId="367750B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4" w:type="dxa"/>
            <w:noWrap/>
            <w:hideMark/>
          </w:tcPr>
          <w:p w14:paraId="1A607E1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88</w:t>
            </w:r>
          </w:p>
        </w:tc>
        <w:tc>
          <w:tcPr>
            <w:tcW w:w="1815" w:type="dxa"/>
            <w:noWrap/>
            <w:hideMark/>
          </w:tcPr>
          <w:p w14:paraId="02D2B4C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3CD77B20"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25F56D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Apr-15</w:t>
            </w:r>
          </w:p>
        </w:tc>
        <w:tc>
          <w:tcPr>
            <w:tcW w:w="1814" w:type="dxa"/>
            <w:noWrap/>
            <w:hideMark/>
          </w:tcPr>
          <w:p w14:paraId="4E94959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26</w:t>
            </w:r>
          </w:p>
        </w:tc>
        <w:tc>
          <w:tcPr>
            <w:tcW w:w="1815" w:type="dxa"/>
            <w:noWrap/>
            <w:hideMark/>
          </w:tcPr>
          <w:p w14:paraId="353B569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4" w:type="dxa"/>
            <w:noWrap/>
            <w:hideMark/>
          </w:tcPr>
          <w:p w14:paraId="4076849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1DC8D67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03329C44"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19B5EC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May-15</w:t>
            </w:r>
          </w:p>
        </w:tc>
        <w:tc>
          <w:tcPr>
            <w:tcW w:w="1814" w:type="dxa"/>
            <w:noWrap/>
            <w:hideMark/>
          </w:tcPr>
          <w:p w14:paraId="3090D90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5" w:type="dxa"/>
            <w:noWrap/>
            <w:hideMark/>
          </w:tcPr>
          <w:p w14:paraId="3FE3CE3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216B15E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94</w:t>
            </w:r>
          </w:p>
        </w:tc>
        <w:tc>
          <w:tcPr>
            <w:tcW w:w="1815" w:type="dxa"/>
            <w:noWrap/>
            <w:hideMark/>
          </w:tcPr>
          <w:p w14:paraId="24343DC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259DF1B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7A18D2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Jun-15</w:t>
            </w:r>
          </w:p>
        </w:tc>
        <w:tc>
          <w:tcPr>
            <w:tcW w:w="1814" w:type="dxa"/>
            <w:noWrap/>
            <w:hideMark/>
          </w:tcPr>
          <w:p w14:paraId="1BB20B9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31</w:t>
            </w:r>
          </w:p>
        </w:tc>
        <w:tc>
          <w:tcPr>
            <w:tcW w:w="1815" w:type="dxa"/>
            <w:noWrap/>
            <w:hideMark/>
          </w:tcPr>
          <w:p w14:paraId="1872425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4" w:type="dxa"/>
            <w:noWrap/>
            <w:hideMark/>
          </w:tcPr>
          <w:p w14:paraId="7268ECA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71</w:t>
            </w:r>
          </w:p>
        </w:tc>
        <w:tc>
          <w:tcPr>
            <w:tcW w:w="1815" w:type="dxa"/>
            <w:noWrap/>
            <w:hideMark/>
          </w:tcPr>
          <w:p w14:paraId="3E4CDBE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19</w:t>
            </w:r>
          </w:p>
        </w:tc>
      </w:tr>
      <w:tr w:rsidR="007937EB" w:rsidRPr="007937EB" w14:paraId="46A23591"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74F7C9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Jul-15</w:t>
            </w:r>
          </w:p>
        </w:tc>
        <w:tc>
          <w:tcPr>
            <w:tcW w:w="1814" w:type="dxa"/>
            <w:noWrap/>
            <w:hideMark/>
          </w:tcPr>
          <w:p w14:paraId="7F6B3E4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23</w:t>
            </w:r>
          </w:p>
        </w:tc>
        <w:tc>
          <w:tcPr>
            <w:tcW w:w="1815" w:type="dxa"/>
            <w:noWrap/>
            <w:hideMark/>
          </w:tcPr>
          <w:p w14:paraId="5042694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4" w:type="dxa"/>
            <w:noWrap/>
            <w:hideMark/>
          </w:tcPr>
          <w:p w14:paraId="1ECD264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3F41493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w:t>
            </w:r>
          </w:p>
        </w:tc>
      </w:tr>
      <w:tr w:rsidR="007937EB" w:rsidRPr="007937EB" w14:paraId="7C86A3E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7EDE82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Aug-15</w:t>
            </w:r>
          </w:p>
        </w:tc>
        <w:tc>
          <w:tcPr>
            <w:tcW w:w="1814" w:type="dxa"/>
            <w:noWrap/>
            <w:hideMark/>
          </w:tcPr>
          <w:p w14:paraId="5CF0BA6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1A2CA44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4" w:type="dxa"/>
            <w:noWrap/>
            <w:hideMark/>
          </w:tcPr>
          <w:p w14:paraId="3DA789A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89</w:t>
            </w:r>
          </w:p>
        </w:tc>
        <w:tc>
          <w:tcPr>
            <w:tcW w:w="1815" w:type="dxa"/>
            <w:noWrap/>
            <w:hideMark/>
          </w:tcPr>
          <w:p w14:paraId="5F59365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6CE7422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44B089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Sep-15</w:t>
            </w:r>
          </w:p>
        </w:tc>
        <w:tc>
          <w:tcPr>
            <w:tcW w:w="1814" w:type="dxa"/>
            <w:noWrap/>
            <w:hideMark/>
          </w:tcPr>
          <w:p w14:paraId="5D959F3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500AAFD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4508AC4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w:t>
            </w:r>
          </w:p>
        </w:tc>
        <w:tc>
          <w:tcPr>
            <w:tcW w:w="1815" w:type="dxa"/>
            <w:noWrap/>
            <w:hideMark/>
          </w:tcPr>
          <w:p w14:paraId="78C65CE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6FAC134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EE2384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Oct-15</w:t>
            </w:r>
          </w:p>
        </w:tc>
        <w:tc>
          <w:tcPr>
            <w:tcW w:w="1814" w:type="dxa"/>
            <w:noWrap/>
            <w:hideMark/>
          </w:tcPr>
          <w:p w14:paraId="4795A86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34</w:t>
            </w:r>
          </w:p>
        </w:tc>
        <w:tc>
          <w:tcPr>
            <w:tcW w:w="1815" w:type="dxa"/>
            <w:noWrap/>
            <w:hideMark/>
          </w:tcPr>
          <w:p w14:paraId="536947B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08F0ECF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83</w:t>
            </w:r>
          </w:p>
        </w:tc>
        <w:tc>
          <w:tcPr>
            <w:tcW w:w="1815" w:type="dxa"/>
            <w:noWrap/>
            <w:hideMark/>
          </w:tcPr>
          <w:p w14:paraId="1DC0273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r>
      <w:tr w:rsidR="007937EB" w:rsidRPr="007937EB" w14:paraId="4667546B"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76CAFD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Nov-15</w:t>
            </w:r>
          </w:p>
        </w:tc>
        <w:tc>
          <w:tcPr>
            <w:tcW w:w="1814" w:type="dxa"/>
            <w:noWrap/>
            <w:hideMark/>
          </w:tcPr>
          <w:p w14:paraId="5FA36AC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5" w:type="dxa"/>
            <w:noWrap/>
            <w:hideMark/>
          </w:tcPr>
          <w:p w14:paraId="1B43542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4" w:type="dxa"/>
            <w:noWrap/>
            <w:hideMark/>
          </w:tcPr>
          <w:p w14:paraId="0100B83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107</w:t>
            </w:r>
          </w:p>
        </w:tc>
        <w:tc>
          <w:tcPr>
            <w:tcW w:w="1815" w:type="dxa"/>
            <w:noWrap/>
            <w:hideMark/>
          </w:tcPr>
          <w:p w14:paraId="13A89BA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7C67A4A6"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51E658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Dec-15</w:t>
            </w:r>
          </w:p>
        </w:tc>
        <w:tc>
          <w:tcPr>
            <w:tcW w:w="1814" w:type="dxa"/>
            <w:noWrap/>
            <w:hideMark/>
          </w:tcPr>
          <w:p w14:paraId="7A2A97C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27</w:t>
            </w:r>
          </w:p>
        </w:tc>
        <w:tc>
          <w:tcPr>
            <w:tcW w:w="1815" w:type="dxa"/>
            <w:noWrap/>
            <w:hideMark/>
          </w:tcPr>
          <w:p w14:paraId="4F0CB68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35C35D2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77</w:t>
            </w:r>
          </w:p>
        </w:tc>
        <w:tc>
          <w:tcPr>
            <w:tcW w:w="1815" w:type="dxa"/>
            <w:noWrap/>
            <w:hideMark/>
          </w:tcPr>
          <w:p w14:paraId="22D910D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2BFB9A6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F247C6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Jan-16</w:t>
            </w:r>
          </w:p>
        </w:tc>
        <w:tc>
          <w:tcPr>
            <w:tcW w:w="1814" w:type="dxa"/>
            <w:noWrap/>
            <w:hideMark/>
          </w:tcPr>
          <w:p w14:paraId="25C4435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35</w:t>
            </w:r>
          </w:p>
        </w:tc>
        <w:tc>
          <w:tcPr>
            <w:tcW w:w="1815" w:type="dxa"/>
            <w:noWrap/>
            <w:hideMark/>
          </w:tcPr>
          <w:p w14:paraId="75576F7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64</w:t>
            </w:r>
          </w:p>
        </w:tc>
        <w:tc>
          <w:tcPr>
            <w:tcW w:w="1814" w:type="dxa"/>
            <w:noWrap/>
            <w:hideMark/>
          </w:tcPr>
          <w:p w14:paraId="365BF76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99</w:t>
            </w:r>
          </w:p>
        </w:tc>
        <w:tc>
          <w:tcPr>
            <w:tcW w:w="1815" w:type="dxa"/>
            <w:noWrap/>
            <w:hideMark/>
          </w:tcPr>
          <w:p w14:paraId="013010A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w:t>
            </w:r>
          </w:p>
        </w:tc>
      </w:tr>
      <w:tr w:rsidR="007937EB" w:rsidRPr="007937EB" w14:paraId="2888C29F"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E5F430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Feb-16</w:t>
            </w:r>
          </w:p>
        </w:tc>
        <w:tc>
          <w:tcPr>
            <w:tcW w:w="1814" w:type="dxa"/>
            <w:noWrap/>
            <w:hideMark/>
          </w:tcPr>
          <w:p w14:paraId="579C22B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1BEC0E8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4" w:type="dxa"/>
            <w:noWrap/>
            <w:hideMark/>
          </w:tcPr>
          <w:p w14:paraId="49F5772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74</w:t>
            </w:r>
          </w:p>
        </w:tc>
        <w:tc>
          <w:tcPr>
            <w:tcW w:w="1815" w:type="dxa"/>
            <w:noWrap/>
            <w:hideMark/>
          </w:tcPr>
          <w:p w14:paraId="68E8080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0C556176"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19F0B9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Mar-16</w:t>
            </w:r>
          </w:p>
        </w:tc>
        <w:tc>
          <w:tcPr>
            <w:tcW w:w="1814" w:type="dxa"/>
            <w:noWrap/>
            <w:hideMark/>
          </w:tcPr>
          <w:p w14:paraId="6D8C00F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2F0EA3A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63</w:t>
            </w:r>
          </w:p>
        </w:tc>
        <w:tc>
          <w:tcPr>
            <w:tcW w:w="1814" w:type="dxa"/>
            <w:noWrap/>
            <w:hideMark/>
          </w:tcPr>
          <w:p w14:paraId="5FAA25D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95</w:t>
            </w:r>
          </w:p>
        </w:tc>
        <w:tc>
          <w:tcPr>
            <w:tcW w:w="1815" w:type="dxa"/>
            <w:noWrap/>
            <w:hideMark/>
          </w:tcPr>
          <w:p w14:paraId="1D7AD54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0AB3D39F"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2889CB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Apr-16</w:t>
            </w:r>
          </w:p>
        </w:tc>
        <w:tc>
          <w:tcPr>
            <w:tcW w:w="1814" w:type="dxa"/>
            <w:noWrap/>
            <w:hideMark/>
          </w:tcPr>
          <w:p w14:paraId="0DF1292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23</w:t>
            </w:r>
          </w:p>
        </w:tc>
        <w:tc>
          <w:tcPr>
            <w:tcW w:w="1815" w:type="dxa"/>
            <w:noWrap/>
            <w:hideMark/>
          </w:tcPr>
          <w:p w14:paraId="77C526C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4" w:type="dxa"/>
            <w:noWrap/>
            <w:hideMark/>
          </w:tcPr>
          <w:p w14:paraId="616E213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60</w:t>
            </w:r>
          </w:p>
        </w:tc>
        <w:tc>
          <w:tcPr>
            <w:tcW w:w="1815" w:type="dxa"/>
            <w:noWrap/>
            <w:hideMark/>
          </w:tcPr>
          <w:p w14:paraId="58FD5BB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w:t>
            </w:r>
          </w:p>
        </w:tc>
      </w:tr>
      <w:tr w:rsidR="007937EB" w:rsidRPr="007937EB" w14:paraId="19531BC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FCA3C5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May-16</w:t>
            </w:r>
          </w:p>
        </w:tc>
        <w:tc>
          <w:tcPr>
            <w:tcW w:w="1814" w:type="dxa"/>
            <w:noWrap/>
            <w:hideMark/>
          </w:tcPr>
          <w:p w14:paraId="7C79138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42</w:t>
            </w:r>
          </w:p>
        </w:tc>
        <w:tc>
          <w:tcPr>
            <w:tcW w:w="1815" w:type="dxa"/>
            <w:noWrap/>
            <w:hideMark/>
          </w:tcPr>
          <w:p w14:paraId="4BEEA73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4" w:type="dxa"/>
            <w:noWrap/>
            <w:hideMark/>
          </w:tcPr>
          <w:p w14:paraId="1D91B0F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100</w:t>
            </w:r>
          </w:p>
        </w:tc>
        <w:tc>
          <w:tcPr>
            <w:tcW w:w="1815" w:type="dxa"/>
            <w:noWrap/>
            <w:hideMark/>
          </w:tcPr>
          <w:p w14:paraId="793FA2B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4E221984"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45D898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Jun-16</w:t>
            </w:r>
          </w:p>
        </w:tc>
        <w:tc>
          <w:tcPr>
            <w:tcW w:w="1814" w:type="dxa"/>
            <w:noWrap/>
            <w:hideMark/>
          </w:tcPr>
          <w:p w14:paraId="3371803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5" w:type="dxa"/>
            <w:noWrap/>
            <w:hideMark/>
          </w:tcPr>
          <w:p w14:paraId="244FBF9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22755A3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104</w:t>
            </w:r>
          </w:p>
        </w:tc>
        <w:tc>
          <w:tcPr>
            <w:tcW w:w="1815" w:type="dxa"/>
            <w:noWrap/>
            <w:hideMark/>
          </w:tcPr>
          <w:p w14:paraId="0B120A4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w:t>
            </w:r>
          </w:p>
        </w:tc>
      </w:tr>
      <w:tr w:rsidR="007937EB" w:rsidRPr="007937EB" w14:paraId="17866C1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D39CC3A"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Jul-16</w:t>
            </w:r>
          </w:p>
        </w:tc>
        <w:tc>
          <w:tcPr>
            <w:tcW w:w="1814" w:type="dxa"/>
            <w:noWrap/>
            <w:hideMark/>
          </w:tcPr>
          <w:p w14:paraId="7D5C766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5" w:type="dxa"/>
            <w:noWrap/>
            <w:hideMark/>
          </w:tcPr>
          <w:p w14:paraId="5F383DF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0BAEFFA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96</w:t>
            </w:r>
          </w:p>
        </w:tc>
        <w:tc>
          <w:tcPr>
            <w:tcW w:w="1815" w:type="dxa"/>
            <w:noWrap/>
            <w:hideMark/>
          </w:tcPr>
          <w:p w14:paraId="5391B2D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6901DE3A"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AECCE7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Aug-16</w:t>
            </w:r>
          </w:p>
        </w:tc>
        <w:tc>
          <w:tcPr>
            <w:tcW w:w="1814" w:type="dxa"/>
            <w:noWrap/>
            <w:hideMark/>
          </w:tcPr>
          <w:p w14:paraId="09B8D87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5" w:type="dxa"/>
            <w:noWrap/>
            <w:hideMark/>
          </w:tcPr>
          <w:p w14:paraId="1353FF2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18714D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100</w:t>
            </w:r>
          </w:p>
        </w:tc>
        <w:tc>
          <w:tcPr>
            <w:tcW w:w="1815" w:type="dxa"/>
            <w:noWrap/>
            <w:hideMark/>
          </w:tcPr>
          <w:p w14:paraId="4DC711C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0599E71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7B7363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Sep-16</w:t>
            </w:r>
          </w:p>
        </w:tc>
        <w:tc>
          <w:tcPr>
            <w:tcW w:w="1814" w:type="dxa"/>
            <w:noWrap/>
            <w:hideMark/>
          </w:tcPr>
          <w:p w14:paraId="1AA8432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36</w:t>
            </w:r>
          </w:p>
        </w:tc>
        <w:tc>
          <w:tcPr>
            <w:tcW w:w="1815" w:type="dxa"/>
            <w:noWrap/>
            <w:hideMark/>
          </w:tcPr>
          <w:p w14:paraId="4424570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64</w:t>
            </w:r>
          </w:p>
        </w:tc>
        <w:tc>
          <w:tcPr>
            <w:tcW w:w="1814" w:type="dxa"/>
            <w:noWrap/>
            <w:hideMark/>
          </w:tcPr>
          <w:p w14:paraId="412C768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100</w:t>
            </w:r>
          </w:p>
        </w:tc>
        <w:tc>
          <w:tcPr>
            <w:tcW w:w="1815" w:type="dxa"/>
            <w:noWrap/>
            <w:hideMark/>
          </w:tcPr>
          <w:p w14:paraId="61CCB71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r>
      <w:tr w:rsidR="007937EB" w:rsidRPr="007937EB" w14:paraId="5F493DC1"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C4269F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Oct-16</w:t>
            </w:r>
          </w:p>
        </w:tc>
        <w:tc>
          <w:tcPr>
            <w:tcW w:w="1814" w:type="dxa"/>
            <w:noWrap/>
            <w:hideMark/>
          </w:tcPr>
          <w:p w14:paraId="1AE80D1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5349DAA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52</w:t>
            </w:r>
          </w:p>
        </w:tc>
        <w:tc>
          <w:tcPr>
            <w:tcW w:w="1814" w:type="dxa"/>
            <w:noWrap/>
            <w:hideMark/>
          </w:tcPr>
          <w:p w14:paraId="5357241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93</w:t>
            </w:r>
          </w:p>
        </w:tc>
        <w:tc>
          <w:tcPr>
            <w:tcW w:w="1815" w:type="dxa"/>
            <w:noWrap/>
            <w:hideMark/>
          </w:tcPr>
          <w:p w14:paraId="510F9EB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w:t>
            </w:r>
          </w:p>
        </w:tc>
      </w:tr>
      <w:tr w:rsidR="007937EB" w:rsidRPr="007937EB" w14:paraId="18DD680F"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7D2FC7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Nov-16</w:t>
            </w:r>
          </w:p>
        </w:tc>
        <w:tc>
          <w:tcPr>
            <w:tcW w:w="1814" w:type="dxa"/>
            <w:noWrap/>
            <w:hideMark/>
          </w:tcPr>
          <w:p w14:paraId="142B410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35</w:t>
            </w:r>
          </w:p>
        </w:tc>
        <w:tc>
          <w:tcPr>
            <w:tcW w:w="1815" w:type="dxa"/>
            <w:noWrap/>
            <w:hideMark/>
          </w:tcPr>
          <w:p w14:paraId="5A6AC2C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63</w:t>
            </w:r>
          </w:p>
        </w:tc>
        <w:tc>
          <w:tcPr>
            <w:tcW w:w="1814" w:type="dxa"/>
            <w:noWrap/>
            <w:hideMark/>
          </w:tcPr>
          <w:p w14:paraId="4CBEEAD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98</w:t>
            </w:r>
          </w:p>
        </w:tc>
        <w:tc>
          <w:tcPr>
            <w:tcW w:w="1815" w:type="dxa"/>
            <w:noWrap/>
            <w:hideMark/>
          </w:tcPr>
          <w:p w14:paraId="5344FE5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r>
      <w:tr w:rsidR="007937EB" w:rsidRPr="007937EB" w14:paraId="7B4BAEFE"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0EDB9E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Dec-16</w:t>
            </w:r>
          </w:p>
        </w:tc>
        <w:tc>
          <w:tcPr>
            <w:tcW w:w="1814" w:type="dxa"/>
            <w:noWrap/>
            <w:hideMark/>
          </w:tcPr>
          <w:p w14:paraId="3B00A99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28</w:t>
            </w:r>
          </w:p>
        </w:tc>
        <w:tc>
          <w:tcPr>
            <w:tcW w:w="1815" w:type="dxa"/>
            <w:noWrap/>
            <w:hideMark/>
          </w:tcPr>
          <w:p w14:paraId="23767F7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51</w:t>
            </w:r>
          </w:p>
        </w:tc>
        <w:tc>
          <w:tcPr>
            <w:tcW w:w="1814" w:type="dxa"/>
            <w:noWrap/>
            <w:hideMark/>
          </w:tcPr>
          <w:p w14:paraId="1405B2D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5" w:type="dxa"/>
            <w:noWrap/>
            <w:hideMark/>
          </w:tcPr>
          <w:p w14:paraId="39AB4A3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4D39033B"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185464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Jan-17</w:t>
            </w:r>
          </w:p>
        </w:tc>
        <w:tc>
          <w:tcPr>
            <w:tcW w:w="1814" w:type="dxa"/>
            <w:noWrap/>
            <w:hideMark/>
          </w:tcPr>
          <w:p w14:paraId="10E4E86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5" w:type="dxa"/>
            <w:noWrap/>
            <w:hideMark/>
          </w:tcPr>
          <w:p w14:paraId="38B3B6F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59</w:t>
            </w:r>
          </w:p>
        </w:tc>
        <w:tc>
          <w:tcPr>
            <w:tcW w:w="1814" w:type="dxa"/>
            <w:noWrap/>
            <w:hideMark/>
          </w:tcPr>
          <w:p w14:paraId="617FFB5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99</w:t>
            </w:r>
          </w:p>
        </w:tc>
        <w:tc>
          <w:tcPr>
            <w:tcW w:w="1815" w:type="dxa"/>
            <w:noWrap/>
            <w:hideMark/>
          </w:tcPr>
          <w:p w14:paraId="05DB683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19</w:t>
            </w:r>
          </w:p>
        </w:tc>
      </w:tr>
      <w:tr w:rsidR="007937EB" w:rsidRPr="007937EB" w14:paraId="6DCF9CE6"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F3DC9B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Feb-17</w:t>
            </w:r>
          </w:p>
        </w:tc>
        <w:tc>
          <w:tcPr>
            <w:tcW w:w="1814" w:type="dxa"/>
            <w:noWrap/>
            <w:hideMark/>
          </w:tcPr>
          <w:p w14:paraId="206F94A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5" w:type="dxa"/>
            <w:noWrap/>
            <w:hideMark/>
          </w:tcPr>
          <w:p w14:paraId="73A655C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43</w:t>
            </w:r>
          </w:p>
        </w:tc>
        <w:tc>
          <w:tcPr>
            <w:tcW w:w="1814" w:type="dxa"/>
            <w:noWrap/>
            <w:hideMark/>
          </w:tcPr>
          <w:p w14:paraId="4F34C8D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96</w:t>
            </w:r>
          </w:p>
        </w:tc>
        <w:tc>
          <w:tcPr>
            <w:tcW w:w="1815" w:type="dxa"/>
            <w:noWrap/>
            <w:hideMark/>
          </w:tcPr>
          <w:p w14:paraId="3708F5E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178FE4C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0C323E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Mar-17</w:t>
            </w:r>
          </w:p>
        </w:tc>
        <w:tc>
          <w:tcPr>
            <w:tcW w:w="1814" w:type="dxa"/>
            <w:noWrap/>
            <w:hideMark/>
          </w:tcPr>
          <w:p w14:paraId="69455AF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24BF8DD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4" w:type="dxa"/>
            <w:noWrap/>
            <w:hideMark/>
          </w:tcPr>
          <w:p w14:paraId="63B188A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88</w:t>
            </w:r>
          </w:p>
        </w:tc>
        <w:tc>
          <w:tcPr>
            <w:tcW w:w="1815" w:type="dxa"/>
            <w:noWrap/>
            <w:hideMark/>
          </w:tcPr>
          <w:p w14:paraId="2CD58D0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7EECC00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648E96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Apr-17</w:t>
            </w:r>
          </w:p>
        </w:tc>
        <w:tc>
          <w:tcPr>
            <w:tcW w:w="1814" w:type="dxa"/>
            <w:noWrap/>
            <w:hideMark/>
          </w:tcPr>
          <w:p w14:paraId="362F145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30</w:t>
            </w:r>
          </w:p>
        </w:tc>
        <w:tc>
          <w:tcPr>
            <w:tcW w:w="1815" w:type="dxa"/>
            <w:noWrap/>
            <w:hideMark/>
          </w:tcPr>
          <w:p w14:paraId="472B69F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51</w:t>
            </w:r>
          </w:p>
        </w:tc>
        <w:tc>
          <w:tcPr>
            <w:tcW w:w="1814" w:type="dxa"/>
            <w:noWrap/>
            <w:hideMark/>
          </w:tcPr>
          <w:p w14:paraId="678C792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81</w:t>
            </w:r>
          </w:p>
        </w:tc>
        <w:tc>
          <w:tcPr>
            <w:tcW w:w="1815" w:type="dxa"/>
            <w:noWrap/>
            <w:hideMark/>
          </w:tcPr>
          <w:p w14:paraId="131099E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1E64D7A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B8FC49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May-17</w:t>
            </w:r>
          </w:p>
        </w:tc>
        <w:tc>
          <w:tcPr>
            <w:tcW w:w="1814" w:type="dxa"/>
            <w:noWrap/>
            <w:hideMark/>
          </w:tcPr>
          <w:p w14:paraId="35753B4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57</w:t>
            </w:r>
          </w:p>
        </w:tc>
        <w:tc>
          <w:tcPr>
            <w:tcW w:w="1815" w:type="dxa"/>
            <w:noWrap/>
            <w:hideMark/>
          </w:tcPr>
          <w:p w14:paraId="6D70FB7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51</w:t>
            </w:r>
          </w:p>
        </w:tc>
        <w:tc>
          <w:tcPr>
            <w:tcW w:w="1814" w:type="dxa"/>
            <w:noWrap/>
            <w:hideMark/>
          </w:tcPr>
          <w:p w14:paraId="226D210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108</w:t>
            </w:r>
          </w:p>
        </w:tc>
        <w:tc>
          <w:tcPr>
            <w:tcW w:w="1815" w:type="dxa"/>
            <w:noWrap/>
            <w:hideMark/>
          </w:tcPr>
          <w:p w14:paraId="4F983CE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w:t>
            </w:r>
          </w:p>
        </w:tc>
      </w:tr>
      <w:tr w:rsidR="007937EB" w:rsidRPr="007937EB" w14:paraId="7097274F"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DB155C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Jun-17</w:t>
            </w:r>
          </w:p>
        </w:tc>
        <w:tc>
          <w:tcPr>
            <w:tcW w:w="1814" w:type="dxa"/>
            <w:noWrap/>
            <w:hideMark/>
          </w:tcPr>
          <w:p w14:paraId="373419F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64D509C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5BE5B49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92</w:t>
            </w:r>
          </w:p>
        </w:tc>
        <w:tc>
          <w:tcPr>
            <w:tcW w:w="1815" w:type="dxa"/>
            <w:noWrap/>
            <w:hideMark/>
          </w:tcPr>
          <w:p w14:paraId="164F059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r>
      <w:tr w:rsidR="007937EB" w:rsidRPr="007937EB" w14:paraId="2BFC38E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1CBE24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Jul-17</w:t>
            </w:r>
          </w:p>
        </w:tc>
        <w:tc>
          <w:tcPr>
            <w:tcW w:w="1814" w:type="dxa"/>
            <w:noWrap/>
            <w:hideMark/>
          </w:tcPr>
          <w:p w14:paraId="35B4C33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72B2E85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5487D14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89</w:t>
            </w:r>
          </w:p>
        </w:tc>
        <w:tc>
          <w:tcPr>
            <w:tcW w:w="1815" w:type="dxa"/>
            <w:noWrap/>
            <w:hideMark/>
          </w:tcPr>
          <w:p w14:paraId="797581A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7938EE24"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620410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Aug-17</w:t>
            </w:r>
          </w:p>
        </w:tc>
        <w:tc>
          <w:tcPr>
            <w:tcW w:w="1814" w:type="dxa"/>
            <w:noWrap/>
            <w:hideMark/>
          </w:tcPr>
          <w:p w14:paraId="1E6C539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5" w:type="dxa"/>
            <w:noWrap/>
            <w:hideMark/>
          </w:tcPr>
          <w:p w14:paraId="3CD050E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4" w:type="dxa"/>
            <w:noWrap/>
            <w:hideMark/>
          </w:tcPr>
          <w:p w14:paraId="1EBB8CF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92</w:t>
            </w:r>
          </w:p>
        </w:tc>
        <w:tc>
          <w:tcPr>
            <w:tcW w:w="1815" w:type="dxa"/>
            <w:noWrap/>
            <w:hideMark/>
          </w:tcPr>
          <w:p w14:paraId="1C1C000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05AA3F79"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814DBB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Sep-17</w:t>
            </w:r>
          </w:p>
        </w:tc>
        <w:tc>
          <w:tcPr>
            <w:tcW w:w="1814" w:type="dxa"/>
            <w:noWrap/>
            <w:hideMark/>
          </w:tcPr>
          <w:p w14:paraId="733E6A2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3C7A3B9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4" w:type="dxa"/>
            <w:noWrap/>
            <w:hideMark/>
          </w:tcPr>
          <w:p w14:paraId="384E0F1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w:t>
            </w:r>
          </w:p>
        </w:tc>
        <w:tc>
          <w:tcPr>
            <w:tcW w:w="1815" w:type="dxa"/>
            <w:noWrap/>
            <w:hideMark/>
          </w:tcPr>
          <w:p w14:paraId="25A6A8E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w:t>
            </w:r>
          </w:p>
        </w:tc>
      </w:tr>
      <w:tr w:rsidR="007937EB" w:rsidRPr="007937EB" w14:paraId="38D72D9D"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F51B61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Oct-17</w:t>
            </w:r>
          </w:p>
        </w:tc>
        <w:tc>
          <w:tcPr>
            <w:tcW w:w="1814" w:type="dxa"/>
            <w:noWrap/>
            <w:hideMark/>
          </w:tcPr>
          <w:p w14:paraId="2CC4300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5" w:type="dxa"/>
            <w:noWrap/>
            <w:hideMark/>
          </w:tcPr>
          <w:p w14:paraId="7D727C7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70</w:t>
            </w:r>
          </w:p>
        </w:tc>
        <w:tc>
          <w:tcPr>
            <w:tcW w:w="1814" w:type="dxa"/>
            <w:noWrap/>
            <w:hideMark/>
          </w:tcPr>
          <w:p w14:paraId="2C1EB75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115</w:t>
            </w:r>
          </w:p>
        </w:tc>
        <w:tc>
          <w:tcPr>
            <w:tcW w:w="1815" w:type="dxa"/>
            <w:noWrap/>
            <w:hideMark/>
          </w:tcPr>
          <w:p w14:paraId="316CDF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7DC855E0"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1FDA17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Nov-17</w:t>
            </w:r>
          </w:p>
        </w:tc>
        <w:tc>
          <w:tcPr>
            <w:tcW w:w="1814" w:type="dxa"/>
            <w:noWrap/>
            <w:hideMark/>
          </w:tcPr>
          <w:p w14:paraId="6A27823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5" w:type="dxa"/>
            <w:noWrap/>
            <w:hideMark/>
          </w:tcPr>
          <w:p w14:paraId="08BB056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09CABAE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95</w:t>
            </w:r>
          </w:p>
        </w:tc>
        <w:tc>
          <w:tcPr>
            <w:tcW w:w="1815" w:type="dxa"/>
            <w:noWrap/>
            <w:hideMark/>
          </w:tcPr>
          <w:p w14:paraId="416FEC4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511AEE7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9937CC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Dec-17</w:t>
            </w:r>
          </w:p>
        </w:tc>
        <w:tc>
          <w:tcPr>
            <w:tcW w:w="1814" w:type="dxa"/>
            <w:noWrap/>
            <w:hideMark/>
          </w:tcPr>
          <w:p w14:paraId="7A2657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24</w:t>
            </w:r>
          </w:p>
        </w:tc>
        <w:tc>
          <w:tcPr>
            <w:tcW w:w="1815" w:type="dxa"/>
            <w:noWrap/>
            <w:hideMark/>
          </w:tcPr>
          <w:p w14:paraId="2C07E81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63</w:t>
            </w:r>
          </w:p>
        </w:tc>
        <w:tc>
          <w:tcPr>
            <w:tcW w:w="1814" w:type="dxa"/>
            <w:noWrap/>
            <w:hideMark/>
          </w:tcPr>
          <w:p w14:paraId="465F1E1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w:t>
            </w:r>
          </w:p>
        </w:tc>
        <w:tc>
          <w:tcPr>
            <w:tcW w:w="1815" w:type="dxa"/>
            <w:noWrap/>
            <w:hideMark/>
          </w:tcPr>
          <w:p w14:paraId="4A12DFA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6CAF565C"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13A710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Jan-18</w:t>
            </w:r>
          </w:p>
        </w:tc>
        <w:tc>
          <w:tcPr>
            <w:tcW w:w="1814" w:type="dxa"/>
            <w:noWrap/>
            <w:hideMark/>
          </w:tcPr>
          <w:p w14:paraId="0A0E8BF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32</w:t>
            </w:r>
          </w:p>
        </w:tc>
        <w:tc>
          <w:tcPr>
            <w:tcW w:w="1815" w:type="dxa"/>
            <w:noWrap/>
            <w:hideMark/>
          </w:tcPr>
          <w:p w14:paraId="6B1CFAB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70</w:t>
            </w:r>
          </w:p>
        </w:tc>
        <w:tc>
          <w:tcPr>
            <w:tcW w:w="1814" w:type="dxa"/>
            <w:noWrap/>
            <w:hideMark/>
          </w:tcPr>
          <w:p w14:paraId="51CC2DB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102</w:t>
            </w:r>
          </w:p>
        </w:tc>
        <w:tc>
          <w:tcPr>
            <w:tcW w:w="1815" w:type="dxa"/>
            <w:noWrap/>
            <w:hideMark/>
          </w:tcPr>
          <w:p w14:paraId="210234C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3EDFDBD9"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D90FDB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Feb-18</w:t>
            </w:r>
          </w:p>
        </w:tc>
        <w:tc>
          <w:tcPr>
            <w:tcW w:w="1814" w:type="dxa"/>
            <w:noWrap/>
            <w:hideMark/>
          </w:tcPr>
          <w:p w14:paraId="5E62E7F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29</w:t>
            </w:r>
          </w:p>
        </w:tc>
        <w:tc>
          <w:tcPr>
            <w:tcW w:w="1815" w:type="dxa"/>
            <w:noWrap/>
            <w:hideMark/>
          </w:tcPr>
          <w:p w14:paraId="1368EFC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3BC470D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78</w:t>
            </w:r>
          </w:p>
        </w:tc>
        <w:tc>
          <w:tcPr>
            <w:tcW w:w="1815" w:type="dxa"/>
            <w:noWrap/>
            <w:hideMark/>
          </w:tcPr>
          <w:p w14:paraId="7A2A2BD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w:t>
            </w:r>
          </w:p>
        </w:tc>
      </w:tr>
      <w:tr w:rsidR="007937EB" w:rsidRPr="007937EB" w14:paraId="13227B8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D01F57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Mar-18</w:t>
            </w:r>
          </w:p>
        </w:tc>
        <w:tc>
          <w:tcPr>
            <w:tcW w:w="1814" w:type="dxa"/>
            <w:noWrap/>
            <w:hideMark/>
          </w:tcPr>
          <w:p w14:paraId="3F32A3B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22</w:t>
            </w:r>
          </w:p>
        </w:tc>
        <w:tc>
          <w:tcPr>
            <w:tcW w:w="1815" w:type="dxa"/>
            <w:noWrap/>
            <w:hideMark/>
          </w:tcPr>
          <w:p w14:paraId="14BF298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04A9D50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71</w:t>
            </w:r>
          </w:p>
        </w:tc>
        <w:tc>
          <w:tcPr>
            <w:tcW w:w="1815" w:type="dxa"/>
            <w:noWrap/>
            <w:hideMark/>
          </w:tcPr>
          <w:p w14:paraId="025F0A8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w:t>
            </w:r>
          </w:p>
        </w:tc>
      </w:tr>
      <w:tr w:rsidR="007937EB" w:rsidRPr="007937EB" w14:paraId="7D08807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CE90E1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Apr-18</w:t>
            </w:r>
          </w:p>
        </w:tc>
        <w:tc>
          <w:tcPr>
            <w:tcW w:w="1814" w:type="dxa"/>
            <w:noWrap/>
            <w:hideMark/>
          </w:tcPr>
          <w:p w14:paraId="03CF178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31</w:t>
            </w:r>
          </w:p>
        </w:tc>
        <w:tc>
          <w:tcPr>
            <w:tcW w:w="1815" w:type="dxa"/>
            <w:noWrap/>
            <w:hideMark/>
          </w:tcPr>
          <w:p w14:paraId="3AC630D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604D8F8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84</w:t>
            </w:r>
          </w:p>
        </w:tc>
        <w:tc>
          <w:tcPr>
            <w:tcW w:w="1815" w:type="dxa"/>
            <w:noWrap/>
            <w:hideMark/>
          </w:tcPr>
          <w:p w14:paraId="1A88614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7DD618F1"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A360EE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May-18</w:t>
            </w:r>
          </w:p>
        </w:tc>
        <w:tc>
          <w:tcPr>
            <w:tcW w:w="1814" w:type="dxa"/>
            <w:noWrap/>
            <w:hideMark/>
          </w:tcPr>
          <w:p w14:paraId="16E5B51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46</w:t>
            </w:r>
          </w:p>
        </w:tc>
        <w:tc>
          <w:tcPr>
            <w:tcW w:w="1815" w:type="dxa"/>
            <w:noWrap/>
            <w:hideMark/>
          </w:tcPr>
          <w:p w14:paraId="0560132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52</w:t>
            </w:r>
          </w:p>
        </w:tc>
        <w:tc>
          <w:tcPr>
            <w:tcW w:w="1814" w:type="dxa"/>
            <w:noWrap/>
            <w:hideMark/>
          </w:tcPr>
          <w:p w14:paraId="51CBD86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98</w:t>
            </w:r>
          </w:p>
        </w:tc>
        <w:tc>
          <w:tcPr>
            <w:tcW w:w="1815" w:type="dxa"/>
            <w:noWrap/>
            <w:hideMark/>
          </w:tcPr>
          <w:p w14:paraId="143985F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w:t>
            </w:r>
          </w:p>
        </w:tc>
      </w:tr>
      <w:tr w:rsidR="007937EB" w:rsidRPr="007937EB" w14:paraId="2822C663"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987D42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Jun-18</w:t>
            </w:r>
          </w:p>
        </w:tc>
        <w:tc>
          <w:tcPr>
            <w:tcW w:w="1814" w:type="dxa"/>
            <w:noWrap/>
            <w:hideMark/>
          </w:tcPr>
          <w:p w14:paraId="0AE3C1A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5" w:type="dxa"/>
            <w:noWrap/>
            <w:hideMark/>
          </w:tcPr>
          <w:p w14:paraId="5E88EE7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62</w:t>
            </w:r>
          </w:p>
        </w:tc>
        <w:tc>
          <w:tcPr>
            <w:tcW w:w="1814" w:type="dxa"/>
            <w:noWrap/>
            <w:hideMark/>
          </w:tcPr>
          <w:p w14:paraId="46306FE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107</w:t>
            </w:r>
          </w:p>
        </w:tc>
        <w:tc>
          <w:tcPr>
            <w:tcW w:w="1815" w:type="dxa"/>
            <w:noWrap/>
            <w:hideMark/>
          </w:tcPr>
          <w:p w14:paraId="4B416D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7E09C197"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9217AA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Jul-18</w:t>
            </w:r>
          </w:p>
        </w:tc>
        <w:tc>
          <w:tcPr>
            <w:tcW w:w="1814" w:type="dxa"/>
            <w:noWrap/>
            <w:hideMark/>
          </w:tcPr>
          <w:p w14:paraId="746B962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5" w:type="dxa"/>
            <w:noWrap/>
            <w:hideMark/>
          </w:tcPr>
          <w:p w14:paraId="5E6C8AE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53</w:t>
            </w:r>
          </w:p>
        </w:tc>
        <w:tc>
          <w:tcPr>
            <w:tcW w:w="1814" w:type="dxa"/>
            <w:noWrap/>
            <w:hideMark/>
          </w:tcPr>
          <w:p w14:paraId="0519518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92</w:t>
            </w:r>
          </w:p>
        </w:tc>
        <w:tc>
          <w:tcPr>
            <w:tcW w:w="1815" w:type="dxa"/>
            <w:noWrap/>
            <w:hideMark/>
          </w:tcPr>
          <w:p w14:paraId="375975D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7180D253"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754C8E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Aug-18</w:t>
            </w:r>
          </w:p>
        </w:tc>
        <w:tc>
          <w:tcPr>
            <w:tcW w:w="1814" w:type="dxa"/>
            <w:noWrap/>
            <w:hideMark/>
          </w:tcPr>
          <w:p w14:paraId="6AACE45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5" w:type="dxa"/>
            <w:noWrap/>
            <w:hideMark/>
          </w:tcPr>
          <w:p w14:paraId="05C1D3C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77E7174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112</w:t>
            </w:r>
          </w:p>
        </w:tc>
        <w:tc>
          <w:tcPr>
            <w:tcW w:w="1815" w:type="dxa"/>
            <w:noWrap/>
            <w:hideMark/>
          </w:tcPr>
          <w:p w14:paraId="77757E7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293AF1D2"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6119E2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Sep-18</w:t>
            </w:r>
          </w:p>
        </w:tc>
        <w:tc>
          <w:tcPr>
            <w:tcW w:w="1814" w:type="dxa"/>
            <w:noWrap/>
            <w:hideMark/>
          </w:tcPr>
          <w:p w14:paraId="1CEE376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5" w:type="dxa"/>
            <w:noWrap/>
            <w:hideMark/>
          </w:tcPr>
          <w:p w14:paraId="79D1666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4" w:type="dxa"/>
            <w:noWrap/>
            <w:hideMark/>
          </w:tcPr>
          <w:p w14:paraId="715174E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95</w:t>
            </w:r>
          </w:p>
        </w:tc>
        <w:tc>
          <w:tcPr>
            <w:tcW w:w="1815" w:type="dxa"/>
            <w:noWrap/>
            <w:hideMark/>
          </w:tcPr>
          <w:p w14:paraId="5CFE777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1155AF3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55BBEF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Oct-18</w:t>
            </w:r>
          </w:p>
        </w:tc>
        <w:tc>
          <w:tcPr>
            <w:tcW w:w="1814" w:type="dxa"/>
            <w:noWrap/>
            <w:hideMark/>
          </w:tcPr>
          <w:p w14:paraId="3BBA9E2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0151A7B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47</w:t>
            </w:r>
          </w:p>
        </w:tc>
        <w:tc>
          <w:tcPr>
            <w:tcW w:w="1814" w:type="dxa"/>
            <w:noWrap/>
            <w:hideMark/>
          </w:tcPr>
          <w:p w14:paraId="349AF84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84</w:t>
            </w:r>
          </w:p>
        </w:tc>
        <w:tc>
          <w:tcPr>
            <w:tcW w:w="1815" w:type="dxa"/>
            <w:noWrap/>
            <w:hideMark/>
          </w:tcPr>
          <w:p w14:paraId="3832D65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w:t>
            </w:r>
          </w:p>
        </w:tc>
      </w:tr>
      <w:tr w:rsidR="007937EB" w:rsidRPr="007937EB" w14:paraId="06294A2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F2EDC6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Nov-18</w:t>
            </w:r>
          </w:p>
        </w:tc>
        <w:tc>
          <w:tcPr>
            <w:tcW w:w="1814" w:type="dxa"/>
            <w:noWrap/>
            <w:hideMark/>
          </w:tcPr>
          <w:p w14:paraId="63C9D04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5" w:type="dxa"/>
            <w:noWrap/>
            <w:hideMark/>
          </w:tcPr>
          <w:p w14:paraId="504724F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61</w:t>
            </w:r>
          </w:p>
        </w:tc>
        <w:tc>
          <w:tcPr>
            <w:tcW w:w="1814" w:type="dxa"/>
            <w:noWrap/>
            <w:hideMark/>
          </w:tcPr>
          <w:p w14:paraId="5462831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111</w:t>
            </w:r>
          </w:p>
        </w:tc>
        <w:tc>
          <w:tcPr>
            <w:tcW w:w="1815" w:type="dxa"/>
            <w:noWrap/>
            <w:hideMark/>
          </w:tcPr>
          <w:p w14:paraId="624B848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213C6CD5"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90F6D3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Dec-18</w:t>
            </w:r>
          </w:p>
        </w:tc>
        <w:tc>
          <w:tcPr>
            <w:tcW w:w="1814" w:type="dxa"/>
            <w:noWrap/>
            <w:hideMark/>
          </w:tcPr>
          <w:p w14:paraId="5FDE0B7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646B5D8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71</w:t>
            </w:r>
          </w:p>
        </w:tc>
        <w:tc>
          <w:tcPr>
            <w:tcW w:w="1814" w:type="dxa"/>
            <w:noWrap/>
            <w:hideMark/>
          </w:tcPr>
          <w:p w14:paraId="05F0CB55"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108</w:t>
            </w:r>
          </w:p>
        </w:tc>
        <w:tc>
          <w:tcPr>
            <w:tcW w:w="1815" w:type="dxa"/>
            <w:noWrap/>
            <w:hideMark/>
          </w:tcPr>
          <w:p w14:paraId="01B53EF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178BCB0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627F396"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Jan-19</w:t>
            </w:r>
          </w:p>
        </w:tc>
        <w:tc>
          <w:tcPr>
            <w:tcW w:w="1814" w:type="dxa"/>
            <w:noWrap/>
            <w:hideMark/>
          </w:tcPr>
          <w:p w14:paraId="65B8818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5" w:type="dxa"/>
            <w:noWrap/>
            <w:hideMark/>
          </w:tcPr>
          <w:p w14:paraId="724F0A0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60</w:t>
            </w:r>
          </w:p>
        </w:tc>
        <w:tc>
          <w:tcPr>
            <w:tcW w:w="1814" w:type="dxa"/>
            <w:noWrap/>
            <w:hideMark/>
          </w:tcPr>
          <w:p w14:paraId="5D40F93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108</w:t>
            </w:r>
          </w:p>
        </w:tc>
        <w:tc>
          <w:tcPr>
            <w:tcW w:w="1815" w:type="dxa"/>
            <w:noWrap/>
            <w:hideMark/>
          </w:tcPr>
          <w:p w14:paraId="20A5E69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6C54C28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68F8B0C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Feb-19</w:t>
            </w:r>
          </w:p>
        </w:tc>
        <w:tc>
          <w:tcPr>
            <w:tcW w:w="1814" w:type="dxa"/>
            <w:noWrap/>
            <w:hideMark/>
          </w:tcPr>
          <w:p w14:paraId="27A25E9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34</w:t>
            </w:r>
          </w:p>
        </w:tc>
        <w:tc>
          <w:tcPr>
            <w:tcW w:w="1815" w:type="dxa"/>
            <w:noWrap/>
            <w:hideMark/>
          </w:tcPr>
          <w:p w14:paraId="1B14A03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0152A55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84</w:t>
            </w:r>
          </w:p>
        </w:tc>
        <w:tc>
          <w:tcPr>
            <w:tcW w:w="1815" w:type="dxa"/>
            <w:noWrap/>
            <w:hideMark/>
          </w:tcPr>
          <w:p w14:paraId="5A9DA1C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156FB409"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AB6F1C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Mar-19</w:t>
            </w:r>
          </w:p>
        </w:tc>
        <w:tc>
          <w:tcPr>
            <w:tcW w:w="1814" w:type="dxa"/>
            <w:noWrap/>
            <w:hideMark/>
          </w:tcPr>
          <w:p w14:paraId="2765751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5" w:type="dxa"/>
            <w:noWrap/>
            <w:hideMark/>
          </w:tcPr>
          <w:p w14:paraId="7A4AF15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79</w:t>
            </w:r>
          </w:p>
        </w:tc>
        <w:tc>
          <w:tcPr>
            <w:tcW w:w="1814" w:type="dxa"/>
            <w:noWrap/>
            <w:hideMark/>
          </w:tcPr>
          <w:p w14:paraId="2819709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127</w:t>
            </w:r>
          </w:p>
        </w:tc>
        <w:tc>
          <w:tcPr>
            <w:tcW w:w="1815" w:type="dxa"/>
            <w:noWrap/>
            <w:hideMark/>
          </w:tcPr>
          <w:p w14:paraId="730156E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w:t>
            </w:r>
          </w:p>
        </w:tc>
      </w:tr>
      <w:tr w:rsidR="007937EB" w:rsidRPr="007937EB" w14:paraId="04EEC50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95A881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Apr-19</w:t>
            </w:r>
          </w:p>
        </w:tc>
        <w:tc>
          <w:tcPr>
            <w:tcW w:w="1814" w:type="dxa"/>
            <w:noWrap/>
            <w:hideMark/>
          </w:tcPr>
          <w:p w14:paraId="2124F8B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37</w:t>
            </w:r>
          </w:p>
        </w:tc>
        <w:tc>
          <w:tcPr>
            <w:tcW w:w="1815" w:type="dxa"/>
            <w:noWrap/>
            <w:hideMark/>
          </w:tcPr>
          <w:p w14:paraId="226623E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437B265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92</w:t>
            </w:r>
          </w:p>
        </w:tc>
        <w:tc>
          <w:tcPr>
            <w:tcW w:w="1815" w:type="dxa"/>
            <w:noWrap/>
            <w:hideMark/>
          </w:tcPr>
          <w:p w14:paraId="667A828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0D6E0FE6"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70A19D3"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May-19</w:t>
            </w:r>
          </w:p>
        </w:tc>
        <w:tc>
          <w:tcPr>
            <w:tcW w:w="1814" w:type="dxa"/>
            <w:noWrap/>
            <w:hideMark/>
          </w:tcPr>
          <w:p w14:paraId="398DA3E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5" w:type="dxa"/>
            <w:noWrap/>
            <w:hideMark/>
          </w:tcPr>
          <w:p w14:paraId="09D565C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5AAE581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99</w:t>
            </w:r>
          </w:p>
        </w:tc>
        <w:tc>
          <w:tcPr>
            <w:tcW w:w="1815" w:type="dxa"/>
            <w:noWrap/>
            <w:hideMark/>
          </w:tcPr>
          <w:p w14:paraId="6D771BB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31DCD20F"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2649FD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Jun-19</w:t>
            </w:r>
          </w:p>
        </w:tc>
        <w:tc>
          <w:tcPr>
            <w:tcW w:w="1814" w:type="dxa"/>
            <w:noWrap/>
            <w:hideMark/>
          </w:tcPr>
          <w:p w14:paraId="7954677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41</w:t>
            </w:r>
          </w:p>
        </w:tc>
        <w:tc>
          <w:tcPr>
            <w:tcW w:w="1815" w:type="dxa"/>
            <w:noWrap/>
            <w:hideMark/>
          </w:tcPr>
          <w:p w14:paraId="3612768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61</w:t>
            </w:r>
          </w:p>
        </w:tc>
        <w:tc>
          <w:tcPr>
            <w:tcW w:w="1814" w:type="dxa"/>
            <w:noWrap/>
            <w:hideMark/>
          </w:tcPr>
          <w:p w14:paraId="7D5A16B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102</w:t>
            </w:r>
          </w:p>
        </w:tc>
        <w:tc>
          <w:tcPr>
            <w:tcW w:w="1815" w:type="dxa"/>
            <w:noWrap/>
            <w:hideMark/>
          </w:tcPr>
          <w:p w14:paraId="04259BF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77DE981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F734AE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Jul-19</w:t>
            </w:r>
          </w:p>
        </w:tc>
        <w:tc>
          <w:tcPr>
            <w:tcW w:w="1814" w:type="dxa"/>
            <w:noWrap/>
            <w:hideMark/>
          </w:tcPr>
          <w:p w14:paraId="050EA99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31</w:t>
            </w:r>
          </w:p>
        </w:tc>
        <w:tc>
          <w:tcPr>
            <w:tcW w:w="1815" w:type="dxa"/>
            <w:noWrap/>
            <w:hideMark/>
          </w:tcPr>
          <w:p w14:paraId="1E8CB59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50</w:t>
            </w:r>
          </w:p>
        </w:tc>
        <w:tc>
          <w:tcPr>
            <w:tcW w:w="1814" w:type="dxa"/>
            <w:noWrap/>
            <w:hideMark/>
          </w:tcPr>
          <w:p w14:paraId="171F0A0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81</w:t>
            </w:r>
          </w:p>
        </w:tc>
        <w:tc>
          <w:tcPr>
            <w:tcW w:w="1815" w:type="dxa"/>
            <w:noWrap/>
            <w:hideMark/>
          </w:tcPr>
          <w:p w14:paraId="1CD0231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0FFC12A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17EBFA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Aug-19</w:t>
            </w:r>
          </w:p>
        </w:tc>
        <w:tc>
          <w:tcPr>
            <w:tcW w:w="1814" w:type="dxa"/>
            <w:noWrap/>
            <w:hideMark/>
          </w:tcPr>
          <w:p w14:paraId="668AE37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38</w:t>
            </w:r>
          </w:p>
        </w:tc>
        <w:tc>
          <w:tcPr>
            <w:tcW w:w="1815" w:type="dxa"/>
            <w:noWrap/>
            <w:hideMark/>
          </w:tcPr>
          <w:p w14:paraId="794489B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64</w:t>
            </w:r>
          </w:p>
        </w:tc>
        <w:tc>
          <w:tcPr>
            <w:tcW w:w="1814" w:type="dxa"/>
            <w:noWrap/>
            <w:hideMark/>
          </w:tcPr>
          <w:p w14:paraId="5563401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102</w:t>
            </w:r>
          </w:p>
        </w:tc>
        <w:tc>
          <w:tcPr>
            <w:tcW w:w="1815" w:type="dxa"/>
            <w:noWrap/>
            <w:hideMark/>
          </w:tcPr>
          <w:p w14:paraId="5B9F794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1BF813F3"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464483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Sep-19</w:t>
            </w:r>
          </w:p>
        </w:tc>
        <w:tc>
          <w:tcPr>
            <w:tcW w:w="1814" w:type="dxa"/>
            <w:noWrap/>
            <w:hideMark/>
          </w:tcPr>
          <w:p w14:paraId="26324A22"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5" w:type="dxa"/>
            <w:noWrap/>
            <w:hideMark/>
          </w:tcPr>
          <w:p w14:paraId="7252B50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39</w:t>
            </w:r>
          </w:p>
        </w:tc>
        <w:tc>
          <w:tcPr>
            <w:tcW w:w="1814" w:type="dxa"/>
            <w:noWrap/>
            <w:hideMark/>
          </w:tcPr>
          <w:p w14:paraId="69F76345"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93</w:t>
            </w:r>
          </w:p>
        </w:tc>
        <w:tc>
          <w:tcPr>
            <w:tcW w:w="1815" w:type="dxa"/>
            <w:noWrap/>
            <w:hideMark/>
          </w:tcPr>
          <w:p w14:paraId="52A841F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2B60DC6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7221BF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Oct-19</w:t>
            </w:r>
          </w:p>
        </w:tc>
        <w:tc>
          <w:tcPr>
            <w:tcW w:w="1814" w:type="dxa"/>
            <w:noWrap/>
            <w:hideMark/>
          </w:tcPr>
          <w:p w14:paraId="129849B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5" w:type="dxa"/>
            <w:noWrap/>
            <w:hideMark/>
          </w:tcPr>
          <w:p w14:paraId="774FFF8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51</w:t>
            </w:r>
          </w:p>
        </w:tc>
        <w:tc>
          <w:tcPr>
            <w:tcW w:w="1814" w:type="dxa"/>
            <w:noWrap/>
            <w:hideMark/>
          </w:tcPr>
          <w:p w14:paraId="530A3A3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105</w:t>
            </w:r>
          </w:p>
        </w:tc>
        <w:tc>
          <w:tcPr>
            <w:tcW w:w="1815" w:type="dxa"/>
            <w:noWrap/>
            <w:hideMark/>
          </w:tcPr>
          <w:p w14:paraId="4A68A3C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6A598255"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DF4D2C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Nov-19</w:t>
            </w:r>
          </w:p>
        </w:tc>
        <w:tc>
          <w:tcPr>
            <w:tcW w:w="1814" w:type="dxa"/>
            <w:noWrap/>
            <w:hideMark/>
          </w:tcPr>
          <w:p w14:paraId="744626C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5" w:type="dxa"/>
            <w:noWrap/>
            <w:hideMark/>
          </w:tcPr>
          <w:p w14:paraId="424B8DD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56</w:t>
            </w:r>
          </w:p>
        </w:tc>
        <w:tc>
          <w:tcPr>
            <w:tcW w:w="1814" w:type="dxa"/>
            <w:noWrap/>
            <w:hideMark/>
          </w:tcPr>
          <w:p w14:paraId="678E602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105</w:t>
            </w:r>
          </w:p>
        </w:tc>
        <w:tc>
          <w:tcPr>
            <w:tcW w:w="1815" w:type="dxa"/>
            <w:noWrap/>
            <w:hideMark/>
          </w:tcPr>
          <w:p w14:paraId="5C0C991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3FEE6296"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6E9F09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Dec-19</w:t>
            </w:r>
          </w:p>
        </w:tc>
        <w:tc>
          <w:tcPr>
            <w:tcW w:w="1814" w:type="dxa"/>
            <w:noWrap/>
            <w:hideMark/>
          </w:tcPr>
          <w:p w14:paraId="57BE9D8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28</w:t>
            </w:r>
          </w:p>
        </w:tc>
        <w:tc>
          <w:tcPr>
            <w:tcW w:w="1815" w:type="dxa"/>
            <w:noWrap/>
            <w:hideMark/>
          </w:tcPr>
          <w:p w14:paraId="46AF10E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61</w:t>
            </w:r>
          </w:p>
        </w:tc>
        <w:tc>
          <w:tcPr>
            <w:tcW w:w="1814" w:type="dxa"/>
            <w:noWrap/>
            <w:hideMark/>
          </w:tcPr>
          <w:p w14:paraId="4527355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89</w:t>
            </w:r>
          </w:p>
        </w:tc>
        <w:tc>
          <w:tcPr>
            <w:tcW w:w="1815" w:type="dxa"/>
            <w:noWrap/>
            <w:hideMark/>
          </w:tcPr>
          <w:p w14:paraId="0C3748B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587E65C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748EBD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Jan-20</w:t>
            </w:r>
          </w:p>
        </w:tc>
        <w:tc>
          <w:tcPr>
            <w:tcW w:w="1814" w:type="dxa"/>
            <w:noWrap/>
            <w:hideMark/>
          </w:tcPr>
          <w:p w14:paraId="038D28D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35</w:t>
            </w:r>
          </w:p>
        </w:tc>
        <w:tc>
          <w:tcPr>
            <w:tcW w:w="1815" w:type="dxa"/>
            <w:noWrap/>
            <w:hideMark/>
          </w:tcPr>
          <w:p w14:paraId="5963C83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67</w:t>
            </w:r>
          </w:p>
        </w:tc>
        <w:tc>
          <w:tcPr>
            <w:tcW w:w="1814" w:type="dxa"/>
            <w:noWrap/>
            <w:hideMark/>
          </w:tcPr>
          <w:p w14:paraId="6404F49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102</w:t>
            </w:r>
          </w:p>
        </w:tc>
        <w:tc>
          <w:tcPr>
            <w:tcW w:w="1815" w:type="dxa"/>
            <w:noWrap/>
            <w:hideMark/>
          </w:tcPr>
          <w:p w14:paraId="2D2751E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50E75CF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413997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Feb-20</w:t>
            </w:r>
          </w:p>
        </w:tc>
        <w:tc>
          <w:tcPr>
            <w:tcW w:w="1814" w:type="dxa"/>
            <w:noWrap/>
            <w:hideMark/>
          </w:tcPr>
          <w:p w14:paraId="7EF2AAE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5" w:type="dxa"/>
            <w:noWrap/>
            <w:hideMark/>
          </w:tcPr>
          <w:p w14:paraId="3E93C08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71</w:t>
            </w:r>
          </w:p>
        </w:tc>
        <w:tc>
          <w:tcPr>
            <w:tcW w:w="1814" w:type="dxa"/>
            <w:noWrap/>
            <w:hideMark/>
          </w:tcPr>
          <w:p w14:paraId="454ED0A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120</w:t>
            </w:r>
          </w:p>
        </w:tc>
        <w:tc>
          <w:tcPr>
            <w:tcW w:w="1815" w:type="dxa"/>
            <w:noWrap/>
            <w:hideMark/>
          </w:tcPr>
          <w:p w14:paraId="7BA7013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1BE271E9"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6E59D6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Mar-20</w:t>
            </w:r>
          </w:p>
        </w:tc>
        <w:tc>
          <w:tcPr>
            <w:tcW w:w="1814" w:type="dxa"/>
            <w:noWrap/>
            <w:hideMark/>
          </w:tcPr>
          <w:p w14:paraId="41D3A0E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57</w:t>
            </w:r>
          </w:p>
        </w:tc>
        <w:tc>
          <w:tcPr>
            <w:tcW w:w="1815" w:type="dxa"/>
            <w:noWrap/>
            <w:hideMark/>
          </w:tcPr>
          <w:p w14:paraId="6ED091C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65</w:t>
            </w:r>
          </w:p>
        </w:tc>
        <w:tc>
          <w:tcPr>
            <w:tcW w:w="1814" w:type="dxa"/>
            <w:noWrap/>
            <w:hideMark/>
          </w:tcPr>
          <w:p w14:paraId="5274C97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122</w:t>
            </w:r>
          </w:p>
        </w:tc>
        <w:tc>
          <w:tcPr>
            <w:tcW w:w="1815" w:type="dxa"/>
            <w:noWrap/>
            <w:hideMark/>
          </w:tcPr>
          <w:p w14:paraId="6562D71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7C9F89BD"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938C85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Apr-20</w:t>
            </w:r>
          </w:p>
        </w:tc>
        <w:tc>
          <w:tcPr>
            <w:tcW w:w="1814" w:type="dxa"/>
            <w:noWrap/>
            <w:hideMark/>
          </w:tcPr>
          <w:p w14:paraId="726AA37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45</w:t>
            </w:r>
          </w:p>
        </w:tc>
        <w:tc>
          <w:tcPr>
            <w:tcW w:w="1815" w:type="dxa"/>
            <w:noWrap/>
            <w:hideMark/>
          </w:tcPr>
          <w:p w14:paraId="000F1C9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60</w:t>
            </w:r>
          </w:p>
        </w:tc>
        <w:tc>
          <w:tcPr>
            <w:tcW w:w="1814" w:type="dxa"/>
            <w:noWrap/>
            <w:hideMark/>
          </w:tcPr>
          <w:p w14:paraId="5EC7FA5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105</w:t>
            </w:r>
          </w:p>
        </w:tc>
        <w:tc>
          <w:tcPr>
            <w:tcW w:w="1815" w:type="dxa"/>
            <w:noWrap/>
            <w:hideMark/>
          </w:tcPr>
          <w:p w14:paraId="38DC75C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60B251F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F74232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May-20</w:t>
            </w:r>
          </w:p>
        </w:tc>
        <w:tc>
          <w:tcPr>
            <w:tcW w:w="1814" w:type="dxa"/>
            <w:noWrap/>
            <w:hideMark/>
          </w:tcPr>
          <w:p w14:paraId="7576579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5" w:type="dxa"/>
            <w:noWrap/>
            <w:hideMark/>
          </w:tcPr>
          <w:p w14:paraId="580AA7A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65</w:t>
            </w:r>
          </w:p>
        </w:tc>
        <w:tc>
          <w:tcPr>
            <w:tcW w:w="1814" w:type="dxa"/>
            <w:noWrap/>
            <w:hideMark/>
          </w:tcPr>
          <w:p w14:paraId="2BCD7D7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113</w:t>
            </w:r>
          </w:p>
        </w:tc>
        <w:tc>
          <w:tcPr>
            <w:tcW w:w="1815" w:type="dxa"/>
            <w:noWrap/>
            <w:hideMark/>
          </w:tcPr>
          <w:p w14:paraId="05531DF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030511D0"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4006A5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Jun-20</w:t>
            </w:r>
          </w:p>
        </w:tc>
        <w:tc>
          <w:tcPr>
            <w:tcW w:w="1814" w:type="dxa"/>
            <w:noWrap/>
            <w:hideMark/>
          </w:tcPr>
          <w:p w14:paraId="0EFD83F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65</w:t>
            </w:r>
          </w:p>
        </w:tc>
        <w:tc>
          <w:tcPr>
            <w:tcW w:w="1815" w:type="dxa"/>
            <w:noWrap/>
            <w:hideMark/>
          </w:tcPr>
          <w:p w14:paraId="2EBCA98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w:t>
            </w:r>
          </w:p>
        </w:tc>
        <w:tc>
          <w:tcPr>
            <w:tcW w:w="1814" w:type="dxa"/>
            <w:noWrap/>
            <w:hideMark/>
          </w:tcPr>
          <w:p w14:paraId="16C11B4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114</w:t>
            </w:r>
          </w:p>
        </w:tc>
        <w:tc>
          <w:tcPr>
            <w:tcW w:w="1815" w:type="dxa"/>
            <w:noWrap/>
            <w:hideMark/>
          </w:tcPr>
          <w:p w14:paraId="09404E3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53A9D254"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748901C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Jul-20</w:t>
            </w:r>
          </w:p>
        </w:tc>
        <w:tc>
          <w:tcPr>
            <w:tcW w:w="1814" w:type="dxa"/>
            <w:noWrap/>
            <w:hideMark/>
          </w:tcPr>
          <w:p w14:paraId="4715DF0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69</w:t>
            </w:r>
          </w:p>
        </w:tc>
        <w:tc>
          <w:tcPr>
            <w:tcW w:w="1815" w:type="dxa"/>
            <w:noWrap/>
            <w:hideMark/>
          </w:tcPr>
          <w:p w14:paraId="2D19CEB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60</w:t>
            </w:r>
          </w:p>
        </w:tc>
        <w:tc>
          <w:tcPr>
            <w:tcW w:w="1814" w:type="dxa"/>
            <w:noWrap/>
            <w:hideMark/>
          </w:tcPr>
          <w:p w14:paraId="521BD45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129</w:t>
            </w:r>
          </w:p>
        </w:tc>
        <w:tc>
          <w:tcPr>
            <w:tcW w:w="1815" w:type="dxa"/>
            <w:noWrap/>
            <w:hideMark/>
          </w:tcPr>
          <w:p w14:paraId="10ACE3BF"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09AB8A2D"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4F6C658"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Aug-20</w:t>
            </w:r>
          </w:p>
        </w:tc>
        <w:tc>
          <w:tcPr>
            <w:tcW w:w="1814" w:type="dxa"/>
            <w:noWrap/>
            <w:hideMark/>
          </w:tcPr>
          <w:p w14:paraId="7A23F20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76</w:t>
            </w:r>
          </w:p>
        </w:tc>
        <w:tc>
          <w:tcPr>
            <w:tcW w:w="1815" w:type="dxa"/>
            <w:noWrap/>
            <w:hideMark/>
          </w:tcPr>
          <w:p w14:paraId="50093BD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66</w:t>
            </w:r>
          </w:p>
        </w:tc>
        <w:tc>
          <w:tcPr>
            <w:tcW w:w="1814" w:type="dxa"/>
            <w:noWrap/>
            <w:hideMark/>
          </w:tcPr>
          <w:p w14:paraId="0D4917E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142</w:t>
            </w:r>
          </w:p>
        </w:tc>
        <w:tc>
          <w:tcPr>
            <w:tcW w:w="1815" w:type="dxa"/>
            <w:noWrap/>
            <w:hideMark/>
          </w:tcPr>
          <w:p w14:paraId="48268AE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w:t>
            </w:r>
          </w:p>
        </w:tc>
      </w:tr>
      <w:tr w:rsidR="007937EB" w:rsidRPr="007937EB" w14:paraId="03708C38"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4E0940D"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Sep-20</w:t>
            </w:r>
          </w:p>
        </w:tc>
        <w:tc>
          <w:tcPr>
            <w:tcW w:w="1814" w:type="dxa"/>
            <w:noWrap/>
            <w:hideMark/>
          </w:tcPr>
          <w:p w14:paraId="069C76F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71</w:t>
            </w:r>
          </w:p>
        </w:tc>
        <w:tc>
          <w:tcPr>
            <w:tcW w:w="1815" w:type="dxa"/>
            <w:noWrap/>
            <w:hideMark/>
          </w:tcPr>
          <w:p w14:paraId="3B8BA23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66</w:t>
            </w:r>
          </w:p>
        </w:tc>
        <w:tc>
          <w:tcPr>
            <w:tcW w:w="1814" w:type="dxa"/>
            <w:noWrap/>
            <w:hideMark/>
          </w:tcPr>
          <w:p w14:paraId="76DAE75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137</w:t>
            </w:r>
          </w:p>
        </w:tc>
        <w:tc>
          <w:tcPr>
            <w:tcW w:w="1815" w:type="dxa"/>
            <w:noWrap/>
            <w:hideMark/>
          </w:tcPr>
          <w:p w14:paraId="46E9691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0D23DE1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FBFE80F"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Oct-20</w:t>
            </w:r>
          </w:p>
        </w:tc>
        <w:tc>
          <w:tcPr>
            <w:tcW w:w="1814" w:type="dxa"/>
            <w:noWrap/>
            <w:hideMark/>
          </w:tcPr>
          <w:p w14:paraId="50364544"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73</w:t>
            </w:r>
          </w:p>
        </w:tc>
        <w:tc>
          <w:tcPr>
            <w:tcW w:w="1815" w:type="dxa"/>
            <w:noWrap/>
            <w:hideMark/>
          </w:tcPr>
          <w:p w14:paraId="4D0C15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65</w:t>
            </w:r>
          </w:p>
        </w:tc>
        <w:tc>
          <w:tcPr>
            <w:tcW w:w="1814" w:type="dxa"/>
            <w:noWrap/>
            <w:hideMark/>
          </w:tcPr>
          <w:p w14:paraId="63B1DED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138</w:t>
            </w:r>
          </w:p>
        </w:tc>
        <w:tc>
          <w:tcPr>
            <w:tcW w:w="1815" w:type="dxa"/>
            <w:noWrap/>
            <w:hideMark/>
          </w:tcPr>
          <w:p w14:paraId="39BFC63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463667E4"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40C9F8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Nov-20</w:t>
            </w:r>
          </w:p>
        </w:tc>
        <w:tc>
          <w:tcPr>
            <w:tcW w:w="1814" w:type="dxa"/>
            <w:noWrap/>
            <w:hideMark/>
          </w:tcPr>
          <w:p w14:paraId="634FEEB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69</w:t>
            </w:r>
          </w:p>
        </w:tc>
        <w:tc>
          <w:tcPr>
            <w:tcW w:w="1815" w:type="dxa"/>
            <w:noWrap/>
            <w:hideMark/>
          </w:tcPr>
          <w:p w14:paraId="0C855D3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68</w:t>
            </w:r>
          </w:p>
        </w:tc>
        <w:tc>
          <w:tcPr>
            <w:tcW w:w="1814" w:type="dxa"/>
            <w:noWrap/>
            <w:hideMark/>
          </w:tcPr>
          <w:p w14:paraId="7356AB93"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137</w:t>
            </w:r>
          </w:p>
        </w:tc>
        <w:tc>
          <w:tcPr>
            <w:tcW w:w="1815" w:type="dxa"/>
            <w:noWrap/>
            <w:hideMark/>
          </w:tcPr>
          <w:p w14:paraId="5F010C0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09B5616C"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03C746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Dec-20</w:t>
            </w:r>
          </w:p>
        </w:tc>
        <w:tc>
          <w:tcPr>
            <w:tcW w:w="1814" w:type="dxa"/>
            <w:noWrap/>
            <w:hideMark/>
          </w:tcPr>
          <w:p w14:paraId="1A49DCA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52</w:t>
            </w:r>
          </w:p>
        </w:tc>
        <w:tc>
          <w:tcPr>
            <w:tcW w:w="1815" w:type="dxa"/>
            <w:noWrap/>
            <w:hideMark/>
          </w:tcPr>
          <w:p w14:paraId="1EA2884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5C51BEB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107</w:t>
            </w:r>
          </w:p>
        </w:tc>
        <w:tc>
          <w:tcPr>
            <w:tcW w:w="1815" w:type="dxa"/>
            <w:noWrap/>
            <w:hideMark/>
          </w:tcPr>
          <w:p w14:paraId="470E468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w:t>
            </w:r>
          </w:p>
        </w:tc>
      </w:tr>
      <w:tr w:rsidR="007937EB" w:rsidRPr="007937EB" w14:paraId="4EF2BB0E"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E6729A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Jan-21</w:t>
            </w:r>
          </w:p>
        </w:tc>
        <w:tc>
          <w:tcPr>
            <w:tcW w:w="1814" w:type="dxa"/>
            <w:noWrap/>
            <w:hideMark/>
          </w:tcPr>
          <w:p w14:paraId="26B6A997"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52</w:t>
            </w:r>
          </w:p>
        </w:tc>
        <w:tc>
          <w:tcPr>
            <w:tcW w:w="1815" w:type="dxa"/>
            <w:noWrap/>
            <w:hideMark/>
          </w:tcPr>
          <w:p w14:paraId="4894D43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80</w:t>
            </w:r>
          </w:p>
        </w:tc>
        <w:tc>
          <w:tcPr>
            <w:tcW w:w="1814" w:type="dxa"/>
            <w:noWrap/>
            <w:hideMark/>
          </w:tcPr>
          <w:p w14:paraId="109EB520"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132</w:t>
            </w:r>
          </w:p>
        </w:tc>
        <w:tc>
          <w:tcPr>
            <w:tcW w:w="1815" w:type="dxa"/>
            <w:noWrap/>
            <w:hideMark/>
          </w:tcPr>
          <w:p w14:paraId="3397505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196A09DB"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50FED590"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Feb-21</w:t>
            </w:r>
          </w:p>
        </w:tc>
        <w:tc>
          <w:tcPr>
            <w:tcW w:w="1814" w:type="dxa"/>
            <w:noWrap/>
            <w:hideMark/>
          </w:tcPr>
          <w:p w14:paraId="5B53C81B"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80</w:t>
            </w:r>
          </w:p>
        </w:tc>
        <w:tc>
          <w:tcPr>
            <w:tcW w:w="1815" w:type="dxa"/>
            <w:noWrap/>
            <w:hideMark/>
          </w:tcPr>
          <w:p w14:paraId="3830A8F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66</w:t>
            </w:r>
          </w:p>
        </w:tc>
        <w:tc>
          <w:tcPr>
            <w:tcW w:w="1814" w:type="dxa"/>
            <w:noWrap/>
            <w:hideMark/>
          </w:tcPr>
          <w:p w14:paraId="3DD01BC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146</w:t>
            </w:r>
          </w:p>
        </w:tc>
        <w:tc>
          <w:tcPr>
            <w:tcW w:w="1815" w:type="dxa"/>
            <w:noWrap/>
            <w:hideMark/>
          </w:tcPr>
          <w:p w14:paraId="73C64C4D"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2358DB2A"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408CEF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Mar-21</w:t>
            </w:r>
          </w:p>
        </w:tc>
        <w:tc>
          <w:tcPr>
            <w:tcW w:w="1814" w:type="dxa"/>
            <w:noWrap/>
            <w:hideMark/>
          </w:tcPr>
          <w:p w14:paraId="30F9446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77</w:t>
            </w:r>
          </w:p>
        </w:tc>
        <w:tc>
          <w:tcPr>
            <w:tcW w:w="1815" w:type="dxa"/>
            <w:noWrap/>
            <w:hideMark/>
          </w:tcPr>
          <w:p w14:paraId="65C21FB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64</w:t>
            </w:r>
          </w:p>
        </w:tc>
        <w:tc>
          <w:tcPr>
            <w:tcW w:w="1814" w:type="dxa"/>
            <w:noWrap/>
            <w:hideMark/>
          </w:tcPr>
          <w:p w14:paraId="6347E32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141</w:t>
            </w:r>
          </w:p>
        </w:tc>
        <w:tc>
          <w:tcPr>
            <w:tcW w:w="1815" w:type="dxa"/>
            <w:noWrap/>
            <w:hideMark/>
          </w:tcPr>
          <w:p w14:paraId="57E26566"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007F9898"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2DC9D5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Apr-21</w:t>
            </w:r>
          </w:p>
        </w:tc>
        <w:tc>
          <w:tcPr>
            <w:tcW w:w="1814" w:type="dxa"/>
            <w:noWrap/>
            <w:hideMark/>
          </w:tcPr>
          <w:p w14:paraId="048C1C1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70</w:t>
            </w:r>
          </w:p>
        </w:tc>
        <w:tc>
          <w:tcPr>
            <w:tcW w:w="1815" w:type="dxa"/>
            <w:noWrap/>
            <w:hideMark/>
          </w:tcPr>
          <w:p w14:paraId="0E1DAABF"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54</w:t>
            </w:r>
          </w:p>
        </w:tc>
        <w:tc>
          <w:tcPr>
            <w:tcW w:w="1814" w:type="dxa"/>
            <w:noWrap/>
            <w:hideMark/>
          </w:tcPr>
          <w:p w14:paraId="232C0A73"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124</w:t>
            </w:r>
          </w:p>
        </w:tc>
        <w:tc>
          <w:tcPr>
            <w:tcW w:w="1815" w:type="dxa"/>
            <w:noWrap/>
            <w:hideMark/>
          </w:tcPr>
          <w:p w14:paraId="6B99A5E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w:t>
            </w:r>
          </w:p>
        </w:tc>
      </w:tr>
      <w:tr w:rsidR="007937EB" w:rsidRPr="007937EB" w14:paraId="112B0A5B"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A0DBFE2"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May-21</w:t>
            </w:r>
          </w:p>
        </w:tc>
        <w:tc>
          <w:tcPr>
            <w:tcW w:w="1814" w:type="dxa"/>
            <w:noWrap/>
            <w:hideMark/>
          </w:tcPr>
          <w:p w14:paraId="3C87119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118</w:t>
            </w:r>
          </w:p>
        </w:tc>
        <w:tc>
          <w:tcPr>
            <w:tcW w:w="1815" w:type="dxa"/>
            <w:noWrap/>
            <w:hideMark/>
          </w:tcPr>
          <w:p w14:paraId="24BA1CD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70</w:t>
            </w:r>
          </w:p>
        </w:tc>
        <w:tc>
          <w:tcPr>
            <w:tcW w:w="1814" w:type="dxa"/>
            <w:noWrap/>
            <w:hideMark/>
          </w:tcPr>
          <w:p w14:paraId="12F1B8F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188</w:t>
            </w:r>
          </w:p>
        </w:tc>
        <w:tc>
          <w:tcPr>
            <w:tcW w:w="1815" w:type="dxa"/>
            <w:noWrap/>
            <w:hideMark/>
          </w:tcPr>
          <w:p w14:paraId="5E522A3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7F05B986"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3B38EE45"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Jun-21</w:t>
            </w:r>
          </w:p>
        </w:tc>
        <w:tc>
          <w:tcPr>
            <w:tcW w:w="1814" w:type="dxa"/>
            <w:noWrap/>
            <w:hideMark/>
          </w:tcPr>
          <w:p w14:paraId="1219A32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84</w:t>
            </w:r>
          </w:p>
        </w:tc>
        <w:tc>
          <w:tcPr>
            <w:tcW w:w="1815" w:type="dxa"/>
            <w:noWrap/>
            <w:hideMark/>
          </w:tcPr>
          <w:p w14:paraId="7C952A6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62</w:t>
            </w:r>
          </w:p>
        </w:tc>
        <w:tc>
          <w:tcPr>
            <w:tcW w:w="1814" w:type="dxa"/>
            <w:noWrap/>
            <w:hideMark/>
          </w:tcPr>
          <w:p w14:paraId="0189328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146</w:t>
            </w:r>
          </w:p>
        </w:tc>
        <w:tc>
          <w:tcPr>
            <w:tcW w:w="1815" w:type="dxa"/>
            <w:noWrap/>
            <w:hideMark/>
          </w:tcPr>
          <w:p w14:paraId="07631412"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2AA1A3F4"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9AB3DDC"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Jul-21</w:t>
            </w:r>
          </w:p>
        </w:tc>
        <w:tc>
          <w:tcPr>
            <w:tcW w:w="1814" w:type="dxa"/>
            <w:noWrap/>
            <w:hideMark/>
          </w:tcPr>
          <w:p w14:paraId="5970D9A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72</w:t>
            </w:r>
          </w:p>
        </w:tc>
        <w:tc>
          <w:tcPr>
            <w:tcW w:w="1815" w:type="dxa"/>
            <w:noWrap/>
            <w:hideMark/>
          </w:tcPr>
          <w:p w14:paraId="595A55AC"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w:t>
            </w:r>
          </w:p>
        </w:tc>
        <w:tc>
          <w:tcPr>
            <w:tcW w:w="1814" w:type="dxa"/>
            <w:noWrap/>
            <w:hideMark/>
          </w:tcPr>
          <w:p w14:paraId="7995934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127</w:t>
            </w:r>
          </w:p>
        </w:tc>
        <w:tc>
          <w:tcPr>
            <w:tcW w:w="1815" w:type="dxa"/>
            <w:noWrap/>
            <w:hideMark/>
          </w:tcPr>
          <w:p w14:paraId="7A40FFC8"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22B15452"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161B8AB4"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Aug-21</w:t>
            </w:r>
          </w:p>
        </w:tc>
        <w:tc>
          <w:tcPr>
            <w:tcW w:w="1814" w:type="dxa"/>
            <w:noWrap/>
            <w:hideMark/>
          </w:tcPr>
          <w:p w14:paraId="39A4E4A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89</w:t>
            </w:r>
          </w:p>
        </w:tc>
        <w:tc>
          <w:tcPr>
            <w:tcW w:w="1815" w:type="dxa"/>
            <w:noWrap/>
            <w:hideMark/>
          </w:tcPr>
          <w:p w14:paraId="05E566B1"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58</w:t>
            </w:r>
          </w:p>
        </w:tc>
        <w:tc>
          <w:tcPr>
            <w:tcW w:w="1814" w:type="dxa"/>
            <w:noWrap/>
            <w:hideMark/>
          </w:tcPr>
          <w:p w14:paraId="4CA13D5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147</w:t>
            </w:r>
          </w:p>
        </w:tc>
        <w:tc>
          <w:tcPr>
            <w:tcW w:w="1815" w:type="dxa"/>
            <w:noWrap/>
            <w:hideMark/>
          </w:tcPr>
          <w:p w14:paraId="60BBE0F0"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w:t>
            </w:r>
          </w:p>
        </w:tc>
      </w:tr>
      <w:tr w:rsidR="007937EB" w:rsidRPr="007937EB" w14:paraId="750D7491"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07FC8E4E"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Sep-21</w:t>
            </w:r>
          </w:p>
        </w:tc>
        <w:tc>
          <w:tcPr>
            <w:tcW w:w="1814" w:type="dxa"/>
            <w:noWrap/>
            <w:hideMark/>
          </w:tcPr>
          <w:p w14:paraId="7EEC08DE"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82</w:t>
            </w:r>
          </w:p>
        </w:tc>
        <w:tc>
          <w:tcPr>
            <w:tcW w:w="1815" w:type="dxa"/>
            <w:noWrap/>
            <w:hideMark/>
          </w:tcPr>
          <w:p w14:paraId="401D383D"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68</w:t>
            </w:r>
          </w:p>
        </w:tc>
        <w:tc>
          <w:tcPr>
            <w:tcW w:w="1814" w:type="dxa"/>
            <w:noWrap/>
            <w:hideMark/>
          </w:tcPr>
          <w:p w14:paraId="3C036549"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150</w:t>
            </w:r>
          </w:p>
        </w:tc>
        <w:tc>
          <w:tcPr>
            <w:tcW w:w="1815" w:type="dxa"/>
            <w:noWrap/>
            <w:hideMark/>
          </w:tcPr>
          <w:p w14:paraId="6951754A"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3</w:t>
            </w:r>
          </w:p>
        </w:tc>
      </w:tr>
      <w:tr w:rsidR="007937EB" w:rsidRPr="007937EB" w14:paraId="2947CCF7"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203DD2F7"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Oct-21</w:t>
            </w:r>
          </w:p>
        </w:tc>
        <w:tc>
          <w:tcPr>
            <w:tcW w:w="1814" w:type="dxa"/>
            <w:noWrap/>
            <w:hideMark/>
          </w:tcPr>
          <w:p w14:paraId="7ED323F8"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84</w:t>
            </w:r>
          </w:p>
        </w:tc>
        <w:tc>
          <w:tcPr>
            <w:tcW w:w="1815" w:type="dxa"/>
            <w:noWrap/>
            <w:hideMark/>
          </w:tcPr>
          <w:p w14:paraId="0517E3EC"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74</w:t>
            </w:r>
          </w:p>
        </w:tc>
        <w:tc>
          <w:tcPr>
            <w:tcW w:w="1814" w:type="dxa"/>
            <w:noWrap/>
            <w:hideMark/>
          </w:tcPr>
          <w:p w14:paraId="008F8DE9"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158</w:t>
            </w:r>
          </w:p>
        </w:tc>
        <w:tc>
          <w:tcPr>
            <w:tcW w:w="1815" w:type="dxa"/>
            <w:noWrap/>
            <w:hideMark/>
          </w:tcPr>
          <w:p w14:paraId="1E43C776"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w:t>
            </w:r>
          </w:p>
        </w:tc>
      </w:tr>
      <w:tr w:rsidR="007937EB" w:rsidRPr="007937EB" w14:paraId="3047B95F" w14:textId="77777777" w:rsidTr="009A5C7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28EEF91"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Nov-21</w:t>
            </w:r>
          </w:p>
        </w:tc>
        <w:tc>
          <w:tcPr>
            <w:tcW w:w="1814" w:type="dxa"/>
            <w:noWrap/>
            <w:hideMark/>
          </w:tcPr>
          <w:p w14:paraId="008968FB"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90</w:t>
            </w:r>
          </w:p>
        </w:tc>
        <w:tc>
          <w:tcPr>
            <w:tcW w:w="1815" w:type="dxa"/>
            <w:noWrap/>
            <w:hideMark/>
          </w:tcPr>
          <w:p w14:paraId="328D122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75</w:t>
            </w:r>
          </w:p>
        </w:tc>
        <w:tc>
          <w:tcPr>
            <w:tcW w:w="1814" w:type="dxa"/>
            <w:noWrap/>
            <w:hideMark/>
          </w:tcPr>
          <w:p w14:paraId="68FDC851"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165</w:t>
            </w:r>
          </w:p>
        </w:tc>
        <w:tc>
          <w:tcPr>
            <w:tcW w:w="1815" w:type="dxa"/>
            <w:noWrap/>
            <w:hideMark/>
          </w:tcPr>
          <w:p w14:paraId="6AFABD94" w14:textId="77777777" w:rsidR="007937EB" w:rsidRPr="00D0012A" w:rsidRDefault="007937EB" w:rsidP="007937EB">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w:t>
            </w:r>
          </w:p>
        </w:tc>
      </w:tr>
      <w:tr w:rsidR="007937EB" w:rsidRPr="007937EB" w14:paraId="27540975" w14:textId="77777777" w:rsidTr="009A5C78">
        <w:trPr>
          <w:trHeight w:val="315"/>
        </w:trPr>
        <w:tc>
          <w:tcPr>
            <w:cnfStyle w:val="001000000000" w:firstRow="0" w:lastRow="0" w:firstColumn="1" w:lastColumn="0" w:oddVBand="0" w:evenVBand="0" w:oddHBand="0" w:evenHBand="0" w:firstRowFirstColumn="0" w:firstRowLastColumn="0" w:lastRowFirstColumn="0" w:lastRowLastColumn="0"/>
            <w:tcW w:w="1814" w:type="dxa"/>
            <w:noWrap/>
            <w:hideMark/>
          </w:tcPr>
          <w:p w14:paraId="4A9F4CD9" w14:textId="77777777" w:rsidR="007937EB" w:rsidRPr="00D0012A" w:rsidRDefault="007937EB" w:rsidP="007937EB">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Dec-21</w:t>
            </w:r>
          </w:p>
        </w:tc>
        <w:tc>
          <w:tcPr>
            <w:tcW w:w="1814" w:type="dxa"/>
            <w:noWrap/>
            <w:hideMark/>
          </w:tcPr>
          <w:p w14:paraId="5C540AC7"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40</w:t>
            </w:r>
          </w:p>
        </w:tc>
        <w:tc>
          <w:tcPr>
            <w:tcW w:w="1815" w:type="dxa"/>
            <w:noWrap/>
            <w:hideMark/>
          </w:tcPr>
          <w:p w14:paraId="1F2E6E5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48</w:t>
            </w:r>
          </w:p>
        </w:tc>
        <w:tc>
          <w:tcPr>
            <w:tcW w:w="1814" w:type="dxa"/>
            <w:noWrap/>
            <w:hideMark/>
          </w:tcPr>
          <w:p w14:paraId="534C486A"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88</w:t>
            </w:r>
          </w:p>
        </w:tc>
        <w:tc>
          <w:tcPr>
            <w:tcW w:w="1815" w:type="dxa"/>
            <w:noWrap/>
            <w:hideMark/>
          </w:tcPr>
          <w:p w14:paraId="3082DC8E" w14:textId="77777777" w:rsidR="007937EB" w:rsidRPr="00D0012A" w:rsidRDefault="007937EB" w:rsidP="007937EB">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w:t>
            </w:r>
          </w:p>
        </w:tc>
      </w:tr>
    </w:tbl>
    <w:p w14:paraId="69EF6291" w14:textId="77777777" w:rsidR="00F777E9" w:rsidRDefault="00F777E9">
      <w:pPr>
        <w:rPr>
          <w:rStyle w:val="BookTitle"/>
          <w:rFonts w:asciiTheme="majorHAnsi" w:eastAsiaTheme="majorEastAsia" w:hAnsiTheme="majorHAnsi" w:cstheme="majorBidi"/>
          <w:b w:val="0"/>
          <w:bCs w:val="0"/>
          <w:i w:val="0"/>
          <w:iCs w:val="0"/>
          <w:noProof/>
          <w:color w:val="2F5496" w:themeColor="accent1" w:themeShade="BF"/>
          <w:spacing w:val="0"/>
          <w:sz w:val="26"/>
          <w:szCs w:val="26"/>
        </w:rPr>
      </w:pPr>
      <w:r>
        <w:rPr>
          <w:rStyle w:val="BookTitle"/>
          <w:b w:val="0"/>
          <w:bCs w:val="0"/>
          <w:i w:val="0"/>
          <w:iCs w:val="0"/>
          <w:spacing w:val="0"/>
        </w:rPr>
        <w:br w:type="page"/>
      </w:r>
    </w:p>
    <w:p w14:paraId="31B29332" w14:textId="77777777" w:rsidR="007E3973" w:rsidRDefault="007E3973">
      <w:pPr>
        <w:pStyle w:val="Heading2"/>
        <w:rPr>
          <w:rStyle w:val="BookTitle"/>
          <w:b w:val="0"/>
          <w:bCs w:val="0"/>
          <w:i w:val="0"/>
          <w:iCs w:val="0"/>
          <w:spacing w:val="0"/>
        </w:rPr>
        <w:sectPr w:rsidR="007E3973" w:rsidSect="004A0BC8">
          <w:headerReference w:type="default" r:id="rId154"/>
          <w:footerReference w:type="default" r:id="rId155"/>
          <w:footerReference w:type="first" r:id="rId156"/>
          <w:pgSz w:w="11906" w:h="16838" w:code="9"/>
          <w:pgMar w:top="1134" w:right="1418" w:bottom="1361" w:left="1418" w:header="709" w:footer="851" w:gutter="0"/>
          <w:cols w:space="708"/>
          <w:docGrid w:linePitch="360"/>
        </w:sectPr>
      </w:pPr>
    </w:p>
    <w:p w14:paraId="025BB832" w14:textId="3A711F33" w:rsidR="00B26B5A" w:rsidRPr="00B26B5A" w:rsidRDefault="00706FC3" w:rsidP="00B26B5A">
      <w:pPr>
        <w:pStyle w:val="Heading2"/>
        <w:rPr>
          <w:rStyle w:val="BookTitle"/>
          <w:b w:val="0"/>
          <w:bCs w:val="0"/>
          <w:i w:val="0"/>
          <w:iCs w:val="0"/>
          <w:spacing w:val="0"/>
        </w:rPr>
      </w:pPr>
      <w:bookmarkStart w:id="179" w:name="_Toc112843959"/>
      <w:r w:rsidRPr="00A85B9E">
        <w:rPr>
          <w:rStyle w:val="BookTitle"/>
          <w:b w:val="0"/>
          <w:bCs w:val="0"/>
          <w:i w:val="0"/>
          <w:iCs w:val="0"/>
          <w:spacing w:val="0"/>
        </w:rPr>
        <w:t>Appendix C</w:t>
      </w:r>
      <w:r w:rsidR="001B5D11">
        <w:rPr>
          <w:rStyle w:val="BookTitle"/>
          <w:b w:val="0"/>
          <w:bCs w:val="0"/>
          <w:i w:val="0"/>
          <w:iCs w:val="0"/>
          <w:spacing w:val="0"/>
        </w:rPr>
        <w:t>:</w:t>
      </w:r>
      <w:r w:rsidRPr="00A85B9E">
        <w:rPr>
          <w:rStyle w:val="BookTitle"/>
          <w:b w:val="0"/>
          <w:bCs w:val="0"/>
          <w:i w:val="0"/>
          <w:iCs w:val="0"/>
          <w:spacing w:val="0"/>
        </w:rPr>
        <w:t xml:space="preserve"> </w:t>
      </w:r>
      <w:r w:rsidR="00A857D1" w:rsidRPr="00E62BF0">
        <w:rPr>
          <w:rStyle w:val="BookTitle"/>
          <w:b w:val="0"/>
          <w:i w:val="0"/>
          <w:spacing w:val="0"/>
        </w:rPr>
        <w:t xml:space="preserve">Tabulated </w:t>
      </w:r>
      <w:r w:rsidRPr="00E62BF0">
        <w:rPr>
          <w:rStyle w:val="BookTitle"/>
          <w:b w:val="0"/>
          <w:bCs w:val="0"/>
          <w:i w:val="0"/>
          <w:iCs w:val="0"/>
          <w:spacing w:val="0"/>
        </w:rPr>
        <w:t xml:space="preserve">data </w:t>
      </w:r>
      <w:r w:rsidR="00A857D1" w:rsidRPr="006B127E">
        <w:rPr>
          <w:rStyle w:val="BookTitle"/>
          <w:b w:val="0"/>
          <w:bCs w:val="0"/>
          <w:i w:val="0"/>
          <w:iCs w:val="0"/>
          <w:spacing w:val="0"/>
        </w:rPr>
        <w:t>on</w:t>
      </w:r>
      <w:r w:rsidR="007A26C7" w:rsidRPr="00A57D80">
        <w:rPr>
          <w:rStyle w:val="BookTitle"/>
          <w:b w:val="0"/>
          <w:bCs w:val="0"/>
          <w:i w:val="0"/>
          <w:iCs w:val="0"/>
          <w:spacing w:val="0"/>
        </w:rPr>
        <w:t xml:space="preserve"> Australian </w:t>
      </w:r>
      <w:r w:rsidR="00A857D1" w:rsidRPr="00A57D80">
        <w:rPr>
          <w:rStyle w:val="BookTitle"/>
          <w:b w:val="0"/>
          <w:bCs w:val="0"/>
          <w:i w:val="0"/>
          <w:iCs w:val="0"/>
          <w:spacing w:val="0"/>
        </w:rPr>
        <w:t>paracetamol sales</w:t>
      </w:r>
      <w:r w:rsidR="007A26C7" w:rsidRPr="00A57D80">
        <w:rPr>
          <w:rStyle w:val="BookTitle"/>
          <w:b w:val="0"/>
          <w:bCs w:val="0"/>
          <w:i w:val="0"/>
          <w:iCs w:val="0"/>
          <w:spacing w:val="0"/>
        </w:rPr>
        <w:t xml:space="preserve"> from 2017 to 2021</w:t>
      </w:r>
      <w:bookmarkEnd w:id="179"/>
      <w:r w:rsidR="00A857D1" w:rsidRPr="00A57D80">
        <w:rPr>
          <w:rStyle w:val="BookTitle"/>
          <w:b w:val="0"/>
          <w:bCs w:val="0"/>
          <w:i w:val="0"/>
          <w:iCs w:val="0"/>
          <w:spacing w:val="0"/>
        </w:rPr>
        <w:t xml:space="preserve"> </w:t>
      </w:r>
    </w:p>
    <w:p w14:paraId="5A42C010" w14:textId="77777777" w:rsidR="00ED2ADC" w:rsidRPr="00ED2ADC" w:rsidRDefault="00ED2ADC" w:rsidP="00596E66">
      <w:pPr>
        <w:pStyle w:val="Heading5"/>
      </w:pPr>
      <w:r w:rsidRPr="00ED2ADC">
        <w:t>Unit sales (millions) of non-prescription analgesics, IQVIA 2017-2021</w:t>
      </w:r>
    </w:p>
    <w:tbl>
      <w:tblPr>
        <w:tblStyle w:val="ListTable2"/>
        <w:tblW w:w="5000" w:type="pct"/>
        <w:tblLayout w:type="fixed"/>
        <w:tblLook w:val="04A0" w:firstRow="1" w:lastRow="0" w:firstColumn="1" w:lastColumn="0" w:noHBand="0" w:noVBand="1"/>
      </w:tblPr>
      <w:tblGrid>
        <w:gridCol w:w="1134"/>
        <w:gridCol w:w="1444"/>
        <w:gridCol w:w="1391"/>
        <w:gridCol w:w="1188"/>
        <w:gridCol w:w="1290"/>
        <w:gridCol w:w="1289"/>
        <w:gridCol w:w="1290"/>
      </w:tblGrid>
      <w:tr w:rsidR="00ED2ADC" w:rsidRPr="001817D5" w14:paraId="4889641B" w14:textId="77777777" w:rsidTr="001817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4DCF087E" w14:textId="77777777" w:rsidR="00ED2ADC" w:rsidRPr="001817D5" w:rsidRDefault="00ED2ADC" w:rsidP="004F6FB3">
            <w:pPr>
              <w:jc w:val="right"/>
              <w:rPr>
                <w:rFonts w:eastAsia="Times New Roman" w:cs="Times New Roman"/>
                <w:sz w:val="20"/>
                <w:szCs w:val="20"/>
                <w:lang w:eastAsia="en-AU"/>
              </w:rPr>
            </w:pPr>
            <w:r w:rsidRPr="001817D5">
              <w:rPr>
                <w:rFonts w:eastAsia="Times New Roman" w:cs="Times New Roman"/>
                <w:sz w:val="20"/>
                <w:szCs w:val="20"/>
                <w:lang w:eastAsia="en-AU"/>
              </w:rPr>
              <w:t>Year</w:t>
            </w:r>
          </w:p>
        </w:tc>
        <w:tc>
          <w:tcPr>
            <w:tcW w:w="1444" w:type="dxa"/>
            <w:noWrap/>
            <w:hideMark/>
          </w:tcPr>
          <w:p w14:paraId="1A85AC15"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Paracetamol</w:t>
            </w:r>
          </w:p>
        </w:tc>
        <w:tc>
          <w:tcPr>
            <w:tcW w:w="1391" w:type="dxa"/>
            <w:noWrap/>
            <w:hideMark/>
          </w:tcPr>
          <w:p w14:paraId="15276119"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Other paracetamol combinations</w:t>
            </w:r>
          </w:p>
        </w:tc>
        <w:tc>
          <w:tcPr>
            <w:tcW w:w="1188" w:type="dxa"/>
            <w:noWrap/>
            <w:hideMark/>
          </w:tcPr>
          <w:p w14:paraId="22C4A9CA"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Ibuprofen</w:t>
            </w:r>
          </w:p>
        </w:tc>
        <w:tc>
          <w:tcPr>
            <w:tcW w:w="1290" w:type="dxa"/>
            <w:noWrap/>
            <w:hideMark/>
          </w:tcPr>
          <w:p w14:paraId="6DB27C94"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Aspirin</w:t>
            </w:r>
          </w:p>
        </w:tc>
        <w:tc>
          <w:tcPr>
            <w:tcW w:w="1289" w:type="dxa"/>
            <w:noWrap/>
            <w:hideMark/>
          </w:tcPr>
          <w:p w14:paraId="73621D91"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Other non-Rx analgesics</w:t>
            </w:r>
          </w:p>
        </w:tc>
        <w:tc>
          <w:tcPr>
            <w:tcW w:w="1290" w:type="dxa"/>
            <w:noWrap/>
            <w:hideMark/>
          </w:tcPr>
          <w:p w14:paraId="161541C8" w14:textId="77777777" w:rsidR="00ED2ADC" w:rsidRPr="001817D5"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rFonts w:eastAsia="Times New Roman" w:cs="Times New Roman"/>
                <w:sz w:val="20"/>
                <w:szCs w:val="20"/>
                <w:lang w:eastAsia="en-AU"/>
              </w:rPr>
              <w:t>Others</w:t>
            </w:r>
          </w:p>
        </w:tc>
      </w:tr>
      <w:tr w:rsidR="001817D5" w:rsidRPr="001817D5" w14:paraId="2F8E79F9" w14:textId="77777777" w:rsidTr="00181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59D24077" w14:textId="77777777" w:rsidR="001817D5" w:rsidRPr="001817D5" w:rsidRDefault="001817D5" w:rsidP="001817D5">
            <w:pPr>
              <w:jc w:val="right"/>
              <w:rPr>
                <w:rFonts w:eastAsia="Times New Roman" w:cs="Times New Roman"/>
                <w:sz w:val="20"/>
                <w:szCs w:val="20"/>
                <w:lang w:eastAsia="en-AU"/>
              </w:rPr>
            </w:pPr>
            <w:r w:rsidRPr="001817D5">
              <w:rPr>
                <w:rFonts w:eastAsia="Times New Roman" w:cs="Times New Roman"/>
                <w:sz w:val="20"/>
                <w:szCs w:val="20"/>
                <w:lang w:eastAsia="en-AU"/>
              </w:rPr>
              <w:t>2017</w:t>
            </w:r>
          </w:p>
        </w:tc>
        <w:tc>
          <w:tcPr>
            <w:tcW w:w="1444" w:type="dxa"/>
            <w:noWrap/>
            <w:hideMark/>
          </w:tcPr>
          <w:p w14:paraId="71FFFB35" w14:textId="483B6F35"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31.72</w:t>
            </w:r>
          </w:p>
        </w:tc>
        <w:tc>
          <w:tcPr>
            <w:tcW w:w="1391" w:type="dxa"/>
            <w:noWrap/>
            <w:hideMark/>
          </w:tcPr>
          <w:p w14:paraId="04550244" w14:textId="6EDF0197"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16.78</w:t>
            </w:r>
          </w:p>
        </w:tc>
        <w:tc>
          <w:tcPr>
            <w:tcW w:w="1188" w:type="dxa"/>
            <w:noWrap/>
            <w:hideMark/>
          </w:tcPr>
          <w:p w14:paraId="4C448E4B" w14:textId="2C90E71A"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9.78</w:t>
            </w:r>
          </w:p>
        </w:tc>
        <w:tc>
          <w:tcPr>
            <w:tcW w:w="1290" w:type="dxa"/>
            <w:noWrap/>
            <w:hideMark/>
          </w:tcPr>
          <w:p w14:paraId="7D13B7CC" w14:textId="3CF18E8A"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4.91</w:t>
            </w:r>
          </w:p>
        </w:tc>
        <w:tc>
          <w:tcPr>
            <w:tcW w:w="1289" w:type="dxa"/>
            <w:noWrap/>
            <w:hideMark/>
          </w:tcPr>
          <w:p w14:paraId="787F042B" w14:textId="0F8186CF"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4.48</w:t>
            </w:r>
          </w:p>
        </w:tc>
        <w:tc>
          <w:tcPr>
            <w:tcW w:w="1290" w:type="dxa"/>
            <w:noWrap/>
            <w:hideMark/>
          </w:tcPr>
          <w:p w14:paraId="3BCFD796" w14:textId="3DD64E12"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1.99</w:t>
            </w:r>
          </w:p>
        </w:tc>
      </w:tr>
      <w:tr w:rsidR="001817D5" w:rsidRPr="001817D5" w14:paraId="07A2F82D" w14:textId="77777777" w:rsidTr="001817D5">
        <w:tc>
          <w:tcPr>
            <w:cnfStyle w:val="001000000000" w:firstRow="0" w:lastRow="0" w:firstColumn="1" w:lastColumn="0" w:oddVBand="0" w:evenVBand="0" w:oddHBand="0" w:evenHBand="0" w:firstRowFirstColumn="0" w:firstRowLastColumn="0" w:lastRowFirstColumn="0" w:lastRowLastColumn="0"/>
            <w:tcW w:w="1134" w:type="dxa"/>
            <w:noWrap/>
            <w:hideMark/>
          </w:tcPr>
          <w:p w14:paraId="07EA0F31" w14:textId="77777777" w:rsidR="001817D5" w:rsidRPr="001817D5" w:rsidRDefault="001817D5" w:rsidP="001817D5">
            <w:pPr>
              <w:jc w:val="right"/>
              <w:rPr>
                <w:rFonts w:eastAsia="Times New Roman" w:cs="Times New Roman"/>
                <w:sz w:val="20"/>
                <w:szCs w:val="20"/>
                <w:lang w:eastAsia="en-AU"/>
              </w:rPr>
            </w:pPr>
            <w:r w:rsidRPr="001817D5">
              <w:rPr>
                <w:rFonts w:eastAsia="Times New Roman" w:cs="Times New Roman"/>
                <w:sz w:val="20"/>
                <w:szCs w:val="20"/>
                <w:lang w:eastAsia="en-AU"/>
              </w:rPr>
              <w:t>2018</w:t>
            </w:r>
          </w:p>
        </w:tc>
        <w:tc>
          <w:tcPr>
            <w:tcW w:w="1444" w:type="dxa"/>
            <w:noWrap/>
            <w:hideMark/>
          </w:tcPr>
          <w:p w14:paraId="39557416" w14:textId="3700624A"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32.39</w:t>
            </w:r>
          </w:p>
        </w:tc>
        <w:tc>
          <w:tcPr>
            <w:tcW w:w="1391" w:type="dxa"/>
            <w:noWrap/>
            <w:hideMark/>
          </w:tcPr>
          <w:p w14:paraId="1E534D0E" w14:textId="135E8CB2"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11.26</w:t>
            </w:r>
          </w:p>
        </w:tc>
        <w:tc>
          <w:tcPr>
            <w:tcW w:w="1188" w:type="dxa"/>
            <w:noWrap/>
            <w:hideMark/>
          </w:tcPr>
          <w:p w14:paraId="7CBFDC7D" w14:textId="49996755"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10.44</w:t>
            </w:r>
          </w:p>
        </w:tc>
        <w:tc>
          <w:tcPr>
            <w:tcW w:w="1290" w:type="dxa"/>
            <w:noWrap/>
            <w:hideMark/>
          </w:tcPr>
          <w:p w14:paraId="677A8F69" w14:textId="2470F34B"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4.84</w:t>
            </w:r>
          </w:p>
        </w:tc>
        <w:tc>
          <w:tcPr>
            <w:tcW w:w="1289" w:type="dxa"/>
            <w:noWrap/>
            <w:hideMark/>
          </w:tcPr>
          <w:p w14:paraId="63DC8D7A" w14:textId="4E8D7A7F"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4.90</w:t>
            </w:r>
          </w:p>
        </w:tc>
        <w:tc>
          <w:tcPr>
            <w:tcW w:w="1290" w:type="dxa"/>
            <w:noWrap/>
            <w:hideMark/>
          </w:tcPr>
          <w:p w14:paraId="1F2C7576" w14:textId="5A676C0E"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0.27</w:t>
            </w:r>
          </w:p>
        </w:tc>
      </w:tr>
      <w:tr w:rsidR="001817D5" w:rsidRPr="001817D5" w14:paraId="51C78A90" w14:textId="77777777" w:rsidTr="00181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121794B1" w14:textId="77777777" w:rsidR="001817D5" w:rsidRPr="001817D5" w:rsidRDefault="001817D5" w:rsidP="001817D5">
            <w:pPr>
              <w:jc w:val="right"/>
              <w:rPr>
                <w:rFonts w:eastAsia="Times New Roman" w:cs="Times New Roman"/>
                <w:sz w:val="20"/>
                <w:szCs w:val="20"/>
                <w:lang w:eastAsia="en-AU"/>
              </w:rPr>
            </w:pPr>
            <w:r w:rsidRPr="001817D5">
              <w:rPr>
                <w:rFonts w:eastAsia="Times New Roman" w:cs="Times New Roman"/>
                <w:sz w:val="20"/>
                <w:szCs w:val="20"/>
                <w:lang w:eastAsia="en-AU"/>
              </w:rPr>
              <w:t>2019</w:t>
            </w:r>
          </w:p>
        </w:tc>
        <w:tc>
          <w:tcPr>
            <w:tcW w:w="1444" w:type="dxa"/>
            <w:noWrap/>
            <w:hideMark/>
          </w:tcPr>
          <w:p w14:paraId="2DB00293" w14:textId="14AA670B"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33.70</w:t>
            </w:r>
          </w:p>
        </w:tc>
        <w:tc>
          <w:tcPr>
            <w:tcW w:w="1391" w:type="dxa"/>
            <w:noWrap/>
            <w:hideMark/>
          </w:tcPr>
          <w:p w14:paraId="545F84B0" w14:textId="742447D0"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11.48</w:t>
            </w:r>
          </w:p>
        </w:tc>
        <w:tc>
          <w:tcPr>
            <w:tcW w:w="1188" w:type="dxa"/>
            <w:noWrap/>
            <w:hideMark/>
          </w:tcPr>
          <w:p w14:paraId="6F72321F" w14:textId="77FAABEA"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11.75</w:t>
            </w:r>
          </w:p>
        </w:tc>
        <w:tc>
          <w:tcPr>
            <w:tcW w:w="1290" w:type="dxa"/>
            <w:noWrap/>
            <w:hideMark/>
          </w:tcPr>
          <w:p w14:paraId="0AF9B578" w14:textId="78766A0C"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4.60</w:t>
            </w:r>
          </w:p>
        </w:tc>
        <w:tc>
          <w:tcPr>
            <w:tcW w:w="1289" w:type="dxa"/>
            <w:noWrap/>
            <w:hideMark/>
          </w:tcPr>
          <w:p w14:paraId="28B366C8" w14:textId="368A78B7"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4.89</w:t>
            </w:r>
          </w:p>
        </w:tc>
        <w:tc>
          <w:tcPr>
            <w:tcW w:w="1290" w:type="dxa"/>
            <w:noWrap/>
            <w:hideMark/>
          </w:tcPr>
          <w:p w14:paraId="057AC440" w14:textId="08F8BB42"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0.18</w:t>
            </w:r>
          </w:p>
        </w:tc>
      </w:tr>
      <w:tr w:rsidR="001817D5" w:rsidRPr="001817D5" w14:paraId="1C6D1EC6" w14:textId="77777777" w:rsidTr="001817D5">
        <w:tc>
          <w:tcPr>
            <w:cnfStyle w:val="001000000000" w:firstRow="0" w:lastRow="0" w:firstColumn="1" w:lastColumn="0" w:oddVBand="0" w:evenVBand="0" w:oddHBand="0" w:evenHBand="0" w:firstRowFirstColumn="0" w:firstRowLastColumn="0" w:lastRowFirstColumn="0" w:lastRowLastColumn="0"/>
            <w:tcW w:w="1134" w:type="dxa"/>
            <w:noWrap/>
            <w:hideMark/>
          </w:tcPr>
          <w:p w14:paraId="6F1BA2CE" w14:textId="77777777" w:rsidR="001817D5" w:rsidRPr="001817D5" w:rsidRDefault="001817D5" w:rsidP="001817D5">
            <w:pPr>
              <w:jc w:val="right"/>
              <w:rPr>
                <w:rFonts w:eastAsia="Times New Roman" w:cs="Times New Roman"/>
                <w:sz w:val="20"/>
                <w:szCs w:val="20"/>
                <w:lang w:eastAsia="en-AU"/>
              </w:rPr>
            </w:pPr>
            <w:r w:rsidRPr="001817D5">
              <w:rPr>
                <w:rFonts w:eastAsia="Times New Roman" w:cs="Times New Roman"/>
                <w:sz w:val="20"/>
                <w:szCs w:val="20"/>
                <w:lang w:eastAsia="en-AU"/>
              </w:rPr>
              <w:t>2020</w:t>
            </w:r>
          </w:p>
        </w:tc>
        <w:tc>
          <w:tcPr>
            <w:tcW w:w="1444" w:type="dxa"/>
            <w:noWrap/>
            <w:hideMark/>
          </w:tcPr>
          <w:p w14:paraId="1241B9A4" w14:textId="7E256CAC"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33.64</w:t>
            </w:r>
          </w:p>
        </w:tc>
        <w:tc>
          <w:tcPr>
            <w:tcW w:w="1391" w:type="dxa"/>
            <w:noWrap/>
            <w:hideMark/>
          </w:tcPr>
          <w:p w14:paraId="7E7B8557" w14:textId="79D02AE8"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8.59</w:t>
            </w:r>
          </w:p>
        </w:tc>
        <w:tc>
          <w:tcPr>
            <w:tcW w:w="1188" w:type="dxa"/>
            <w:noWrap/>
            <w:hideMark/>
          </w:tcPr>
          <w:p w14:paraId="63B766B8" w14:textId="394CF417"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11.08</w:t>
            </w:r>
          </w:p>
        </w:tc>
        <w:tc>
          <w:tcPr>
            <w:tcW w:w="1290" w:type="dxa"/>
            <w:noWrap/>
            <w:hideMark/>
          </w:tcPr>
          <w:p w14:paraId="0DEC9476" w14:textId="35CBD4D8"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4.72</w:t>
            </w:r>
          </w:p>
        </w:tc>
        <w:tc>
          <w:tcPr>
            <w:tcW w:w="1289" w:type="dxa"/>
            <w:noWrap/>
            <w:hideMark/>
          </w:tcPr>
          <w:p w14:paraId="480830C2" w14:textId="14919DD1"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4.99</w:t>
            </w:r>
          </w:p>
        </w:tc>
        <w:tc>
          <w:tcPr>
            <w:tcW w:w="1290" w:type="dxa"/>
            <w:noWrap/>
            <w:hideMark/>
          </w:tcPr>
          <w:p w14:paraId="7D435DA9" w14:textId="4C1B4257" w:rsidR="001817D5" w:rsidRPr="001817D5" w:rsidRDefault="001817D5" w:rsidP="001817D5">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1817D5">
              <w:rPr>
                <w:sz w:val="20"/>
                <w:szCs w:val="20"/>
              </w:rPr>
              <w:t>0.13</w:t>
            </w:r>
          </w:p>
        </w:tc>
      </w:tr>
      <w:tr w:rsidR="001817D5" w:rsidRPr="001817D5" w14:paraId="1981E0C9" w14:textId="77777777" w:rsidTr="001817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noWrap/>
            <w:hideMark/>
          </w:tcPr>
          <w:p w14:paraId="21424781" w14:textId="77777777" w:rsidR="001817D5" w:rsidRPr="001817D5" w:rsidRDefault="001817D5" w:rsidP="001817D5">
            <w:pPr>
              <w:jc w:val="right"/>
              <w:rPr>
                <w:rFonts w:eastAsia="Times New Roman" w:cs="Times New Roman"/>
                <w:sz w:val="20"/>
                <w:szCs w:val="20"/>
                <w:lang w:eastAsia="en-AU"/>
              </w:rPr>
            </w:pPr>
            <w:r w:rsidRPr="001817D5">
              <w:rPr>
                <w:rFonts w:eastAsia="Times New Roman" w:cs="Times New Roman"/>
                <w:sz w:val="20"/>
                <w:szCs w:val="20"/>
                <w:lang w:eastAsia="en-AU"/>
              </w:rPr>
              <w:t>2021</w:t>
            </w:r>
          </w:p>
        </w:tc>
        <w:tc>
          <w:tcPr>
            <w:tcW w:w="1444" w:type="dxa"/>
            <w:noWrap/>
            <w:hideMark/>
          </w:tcPr>
          <w:p w14:paraId="06BDF4D6" w14:textId="6C43B9F8"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33.64</w:t>
            </w:r>
          </w:p>
        </w:tc>
        <w:tc>
          <w:tcPr>
            <w:tcW w:w="1391" w:type="dxa"/>
            <w:noWrap/>
            <w:hideMark/>
          </w:tcPr>
          <w:p w14:paraId="40666878" w14:textId="741E317F"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9.27</w:t>
            </w:r>
          </w:p>
        </w:tc>
        <w:tc>
          <w:tcPr>
            <w:tcW w:w="1188" w:type="dxa"/>
            <w:noWrap/>
            <w:hideMark/>
          </w:tcPr>
          <w:p w14:paraId="33C29C4F" w14:textId="3B72407E"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11.69</w:t>
            </w:r>
          </w:p>
        </w:tc>
        <w:tc>
          <w:tcPr>
            <w:tcW w:w="1290" w:type="dxa"/>
            <w:noWrap/>
            <w:hideMark/>
          </w:tcPr>
          <w:p w14:paraId="4BF35EEF" w14:textId="6F1FC1B3"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4.76</w:t>
            </w:r>
          </w:p>
        </w:tc>
        <w:tc>
          <w:tcPr>
            <w:tcW w:w="1289" w:type="dxa"/>
            <w:noWrap/>
            <w:hideMark/>
          </w:tcPr>
          <w:p w14:paraId="528DE7AA" w14:textId="0FE0D4EA"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5.42</w:t>
            </w:r>
          </w:p>
        </w:tc>
        <w:tc>
          <w:tcPr>
            <w:tcW w:w="1290" w:type="dxa"/>
            <w:noWrap/>
            <w:hideMark/>
          </w:tcPr>
          <w:p w14:paraId="28FD53BA" w14:textId="3317A929" w:rsidR="001817D5" w:rsidRPr="001817D5" w:rsidRDefault="001817D5" w:rsidP="001817D5">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1817D5">
              <w:rPr>
                <w:sz w:val="20"/>
                <w:szCs w:val="20"/>
              </w:rPr>
              <w:t>0.12</w:t>
            </w:r>
          </w:p>
        </w:tc>
      </w:tr>
    </w:tbl>
    <w:p w14:paraId="26994D2C" w14:textId="77777777" w:rsidR="00ED2ADC" w:rsidRPr="00ED2ADC" w:rsidRDefault="00ED2ADC" w:rsidP="00ED2ADC">
      <w:pPr>
        <w:rPr>
          <w:rFonts w:asciiTheme="minorHAnsi" w:hAnsiTheme="minorHAnsi"/>
          <w:sz w:val="22"/>
        </w:rPr>
      </w:pPr>
    </w:p>
    <w:p w14:paraId="623255C4" w14:textId="77777777" w:rsidR="00ED2ADC" w:rsidRPr="00ED2ADC" w:rsidRDefault="00ED2ADC" w:rsidP="00596E66">
      <w:pPr>
        <w:pStyle w:val="Heading5"/>
        <w:rPr>
          <w:noProof/>
        </w:rPr>
      </w:pPr>
      <w:r w:rsidRPr="00ED2ADC">
        <w:t>Pharmacy u</w:t>
      </w:r>
      <w:r w:rsidRPr="00ED2ADC">
        <w:rPr>
          <w:noProof/>
        </w:rPr>
        <w:t>nit sales (millions) of non-prescription paracetamol by schedule, IQVIA 2017-21</w:t>
      </w:r>
    </w:p>
    <w:tbl>
      <w:tblPr>
        <w:tblStyle w:val="ListTable2"/>
        <w:tblW w:w="4760" w:type="dxa"/>
        <w:tblLook w:val="04A0" w:firstRow="1" w:lastRow="0" w:firstColumn="1" w:lastColumn="0" w:noHBand="0" w:noVBand="1"/>
      </w:tblPr>
      <w:tblGrid>
        <w:gridCol w:w="1165"/>
        <w:gridCol w:w="1165"/>
        <w:gridCol w:w="1165"/>
        <w:gridCol w:w="1265"/>
      </w:tblGrid>
      <w:tr w:rsidR="00ED2ADC" w:rsidRPr="00494856" w14:paraId="02A93D96" w14:textId="77777777" w:rsidTr="0049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noWrap/>
            <w:hideMark/>
          </w:tcPr>
          <w:p w14:paraId="401136AA" w14:textId="77777777" w:rsidR="00ED2ADC" w:rsidRPr="00494856" w:rsidRDefault="00ED2ADC" w:rsidP="00494856">
            <w:pPr>
              <w:jc w:val="right"/>
              <w:rPr>
                <w:rFonts w:eastAsia="Times New Roman" w:cs="Times New Roman"/>
                <w:sz w:val="20"/>
                <w:szCs w:val="20"/>
                <w:lang w:eastAsia="en-AU"/>
              </w:rPr>
            </w:pPr>
            <w:r w:rsidRPr="00494856">
              <w:rPr>
                <w:rFonts w:eastAsia="Times New Roman" w:cs="Times New Roman"/>
                <w:sz w:val="20"/>
                <w:szCs w:val="20"/>
                <w:lang w:eastAsia="en-AU"/>
              </w:rPr>
              <w:t>Year</w:t>
            </w:r>
          </w:p>
        </w:tc>
        <w:tc>
          <w:tcPr>
            <w:tcW w:w="1165" w:type="dxa"/>
            <w:noWrap/>
            <w:hideMark/>
          </w:tcPr>
          <w:p w14:paraId="6F6AF843" w14:textId="77777777" w:rsidR="00ED2ADC" w:rsidRPr="00494856" w:rsidRDefault="00ED2ADC" w:rsidP="002A62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Schedule 3</w:t>
            </w:r>
          </w:p>
        </w:tc>
        <w:tc>
          <w:tcPr>
            <w:tcW w:w="1165" w:type="dxa"/>
            <w:noWrap/>
            <w:hideMark/>
          </w:tcPr>
          <w:p w14:paraId="75C320BE" w14:textId="77777777" w:rsidR="00ED2ADC" w:rsidRPr="00494856" w:rsidRDefault="00ED2ADC" w:rsidP="002A62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Schedule 2</w:t>
            </w:r>
          </w:p>
        </w:tc>
        <w:tc>
          <w:tcPr>
            <w:tcW w:w="1265" w:type="dxa"/>
            <w:noWrap/>
            <w:hideMark/>
          </w:tcPr>
          <w:p w14:paraId="59CC0358"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Not scheduled</w:t>
            </w:r>
          </w:p>
        </w:tc>
      </w:tr>
      <w:tr w:rsidR="00494856" w:rsidRPr="00494856" w14:paraId="3B8EB126" w14:textId="77777777" w:rsidTr="0049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noWrap/>
            <w:hideMark/>
          </w:tcPr>
          <w:p w14:paraId="31AC4536"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2017</w:t>
            </w:r>
          </w:p>
        </w:tc>
        <w:tc>
          <w:tcPr>
            <w:tcW w:w="1165" w:type="dxa"/>
            <w:noWrap/>
            <w:hideMark/>
          </w:tcPr>
          <w:p w14:paraId="38E7F86B" w14:textId="1DAA572E"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21.12</w:t>
            </w:r>
          </w:p>
        </w:tc>
        <w:tc>
          <w:tcPr>
            <w:tcW w:w="1165" w:type="dxa"/>
            <w:noWrap/>
            <w:hideMark/>
          </w:tcPr>
          <w:p w14:paraId="3631FC82" w14:textId="53DA7AA5"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23.69</w:t>
            </w:r>
          </w:p>
        </w:tc>
        <w:tc>
          <w:tcPr>
            <w:tcW w:w="1265" w:type="dxa"/>
            <w:noWrap/>
            <w:hideMark/>
          </w:tcPr>
          <w:p w14:paraId="36B0E6B0" w14:textId="377DB5F4"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3.69</w:t>
            </w:r>
          </w:p>
        </w:tc>
      </w:tr>
      <w:tr w:rsidR="00494856" w:rsidRPr="00494856" w14:paraId="31268862" w14:textId="77777777" w:rsidTr="00033349">
        <w:tc>
          <w:tcPr>
            <w:cnfStyle w:val="001000000000" w:firstRow="0" w:lastRow="0" w:firstColumn="1" w:lastColumn="0" w:oddVBand="0" w:evenVBand="0" w:oddHBand="0" w:evenHBand="0" w:firstRowFirstColumn="0" w:firstRowLastColumn="0" w:lastRowFirstColumn="0" w:lastRowLastColumn="0"/>
            <w:tcW w:w="0" w:type="auto"/>
            <w:noWrap/>
            <w:hideMark/>
          </w:tcPr>
          <w:p w14:paraId="6C2ED605"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2018</w:t>
            </w:r>
          </w:p>
        </w:tc>
        <w:tc>
          <w:tcPr>
            <w:tcW w:w="0" w:type="auto"/>
            <w:noWrap/>
            <w:hideMark/>
          </w:tcPr>
          <w:p w14:paraId="5BD56823" w14:textId="3CD262FA"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15.53</w:t>
            </w:r>
          </w:p>
        </w:tc>
        <w:tc>
          <w:tcPr>
            <w:tcW w:w="0" w:type="auto"/>
            <w:noWrap/>
            <w:hideMark/>
          </w:tcPr>
          <w:p w14:paraId="2508FD54" w14:textId="25D62711"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24.49</w:t>
            </w:r>
          </w:p>
        </w:tc>
        <w:tc>
          <w:tcPr>
            <w:tcW w:w="0" w:type="auto"/>
            <w:noWrap/>
            <w:hideMark/>
          </w:tcPr>
          <w:p w14:paraId="64EB4798" w14:textId="21AD98A5"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3.62</w:t>
            </w:r>
          </w:p>
        </w:tc>
      </w:tr>
      <w:tr w:rsidR="00494856" w:rsidRPr="00494856" w14:paraId="3D79CD9A" w14:textId="77777777" w:rsidTr="00033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2E4ADC3D"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2019</w:t>
            </w:r>
          </w:p>
        </w:tc>
        <w:tc>
          <w:tcPr>
            <w:tcW w:w="0" w:type="auto"/>
            <w:noWrap/>
            <w:hideMark/>
          </w:tcPr>
          <w:p w14:paraId="08EFD253" w14:textId="0ACEEFDF"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15.71</w:t>
            </w:r>
          </w:p>
        </w:tc>
        <w:tc>
          <w:tcPr>
            <w:tcW w:w="0" w:type="auto"/>
            <w:noWrap/>
            <w:hideMark/>
          </w:tcPr>
          <w:p w14:paraId="73647C89" w14:textId="67411A14"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25.57</w:t>
            </w:r>
          </w:p>
        </w:tc>
        <w:tc>
          <w:tcPr>
            <w:tcW w:w="0" w:type="auto"/>
            <w:noWrap/>
            <w:hideMark/>
          </w:tcPr>
          <w:p w14:paraId="710A916C" w14:textId="58069B0A"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3.89</w:t>
            </w:r>
          </w:p>
        </w:tc>
      </w:tr>
      <w:tr w:rsidR="00494856" w:rsidRPr="00494856" w14:paraId="10BB4076" w14:textId="77777777" w:rsidTr="00033349">
        <w:tc>
          <w:tcPr>
            <w:cnfStyle w:val="001000000000" w:firstRow="0" w:lastRow="0" w:firstColumn="1" w:lastColumn="0" w:oddVBand="0" w:evenVBand="0" w:oddHBand="0" w:evenHBand="0" w:firstRowFirstColumn="0" w:firstRowLastColumn="0" w:lastRowFirstColumn="0" w:lastRowLastColumn="0"/>
            <w:tcW w:w="0" w:type="auto"/>
            <w:noWrap/>
            <w:hideMark/>
          </w:tcPr>
          <w:p w14:paraId="04D1600B"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2020</w:t>
            </w:r>
          </w:p>
        </w:tc>
        <w:tc>
          <w:tcPr>
            <w:tcW w:w="0" w:type="auto"/>
            <w:noWrap/>
            <w:hideMark/>
          </w:tcPr>
          <w:p w14:paraId="6F5E4A54" w14:textId="36CD51BA"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15.04</w:t>
            </w:r>
          </w:p>
        </w:tc>
        <w:tc>
          <w:tcPr>
            <w:tcW w:w="0" w:type="auto"/>
            <w:noWrap/>
            <w:hideMark/>
          </w:tcPr>
          <w:p w14:paraId="0F566B89" w14:textId="106D8FAA"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23.44</w:t>
            </w:r>
          </w:p>
        </w:tc>
        <w:tc>
          <w:tcPr>
            <w:tcW w:w="0" w:type="auto"/>
            <w:noWrap/>
            <w:hideMark/>
          </w:tcPr>
          <w:p w14:paraId="0168135B" w14:textId="1B9976B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sz w:val="20"/>
                <w:szCs w:val="20"/>
              </w:rPr>
              <w:t>3.75</w:t>
            </w:r>
          </w:p>
        </w:tc>
      </w:tr>
      <w:tr w:rsidR="00494856" w:rsidRPr="00494856" w14:paraId="70FC0641" w14:textId="77777777" w:rsidTr="000333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7AA49D65"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2021</w:t>
            </w:r>
          </w:p>
        </w:tc>
        <w:tc>
          <w:tcPr>
            <w:tcW w:w="0" w:type="auto"/>
            <w:noWrap/>
            <w:hideMark/>
          </w:tcPr>
          <w:p w14:paraId="18372FAE" w14:textId="6F00316A"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14.59</w:t>
            </w:r>
          </w:p>
        </w:tc>
        <w:tc>
          <w:tcPr>
            <w:tcW w:w="0" w:type="auto"/>
            <w:noWrap/>
            <w:hideMark/>
          </w:tcPr>
          <w:p w14:paraId="182CEB5F" w14:textId="173839DE"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24.79</w:t>
            </w:r>
          </w:p>
        </w:tc>
        <w:tc>
          <w:tcPr>
            <w:tcW w:w="0" w:type="auto"/>
            <w:noWrap/>
            <w:hideMark/>
          </w:tcPr>
          <w:p w14:paraId="0E4E6817" w14:textId="1571CC66"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sz w:val="20"/>
                <w:szCs w:val="20"/>
              </w:rPr>
              <w:t>3.53</w:t>
            </w:r>
          </w:p>
        </w:tc>
      </w:tr>
    </w:tbl>
    <w:p w14:paraId="0F88EBE5" w14:textId="77777777" w:rsidR="00ED2ADC" w:rsidRPr="00ED2ADC" w:rsidRDefault="00ED2ADC" w:rsidP="00ED2ADC">
      <w:pPr>
        <w:rPr>
          <w:rFonts w:asciiTheme="minorHAnsi" w:hAnsiTheme="minorHAnsi" w:cs="Times New Roman"/>
          <w:noProof/>
          <w:sz w:val="22"/>
        </w:rPr>
      </w:pPr>
    </w:p>
    <w:p w14:paraId="12CE6279" w14:textId="77777777" w:rsidR="00ED2ADC" w:rsidRPr="00ED2ADC" w:rsidRDefault="00ED2ADC" w:rsidP="00596E66">
      <w:pPr>
        <w:pStyle w:val="Heading5"/>
      </w:pPr>
      <w:r w:rsidRPr="00ED2ADC">
        <w:t>Pharmacy sales of non-prescription paracetamol, IQVIA 2017-21 by pack size (million units)</w:t>
      </w:r>
    </w:p>
    <w:tbl>
      <w:tblPr>
        <w:tblStyle w:val="ListTable2"/>
        <w:tblW w:w="5000" w:type="pct"/>
        <w:tblLook w:val="04A0" w:firstRow="1" w:lastRow="0" w:firstColumn="1" w:lastColumn="0" w:noHBand="0" w:noVBand="1"/>
      </w:tblPr>
      <w:tblGrid>
        <w:gridCol w:w="750"/>
        <w:gridCol w:w="750"/>
        <w:gridCol w:w="749"/>
        <w:gridCol w:w="750"/>
        <w:gridCol w:w="749"/>
        <w:gridCol w:w="749"/>
        <w:gridCol w:w="749"/>
        <w:gridCol w:w="749"/>
        <w:gridCol w:w="749"/>
        <w:gridCol w:w="599"/>
        <w:gridCol w:w="900"/>
        <w:gridCol w:w="783"/>
      </w:tblGrid>
      <w:tr w:rsidR="00ED2ADC" w:rsidRPr="00D0012A" w14:paraId="3E4FCE63" w14:textId="77777777" w:rsidTr="002A62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noWrap/>
            <w:hideMark/>
          </w:tcPr>
          <w:p w14:paraId="12A46ADE"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Year</w:t>
            </w:r>
          </w:p>
        </w:tc>
        <w:tc>
          <w:tcPr>
            <w:tcW w:w="751" w:type="dxa"/>
            <w:noWrap/>
            <w:hideMark/>
          </w:tcPr>
          <w:p w14:paraId="48A46EE2"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w:t>
            </w:r>
          </w:p>
        </w:tc>
        <w:tc>
          <w:tcPr>
            <w:tcW w:w="750" w:type="dxa"/>
            <w:noWrap/>
            <w:hideMark/>
          </w:tcPr>
          <w:p w14:paraId="673EC2B2"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10</w:t>
            </w:r>
          </w:p>
        </w:tc>
        <w:tc>
          <w:tcPr>
            <w:tcW w:w="750" w:type="dxa"/>
            <w:noWrap/>
            <w:hideMark/>
          </w:tcPr>
          <w:p w14:paraId="6DC00466"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12</w:t>
            </w:r>
          </w:p>
        </w:tc>
        <w:tc>
          <w:tcPr>
            <w:tcW w:w="749" w:type="dxa"/>
            <w:noWrap/>
            <w:hideMark/>
          </w:tcPr>
          <w:p w14:paraId="7A759FCF"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20</w:t>
            </w:r>
          </w:p>
        </w:tc>
        <w:tc>
          <w:tcPr>
            <w:tcW w:w="749" w:type="dxa"/>
            <w:noWrap/>
            <w:hideMark/>
          </w:tcPr>
          <w:p w14:paraId="0D80B1A0"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24</w:t>
            </w:r>
          </w:p>
        </w:tc>
        <w:tc>
          <w:tcPr>
            <w:tcW w:w="749" w:type="dxa"/>
            <w:noWrap/>
            <w:hideMark/>
          </w:tcPr>
          <w:p w14:paraId="1D2B107B"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40</w:t>
            </w:r>
          </w:p>
        </w:tc>
        <w:tc>
          <w:tcPr>
            <w:tcW w:w="749" w:type="dxa"/>
            <w:noWrap/>
            <w:hideMark/>
          </w:tcPr>
          <w:p w14:paraId="182411DB"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48</w:t>
            </w:r>
          </w:p>
        </w:tc>
        <w:tc>
          <w:tcPr>
            <w:tcW w:w="749" w:type="dxa"/>
            <w:noWrap/>
            <w:hideMark/>
          </w:tcPr>
          <w:p w14:paraId="3ACDC9DD"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96</w:t>
            </w:r>
          </w:p>
        </w:tc>
        <w:tc>
          <w:tcPr>
            <w:tcW w:w="599" w:type="dxa"/>
            <w:noWrap/>
            <w:hideMark/>
          </w:tcPr>
          <w:p w14:paraId="03C5EBD2"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100</w:t>
            </w:r>
          </w:p>
        </w:tc>
        <w:tc>
          <w:tcPr>
            <w:tcW w:w="900" w:type="dxa"/>
            <w:noWrap/>
            <w:hideMark/>
          </w:tcPr>
          <w:p w14:paraId="5AF4842B"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Others</w:t>
            </w:r>
          </w:p>
        </w:tc>
        <w:tc>
          <w:tcPr>
            <w:tcW w:w="780" w:type="dxa"/>
            <w:noWrap/>
            <w:hideMark/>
          </w:tcPr>
          <w:p w14:paraId="717F5E41" w14:textId="77777777" w:rsidR="00ED2ADC" w:rsidRPr="00D0012A"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Grand Total</w:t>
            </w:r>
          </w:p>
        </w:tc>
      </w:tr>
      <w:tr w:rsidR="00ED2ADC" w:rsidRPr="00D0012A" w14:paraId="7197E792" w14:textId="77777777" w:rsidTr="002A6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noWrap/>
            <w:hideMark/>
          </w:tcPr>
          <w:p w14:paraId="16AD7FAA"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2017</w:t>
            </w:r>
          </w:p>
        </w:tc>
        <w:tc>
          <w:tcPr>
            <w:tcW w:w="751" w:type="dxa"/>
            <w:noWrap/>
            <w:hideMark/>
          </w:tcPr>
          <w:p w14:paraId="19074C1D"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3.65</w:t>
            </w:r>
          </w:p>
        </w:tc>
        <w:tc>
          <w:tcPr>
            <w:tcW w:w="750" w:type="dxa"/>
            <w:noWrap/>
            <w:hideMark/>
          </w:tcPr>
          <w:p w14:paraId="47FFC695"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0.39</w:t>
            </w:r>
          </w:p>
        </w:tc>
        <w:tc>
          <w:tcPr>
            <w:tcW w:w="750" w:type="dxa"/>
            <w:noWrap/>
            <w:hideMark/>
          </w:tcPr>
          <w:p w14:paraId="3A7217FF"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0.73</w:t>
            </w:r>
          </w:p>
        </w:tc>
        <w:tc>
          <w:tcPr>
            <w:tcW w:w="749" w:type="dxa"/>
            <w:noWrap/>
            <w:hideMark/>
          </w:tcPr>
          <w:p w14:paraId="460F719F"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2.15</w:t>
            </w:r>
          </w:p>
        </w:tc>
        <w:tc>
          <w:tcPr>
            <w:tcW w:w="749" w:type="dxa"/>
            <w:noWrap/>
            <w:hideMark/>
          </w:tcPr>
          <w:p w14:paraId="5986AE63"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3.58</w:t>
            </w:r>
          </w:p>
        </w:tc>
        <w:tc>
          <w:tcPr>
            <w:tcW w:w="749" w:type="dxa"/>
            <w:noWrap/>
            <w:hideMark/>
          </w:tcPr>
          <w:p w14:paraId="1EDCECB3"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2.56</w:t>
            </w:r>
          </w:p>
        </w:tc>
        <w:tc>
          <w:tcPr>
            <w:tcW w:w="749" w:type="dxa"/>
            <w:noWrap/>
            <w:hideMark/>
          </w:tcPr>
          <w:p w14:paraId="1C71559D"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1.60</w:t>
            </w:r>
          </w:p>
        </w:tc>
        <w:tc>
          <w:tcPr>
            <w:tcW w:w="749" w:type="dxa"/>
            <w:noWrap/>
            <w:hideMark/>
          </w:tcPr>
          <w:p w14:paraId="42EE1F8F"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7.68</w:t>
            </w:r>
          </w:p>
        </w:tc>
        <w:tc>
          <w:tcPr>
            <w:tcW w:w="599" w:type="dxa"/>
            <w:noWrap/>
            <w:hideMark/>
          </w:tcPr>
          <w:p w14:paraId="443D7B47"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6.56</w:t>
            </w:r>
          </w:p>
        </w:tc>
        <w:tc>
          <w:tcPr>
            <w:tcW w:w="900" w:type="dxa"/>
            <w:noWrap/>
            <w:hideMark/>
          </w:tcPr>
          <w:p w14:paraId="05AF33D4"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0.77</w:t>
            </w:r>
          </w:p>
        </w:tc>
        <w:tc>
          <w:tcPr>
            <w:tcW w:w="780" w:type="dxa"/>
            <w:noWrap/>
            <w:hideMark/>
          </w:tcPr>
          <w:p w14:paraId="2D64081C"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29.68</w:t>
            </w:r>
          </w:p>
        </w:tc>
      </w:tr>
      <w:tr w:rsidR="00ED2ADC" w:rsidRPr="00D0012A" w14:paraId="2DFAEF36" w14:textId="77777777" w:rsidTr="002A6258">
        <w:tc>
          <w:tcPr>
            <w:cnfStyle w:val="001000000000" w:firstRow="0" w:lastRow="0" w:firstColumn="1" w:lastColumn="0" w:oddVBand="0" w:evenVBand="0" w:oddHBand="0" w:evenHBand="0" w:firstRowFirstColumn="0" w:firstRowLastColumn="0" w:lastRowFirstColumn="0" w:lastRowLastColumn="0"/>
            <w:tcW w:w="751" w:type="dxa"/>
            <w:noWrap/>
            <w:hideMark/>
          </w:tcPr>
          <w:p w14:paraId="6B9BBE3A"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2018</w:t>
            </w:r>
          </w:p>
        </w:tc>
        <w:tc>
          <w:tcPr>
            <w:tcW w:w="751" w:type="dxa"/>
            <w:noWrap/>
            <w:hideMark/>
          </w:tcPr>
          <w:p w14:paraId="50DDB061"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3.56</w:t>
            </w:r>
          </w:p>
        </w:tc>
        <w:tc>
          <w:tcPr>
            <w:tcW w:w="750" w:type="dxa"/>
            <w:noWrap/>
            <w:hideMark/>
          </w:tcPr>
          <w:p w14:paraId="63C45613"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0.37</w:t>
            </w:r>
          </w:p>
        </w:tc>
        <w:tc>
          <w:tcPr>
            <w:tcW w:w="750" w:type="dxa"/>
            <w:noWrap/>
            <w:hideMark/>
          </w:tcPr>
          <w:p w14:paraId="7E26F2C3"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1.65</w:t>
            </w:r>
          </w:p>
        </w:tc>
        <w:tc>
          <w:tcPr>
            <w:tcW w:w="749" w:type="dxa"/>
            <w:noWrap/>
            <w:hideMark/>
          </w:tcPr>
          <w:p w14:paraId="373C1734"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1.99</w:t>
            </w:r>
          </w:p>
        </w:tc>
        <w:tc>
          <w:tcPr>
            <w:tcW w:w="749" w:type="dxa"/>
            <w:noWrap/>
            <w:hideMark/>
          </w:tcPr>
          <w:p w14:paraId="1753032E"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3.45</w:t>
            </w:r>
          </w:p>
        </w:tc>
        <w:tc>
          <w:tcPr>
            <w:tcW w:w="749" w:type="dxa"/>
            <w:noWrap/>
            <w:hideMark/>
          </w:tcPr>
          <w:p w14:paraId="66ADB4A8"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0.98</w:t>
            </w:r>
          </w:p>
        </w:tc>
        <w:tc>
          <w:tcPr>
            <w:tcW w:w="749" w:type="dxa"/>
            <w:noWrap/>
            <w:hideMark/>
          </w:tcPr>
          <w:p w14:paraId="30F86CAB"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1.90</w:t>
            </w:r>
          </w:p>
        </w:tc>
        <w:tc>
          <w:tcPr>
            <w:tcW w:w="749" w:type="dxa"/>
            <w:noWrap/>
            <w:hideMark/>
          </w:tcPr>
          <w:p w14:paraId="456DBB94"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8.12</w:t>
            </w:r>
          </w:p>
        </w:tc>
        <w:tc>
          <w:tcPr>
            <w:tcW w:w="599" w:type="dxa"/>
            <w:noWrap/>
            <w:hideMark/>
          </w:tcPr>
          <w:p w14:paraId="1DC20658"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7.57</w:t>
            </w:r>
          </w:p>
        </w:tc>
        <w:tc>
          <w:tcPr>
            <w:tcW w:w="900" w:type="dxa"/>
            <w:noWrap/>
            <w:hideMark/>
          </w:tcPr>
          <w:p w14:paraId="377A0ED3"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1.29</w:t>
            </w:r>
          </w:p>
        </w:tc>
        <w:tc>
          <w:tcPr>
            <w:tcW w:w="780" w:type="dxa"/>
            <w:noWrap/>
            <w:hideMark/>
          </w:tcPr>
          <w:p w14:paraId="6097789C"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30.89</w:t>
            </w:r>
          </w:p>
        </w:tc>
      </w:tr>
      <w:tr w:rsidR="00ED2ADC" w:rsidRPr="00D0012A" w14:paraId="2CE3701C" w14:textId="77777777" w:rsidTr="002A6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noWrap/>
            <w:hideMark/>
          </w:tcPr>
          <w:p w14:paraId="0EB7ABBC"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2019</w:t>
            </w:r>
          </w:p>
        </w:tc>
        <w:tc>
          <w:tcPr>
            <w:tcW w:w="751" w:type="dxa"/>
            <w:noWrap/>
            <w:hideMark/>
          </w:tcPr>
          <w:p w14:paraId="3743F8DB"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3.72</w:t>
            </w:r>
          </w:p>
        </w:tc>
        <w:tc>
          <w:tcPr>
            <w:tcW w:w="750" w:type="dxa"/>
            <w:noWrap/>
            <w:hideMark/>
          </w:tcPr>
          <w:p w14:paraId="45AEADD1"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0.43</w:t>
            </w:r>
          </w:p>
        </w:tc>
        <w:tc>
          <w:tcPr>
            <w:tcW w:w="750" w:type="dxa"/>
            <w:noWrap/>
            <w:hideMark/>
          </w:tcPr>
          <w:p w14:paraId="594F16F9"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1.63</w:t>
            </w:r>
          </w:p>
        </w:tc>
        <w:tc>
          <w:tcPr>
            <w:tcW w:w="749" w:type="dxa"/>
            <w:noWrap/>
            <w:hideMark/>
          </w:tcPr>
          <w:p w14:paraId="4A312573"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2.04</w:t>
            </w:r>
          </w:p>
        </w:tc>
        <w:tc>
          <w:tcPr>
            <w:tcW w:w="749" w:type="dxa"/>
            <w:noWrap/>
            <w:hideMark/>
          </w:tcPr>
          <w:p w14:paraId="5A768232"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3.63</w:t>
            </w:r>
          </w:p>
        </w:tc>
        <w:tc>
          <w:tcPr>
            <w:tcW w:w="749" w:type="dxa"/>
            <w:noWrap/>
            <w:hideMark/>
          </w:tcPr>
          <w:p w14:paraId="0F6D94B4"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1.09</w:t>
            </w:r>
          </w:p>
        </w:tc>
        <w:tc>
          <w:tcPr>
            <w:tcW w:w="749" w:type="dxa"/>
            <w:noWrap/>
            <w:hideMark/>
          </w:tcPr>
          <w:p w14:paraId="79EE7D60"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1.99</w:t>
            </w:r>
          </w:p>
        </w:tc>
        <w:tc>
          <w:tcPr>
            <w:tcW w:w="749" w:type="dxa"/>
            <w:noWrap/>
            <w:hideMark/>
          </w:tcPr>
          <w:p w14:paraId="4D4CD0B9"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8.16</w:t>
            </w:r>
          </w:p>
        </w:tc>
        <w:tc>
          <w:tcPr>
            <w:tcW w:w="599" w:type="dxa"/>
            <w:noWrap/>
            <w:hideMark/>
          </w:tcPr>
          <w:p w14:paraId="16F024FF"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7.76</w:t>
            </w:r>
          </w:p>
        </w:tc>
        <w:tc>
          <w:tcPr>
            <w:tcW w:w="900" w:type="dxa"/>
            <w:noWrap/>
            <w:hideMark/>
          </w:tcPr>
          <w:p w14:paraId="15C811AC"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1.48</w:t>
            </w:r>
          </w:p>
        </w:tc>
        <w:tc>
          <w:tcPr>
            <w:tcW w:w="780" w:type="dxa"/>
            <w:noWrap/>
            <w:hideMark/>
          </w:tcPr>
          <w:p w14:paraId="375AAE74" w14:textId="77777777" w:rsidR="00ED2ADC" w:rsidRPr="00D0012A"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31.95</w:t>
            </w:r>
          </w:p>
        </w:tc>
      </w:tr>
      <w:tr w:rsidR="00ED2ADC" w:rsidRPr="00D0012A" w14:paraId="1E2BAF77" w14:textId="77777777" w:rsidTr="002A6258">
        <w:tc>
          <w:tcPr>
            <w:cnfStyle w:val="001000000000" w:firstRow="0" w:lastRow="0" w:firstColumn="1" w:lastColumn="0" w:oddVBand="0" w:evenVBand="0" w:oddHBand="0" w:evenHBand="0" w:firstRowFirstColumn="0" w:firstRowLastColumn="0" w:lastRowFirstColumn="0" w:lastRowLastColumn="0"/>
            <w:tcW w:w="751" w:type="dxa"/>
            <w:noWrap/>
            <w:hideMark/>
          </w:tcPr>
          <w:p w14:paraId="2C509F17"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2020</w:t>
            </w:r>
          </w:p>
        </w:tc>
        <w:tc>
          <w:tcPr>
            <w:tcW w:w="751" w:type="dxa"/>
            <w:noWrap/>
            <w:hideMark/>
          </w:tcPr>
          <w:p w14:paraId="2BF402AF"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3.21</w:t>
            </w:r>
          </w:p>
        </w:tc>
        <w:tc>
          <w:tcPr>
            <w:tcW w:w="750" w:type="dxa"/>
            <w:noWrap/>
            <w:hideMark/>
          </w:tcPr>
          <w:p w14:paraId="4B17B86F"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0.29</w:t>
            </w:r>
          </w:p>
        </w:tc>
        <w:tc>
          <w:tcPr>
            <w:tcW w:w="750" w:type="dxa"/>
            <w:noWrap/>
            <w:hideMark/>
          </w:tcPr>
          <w:p w14:paraId="680B5164"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1.43</w:t>
            </w:r>
          </w:p>
        </w:tc>
        <w:tc>
          <w:tcPr>
            <w:tcW w:w="749" w:type="dxa"/>
            <w:noWrap/>
            <w:hideMark/>
          </w:tcPr>
          <w:p w14:paraId="153E45B8"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2.26</w:t>
            </w:r>
          </w:p>
        </w:tc>
        <w:tc>
          <w:tcPr>
            <w:tcW w:w="749" w:type="dxa"/>
            <w:noWrap/>
            <w:hideMark/>
          </w:tcPr>
          <w:p w14:paraId="110555E6"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2.21</w:t>
            </w:r>
          </w:p>
        </w:tc>
        <w:tc>
          <w:tcPr>
            <w:tcW w:w="749" w:type="dxa"/>
            <w:noWrap/>
            <w:hideMark/>
          </w:tcPr>
          <w:p w14:paraId="14BD18EC"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1.26</w:t>
            </w:r>
          </w:p>
        </w:tc>
        <w:tc>
          <w:tcPr>
            <w:tcW w:w="749" w:type="dxa"/>
            <w:noWrap/>
            <w:hideMark/>
          </w:tcPr>
          <w:p w14:paraId="3571CA56"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1.58</w:t>
            </w:r>
          </w:p>
        </w:tc>
        <w:tc>
          <w:tcPr>
            <w:tcW w:w="749" w:type="dxa"/>
            <w:noWrap/>
            <w:hideMark/>
          </w:tcPr>
          <w:p w14:paraId="696C0C59"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8.30</w:t>
            </w:r>
          </w:p>
        </w:tc>
        <w:tc>
          <w:tcPr>
            <w:tcW w:w="599" w:type="dxa"/>
            <w:noWrap/>
            <w:hideMark/>
          </w:tcPr>
          <w:p w14:paraId="71229AA1"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7.57</w:t>
            </w:r>
          </w:p>
        </w:tc>
        <w:tc>
          <w:tcPr>
            <w:tcW w:w="900" w:type="dxa"/>
            <w:noWrap/>
            <w:hideMark/>
          </w:tcPr>
          <w:p w14:paraId="57930CB2"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1.47</w:t>
            </w:r>
          </w:p>
        </w:tc>
        <w:tc>
          <w:tcPr>
            <w:tcW w:w="780" w:type="dxa"/>
            <w:noWrap/>
            <w:hideMark/>
          </w:tcPr>
          <w:p w14:paraId="3F5AEC65" w14:textId="77777777" w:rsidR="00ED2ADC" w:rsidRPr="00D0012A" w:rsidRDefault="00ED2ADC"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29.59</w:t>
            </w:r>
          </w:p>
        </w:tc>
      </w:tr>
      <w:tr w:rsidR="00ED2ADC" w:rsidRPr="00D0012A" w14:paraId="3157972E" w14:textId="77777777" w:rsidTr="002A62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1" w:type="dxa"/>
            <w:noWrap/>
            <w:hideMark/>
          </w:tcPr>
          <w:p w14:paraId="0CF73ABB" w14:textId="77777777" w:rsidR="00ED2ADC" w:rsidRPr="00D0012A" w:rsidRDefault="00ED2ADC" w:rsidP="004F6FB3">
            <w:pPr>
              <w:jc w:val="right"/>
              <w:rPr>
                <w:rFonts w:eastAsia="Times New Roman" w:cs="Times New Roman"/>
                <w:sz w:val="20"/>
                <w:szCs w:val="20"/>
                <w:lang w:eastAsia="en-AU"/>
              </w:rPr>
            </w:pPr>
            <w:r w:rsidRPr="00D0012A">
              <w:rPr>
                <w:rFonts w:eastAsia="Times New Roman" w:cs="Times New Roman"/>
                <w:sz w:val="20"/>
                <w:szCs w:val="20"/>
                <w:lang w:eastAsia="en-AU"/>
              </w:rPr>
              <w:t>2021</w:t>
            </w:r>
          </w:p>
        </w:tc>
        <w:tc>
          <w:tcPr>
            <w:tcW w:w="751" w:type="dxa"/>
            <w:noWrap/>
            <w:hideMark/>
          </w:tcPr>
          <w:p w14:paraId="0394CAE4"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3.41</w:t>
            </w:r>
          </w:p>
        </w:tc>
        <w:tc>
          <w:tcPr>
            <w:tcW w:w="750" w:type="dxa"/>
            <w:noWrap/>
            <w:hideMark/>
          </w:tcPr>
          <w:p w14:paraId="7E382DB8"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0.42</w:t>
            </w:r>
          </w:p>
        </w:tc>
        <w:tc>
          <w:tcPr>
            <w:tcW w:w="750" w:type="dxa"/>
            <w:noWrap/>
            <w:hideMark/>
          </w:tcPr>
          <w:p w14:paraId="4C3EE215"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1.38</w:t>
            </w:r>
          </w:p>
        </w:tc>
        <w:tc>
          <w:tcPr>
            <w:tcW w:w="749" w:type="dxa"/>
            <w:noWrap/>
            <w:hideMark/>
          </w:tcPr>
          <w:p w14:paraId="23740B62"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2.13</w:t>
            </w:r>
          </w:p>
        </w:tc>
        <w:tc>
          <w:tcPr>
            <w:tcW w:w="749" w:type="dxa"/>
            <w:noWrap/>
            <w:hideMark/>
          </w:tcPr>
          <w:p w14:paraId="35E57A94"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2.46</w:t>
            </w:r>
          </w:p>
        </w:tc>
        <w:tc>
          <w:tcPr>
            <w:tcW w:w="749" w:type="dxa"/>
            <w:noWrap/>
            <w:hideMark/>
          </w:tcPr>
          <w:p w14:paraId="3F9C60A6"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1.18</w:t>
            </w:r>
          </w:p>
        </w:tc>
        <w:tc>
          <w:tcPr>
            <w:tcW w:w="749" w:type="dxa"/>
            <w:noWrap/>
            <w:hideMark/>
          </w:tcPr>
          <w:p w14:paraId="6D3494D2"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1.48</w:t>
            </w:r>
          </w:p>
        </w:tc>
        <w:tc>
          <w:tcPr>
            <w:tcW w:w="749" w:type="dxa"/>
            <w:noWrap/>
            <w:hideMark/>
          </w:tcPr>
          <w:p w14:paraId="153E384C"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7.61</w:t>
            </w:r>
          </w:p>
        </w:tc>
        <w:tc>
          <w:tcPr>
            <w:tcW w:w="599" w:type="dxa"/>
            <w:noWrap/>
            <w:hideMark/>
          </w:tcPr>
          <w:p w14:paraId="0F0286C4"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7.51</w:t>
            </w:r>
          </w:p>
        </w:tc>
        <w:tc>
          <w:tcPr>
            <w:tcW w:w="900" w:type="dxa"/>
            <w:noWrap/>
            <w:hideMark/>
          </w:tcPr>
          <w:p w14:paraId="6EF8C7CB"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1.78</w:t>
            </w:r>
          </w:p>
        </w:tc>
        <w:tc>
          <w:tcPr>
            <w:tcW w:w="780" w:type="dxa"/>
            <w:noWrap/>
            <w:hideMark/>
          </w:tcPr>
          <w:p w14:paraId="5915B898"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29.36</w:t>
            </w:r>
          </w:p>
        </w:tc>
      </w:tr>
    </w:tbl>
    <w:p w14:paraId="6FA5F4B2" w14:textId="77777777" w:rsidR="00ED2ADC" w:rsidRPr="00ED2ADC" w:rsidRDefault="00ED2ADC" w:rsidP="00ED2ADC">
      <w:pPr>
        <w:rPr>
          <w:rFonts w:asciiTheme="minorHAnsi" w:hAnsiTheme="minorHAnsi"/>
          <w:sz w:val="22"/>
        </w:rPr>
      </w:pPr>
    </w:p>
    <w:p w14:paraId="4CA94268" w14:textId="77777777" w:rsidR="00ED2ADC" w:rsidRPr="00ED2ADC" w:rsidRDefault="00ED2ADC" w:rsidP="00596E66">
      <w:pPr>
        <w:pStyle w:val="Heading5"/>
      </w:pPr>
      <w:r w:rsidRPr="00ED2ADC">
        <w:t>Pharmacy sales of non-prescription paracetamol, IQVIA 2017-21 by pack size (tonnes of paracetamol)</w:t>
      </w:r>
    </w:p>
    <w:tbl>
      <w:tblPr>
        <w:tblStyle w:val="ListTable2"/>
        <w:tblW w:w="5000" w:type="pct"/>
        <w:tblLayout w:type="fixed"/>
        <w:tblCellMar>
          <w:left w:w="57" w:type="dxa"/>
          <w:right w:w="28" w:type="dxa"/>
        </w:tblCellMar>
        <w:tblLook w:val="04A0" w:firstRow="1" w:lastRow="0" w:firstColumn="1" w:lastColumn="0" w:noHBand="0" w:noVBand="1"/>
      </w:tblPr>
      <w:tblGrid>
        <w:gridCol w:w="752"/>
        <w:gridCol w:w="752"/>
        <w:gridCol w:w="752"/>
        <w:gridCol w:w="752"/>
        <w:gridCol w:w="752"/>
        <w:gridCol w:w="753"/>
        <w:gridCol w:w="752"/>
        <w:gridCol w:w="752"/>
        <w:gridCol w:w="752"/>
        <w:gridCol w:w="752"/>
        <w:gridCol w:w="752"/>
        <w:gridCol w:w="753"/>
      </w:tblGrid>
      <w:tr w:rsidR="00494856" w:rsidRPr="00494856" w14:paraId="35E7BBD7" w14:textId="77777777" w:rsidTr="004948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dxa"/>
            <w:noWrap/>
            <w:hideMark/>
          </w:tcPr>
          <w:p w14:paraId="14655F6F" w14:textId="77777777" w:rsidR="00ED2ADC" w:rsidRPr="00494856" w:rsidRDefault="00ED2ADC" w:rsidP="004F6FB3">
            <w:pPr>
              <w:jc w:val="right"/>
              <w:rPr>
                <w:rFonts w:eastAsia="Times New Roman" w:cs="Times New Roman"/>
                <w:sz w:val="20"/>
                <w:szCs w:val="20"/>
                <w:lang w:eastAsia="en-AU"/>
              </w:rPr>
            </w:pPr>
            <w:r w:rsidRPr="00494856">
              <w:rPr>
                <w:rFonts w:eastAsia="Times New Roman" w:cs="Times New Roman"/>
                <w:sz w:val="20"/>
                <w:szCs w:val="20"/>
                <w:lang w:eastAsia="en-AU"/>
              </w:rPr>
              <w:t>Year</w:t>
            </w:r>
          </w:p>
        </w:tc>
        <w:tc>
          <w:tcPr>
            <w:tcW w:w="752" w:type="dxa"/>
            <w:noWrap/>
            <w:hideMark/>
          </w:tcPr>
          <w:p w14:paraId="100ADC06"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1</w:t>
            </w:r>
          </w:p>
        </w:tc>
        <w:tc>
          <w:tcPr>
            <w:tcW w:w="752" w:type="dxa"/>
            <w:noWrap/>
            <w:hideMark/>
          </w:tcPr>
          <w:p w14:paraId="0BA79C96"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10</w:t>
            </w:r>
          </w:p>
        </w:tc>
        <w:tc>
          <w:tcPr>
            <w:tcW w:w="752" w:type="dxa"/>
            <w:noWrap/>
            <w:hideMark/>
          </w:tcPr>
          <w:p w14:paraId="382EE821"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12</w:t>
            </w:r>
          </w:p>
        </w:tc>
        <w:tc>
          <w:tcPr>
            <w:tcW w:w="752" w:type="dxa"/>
            <w:noWrap/>
            <w:hideMark/>
          </w:tcPr>
          <w:p w14:paraId="7A8C1852"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20</w:t>
            </w:r>
          </w:p>
        </w:tc>
        <w:tc>
          <w:tcPr>
            <w:tcW w:w="753" w:type="dxa"/>
            <w:noWrap/>
            <w:hideMark/>
          </w:tcPr>
          <w:p w14:paraId="6B8DF5ED"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24</w:t>
            </w:r>
          </w:p>
        </w:tc>
        <w:tc>
          <w:tcPr>
            <w:tcW w:w="752" w:type="dxa"/>
            <w:noWrap/>
            <w:hideMark/>
          </w:tcPr>
          <w:p w14:paraId="402073EB"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40</w:t>
            </w:r>
          </w:p>
        </w:tc>
        <w:tc>
          <w:tcPr>
            <w:tcW w:w="752" w:type="dxa"/>
            <w:noWrap/>
            <w:hideMark/>
          </w:tcPr>
          <w:p w14:paraId="380BCAB9"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48</w:t>
            </w:r>
          </w:p>
        </w:tc>
        <w:tc>
          <w:tcPr>
            <w:tcW w:w="752" w:type="dxa"/>
            <w:noWrap/>
            <w:hideMark/>
          </w:tcPr>
          <w:p w14:paraId="376CF892"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96</w:t>
            </w:r>
          </w:p>
        </w:tc>
        <w:tc>
          <w:tcPr>
            <w:tcW w:w="752" w:type="dxa"/>
            <w:noWrap/>
            <w:hideMark/>
          </w:tcPr>
          <w:p w14:paraId="6A88B8F3"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100</w:t>
            </w:r>
          </w:p>
        </w:tc>
        <w:tc>
          <w:tcPr>
            <w:tcW w:w="752" w:type="dxa"/>
            <w:noWrap/>
            <w:hideMark/>
          </w:tcPr>
          <w:p w14:paraId="1A2C4029"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Others</w:t>
            </w:r>
          </w:p>
        </w:tc>
        <w:tc>
          <w:tcPr>
            <w:tcW w:w="753" w:type="dxa"/>
            <w:noWrap/>
            <w:hideMark/>
          </w:tcPr>
          <w:p w14:paraId="2EA61E5E" w14:textId="77777777" w:rsidR="00ED2ADC" w:rsidRPr="00494856" w:rsidRDefault="00ED2ADC" w:rsidP="00494856">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eastAsia="Times New Roman" w:cs="Times New Roman"/>
                <w:sz w:val="20"/>
                <w:szCs w:val="20"/>
                <w:lang w:eastAsia="en-AU"/>
              </w:rPr>
              <w:t>Grand Total</w:t>
            </w:r>
          </w:p>
        </w:tc>
      </w:tr>
      <w:tr w:rsidR="00494856" w:rsidRPr="00494856" w14:paraId="44B44237" w14:textId="77777777" w:rsidTr="0049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dxa"/>
            <w:noWrap/>
            <w:hideMark/>
          </w:tcPr>
          <w:p w14:paraId="161DE9B8" w14:textId="77777777" w:rsidR="00ED2ADC" w:rsidRPr="00494856" w:rsidRDefault="00ED2ADC" w:rsidP="00ED2ADC">
            <w:pPr>
              <w:jc w:val="right"/>
              <w:rPr>
                <w:rFonts w:eastAsia="Times New Roman" w:cs="Times New Roman"/>
                <w:sz w:val="20"/>
                <w:szCs w:val="20"/>
                <w:lang w:eastAsia="en-AU"/>
              </w:rPr>
            </w:pPr>
            <w:r w:rsidRPr="00494856">
              <w:rPr>
                <w:rFonts w:eastAsia="Times New Roman" w:cs="Times New Roman"/>
                <w:sz w:val="20"/>
                <w:szCs w:val="20"/>
                <w:lang w:eastAsia="en-AU"/>
              </w:rPr>
              <w:t>2017</w:t>
            </w:r>
          </w:p>
        </w:tc>
        <w:tc>
          <w:tcPr>
            <w:tcW w:w="752" w:type="dxa"/>
            <w:noWrap/>
            <w:hideMark/>
          </w:tcPr>
          <w:p w14:paraId="149BFDAE"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1.46</w:t>
            </w:r>
          </w:p>
        </w:tc>
        <w:tc>
          <w:tcPr>
            <w:tcW w:w="752" w:type="dxa"/>
            <w:noWrap/>
            <w:hideMark/>
          </w:tcPr>
          <w:p w14:paraId="3F5FBAC7"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1.50</w:t>
            </w:r>
          </w:p>
        </w:tc>
        <w:tc>
          <w:tcPr>
            <w:tcW w:w="752" w:type="dxa"/>
            <w:noWrap/>
            <w:hideMark/>
          </w:tcPr>
          <w:p w14:paraId="568D3178"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3.27</w:t>
            </w:r>
          </w:p>
        </w:tc>
        <w:tc>
          <w:tcPr>
            <w:tcW w:w="752" w:type="dxa"/>
            <w:noWrap/>
            <w:hideMark/>
          </w:tcPr>
          <w:p w14:paraId="01AFA5E2"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17.59</w:t>
            </w:r>
          </w:p>
        </w:tc>
        <w:tc>
          <w:tcPr>
            <w:tcW w:w="753" w:type="dxa"/>
            <w:noWrap/>
            <w:hideMark/>
          </w:tcPr>
          <w:p w14:paraId="4A7B880C"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38.01</w:t>
            </w:r>
          </w:p>
        </w:tc>
        <w:tc>
          <w:tcPr>
            <w:tcW w:w="752" w:type="dxa"/>
            <w:noWrap/>
            <w:hideMark/>
          </w:tcPr>
          <w:p w14:paraId="001F1001"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44.52</w:t>
            </w:r>
          </w:p>
        </w:tc>
        <w:tc>
          <w:tcPr>
            <w:tcW w:w="752" w:type="dxa"/>
            <w:noWrap/>
            <w:hideMark/>
          </w:tcPr>
          <w:p w14:paraId="42B5A019"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32.36</w:t>
            </w:r>
          </w:p>
        </w:tc>
        <w:tc>
          <w:tcPr>
            <w:tcW w:w="752" w:type="dxa"/>
            <w:noWrap/>
            <w:hideMark/>
          </w:tcPr>
          <w:p w14:paraId="4CCBBF97"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312.90</w:t>
            </w:r>
          </w:p>
        </w:tc>
        <w:tc>
          <w:tcPr>
            <w:tcW w:w="752" w:type="dxa"/>
            <w:noWrap/>
            <w:hideMark/>
          </w:tcPr>
          <w:p w14:paraId="3F81EA48"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213.25</w:t>
            </w:r>
          </w:p>
        </w:tc>
        <w:tc>
          <w:tcPr>
            <w:tcW w:w="752" w:type="dxa"/>
            <w:noWrap/>
            <w:hideMark/>
          </w:tcPr>
          <w:p w14:paraId="7605B19B"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15.79</w:t>
            </w:r>
          </w:p>
        </w:tc>
        <w:tc>
          <w:tcPr>
            <w:tcW w:w="753" w:type="dxa"/>
            <w:noWrap/>
            <w:hideMark/>
          </w:tcPr>
          <w:p w14:paraId="537B8543" w14:textId="77777777" w:rsidR="00ED2ADC" w:rsidRPr="00494856" w:rsidRDefault="00ED2ADC"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680.65</w:t>
            </w:r>
          </w:p>
        </w:tc>
      </w:tr>
      <w:tr w:rsidR="00494856" w:rsidRPr="00494856" w14:paraId="5A2E7A43" w14:textId="77777777" w:rsidTr="00494856">
        <w:tc>
          <w:tcPr>
            <w:cnfStyle w:val="001000000000" w:firstRow="0" w:lastRow="0" w:firstColumn="1" w:lastColumn="0" w:oddVBand="0" w:evenVBand="0" w:oddHBand="0" w:evenHBand="0" w:firstRowFirstColumn="0" w:firstRowLastColumn="0" w:lastRowFirstColumn="0" w:lastRowLastColumn="0"/>
            <w:tcW w:w="752" w:type="dxa"/>
            <w:noWrap/>
            <w:hideMark/>
          </w:tcPr>
          <w:p w14:paraId="525D20E1"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2018</w:t>
            </w:r>
          </w:p>
        </w:tc>
        <w:tc>
          <w:tcPr>
            <w:tcW w:w="752" w:type="dxa"/>
            <w:noWrap/>
            <w:hideMark/>
          </w:tcPr>
          <w:p w14:paraId="59C33CF7" w14:textId="5E0852A4"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sz w:val="20"/>
                <w:szCs w:val="20"/>
              </w:rPr>
              <w:t>1.44</w:t>
            </w:r>
          </w:p>
        </w:tc>
        <w:tc>
          <w:tcPr>
            <w:tcW w:w="752" w:type="dxa"/>
            <w:noWrap/>
            <w:hideMark/>
          </w:tcPr>
          <w:p w14:paraId="3206B8C8"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1.43</w:t>
            </w:r>
          </w:p>
        </w:tc>
        <w:tc>
          <w:tcPr>
            <w:tcW w:w="752" w:type="dxa"/>
            <w:noWrap/>
            <w:hideMark/>
          </w:tcPr>
          <w:p w14:paraId="46EB9D75"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7.41</w:t>
            </w:r>
          </w:p>
        </w:tc>
        <w:tc>
          <w:tcPr>
            <w:tcW w:w="752" w:type="dxa"/>
            <w:noWrap/>
            <w:hideMark/>
          </w:tcPr>
          <w:p w14:paraId="5804724F"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16.30</w:t>
            </w:r>
          </w:p>
        </w:tc>
        <w:tc>
          <w:tcPr>
            <w:tcW w:w="753" w:type="dxa"/>
            <w:noWrap/>
            <w:hideMark/>
          </w:tcPr>
          <w:p w14:paraId="3DA2349D"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36.52</w:t>
            </w:r>
          </w:p>
        </w:tc>
        <w:tc>
          <w:tcPr>
            <w:tcW w:w="752" w:type="dxa"/>
            <w:noWrap/>
            <w:hideMark/>
          </w:tcPr>
          <w:p w14:paraId="12C944CD"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15.78</w:t>
            </w:r>
          </w:p>
        </w:tc>
        <w:tc>
          <w:tcPr>
            <w:tcW w:w="752" w:type="dxa"/>
            <w:noWrap/>
            <w:hideMark/>
          </w:tcPr>
          <w:p w14:paraId="4E61372D"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38.04</w:t>
            </w:r>
          </w:p>
        </w:tc>
        <w:tc>
          <w:tcPr>
            <w:tcW w:w="752" w:type="dxa"/>
            <w:noWrap/>
            <w:hideMark/>
          </w:tcPr>
          <w:p w14:paraId="028E96DD"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340.29</w:t>
            </w:r>
          </w:p>
        </w:tc>
        <w:tc>
          <w:tcPr>
            <w:tcW w:w="752" w:type="dxa"/>
            <w:noWrap/>
            <w:hideMark/>
          </w:tcPr>
          <w:p w14:paraId="333E43C6"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249.29</w:t>
            </w:r>
          </w:p>
        </w:tc>
        <w:tc>
          <w:tcPr>
            <w:tcW w:w="752" w:type="dxa"/>
            <w:noWrap/>
            <w:hideMark/>
          </w:tcPr>
          <w:p w14:paraId="76BAD234"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26.22</w:t>
            </w:r>
          </w:p>
        </w:tc>
        <w:tc>
          <w:tcPr>
            <w:tcW w:w="753" w:type="dxa"/>
            <w:noWrap/>
            <w:hideMark/>
          </w:tcPr>
          <w:p w14:paraId="781F0C79"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732.71</w:t>
            </w:r>
          </w:p>
        </w:tc>
      </w:tr>
      <w:tr w:rsidR="00494856" w:rsidRPr="00494856" w14:paraId="22E453A1" w14:textId="77777777" w:rsidTr="0049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dxa"/>
            <w:noWrap/>
            <w:hideMark/>
          </w:tcPr>
          <w:p w14:paraId="4415435E"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2019</w:t>
            </w:r>
          </w:p>
        </w:tc>
        <w:tc>
          <w:tcPr>
            <w:tcW w:w="752" w:type="dxa"/>
            <w:noWrap/>
            <w:hideMark/>
          </w:tcPr>
          <w:p w14:paraId="7EC63D9E" w14:textId="2EB36180"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sz w:val="20"/>
                <w:szCs w:val="20"/>
              </w:rPr>
              <w:t>1.53</w:t>
            </w:r>
          </w:p>
        </w:tc>
        <w:tc>
          <w:tcPr>
            <w:tcW w:w="752" w:type="dxa"/>
            <w:noWrap/>
            <w:hideMark/>
          </w:tcPr>
          <w:p w14:paraId="1636D9C0"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1.64</w:t>
            </w:r>
          </w:p>
        </w:tc>
        <w:tc>
          <w:tcPr>
            <w:tcW w:w="752" w:type="dxa"/>
            <w:noWrap/>
            <w:hideMark/>
          </w:tcPr>
          <w:p w14:paraId="514C5E42"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7.23</w:t>
            </w:r>
          </w:p>
        </w:tc>
        <w:tc>
          <w:tcPr>
            <w:tcW w:w="752" w:type="dxa"/>
            <w:noWrap/>
            <w:hideMark/>
          </w:tcPr>
          <w:p w14:paraId="79C8FD10"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16.83</w:t>
            </w:r>
          </w:p>
        </w:tc>
        <w:tc>
          <w:tcPr>
            <w:tcW w:w="753" w:type="dxa"/>
            <w:noWrap/>
            <w:hideMark/>
          </w:tcPr>
          <w:p w14:paraId="2EA14F04"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38.61</w:t>
            </w:r>
          </w:p>
        </w:tc>
        <w:tc>
          <w:tcPr>
            <w:tcW w:w="752" w:type="dxa"/>
            <w:noWrap/>
            <w:hideMark/>
          </w:tcPr>
          <w:p w14:paraId="7D611E32"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17.51</w:t>
            </w:r>
          </w:p>
        </w:tc>
        <w:tc>
          <w:tcPr>
            <w:tcW w:w="752" w:type="dxa"/>
            <w:noWrap/>
            <w:hideMark/>
          </w:tcPr>
          <w:p w14:paraId="11D06AE3"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39.94</w:t>
            </w:r>
          </w:p>
        </w:tc>
        <w:tc>
          <w:tcPr>
            <w:tcW w:w="752" w:type="dxa"/>
            <w:noWrap/>
            <w:hideMark/>
          </w:tcPr>
          <w:p w14:paraId="03A150B9"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350.00</w:t>
            </w:r>
          </w:p>
        </w:tc>
        <w:tc>
          <w:tcPr>
            <w:tcW w:w="752" w:type="dxa"/>
            <w:noWrap/>
            <w:hideMark/>
          </w:tcPr>
          <w:p w14:paraId="5EA27CE8"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260.42</w:t>
            </w:r>
          </w:p>
        </w:tc>
        <w:tc>
          <w:tcPr>
            <w:tcW w:w="752" w:type="dxa"/>
            <w:noWrap/>
            <w:hideMark/>
          </w:tcPr>
          <w:p w14:paraId="1A9EB6DC"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33.74</w:t>
            </w:r>
          </w:p>
        </w:tc>
        <w:tc>
          <w:tcPr>
            <w:tcW w:w="753" w:type="dxa"/>
            <w:noWrap/>
            <w:hideMark/>
          </w:tcPr>
          <w:p w14:paraId="55D9E2F2"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767.45</w:t>
            </w:r>
          </w:p>
        </w:tc>
      </w:tr>
      <w:tr w:rsidR="00494856" w:rsidRPr="00494856" w14:paraId="4DFC041B" w14:textId="77777777" w:rsidTr="00494856">
        <w:tc>
          <w:tcPr>
            <w:cnfStyle w:val="001000000000" w:firstRow="0" w:lastRow="0" w:firstColumn="1" w:lastColumn="0" w:oddVBand="0" w:evenVBand="0" w:oddHBand="0" w:evenHBand="0" w:firstRowFirstColumn="0" w:firstRowLastColumn="0" w:lastRowFirstColumn="0" w:lastRowLastColumn="0"/>
            <w:tcW w:w="752" w:type="dxa"/>
            <w:noWrap/>
            <w:hideMark/>
          </w:tcPr>
          <w:p w14:paraId="2C6908AD"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2020</w:t>
            </w:r>
          </w:p>
        </w:tc>
        <w:tc>
          <w:tcPr>
            <w:tcW w:w="752" w:type="dxa"/>
            <w:noWrap/>
            <w:hideMark/>
          </w:tcPr>
          <w:p w14:paraId="547EAFBC" w14:textId="2B928682"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sz w:val="20"/>
                <w:szCs w:val="20"/>
              </w:rPr>
              <w:t>1.25</w:t>
            </w:r>
          </w:p>
        </w:tc>
        <w:tc>
          <w:tcPr>
            <w:tcW w:w="752" w:type="dxa"/>
            <w:noWrap/>
            <w:hideMark/>
          </w:tcPr>
          <w:p w14:paraId="1B28A5CD"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1.01</w:t>
            </w:r>
          </w:p>
        </w:tc>
        <w:tc>
          <w:tcPr>
            <w:tcW w:w="752" w:type="dxa"/>
            <w:noWrap/>
            <w:hideMark/>
          </w:tcPr>
          <w:p w14:paraId="016D6F89"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6.31</w:t>
            </w:r>
          </w:p>
        </w:tc>
        <w:tc>
          <w:tcPr>
            <w:tcW w:w="752" w:type="dxa"/>
            <w:noWrap/>
            <w:hideMark/>
          </w:tcPr>
          <w:p w14:paraId="5E5C87E0"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17.39</w:t>
            </w:r>
          </w:p>
        </w:tc>
        <w:tc>
          <w:tcPr>
            <w:tcW w:w="753" w:type="dxa"/>
            <w:noWrap/>
            <w:hideMark/>
          </w:tcPr>
          <w:p w14:paraId="1ED5838E"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22.03</w:t>
            </w:r>
          </w:p>
        </w:tc>
        <w:tc>
          <w:tcPr>
            <w:tcW w:w="752" w:type="dxa"/>
            <w:noWrap/>
            <w:hideMark/>
          </w:tcPr>
          <w:p w14:paraId="0024A21A"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19.94</w:t>
            </w:r>
          </w:p>
        </w:tc>
        <w:tc>
          <w:tcPr>
            <w:tcW w:w="752" w:type="dxa"/>
            <w:noWrap/>
            <w:hideMark/>
          </w:tcPr>
          <w:p w14:paraId="186B65D0"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28.91</w:t>
            </w:r>
          </w:p>
        </w:tc>
        <w:tc>
          <w:tcPr>
            <w:tcW w:w="752" w:type="dxa"/>
            <w:noWrap/>
            <w:hideMark/>
          </w:tcPr>
          <w:p w14:paraId="6B2D900A"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375.05</w:t>
            </w:r>
          </w:p>
        </w:tc>
        <w:tc>
          <w:tcPr>
            <w:tcW w:w="752" w:type="dxa"/>
            <w:noWrap/>
            <w:hideMark/>
          </w:tcPr>
          <w:p w14:paraId="4DFBAFAC"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268.64</w:t>
            </w:r>
          </w:p>
        </w:tc>
        <w:tc>
          <w:tcPr>
            <w:tcW w:w="752" w:type="dxa"/>
            <w:noWrap/>
            <w:hideMark/>
          </w:tcPr>
          <w:p w14:paraId="4B8F3605"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36.91</w:t>
            </w:r>
          </w:p>
        </w:tc>
        <w:tc>
          <w:tcPr>
            <w:tcW w:w="753" w:type="dxa"/>
            <w:noWrap/>
            <w:hideMark/>
          </w:tcPr>
          <w:p w14:paraId="5018442B" w14:textId="77777777" w:rsidR="00494856" w:rsidRPr="00494856" w:rsidRDefault="00494856" w:rsidP="0049485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777.45</w:t>
            </w:r>
          </w:p>
        </w:tc>
      </w:tr>
      <w:tr w:rsidR="00494856" w:rsidRPr="00494856" w14:paraId="465BC16F" w14:textId="77777777" w:rsidTr="004948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2" w:type="dxa"/>
            <w:noWrap/>
            <w:hideMark/>
          </w:tcPr>
          <w:p w14:paraId="58365B85" w14:textId="77777777" w:rsidR="00494856" w:rsidRPr="00494856" w:rsidRDefault="00494856" w:rsidP="00494856">
            <w:pPr>
              <w:jc w:val="right"/>
              <w:rPr>
                <w:rFonts w:eastAsia="Times New Roman" w:cs="Times New Roman"/>
                <w:sz w:val="20"/>
                <w:szCs w:val="20"/>
                <w:lang w:eastAsia="en-AU"/>
              </w:rPr>
            </w:pPr>
            <w:r w:rsidRPr="00494856">
              <w:rPr>
                <w:rFonts w:eastAsia="Times New Roman" w:cs="Times New Roman"/>
                <w:sz w:val="20"/>
                <w:szCs w:val="20"/>
                <w:lang w:eastAsia="en-AU"/>
              </w:rPr>
              <w:t>2021</w:t>
            </w:r>
          </w:p>
        </w:tc>
        <w:tc>
          <w:tcPr>
            <w:tcW w:w="752" w:type="dxa"/>
            <w:noWrap/>
            <w:hideMark/>
          </w:tcPr>
          <w:p w14:paraId="3861E3BF" w14:textId="1B40C492"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sz w:val="20"/>
                <w:szCs w:val="20"/>
              </w:rPr>
              <w:t>13.81</w:t>
            </w:r>
          </w:p>
        </w:tc>
        <w:tc>
          <w:tcPr>
            <w:tcW w:w="752" w:type="dxa"/>
            <w:noWrap/>
            <w:hideMark/>
          </w:tcPr>
          <w:p w14:paraId="1E6AD57B"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1.51</w:t>
            </w:r>
          </w:p>
        </w:tc>
        <w:tc>
          <w:tcPr>
            <w:tcW w:w="752" w:type="dxa"/>
            <w:noWrap/>
            <w:hideMark/>
          </w:tcPr>
          <w:p w14:paraId="038C80EA"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5.90</w:t>
            </w:r>
          </w:p>
        </w:tc>
        <w:tc>
          <w:tcPr>
            <w:tcW w:w="752" w:type="dxa"/>
            <w:noWrap/>
            <w:hideMark/>
          </w:tcPr>
          <w:p w14:paraId="403A5172"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17.14</w:t>
            </w:r>
          </w:p>
        </w:tc>
        <w:tc>
          <w:tcPr>
            <w:tcW w:w="753" w:type="dxa"/>
            <w:noWrap/>
            <w:hideMark/>
          </w:tcPr>
          <w:p w14:paraId="18536459"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25.25</w:t>
            </w:r>
          </w:p>
        </w:tc>
        <w:tc>
          <w:tcPr>
            <w:tcW w:w="752" w:type="dxa"/>
            <w:noWrap/>
            <w:hideMark/>
          </w:tcPr>
          <w:p w14:paraId="523D6D51"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19.13</w:t>
            </w:r>
          </w:p>
        </w:tc>
        <w:tc>
          <w:tcPr>
            <w:tcW w:w="752" w:type="dxa"/>
            <w:noWrap/>
            <w:hideMark/>
          </w:tcPr>
          <w:p w14:paraId="1997A51A"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29.14</w:t>
            </w:r>
          </w:p>
        </w:tc>
        <w:tc>
          <w:tcPr>
            <w:tcW w:w="752" w:type="dxa"/>
            <w:noWrap/>
            <w:hideMark/>
          </w:tcPr>
          <w:p w14:paraId="69A5A6C4"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344.73</w:t>
            </w:r>
          </w:p>
        </w:tc>
        <w:tc>
          <w:tcPr>
            <w:tcW w:w="752" w:type="dxa"/>
            <w:noWrap/>
            <w:hideMark/>
          </w:tcPr>
          <w:p w14:paraId="12FBA29E"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267.15</w:t>
            </w:r>
          </w:p>
        </w:tc>
        <w:tc>
          <w:tcPr>
            <w:tcW w:w="752" w:type="dxa"/>
            <w:noWrap/>
            <w:hideMark/>
          </w:tcPr>
          <w:p w14:paraId="5A9A5313"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48.86</w:t>
            </w:r>
          </w:p>
        </w:tc>
        <w:tc>
          <w:tcPr>
            <w:tcW w:w="753" w:type="dxa"/>
            <w:noWrap/>
            <w:hideMark/>
          </w:tcPr>
          <w:p w14:paraId="6D71EB46" w14:textId="77777777" w:rsidR="00494856" w:rsidRPr="00494856" w:rsidRDefault="00494856" w:rsidP="00494856">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494856">
              <w:rPr>
                <w:rFonts w:cs="Times New Roman"/>
                <w:color w:val="000000"/>
                <w:sz w:val="20"/>
                <w:szCs w:val="20"/>
              </w:rPr>
              <w:t>772.63</w:t>
            </w:r>
          </w:p>
        </w:tc>
      </w:tr>
    </w:tbl>
    <w:p w14:paraId="49189378" w14:textId="77777777" w:rsidR="00ED2ADC" w:rsidRPr="00ED2ADC" w:rsidRDefault="00ED2ADC" w:rsidP="00ED2ADC">
      <w:pPr>
        <w:rPr>
          <w:rFonts w:asciiTheme="minorHAnsi" w:hAnsiTheme="minorHAnsi"/>
          <w:sz w:val="22"/>
        </w:rPr>
      </w:pPr>
    </w:p>
    <w:p w14:paraId="4EDE3BC2" w14:textId="77777777" w:rsidR="00ED2ADC" w:rsidRPr="00ED2ADC" w:rsidRDefault="00ED2ADC" w:rsidP="00596E66">
      <w:pPr>
        <w:pStyle w:val="Heading5"/>
        <w:rPr>
          <w:noProof/>
        </w:rPr>
      </w:pPr>
      <w:r w:rsidRPr="00ED2ADC">
        <w:t>Proportion getting more than one paracetamol item by unit pack size</w:t>
      </w:r>
      <w:r w:rsidRPr="00ED2ADC">
        <w:rPr>
          <w:noProof/>
        </w:rPr>
        <w:t>, IQVIA 2017-21</w:t>
      </w:r>
    </w:p>
    <w:tbl>
      <w:tblPr>
        <w:tblStyle w:val="ListTable2"/>
        <w:tblW w:w="5000" w:type="pct"/>
        <w:tblLayout w:type="fixed"/>
        <w:tblLook w:val="04A0" w:firstRow="1" w:lastRow="0" w:firstColumn="1" w:lastColumn="0" w:noHBand="0" w:noVBand="1"/>
      </w:tblPr>
      <w:tblGrid>
        <w:gridCol w:w="796"/>
        <w:gridCol w:w="793"/>
        <w:gridCol w:w="794"/>
        <w:gridCol w:w="793"/>
        <w:gridCol w:w="794"/>
        <w:gridCol w:w="793"/>
        <w:gridCol w:w="794"/>
        <w:gridCol w:w="793"/>
        <w:gridCol w:w="794"/>
        <w:gridCol w:w="794"/>
        <w:gridCol w:w="1088"/>
      </w:tblGrid>
      <w:tr w:rsidR="00ED2ADC" w:rsidRPr="00582458" w14:paraId="1A32172D" w14:textId="77777777" w:rsidTr="00672E4C">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3EA76129" w14:textId="52D348F3" w:rsidR="00ED2ADC" w:rsidRPr="00582458" w:rsidRDefault="004F6FB3" w:rsidP="00582458">
            <w:pPr>
              <w:jc w:val="right"/>
              <w:rPr>
                <w:rFonts w:eastAsia="Times New Roman" w:cs="Times New Roman"/>
                <w:sz w:val="20"/>
                <w:szCs w:val="20"/>
                <w:lang w:eastAsia="en-AU"/>
              </w:rPr>
            </w:pPr>
            <w:r>
              <w:rPr>
                <w:rFonts w:eastAsia="Times New Roman" w:cs="Times New Roman"/>
                <w:sz w:val="20"/>
                <w:szCs w:val="20"/>
                <w:lang w:eastAsia="en-AU"/>
              </w:rPr>
              <w:t>Ye</w:t>
            </w:r>
            <w:r w:rsidR="00ED2ADC" w:rsidRPr="00582458">
              <w:rPr>
                <w:rFonts w:eastAsia="Times New Roman" w:cs="Times New Roman"/>
                <w:sz w:val="20"/>
                <w:szCs w:val="20"/>
                <w:lang w:eastAsia="en-AU"/>
              </w:rPr>
              <w:t>ar</w:t>
            </w:r>
          </w:p>
        </w:tc>
        <w:tc>
          <w:tcPr>
            <w:tcW w:w="793" w:type="dxa"/>
            <w:noWrap/>
            <w:hideMark/>
          </w:tcPr>
          <w:p w14:paraId="36473A03"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1</w:t>
            </w:r>
          </w:p>
        </w:tc>
        <w:tc>
          <w:tcPr>
            <w:tcW w:w="794" w:type="dxa"/>
            <w:noWrap/>
            <w:hideMark/>
          </w:tcPr>
          <w:p w14:paraId="65894FF1"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10</w:t>
            </w:r>
          </w:p>
        </w:tc>
        <w:tc>
          <w:tcPr>
            <w:tcW w:w="793" w:type="dxa"/>
            <w:noWrap/>
            <w:hideMark/>
          </w:tcPr>
          <w:p w14:paraId="5FCCBBFF"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12</w:t>
            </w:r>
          </w:p>
        </w:tc>
        <w:tc>
          <w:tcPr>
            <w:tcW w:w="794" w:type="dxa"/>
            <w:noWrap/>
            <w:hideMark/>
          </w:tcPr>
          <w:p w14:paraId="4C55119C"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20</w:t>
            </w:r>
          </w:p>
        </w:tc>
        <w:tc>
          <w:tcPr>
            <w:tcW w:w="793" w:type="dxa"/>
            <w:noWrap/>
            <w:hideMark/>
          </w:tcPr>
          <w:p w14:paraId="76915DB1"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24</w:t>
            </w:r>
          </w:p>
        </w:tc>
        <w:tc>
          <w:tcPr>
            <w:tcW w:w="794" w:type="dxa"/>
            <w:noWrap/>
            <w:hideMark/>
          </w:tcPr>
          <w:p w14:paraId="41C44F34"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40</w:t>
            </w:r>
          </w:p>
        </w:tc>
        <w:tc>
          <w:tcPr>
            <w:tcW w:w="793" w:type="dxa"/>
            <w:noWrap/>
            <w:hideMark/>
          </w:tcPr>
          <w:p w14:paraId="231F5A21"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48</w:t>
            </w:r>
          </w:p>
        </w:tc>
        <w:tc>
          <w:tcPr>
            <w:tcW w:w="794" w:type="dxa"/>
            <w:noWrap/>
            <w:hideMark/>
          </w:tcPr>
          <w:p w14:paraId="04D16E79"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96</w:t>
            </w:r>
          </w:p>
        </w:tc>
        <w:tc>
          <w:tcPr>
            <w:tcW w:w="794" w:type="dxa"/>
            <w:noWrap/>
            <w:hideMark/>
          </w:tcPr>
          <w:p w14:paraId="7187BA32"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100</w:t>
            </w:r>
          </w:p>
        </w:tc>
        <w:tc>
          <w:tcPr>
            <w:tcW w:w="1088" w:type="dxa"/>
            <w:noWrap/>
            <w:hideMark/>
          </w:tcPr>
          <w:p w14:paraId="7EFF10BD" w14:textId="77777777" w:rsidR="00ED2ADC" w:rsidRPr="00582458"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Average</w:t>
            </w:r>
          </w:p>
        </w:tc>
      </w:tr>
      <w:tr w:rsidR="00ED2ADC" w:rsidRPr="00582458" w14:paraId="5A6C6FD2" w14:textId="77777777" w:rsidTr="00672E4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0EAFDE36" w14:textId="77777777" w:rsidR="00ED2ADC" w:rsidRPr="00582458" w:rsidRDefault="00ED2ADC" w:rsidP="00582458">
            <w:pPr>
              <w:jc w:val="right"/>
              <w:rPr>
                <w:rFonts w:eastAsia="Times New Roman" w:cs="Times New Roman"/>
                <w:sz w:val="20"/>
                <w:szCs w:val="20"/>
                <w:lang w:eastAsia="en-AU"/>
              </w:rPr>
            </w:pPr>
            <w:r w:rsidRPr="00582458">
              <w:rPr>
                <w:rFonts w:eastAsia="Times New Roman" w:cs="Times New Roman"/>
                <w:sz w:val="20"/>
                <w:szCs w:val="20"/>
                <w:lang w:eastAsia="en-AU"/>
              </w:rPr>
              <w:t>2017</w:t>
            </w:r>
          </w:p>
        </w:tc>
        <w:tc>
          <w:tcPr>
            <w:tcW w:w="793" w:type="dxa"/>
            <w:noWrap/>
            <w:hideMark/>
          </w:tcPr>
          <w:p w14:paraId="0BEC6E53"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c>
          <w:tcPr>
            <w:tcW w:w="794" w:type="dxa"/>
            <w:noWrap/>
            <w:hideMark/>
          </w:tcPr>
          <w:p w14:paraId="08511C2E"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0.16</w:t>
            </w:r>
          </w:p>
        </w:tc>
        <w:tc>
          <w:tcPr>
            <w:tcW w:w="793" w:type="dxa"/>
            <w:noWrap/>
            <w:hideMark/>
          </w:tcPr>
          <w:p w14:paraId="2AB2C2C4"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0.14</w:t>
            </w:r>
          </w:p>
        </w:tc>
        <w:tc>
          <w:tcPr>
            <w:tcW w:w="794" w:type="dxa"/>
            <w:noWrap/>
            <w:hideMark/>
          </w:tcPr>
          <w:p w14:paraId="26E69992"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3" w:type="dxa"/>
            <w:noWrap/>
            <w:hideMark/>
          </w:tcPr>
          <w:p w14:paraId="779E2AA3"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0.17</w:t>
            </w:r>
          </w:p>
        </w:tc>
        <w:tc>
          <w:tcPr>
            <w:tcW w:w="794" w:type="dxa"/>
            <w:noWrap/>
            <w:hideMark/>
          </w:tcPr>
          <w:p w14:paraId="09D69CB0"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w:t>
            </w:r>
          </w:p>
        </w:tc>
        <w:tc>
          <w:tcPr>
            <w:tcW w:w="793" w:type="dxa"/>
            <w:noWrap/>
            <w:hideMark/>
          </w:tcPr>
          <w:p w14:paraId="0945CDF4"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4" w:type="dxa"/>
            <w:noWrap/>
            <w:hideMark/>
          </w:tcPr>
          <w:p w14:paraId="55FABE17"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w:t>
            </w:r>
          </w:p>
        </w:tc>
        <w:tc>
          <w:tcPr>
            <w:tcW w:w="794" w:type="dxa"/>
            <w:noWrap/>
            <w:hideMark/>
          </w:tcPr>
          <w:p w14:paraId="0F5B57E4"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0.07</w:t>
            </w:r>
          </w:p>
        </w:tc>
        <w:tc>
          <w:tcPr>
            <w:tcW w:w="1088" w:type="dxa"/>
            <w:noWrap/>
            <w:hideMark/>
          </w:tcPr>
          <w:p w14:paraId="3E479002" w14:textId="77777777" w:rsidR="00ED2ADC" w:rsidRPr="00582458" w:rsidRDefault="00ED2ADC"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0.12</w:t>
            </w:r>
          </w:p>
        </w:tc>
      </w:tr>
      <w:tr w:rsidR="00582458" w:rsidRPr="00582458" w14:paraId="3E861869" w14:textId="77777777" w:rsidTr="00672E4C">
        <w:trPr>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0D0AB5FE" w14:textId="77777777" w:rsidR="00582458" w:rsidRPr="00582458" w:rsidRDefault="00582458" w:rsidP="00582458">
            <w:pPr>
              <w:jc w:val="right"/>
              <w:rPr>
                <w:rFonts w:eastAsia="Times New Roman" w:cs="Times New Roman"/>
                <w:sz w:val="20"/>
                <w:szCs w:val="20"/>
                <w:lang w:eastAsia="en-AU"/>
              </w:rPr>
            </w:pPr>
            <w:r w:rsidRPr="00582458">
              <w:rPr>
                <w:rFonts w:eastAsia="Times New Roman" w:cs="Times New Roman"/>
                <w:sz w:val="20"/>
                <w:szCs w:val="20"/>
                <w:lang w:eastAsia="en-AU"/>
              </w:rPr>
              <w:t>2018</w:t>
            </w:r>
          </w:p>
        </w:tc>
        <w:tc>
          <w:tcPr>
            <w:tcW w:w="793" w:type="dxa"/>
            <w:noWrap/>
            <w:hideMark/>
          </w:tcPr>
          <w:p w14:paraId="6EF4778F" w14:textId="245808D0"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sz w:val="20"/>
                <w:szCs w:val="20"/>
              </w:rPr>
              <w:t>0.15</w:t>
            </w:r>
          </w:p>
        </w:tc>
        <w:tc>
          <w:tcPr>
            <w:tcW w:w="794" w:type="dxa"/>
            <w:noWrap/>
            <w:hideMark/>
          </w:tcPr>
          <w:p w14:paraId="339BA22F"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0.16</w:t>
            </w:r>
          </w:p>
        </w:tc>
        <w:tc>
          <w:tcPr>
            <w:tcW w:w="793" w:type="dxa"/>
            <w:noWrap/>
            <w:hideMark/>
          </w:tcPr>
          <w:p w14:paraId="74A9BB04"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4" w:type="dxa"/>
            <w:noWrap/>
            <w:hideMark/>
          </w:tcPr>
          <w:p w14:paraId="2E786F68"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c>
          <w:tcPr>
            <w:tcW w:w="793" w:type="dxa"/>
            <w:noWrap/>
            <w:hideMark/>
          </w:tcPr>
          <w:p w14:paraId="5D56B26F"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0.17</w:t>
            </w:r>
          </w:p>
        </w:tc>
        <w:tc>
          <w:tcPr>
            <w:tcW w:w="794" w:type="dxa"/>
            <w:noWrap/>
            <w:hideMark/>
          </w:tcPr>
          <w:p w14:paraId="62083B5E"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0.14</w:t>
            </w:r>
          </w:p>
        </w:tc>
        <w:tc>
          <w:tcPr>
            <w:tcW w:w="793" w:type="dxa"/>
            <w:noWrap/>
            <w:hideMark/>
          </w:tcPr>
          <w:p w14:paraId="70DA6654"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0.14</w:t>
            </w:r>
          </w:p>
        </w:tc>
        <w:tc>
          <w:tcPr>
            <w:tcW w:w="794" w:type="dxa"/>
            <w:noWrap/>
            <w:hideMark/>
          </w:tcPr>
          <w:p w14:paraId="059494E9"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w:t>
            </w:r>
          </w:p>
        </w:tc>
        <w:tc>
          <w:tcPr>
            <w:tcW w:w="794" w:type="dxa"/>
            <w:noWrap/>
            <w:hideMark/>
          </w:tcPr>
          <w:p w14:paraId="302173CE"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0.07</w:t>
            </w:r>
          </w:p>
        </w:tc>
        <w:tc>
          <w:tcPr>
            <w:tcW w:w="1088" w:type="dxa"/>
            <w:noWrap/>
            <w:hideMark/>
          </w:tcPr>
          <w:p w14:paraId="0E64726A"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0.14</w:t>
            </w:r>
          </w:p>
        </w:tc>
      </w:tr>
      <w:tr w:rsidR="00582458" w:rsidRPr="00582458" w14:paraId="72D49E16" w14:textId="77777777" w:rsidTr="00672E4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39634E0F" w14:textId="77777777" w:rsidR="00582458" w:rsidRPr="00582458" w:rsidRDefault="00582458" w:rsidP="00582458">
            <w:pPr>
              <w:jc w:val="right"/>
              <w:rPr>
                <w:rFonts w:eastAsia="Times New Roman" w:cs="Times New Roman"/>
                <w:sz w:val="20"/>
                <w:szCs w:val="20"/>
                <w:lang w:eastAsia="en-AU"/>
              </w:rPr>
            </w:pPr>
            <w:r w:rsidRPr="00582458">
              <w:rPr>
                <w:rFonts w:eastAsia="Times New Roman" w:cs="Times New Roman"/>
                <w:sz w:val="20"/>
                <w:szCs w:val="20"/>
                <w:lang w:eastAsia="en-AU"/>
              </w:rPr>
              <w:t>2019</w:t>
            </w:r>
          </w:p>
        </w:tc>
        <w:tc>
          <w:tcPr>
            <w:tcW w:w="793" w:type="dxa"/>
            <w:noWrap/>
            <w:hideMark/>
          </w:tcPr>
          <w:p w14:paraId="31B66E17" w14:textId="7D9CEB1A"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sz w:val="20"/>
                <w:szCs w:val="20"/>
              </w:rPr>
              <w:t>0.14</w:t>
            </w:r>
          </w:p>
        </w:tc>
        <w:tc>
          <w:tcPr>
            <w:tcW w:w="794" w:type="dxa"/>
            <w:noWrap/>
            <w:hideMark/>
          </w:tcPr>
          <w:p w14:paraId="3EAA3DA0"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0.16</w:t>
            </w:r>
          </w:p>
        </w:tc>
        <w:tc>
          <w:tcPr>
            <w:tcW w:w="793" w:type="dxa"/>
            <w:noWrap/>
            <w:hideMark/>
          </w:tcPr>
          <w:p w14:paraId="240AF1BA"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0.12</w:t>
            </w:r>
          </w:p>
        </w:tc>
        <w:tc>
          <w:tcPr>
            <w:tcW w:w="794" w:type="dxa"/>
            <w:noWrap/>
            <w:hideMark/>
          </w:tcPr>
          <w:p w14:paraId="52E834CD"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0.16</w:t>
            </w:r>
          </w:p>
        </w:tc>
        <w:tc>
          <w:tcPr>
            <w:tcW w:w="793" w:type="dxa"/>
            <w:noWrap/>
            <w:hideMark/>
          </w:tcPr>
          <w:p w14:paraId="313E7A36"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0.16</w:t>
            </w:r>
          </w:p>
        </w:tc>
        <w:tc>
          <w:tcPr>
            <w:tcW w:w="794" w:type="dxa"/>
            <w:noWrap/>
            <w:hideMark/>
          </w:tcPr>
          <w:p w14:paraId="44E32602"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c>
          <w:tcPr>
            <w:tcW w:w="793" w:type="dxa"/>
            <w:noWrap/>
            <w:hideMark/>
          </w:tcPr>
          <w:p w14:paraId="59360400"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0.14</w:t>
            </w:r>
          </w:p>
        </w:tc>
        <w:tc>
          <w:tcPr>
            <w:tcW w:w="794" w:type="dxa"/>
            <w:noWrap/>
            <w:hideMark/>
          </w:tcPr>
          <w:p w14:paraId="084455B6"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0.09</w:t>
            </w:r>
          </w:p>
        </w:tc>
        <w:tc>
          <w:tcPr>
            <w:tcW w:w="794" w:type="dxa"/>
            <w:noWrap/>
            <w:hideMark/>
          </w:tcPr>
          <w:p w14:paraId="4098D533"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0.06</w:t>
            </w:r>
          </w:p>
        </w:tc>
        <w:tc>
          <w:tcPr>
            <w:tcW w:w="1088" w:type="dxa"/>
            <w:noWrap/>
            <w:hideMark/>
          </w:tcPr>
          <w:p w14:paraId="4237D434"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0.11</w:t>
            </w:r>
          </w:p>
        </w:tc>
      </w:tr>
      <w:tr w:rsidR="00582458" w:rsidRPr="00582458" w14:paraId="21BB76C7" w14:textId="77777777" w:rsidTr="00672E4C">
        <w:trPr>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61C1B1F8" w14:textId="77777777" w:rsidR="00582458" w:rsidRPr="00582458" w:rsidRDefault="00582458" w:rsidP="00582458">
            <w:pPr>
              <w:jc w:val="right"/>
              <w:rPr>
                <w:rFonts w:eastAsia="Times New Roman" w:cs="Times New Roman"/>
                <w:sz w:val="20"/>
                <w:szCs w:val="20"/>
                <w:lang w:eastAsia="en-AU"/>
              </w:rPr>
            </w:pPr>
            <w:r w:rsidRPr="00582458">
              <w:rPr>
                <w:rFonts w:eastAsia="Times New Roman" w:cs="Times New Roman"/>
                <w:sz w:val="20"/>
                <w:szCs w:val="20"/>
                <w:lang w:eastAsia="en-AU"/>
              </w:rPr>
              <w:t>2020</w:t>
            </w:r>
          </w:p>
        </w:tc>
        <w:tc>
          <w:tcPr>
            <w:tcW w:w="793" w:type="dxa"/>
            <w:noWrap/>
            <w:hideMark/>
          </w:tcPr>
          <w:p w14:paraId="5ED55A39" w14:textId="3F4299EA"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sz w:val="20"/>
                <w:szCs w:val="20"/>
              </w:rPr>
              <w:t>0.18</w:t>
            </w:r>
          </w:p>
        </w:tc>
        <w:tc>
          <w:tcPr>
            <w:tcW w:w="794" w:type="dxa"/>
            <w:noWrap/>
            <w:hideMark/>
          </w:tcPr>
          <w:p w14:paraId="39F32276"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0.19</w:t>
            </w:r>
          </w:p>
        </w:tc>
        <w:tc>
          <w:tcPr>
            <w:tcW w:w="793" w:type="dxa"/>
            <w:noWrap/>
            <w:hideMark/>
          </w:tcPr>
          <w:p w14:paraId="3F7DD5F8"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4" w:type="dxa"/>
            <w:noWrap/>
            <w:hideMark/>
          </w:tcPr>
          <w:p w14:paraId="59866169"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0.18</w:t>
            </w:r>
          </w:p>
        </w:tc>
        <w:tc>
          <w:tcPr>
            <w:tcW w:w="793" w:type="dxa"/>
            <w:noWrap/>
            <w:hideMark/>
          </w:tcPr>
          <w:p w14:paraId="1353DC94"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0.21</w:t>
            </w:r>
          </w:p>
        </w:tc>
        <w:tc>
          <w:tcPr>
            <w:tcW w:w="794" w:type="dxa"/>
            <w:noWrap/>
            <w:hideMark/>
          </w:tcPr>
          <w:p w14:paraId="1341CEAB"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c>
          <w:tcPr>
            <w:tcW w:w="793" w:type="dxa"/>
            <w:noWrap/>
            <w:hideMark/>
          </w:tcPr>
          <w:p w14:paraId="5EA232BD"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0.2</w:t>
            </w:r>
          </w:p>
        </w:tc>
        <w:tc>
          <w:tcPr>
            <w:tcW w:w="794" w:type="dxa"/>
            <w:noWrap/>
            <w:hideMark/>
          </w:tcPr>
          <w:p w14:paraId="0F81547B"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w:t>
            </w:r>
          </w:p>
        </w:tc>
        <w:tc>
          <w:tcPr>
            <w:tcW w:w="794" w:type="dxa"/>
            <w:noWrap/>
            <w:hideMark/>
          </w:tcPr>
          <w:p w14:paraId="6F92A1A9"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0.07</w:t>
            </w:r>
          </w:p>
        </w:tc>
        <w:tc>
          <w:tcPr>
            <w:tcW w:w="1088" w:type="dxa"/>
            <w:noWrap/>
            <w:hideMark/>
          </w:tcPr>
          <w:p w14:paraId="6750CC53" w14:textId="77777777" w:rsidR="00582458" w:rsidRPr="00582458" w:rsidRDefault="00582458" w:rsidP="00582458">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r>
      <w:tr w:rsidR="00582458" w:rsidRPr="00582458" w14:paraId="3A10FE3B" w14:textId="77777777" w:rsidTr="00672E4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796" w:type="dxa"/>
            <w:noWrap/>
            <w:hideMark/>
          </w:tcPr>
          <w:p w14:paraId="2FC875FA" w14:textId="77777777" w:rsidR="00582458" w:rsidRPr="00582458" w:rsidRDefault="00582458" w:rsidP="00582458">
            <w:pPr>
              <w:jc w:val="right"/>
              <w:rPr>
                <w:rFonts w:eastAsia="Times New Roman" w:cs="Times New Roman"/>
                <w:sz w:val="20"/>
                <w:szCs w:val="20"/>
                <w:lang w:eastAsia="en-AU"/>
              </w:rPr>
            </w:pPr>
            <w:r w:rsidRPr="00582458">
              <w:rPr>
                <w:rFonts w:eastAsia="Times New Roman" w:cs="Times New Roman"/>
                <w:sz w:val="20"/>
                <w:szCs w:val="20"/>
                <w:lang w:eastAsia="en-AU"/>
              </w:rPr>
              <w:t>2021</w:t>
            </w:r>
          </w:p>
        </w:tc>
        <w:tc>
          <w:tcPr>
            <w:tcW w:w="793" w:type="dxa"/>
            <w:noWrap/>
            <w:hideMark/>
          </w:tcPr>
          <w:p w14:paraId="3862CED0" w14:textId="1457279A"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sz w:val="20"/>
                <w:szCs w:val="20"/>
              </w:rPr>
              <w:t>0.15</w:t>
            </w:r>
          </w:p>
        </w:tc>
        <w:tc>
          <w:tcPr>
            <w:tcW w:w="794" w:type="dxa"/>
            <w:noWrap/>
            <w:hideMark/>
          </w:tcPr>
          <w:p w14:paraId="41A4D6FB"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0.22</w:t>
            </w:r>
          </w:p>
        </w:tc>
        <w:tc>
          <w:tcPr>
            <w:tcW w:w="793" w:type="dxa"/>
            <w:noWrap/>
            <w:hideMark/>
          </w:tcPr>
          <w:p w14:paraId="6BD837B8"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4" w:type="dxa"/>
            <w:noWrap/>
            <w:hideMark/>
          </w:tcPr>
          <w:p w14:paraId="60DE7432"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0.17</w:t>
            </w:r>
          </w:p>
        </w:tc>
        <w:tc>
          <w:tcPr>
            <w:tcW w:w="793" w:type="dxa"/>
            <w:noWrap/>
            <w:hideMark/>
          </w:tcPr>
          <w:p w14:paraId="511C80CC"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0.18</w:t>
            </w:r>
          </w:p>
        </w:tc>
        <w:tc>
          <w:tcPr>
            <w:tcW w:w="794" w:type="dxa"/>
            <w:noWrap/>
            <w:hideMark/>
          </w:tcPr>
          <w:p w14:paraId="4D85FBC2"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c>
          <w:tcPr>
            <w:tcW w:w="793" w:type="dxa"/>
            <w:noWrap/>
            <w:hideMark/>
          </w:tcPr>
          <w:p w14:paraId="28181FAA"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0.15</w:t>
            </w:r>
          </w:p>
        </w:tc>
        <w:tc>
          <w:tcPr>
            <w:tcW w:w="794" w:type="dxa"/>
            <w:noWrap/>
            <w:hideMark/>
          </w:tcPr>
          <w:p w14:paraId="40837C99"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0.08</w:t>
            </w:r>
          </w:p>
        </w:tc>
        <w:tc>
          <w:tcPr>
            <w:tcW w:w="794" w:type="dxa"/>
            <w:noWrap/>
            <w:hideMark/>
          </w:tcPr>
          <w:p w14:paraId="0F4FCA22"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0.06</w:t>
            </w:r>
          </w:p>
        </w:tc>
        <w:tc>
          <w:tcPr>
            <w:tcW w:w="1088" w:type="dxa"/>
            <w:noWrap/>
            <w:hideMark/>
          </w:tcPr>
          <w:p w14:paraId="030A37F2" w14:textId="77777777" w:rsidR="00582458" w:rsidRPr="00582458" w:rsidRDefault="00582458" w:rsidP="00582458">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582458">
              <w:rPr>
                <w:rFonts w:eastAsia="Times New Roman" w:cs="Times New Roman"/>
                <w:sz w:val="20"/>
                <w:szCs w:val="20"/>
                <w:lang w:eastAsia="en-AU"/>
              </w:rPr>
              <w:t>0.13</w:t>
            </w:r>
          </w:p>
        </w:tc>
      </w:tr>
    </w:tbl>
    <w:p w14:paraId="38F5E392" w14:textId="77777777" w:rsidR="00ED2ADC" w:rsidRPr="00ED2ADC" w:rsidRDefault="00ED2ADC" w:rsidP="00ED2ADC">
      <w:pPr>
        <w:rPr>
          <w:rFonts w:asciiTheme="minorHAnsi" w:hAnsiTheme="minorHAnsi" w:cs="Times New Roman"/>
          <w:noProof/>
          <w:sz w:val="22"/>
        </w:rPr>
      </w:pPr>
    </w:p>
    <w:p w14:paraId="4C28231E" w14:textId="33D7EE15" w:rsidR="00ED2ADC" w:rsidRPr="00ED2ADC" w:rsidRDefault="00ED2ADC" w:rsidP="00596E66">
      <w:pPr>
        <w:pStyle w:val="Heading5"/>
        <w:rPr>
          <w:noProof/>
        </w:rPr>
      </w:pPr>
      <w:r w:rsidRPr="00ED2ADC">
        <w:rPr>
          <w:noProof/>
        </w:rPr>
        <w:t>Unit sales (millions) of non-prescription analgesics in grocery stores, IRI2017-2021</w:t>
      </w:r>
    </w:p>
    <w:tbl>
      <w:tblPr>
        <w:tblStyle w:val="ListTable2"/>
        <w:tblW w:w="7534" w:type="dxa"/>
        <w:tblLayout w:type="fixed"/>
        <w:tblLook w:val="04A0" w:firstRow="1" w:lastRow="0" w:firstColumn="1" w:lastColumn="0" w:noHBand="0" w:noVBand="1"/>
      </w:tblPr>
      <w:tblGrid>
        <w:gridCol w:w="1506"/>
        <w:gridCol w:w="1507"/>
        <w:gridCol w:w="1507"/>
        <w:gridCol w:w="1507"/>
        <w:gridCol w:w="1507"/>
      </w:tblGrid>
      <w:tr w:rsidR="00ED2ADC" w:rsidRPr="00F81459" w14:paraId="4333D8CA" w14:textId="77777777" w:rsidTr="00F81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noWrap/>
            <w:hideMark/>
          </w:tcPr>
          <w:p w14:paraId="3AD80FE3" w14:textId="64707A7D" w:rsidR="00ED2ADC" w:rsidRPr="00F81459" w:rsidRDefault="00162A4D" w:rsidP="00582458">
            <w:pPr>
              <w:jc w:val="right"/>
              <w:rPr>
                <w:rFonts w:eastAsia="Times New Roman" w:cs="Times New Roman"/>
                <w:sz w:val="20"/>
                <w:szCs w:val="20"/>
                <w:lang w:eastAsia="en-AU"/>
              </w:rPr>
            </w:pPr>
            <w:r>
              <w:rPr>
                <w:rFonts w:eastAsia="Times New Roman" w:cs="Times New Roman"/>
                <w:sz w:val="20"/>
                <w:szCs w:val="20"/>
                <w:lang w:eastAsia="en-AU"/>
              </w:rPr>
              <w:t>Y</w:t>
            </w:r>
            <w:r w:rsidR="00ED2ADC" w:rsidRPr="00F81459">
              <w:rPr>
                <w:rFonts w:eastAsia="Times New Roman" w:cs="Times New Roman"/>
                <w:sz w:val="20"/>
                <w:szCs w:val="20"/>
                <w:lang w:eastAsia="en-AU"/>
              </w:rPr>
              <w:t>ear</w:t>
            </w:r>
          </w:p>
        </w:tc>
        <w:tc>
          <w:tcPr>
            <w:tcW w:w="1507" w:type="dxa"/>
            <w:noWrap/>
            <w:hideMark/>
          </w:tcPr>
          <w:p w14:paraId="0DE65714" w14:textId="77777777" w:rsidR="00ED2ADC" w:rsidRPr="00F81459"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rFonts w:eastAsia="Times New Roman" w:cs="Times New Roman"/>
                <w:sz w:val="20"/>
                <w:szCs w:val="20"/>
                <w:lang w:eastAsia="en-AU"/>
              </w:rPr>
              <w:t>Paracetamol</w:t>
            </w:r>
          </w:p>
        </w:tc>
        <w:tc>
          <w:tcPr>
            <w:tcW w:w="1507" w:type="dxa"/>
            <w:noWrap/>
            <w:hideMark/>
          </w:tcPr>
          <w:p w14:paraId="58A7450C" w14:textId="77777777" w:rsidR="00ED2ADC" w:rsidRPr="00F81459"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rFonts w:eastAsia="Times New Roman" w:cs="Times New Roman"/>
                <w:sz w:val="20"/>
                <w:szCs w:val="20"/>
                <w:lang w:eastAsia="en-AU"/>
              </w:rPr>
              <w:t>Other paracetamol combinations</w:t>
            </w:r>
          </w:p>
        </w:tc>
        <w:tc>
          <w:tcPr>
            <w:tcW w:w="1507" w:type="dxa"/>
            <w:noWrap/>
            <w:hideMark/>
          </w:tcPr>
          <w:p w14:paraId="2410D2B3" w14:textId="77777777" w:rsidR="00ED2ADC" w:rsidRPr="00F81459"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rFonts w:eastAsia="Times New Roman" w:cs="Times New Roman"/>
                <w:sz w:val="20"/>
                <w:szCs w:val="20"/>
                <w:lang w:eastAsia="en-AU"/>
              </w:rPr>
              <w:t>Ibuprofen</w:t>
            </w:r>
          </w:p>
        </w:tc>
        <w:tc>
          <w:tcPr>
            <w:tcW w:w="1507" w:type="dxa"/>
            <w:noWrap/>
            <w:hideMark/>
          </w:tcPr>
          <w:p w14:paraId="346FE1BD" w14:textId="77777777" w:rsidR="00ED2ADC" w:rsidRPr="00F81459" w:rsidRDefault="00ED2ADC" w:rsidP="00582458">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rFonts w:eastAsia="Times New Roman" w:cs="Times New Roman"/>
                <w:sz w:val="20"/>
                <w:szCs w:val="20"/>
                <w:lang w:eastAsia="en-AU"/>
              </w:rPr>
              <w:t>Aspirin</w:t>
            </w:r>
          </w:p>
        </w:tc>
      </w:tr>
      <w:tr w:rsidR="00F81459" w:rsidRPr="00F81459" w14:paraId="0209734E" w14:textId="77777777" w:rsidTr="00F81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noWrap/>
            <w:hideMark/>
          </w:tcPr>
          <w:p w14:paraId="3710A203" w14:textId="77777777" w:rsidR="00F81459" w:rsidRPr="00F81459" w:rsidRDefault="00F81459" w:rsidP="00F81459">
            <w:pPr>
              <w:jc w:val="right"/>
              <w:rPr>
                <w:rFonts w:eastAsia="Times New Roman" w:cs="Times New Roman"/>
                <w:sz w:val="20"/>
                <w:szCs w:val="20"/>
                <w:lang w:eastAsia="en-AU"/>
              </w:rPr>
            </w:pPr>
            <w:r w:rsidRPr="00F81459">
              <w:rPr>
                <w:rFonts w:eastAsia="Times New Roman" w:cs="Times New Roman"/>
                <w:sz w:val="20"/>
                <w:szCs w:val="20"/>
                <w:lang w:eastAsia="en-AU"/>
              </w:rPr>
              <w:t>2017</w:t>
            </w:r>
          </w:p>
        </w:tc>
        <w:tc>
          <w:tcPr>
            <w:tcW w:w="1507" w:type="dxa"/>
            <w:noWrap/>
            <w:hideMark/>
          </w:tcPr>
          <w:p w14:paraId="142424C2" w14:textId="1CADA4D7"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22.</w:t>
            </w:r>
            <w:r w:rsidRPr="00F81459">
              <w:rPr>
                <w:sz w:val="20"/>
                <w:szCs w:val="20"/>
              </w:rPr>
              <w:t>67</w:t>
            </w:r>
          </w:p>
        </w:tc>
        <w:tc>
          <w:tcPr>
            <w:tcW w:w="1507" w:type="dxa"/>
            <w:noWrap/>
            <w:hideMark/>
          </w:tcPr>
          <w:p w14:paraId="49A2EDE2" w14:textId="3C8E9173"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0.30</w:t>
            </w:r>
          </w:p>
        </w:tc>
        <w:tc>
          <w:tcPr>
            <w:tcW w:w="1507" w:type="dxa"/>
            <w:noWrap/>
            <w:hideMark/>
          </w:tcPr>
          <w:p w14:paraId="0A8CD4EA" w14:textId="683E384B"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16.</w:t>
            </w:r>
            <w:r w:rsidRPr="00F81459">
              <w:rPr>
                <w:sz w:val="20"/>
                <w:szCs w:val="20"/>
              </w:rPr>
              <w:t>86</w:t>
            </w:r>
          </w:p>
        </w:tc>
        <w:tc>
          <w:tcPr>
            <w:tcW w:w="1507" w:type="dxa"/>
            <w:noWrap/>
            <w:hideMark/>
          </w:tcPr>
          <w:p w14:paraId="57D0D85E" w14:textId="186659E8"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2.53</w:t>
            </w:r>
          </w:p>
        </w:tc>
      </w:tr>
      <w:tr w:rsidR="00F81459" w:rsidRPr="00F81459" w14:paraId="0FFB194F" w14:textId="77777777" w:rsidTr="00F81459">
        <w:tc>
          <w:tcPr>
            <w:cnfStyle w:val="001000000000" w:firstRow="0" w:lastRow="0" w:firstColumn="1" w:lastColumn="0" w:oddVBand="0" w:evenVBand="0" w:oddHBand="0" w:evenHBand="0" w:firstRowFirstColumn="0" w:firstRowLastColumn="0" w:lastRowFirstColumn="0" w:lastRowLastColumn="0"/>
            <w:tcW w:w="1506" w:type="dxa"/>
            <w:noWrap/>
            <w:hideMark/>
          </w:tcPr>
          <w:p w14:paraId="3F99330E" w14:textId="77777777" w:rsidR="00F81459" w:rsidRPr="00F81459" w:rsidRDefault="00F81459" w:rsidP="00F81459">
            <w:pPr>
              <w:jc w:val="right"/>
              <w:rPr>
                <w:rFonts w:eastAsia="Times New Roman" w:cs="Times New Roman"/>
                <w:sz w:val="20"/>
                <w:szCs w:val="20"/>
                <w:lang w:eastAsia="en-AU"/>
              </w:rPr>
            </w:pPr>
            <w:r w:rsidRPr="00F81459">
              <w:rPr>
                <w:rFonts w:eastAsia="Times New Roman" w:cs="Times New Roman"/>
                <w:sz w:val="20"/>
                <w:szCs w:val="20"/>
                <w:lang w:eastAsia="en-AU"/>
              </w:rPr>
              <w:t>2018</w:t>
            </w:r>
          </w:p>
        </w:tc>
        <w:tc>
          <w:tcPr>
            <w:tcW w:w="1507" w:type="dxa"/>
            <w:noWrap/>
            <w:hideMark/>
          </w:tcPr>
          <w:p w14:paraId="73487102" w14:textId="269BBAB8"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22.</w:t>
            </w:r>
            <w:r w:rsidRPr="00F81459">
              <w:rPr>
                <w:sz w:val="20"/>
                <w:szCs w:val="20"/>
              </w:rPr>
              <w:t>21</w:t>
            </w:r>
          </w:p>
        </w:tc>
        <w:tc>
          <w:tcPr>
            <w:tcW w:w="1507" w:type="dxa"/>
            <w:noWrap/>
            <w:hideMark/>
          </w:tcPr>
          <w:p w14:paraId="3D24512A" w14:textId="0472F3E9"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sz w:val="20"/>
                <w:szCs w:val="20"/>
              </w:rPr>
              <w:t>1.10</w:t>
            </w:r>
          </w:p>
        </w:tc>
        <w:tc>
          <w:tcPr>
            <w:tcW w:w="1507" w:type="dxa"/>
            <w:noWrap/>
            <w:hideMark/>
          </w:tcPr>
          <w:p w14:paraId="354A806A" w14:textId="3431F6AE"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18.</w:t>
            </w:r>
            <w:r w:rsidRPr="00F81459">
              <w:rPr>
                <w:sz w:val="20"/>
                <w:szCs w:val="20"/>
              </w:rPr>
              <w:t>75</w:t>
            </w:r>
          </w:p>
        </w:tc>
        <w:tc>
          <w:tcPr>
            <w:tcW w:w="1507" w:type="dxa"/>
            <w:noWrap/>
            <w:hideMark/>
          </w:tcPr>
          <w:p w14:paraId="062D3947" w14:textId="22D23618"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sz w:val="20"/>
                <w:szCs w:val="20"/>
              </w:rPr>
              <w:t>2.55</w:t>
            </w:r>
          </w:p>
        </w:tc>
      </w:tr>
      <w:tr w:rsidR="00F81459" w:rsidRPr="00F81459" w14:paraId="3942E5DC" w14:textId="77777777" w:rsidTr="00F81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noWrap/>
            <w:hideMark/>
          </w:tcPr>
          <w:p w14:paraId="2F06AE3D" w14:textId="77777777" w:rsidR="00F81459" w:rsidRPr="00F81459" w:rsidRDefault="00F81459" w:rsidP="00F81459">
            <w:pPr>
              <w:jc w:val="right"/>
              <w:rPr>
                <w:rFonts w:eastAsia="Times New Roman" w:cs="Times New Roman"/>
                <w:sz w:val="20"/>
                <w:szCs w:val="20"/>
                <w:lang w:eastAsia="en-AU"/>
              </w:rPr>
            </w:pPr>
            <w:r w:rsidRPr="00F81459">
              <w:rPr>
                <w:rFonts w:eastAsia="Times New Roman" w:cs="Times New Roman"/>
                <w:sz w:val="20"/>
                <w:szCs w:val="20"/>
                <w:lang w:eastAsia="en-AU"/>
              </w:rPr>
              <w:t>2019</w:t>
            </w:r>
          </w:p>
        </w:tc>
        <w:tc>
          <w:tcPr>
            <w:tcW w:w="1507" w:type="dxa"/>
            <w:noWrap/>
            <w:hideMark/>
          </w:tcPr>
          <w:p w14:paraId="2E571907" w14:textId="2EC7CB1D"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21.</w:t>
            </w:r>
            <w:r w:rsidRPr="00F81459">
              <w:rPr>
                <w:sz w:val="20"/>
                <w:szCs w:val="20"/>
              </w:rPr>
              <w:t>40</w:t>
            </w:r>
          </w:p>
        </w:tc>
        <w:tc>
          <w:tcPr>
            <w:tcW w:w="1507" w:type="dxa"/>
            <w:noWrap/>
            <w:hideMark/>
          </w:tcPr>
          <w:p w14:paraId="5E67E43A" w14:textId="2B19E8DD"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1.68</w:t>
            </w:r>
          </w:p>
        </w:tc>
        <w:tc>
          <w:tcPr>
            <w:tcW w:w="1507" w:type="dxa"/>
            <w:noWrap/>
            <w:hideMark/>
          </w:tcPr>
          <w:p w14:paraId="52AB783C" w14:textId="5B28B4D5"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20.</w:t>
            </w:r>
            <w:r w:rsidRPr="00F81459">
              <w:rPr>
                <w:sz w:val="20"/>
                <w:szCs w:val="20"/>
              </w:rPr>
              <w:t>13</w:t>
            </w:r>
          </w:p>
        </w:tc>
        <w:tc>
          <w:tcPr>
            <w:tcW w:w="1507" w:type="dxa"/>
            <w:noWrap/>
            <w:hideMark/>
          </w:tcPr>
          <w:p w14:paraId="1730769B" w14:textId="0E897753"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2.40</w:t>
            </w:r>
          </w:p>
        </w:tc>
      </w:tr>
      <w:tr w:rsidR="00F81459" w:rsidRPr="00F81459" w14:paraId="648E8BB4" w14:textId="77777777" w:rsidTr="00F81459">
        <w:tc>
          <w:tcPr>
            <w:cnfStyle w:val="001000000000" w:firstRow="0" w:lastRow="0" w:firstColumn="1" w:lastColumn="0" w:oddVBand="0" w:evenVBand="0" w:oddHBand="0" w:evenHBand="0" w:firstRowFirstColumn="0" w:firstRowLastColumn="0" w:lastRowFirstColumn="0" w:lastRowLastColumn="0"/>
            <w:tcW w:w="1506" w:type="dxa"/>
            <w:noWrap/>
            <w:hideMark/>
          </w:tcPr>
          <w:p w14:paraId="567902AF" w14:textId="77777777" w:rsidR="00F81459" w:rsidRPr="00F81459" w:rsidRDefault="00F81459" w:rsidP="00F81459">
            <w:pPr>
              <w:jc w:val="right"/>
              <w:rPr>
                <w:rFonts w:eastAsia="Times New Roman" w:cs="Times New Roman"/>
                <w:sz w:val="20"/>
                <w:szCs w:val="20"/>
                <w:lang w:eastAsia="en-AU"/>
              </w:rPr>
            </w:pPr>
            <w:r w:rsidRPr="00F81459">
              <w:rPr>
                <w:rFonts w:eastAsia="Times New Roman" w:cs="Times New Roman"/>
                <w:sz w:val="20"/>
                <w:szCs w:val="20"/>
                <w:lang w:eastAsia="en-AU"/>
              </w:rPr>
              <w:t>2020</w:t>
            </w:r>
          </w:p>
        </w:tc>
        <w:tc>
          <w:tcPr>
            <w:tcW w:w="1507" w:type="dxa"/>
            <w:noWrap/>
            <w:hideMark/>
          </w:tcPr>
          <w:p w14:paraId="7B68E4A3" w14:textId="603641A8"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22.</w:t>
            </w:r>
            <w:r w:rsidRPr="00F81459">
              <w:rPr>
                <w:sz w:val="20"/>
                <w:szCs w:val="20"/>
              </w:rPr>
              <w:t>97</w:t>
            </w:r>
          </w:p>
        </w:tc>
        <w:tc>
          <w:tcPr>
            <w:tcW w:w="1507" w:type="dxa"/>
            <w:noWrap/>
            <w:hideMark/>
          </w:tcPr>
          <w:p w14:paraId="02184518" w14:textId="362D6007"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sz w:val="20"/>
                <w:szCs w:val="20"/>
              </w:rPr>
              <w:t>2.19</w:t>
            </w:r>
          </w:p>
        </w:tc>
        <w:tc>
          <w:tcPr>
            <w:tcW w:w="1507" w:type="dxa"/>
            <w:noWrap/>
            <w:hideMark/>
          </w:tcPr>
          <w:p w14:paraId="781F5134" w14:textId="26D845C7"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20.</w:t>
            </w:r>
            <w:r w:rsidRPr="00F81459">
              <w:rPr>
                <w:sz w:val="20"/>
                <w:szCs w:val="20"/>
              </w:rPr>
              <w:t>81</w:t>
            </w:r>
          </w:p>
        </w:tc>
        <w:tc>
          <w:tcPr>
            <w:tcW w:w="1507" w:type="dxa"/>
            <w:noWrap/>
            <w:hideMark/>
          </w:tcPr>
          <w:p w14:paraId="647B2D87" w14:textId="7302283B" w:rsidR="00F81459" w:rsidRPr="00F81459" w:rsidRDefault="00F81459" w:rsidP="00F81459">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F81459">
              <w:rPr>
                <w:sz w:val="20"/>
                <w:szCs w:val="20"/>
              </w:rPr>
              <w:t>2.44</w:t>
            </w:r>
          </w:p>
        </w:tc>
      </w:tr>
      <w:tr w:rsidR="00F81459" w:rsidRPr="00F81459" w14:paraId="3FB020CA" w14:textId="77777777" w:rsidTr="00F81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6" w:type="dxa"/>
            <w:noWrap/>
            <w:hideMark/>
          </w:tcPr>
          <w:p w14:paraId="4B92554D" w14:textId="77777777" w:rsidR="00F81459" w:rsidRPr="00F81459" w:rsidRDefault="00F81459" w:rsidP="00F81459">
            <w:pPr>
              <w:jc w:val="right"/>
              <w:rPr>
                <w:rFonts w:eastAsia="Times New Roman" w:cs="Times New Roman"/>
                <w:sz w:val="20"/>
                <w:szCs w:val="20"/>
                <w:lang w:eastAsia="en-AU"/>
              </w:rPr>
            </w:pPr>
            <w:r w:rsidRPr="00F81459">
              <w:rPr>
                <w:rFonts w:eastAsia="Times New Roman" w:cs="Times New Roman"/>
                <w:sz w:val="20"/>
                <w:szCs w:val="20"/>
                <w:lang w:eastAsia="en-AU"/>
              </w:rPr>
              <w:t>2021</w:t>
            </w:r>
          </w:p>
        </w:tc>
        <w:tc>
          <w:tcPr>
            <w:tcW w:w="1507" w:type="dxa"/>
            <w:noWrap/>
            <w:hideMark/>
          </w:tcPr>
          <w:p w14:paraId="47DF4DCE" w14:textId="69F31C15"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24.</w:t>
            </w:r>
            <w:r w:rsidRPr="00F81459">
              <w:rPr>
                <w:sz w:val="20"/>
                <w:szCs w:val="20"/>
              </w:rPr>
              <w:t>04</w:t>
            </w:r>
          </w:p>
        </w:tc>
        <w:tc>
          <w:tcPr>
            <w:tcW w:w="1507" w:type="dxa"/>
            <w:noWrap/>
            <w:hideMark/>
          </w:tcPr>
          <w:p w14:paraId="5CB8A1B7" w14:textId="645492B7"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2.34</w:t>
            </w:r>
          </w:p>
        </w:tc>
        <w:tc>
          <w:tcPr>
            <w:tcW w:w="1507" w:type="dxa"/>
            <w:noWrap/>
            <w:hideMark/>
          </w:tcPr>
          <w:p w14:paraId="3220C711" w14:textId="18603F2D"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22.</w:t>
            </w:r>
            <w:r w:rsidRPr="00F81459">
              <w:rPr>
                <w:sz w:val="20"/>
                <w:szCs w:val="20"/>
              </w:rPr>
              <w:t>26</w:t>
            </w:r>
          </w:p>
        </w:tc>
        <w:tc>
          <w:tcPr>
            <w:tcW w:w="1507" w:type="dxa"/>
            <w:noWrap/>
            <w:hideMark/>
          </w:tcPr>
          <w:p w14:paraId="2E81ABFF" w14:textId="0B97A078" w:rsidR="00F81459" w:rsidRPr="00F81459" w:rsidRDefault="00F81459" w:rsidP="00F81459">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F81459">
              <w:rPr>
                <w:sz w:val="20"/>
                <w:szCs w:val="20"/>
              </w:rPr>
              <w:t>2.29</w:t>
            </w:r>
          </w:p>
        </w:tc>
      </w:tr>
    </w:tbl>
    <w:p w14:paraId="62E6C657" w14:textId="77777777" w:rsidR="00ED2ADC" w:rsidRPr="00ED2ADC" w:rsidRDefault="00ED2ADC" w:rsidP="00ED2ADC">
      <w:pPr>
        <w:rPr>
          <w:rFonts w:asciiTheme="minorHAnsi" w:hAnsiTheme="minorHAnsi" w:cs="Times New Roman"/>
          <w:noProof/>
          <w:sz w:val="22"/>
        </w:rPr>
      </w:pPr>
    </w:p>
    <w:p w14:paraId="0CD6113F" w14:textId="7DD56CFF" w:rsidR="00ED2ADC" w:rsidRPr="00ED2ADC" w:rsidRDefault="00ED2ADC" w:rsidP="00596E66">
      <w:pPr>
        <w:pStyle w:val="Heading5"/>
      </w:pPr>
      <w:r w:rsidRPr="00ED2ADC">
        <w:t>Grocery sales of non-prescription paracetamol, IRI2017-21, million units</w:t>
      </w:r>
    </w:p>
    <w:tbl>
      <w:tblPr>
        <w:tblW w:w="4880" w:type="dxa"/>
        <w:tblLook w:val="04A0" w:firstRow="1" w:lastRow="0" w:firstColumn="1" w:lastColumn="0" w:noHBand="0" w:noVBand="1"/>
      </w:tblPr>
      <w:tblGrid>
        <w:gridCol w:w="976"/>
        <w:gridCol w:w="976"/>
        <w:gridCol w:w="976"/>
        <w:gridCol w:w="976"/>
        <w:gridCol w:w="976"/>
      </w:tblGrid>
      <w:tr w:rsidR="00ED2ADC" w:rsidRPr="00D0012A" w14:paraId="3ECB6611" w14:textId="77777777" w:rsidTr="00033349">
        <w:trPr>
          <w:trHeight w:val="300"/>
        </w:trPr>
        <w:tc>
          <w:tcPr>
            <w:tcW w:w="976" w:type="dxa"/>
            <w:tcBorders>
              <w:top w:val="single" w:sz="4" w:space="0" w:color="000000"/>
              <w:left w:val="nil"/>
              <w:bottom w:val="single" w:sz="4" w:space="0" w:color="000000"/>
              <w:right w:val="nil"/>
            </w:tcBorders>
            <w:shd w:val="clear" w:color="auto" w:fill="auto"/>
            <w:noWrap/>
            <w:vAlign w:val="bottom"/>
            <w:hideMark/>
          </w:tcPr>
          <w:p w14:paraId="0B6042FB" w14:textId="77777777" w:rsidR="00ED2ADC" w:rsidRPr="00D0012A" w:rsidRDefault="00ED2ADC" w:rsidP="002A6258">
            <w:pPr>
              <w:spacing w:after="0" w:line="240" w:lineRule="auto"/>
              <w:jc w:val="right"/>
              <w:rPr>
                <w:rFonts w:eastAsia="Times New Roman" w:cs="Times New Roman"/>
                <w:b/>
                <w:bCs/>
                <w:color w:val="000000"/>
                <w:sz w:val="20"/>
                <w:szCs w:val="20"/>
                <w:lang w:eastAsia="en-AU"/>
              </w:rPr>
            </w:pPr>
            <w:r w:rsidRPr="00D0012A">
              <w:rPr>
                <w:rFonts w:eastAsia="Times New Roman" w:cs="Times New Roman"/>
                <w:b/>
                <w:bCs/>
                <w:color w:val="000000"/>
                <w:sz w:val="20"/>
                <w:szCs w:val="20"/>
                <w:lang w:eastAsia="en-AU"/>
              </w:rPr>
              <w:t>Year</w:t>
            </w:r>
          </w:p>
        </w:tc>
        <w:tc>
          <w:tcPr>
            <w:tcW w:w="976" w:type="dxa"/>
            <w:tcBorders>
              <w:top w:val="single" w:sz="4" w:space="0" w:color="000000"/>
              <w:left w:val="nil"/>
              <w:bottom w:val="single" w:sz="4" w:space="0" w:color="000000"/>
              <w:right w:val="nil"/>
            </w:tcBorders>
            <w:shd w:val="clear" w:color="auto" w:fill="auto"/>
            <w:noWrap/>
            <w:vAlign w:val="bottom"/>
            <w:hideMark/>
          </w:tcPr>
          <w:p w14:paraId="06F6474B" w14:textId="77777777" w:rsidR="00ED2ADC" w:rsidRPr="00D0012A" w:rsidRDefault="00ED2ADC" w:rsidP="002A6258">
            <w:pPr>
              <w:spacing w:after="0" w:line="240" w:lineRule="auto"/>
              <w:jc w:val="right"/>
              <w:rPr>
                <w:rFonts w:eastAsia="Times New Roman" w:cs="Times New Roman"/>
                <w:b/>
                <w:bCs/>
                <w:color w:val="000000"/>
                <w:sz w:val="20"/>
                <w:szCs w:val="20"/>
                <w:lang w:eastAsia="en-AU"/>
              </w:rPr>
            </w:pPr>
            <w:r w:rsidRPr="00D0012A">
              <w:rPr>
                <w:rFonts w:eastAsia="Times New Roman" w:cs="Times New Roman"/>
                <w:b/>
                <w:bCs/>
                <w:color w:val="000000"/>
                <w:sz w:val="20"/>
                <w:szCs w:val="20"/>
                <w:lang w:eastAsia="en-AU"/>
              </w:rPr>
              <w:t>12</w:t>
            </w:r>
          </w:p>
        </w:tc>
        <w:tc>
          <w:tcPr>
            <w:tcW w:w="976" w:type="dxa"/>
            <w:tcBorders>
              <w:top w:val="single" w:sz="4" w:space="0" w:color="000000"/>
              <w:left w:val="nil"/>
              <w:bottom w:val="single" w:sz="4" w:space="0" w:color="000000"/>
              <w:right w:val="nil"/>
            </w:tcBorders>
            <w:shd w:val="clear" w:color="auto" w:fill="auto"/>
            <w:noWrap/>
            <w:vAlign w:val="bottom"/>
            <w:hideMark/>
          </w:tcPr>
          <w:p w14:paraId="3119ACE3" w14:textId="77777777" w:rsidR="00ED2ADC" w:rsidRPr="00D0012A" w:rsidRDefault="00ED2ADC" w:rsidP="002A6258">
            <w:pPr>
              <w:spacing w:after="0" w:line="240" w:lineRule="auto"/>
              <w:jc w:val="right"/>
              <w:rPr>
                <w:rFonts w:eastAsia="Times New Roman" w:cs="Times New Roman"/>
                <w:b/>
                <w:bCs/>
                <w:color w:val="000000"/>
                <w:sz w:val="20"/>
                <w:szCs w:val="20"/>
                <w:lang w:eastAsia="en-AU"/>
              </w:rPr>
            </w:pPr>
            <w:r w:rsidRPr="00D0012A">
              <w:rPr>
                <w:rFonts w:eastAsia="Times New Roman" w:cs="Times New Roman"/>
                <w:b/>
                <w:bCs/>
                <w:color w:val="000000"/>
                <w:sz w:val="20"/>
                <w:szCs w:val="20"/>
                <w:lang w:eastAsia="en-AU"/>
              </w:rPr>
              <w:t>16</w:t>
            </w:r>
          </w:p>
        </w:tc>
        <w:tc>
          <w:tcPr>
            <w:tcW w:w="976" w:type="dxa"/>
            <w:tcBorders>
              <w:top w:val="single" w:sz="4" w:space="0" w:color="000000"/>
              <w:left w:val="nil"/>
              <w:bottom w:val="single" w:sz="4" w:space="0" w:color="000000"/>
              <w:right w:val="nil"/>
            </w:tcBorders>
            <w:shd w:val="clear" w:color="auto" w:fill="auto"/>
            <w:noWrap/>
            <w:vAlign w:val="bottom"/>
            <w:hideMark/>
          </w:tcPr>
          <w:p w14:paraId="410A537C" w14:textId="77777777" w:rsidR="00ED2ADC" w:rsidRPr="00D0012A" w:rsidRDefault="00ED2ADC" w:rsidP="002A6258">
            <w:pPr>
              <w:spacing w:after="0" w:line="240" w:lineRule="auto"/>
              <w:jc w:val="right"/>
              <w:rPr>
                <w:rFonts w:eastAsia="Times New Roman" w:cs="Times New Roman"/>
                <w:b/>
                <w:bCs/>
                <w:color w:val="000000"/>
                <w:sz w:val="20"/>
                <w:szCs w:val="20"/>
                <w:lang w:eastAsia="en-AU"/>
              </w:rPr>
            </w:pPr>
            <w:r w:rsidRPr="00D0012A">
              <w:rPr>
                <w:rFonts w:eastAsia="Times New Roman" w:cs="Times New Roman"/>
                <w:b/>
                <w:bCs/>
                <w:color w:val="000000"/>
                <w:sz w:val="20"/>
                <w:szCs w:val="20"/>
                <w:lang w:eastAsia="en-AU"/>
              </w:rPr>
              <w:t>20</w:t>
            </w:r>
          </w:p>
        </w:tc>
        <w:tc>
          <w:tcPr>
            <w:tcW w:w="976" w:type="dxa"/>
            <w:tcBorders>
              <w:top w:val="single" w:sz="4" w:space="0" w:color="000000"/>
              <w:left w:val="nil"/>
              <w:bottom w:val="single" w:sz="4" w:space="0" w:color="000000"/>
              <w:right w:val="nil"/>
            </w:tcBorders>
            <w:shd w:val="clear" w:color="auto" w:fill="auto"/>
            <w:noWrap/>
            <w:vAlign w:val="bottom"/>
            <w:hideMark/>
          </w:tcPr>
          <w:p w14:paraId="44319FC7" w14:textId="77777777" w:rsidR="00ED2ADC" w:rsidRPr="00D0012A" w:rsidRDefault="00ED2ADC" w:rsidP="002A6258">
            <w:pPr>
              <w:spacing w:after="0" w:line="240" w:lineRule="auto"/>
              <w:jc w:val="right"/>
              <w:rPr>
                <w:rFonts w:eastAsia="Times New Roman" w:cs="Times New Roman"/>
                <w:b/>
                <w:bCs/>
                <w:color w:val="000000"/>
                <w:sz w:val="20"/>
                <w:szCs w:val="20"/>
                <w:lang w:eastAsia="en-AU"/>
              </w:rPr>
            </w:pPr>
            <w:r w:rsidRPr="00D0012A">
              <w:rPr>
                <w:rFonts w:eastAsia="Times New Roman" w:cs="Times New Roman"/>
                <w:b/>
                <w:bCs/>
                <w:color w:val="000000"/>
                <w:sz w:val="20"/>
                <w:szCs w:val="20"/>
                <w:lang w:eastAsia="en-AU"/>
              </w:rPr>
              <w:t>Total</w:t>
            </w:r>
          </w:p>
        </w:tc>
      </w:tr>
      <w:tr w:rsidR="00ED2ADC" w:rsidRPr="00D0012A" w14:paraId="3FD7AFE0" w14:textId="77777777" w:rsidTr="00033349">
        <w:trPr>
          <w:trHeight w:val="300"/>
        </w:trPr>
        <w:tc>
          <w:tcPr>
            <w:tcW w:w="976" w:type="dxa"/>
            <w:tcBorders>
              <w:top w:val="nil"/>
              <w:left w:val="nil"/>
              <w:bottom w:val="nil"/>
              <w:right w:val="nil"/>
            </w:tcBorders>
            <w:shd w:val="clear" w:color="D9D9D9" w:fill="D9D9D9"/>
            <w:noWrap/>
            <w:vAlign w:val="bottom"/>
            <w:hideMark/>
          </w:tcPr>
          <w:p w14:paraId="1C176CAD"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2017</w:t>
            </w:r>
          </w:p>
        </w:tc>
        <w:tc>
          <w:tcPr>
            <w:tcW w:w="976" w:type="dxa"/>
            <w:tcBorders>
              <w:top w:val="nil"/>
              <w:left w:val="nil"/>
              <w:bottom w:val="nil"/>
              <w:right w:val="nil"/>
            </w:tcBorders>
            <w:shd w:val="clear" w:color="D9D9D9" w:fill="D9D9D9"/>
            <w:noWrap/>
            <w:vAlign w:val="bottom"/>
            <w:hideMark/>
          </w:tcPr>
          <w:p w14:paraId="49B0DBCC"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w:t>
            </w:r>
          </w:p>
        </w:tc>
        <w:tc>
          <w:tcPr>
            <w:tcW w:w="976" w:type="dxa"/>
            <w:tcBorders>
              <w:top w:val="nil"/>
              <w:left w:val="nil"/>
              <w:bottom w:val="nil"/>
              <w:right w:val="nil"/>
            </w:tcBorders>
            <w:shd w:val="clear" w:color="D9D9D9" w:fill="D9D9D9"/>
            <w:noWrap/>
            <w:vAlign w:val="bottom"/>
            <w:hideMark/>
          </w:tcPr>
          <w:p w14:paraId="20ED0EBB"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0.1</w:t>
            </w:r>
          </w:p>
        </w:tc>
        <w:tc>
          <w:tcPr>
            <w:tcW w:w="976" w:type="dxa"/>
            <w:tcBorders>
              <w:top w:val="nil"/>
              <w:left w:val="nil"/>
              <w:bottom w:val="nil"/>
              <w:right w:val="nil"/>
            </w:tcBorders>
            <w:shd w:val="clear" w:color="D9D9D9" w:fill="D9D9D9"/>
            <w:noWrap/>
            <w:vAlign w:val="bottom"/>
            <w:hideMark/>
          </w:tcPr>
          <w:p w14:paraId="415AEBCF"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20.9</w:t>
            </w:r>
          </w:p>
        </w:tc>
        <w:tc>
          <w:tcPr>
            <w:tcW w:w="976" w:type="dxa"/>
            <w:tcBorders>
              <w:top w:val="nil"/>
              <w:left w:val="nil"/>
              <w:bottom w:val="nil"/>
              <w:right w:val="nil"/>
            </w:tcBorders>
            <w:shd w:val="clear" w:color="D9D9D9" w:fill="D9D9D9"/>
            <w:noWrap/>
            <w:vAlign w:val="bottom"/>
            <w:hideMark/>
          </w:tcPr>
          <w:p w14:paraId="58152FCD"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23.0</w:t>
            </w:r>
          </w:p>
        </w:tc>
      </w:tr>
      <w:tr w:rsidR="00ED2ADC" w:rsidRPr="00D0012A" w14:paraId="0B3102EA" w14:textId="77777777" w:rsidTr="00033349">
        <w:trPr>
          <w:trHeight w:val="300"/>
        </w:trPr>
        <w:tc>
          <w:tcPr>
            <w:tcW w:w="976" w:type="dxa"/>
            <w:tcBorders>
              <w:top w:val="nil"/>
              <w:left w:val="nil"/>
              <w:bottom w:val="nil"/>
              <w:right w:val="nil"/>
            </w:tcBorders>
            <w:shd w:val="clear" w:color="auto" w:fill="auto"/>
            <w:noWrap/>
            <w:vAlign w:val="bottom"/>
            <w:hideMark/>
          </w:tcPr>
          <w:p w14:paraId="50830D80"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2018</w:t>
            </w:r>
          </w:p>
        </w:tc>
        <w:tc>
          <w:tcPr>
            <w:tcW w:w="976" w:type="dxa"/>
            <w:tcBorders>
              <w:top w:val="nil"/>
              <w:left w:val="nil"/>
              <w:bottom w:val="nil"/>
              <w:right w:val="nil"/>
            </w:tcBorders>
            <w:shd w:val="clear" w:color="auto" w:fill="auto"/>
            <w:noWrap/>
            <w:vAlign w:val="bottom"/>
            <w:hideMark/>
          </w:tcPr>
          <w:p w14:paraId="4EA9BB45"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1.9</w:t>
            </w:r>
          </w:p>
        </w:tc>
        <w:tc>
          <w:tcPr>
            <w:tcW w:w="976" w:type="dxa"/>
            <w:tcBorders>
              <w:top w:val="nil"/>
              <w:left w:val="nil"/>
              <w:bottom w:val="nil"/>
              <w:right w:val="nil"/>
            </w:tcBorders>
            <w:shd w:val="clear" w:color="auto" w:fill="auto"/>
            <w:noWrap/>
            <w:vAlign w:val="bottom"/>
            <w:hideMark/>
          </w:tcPr>
          <w:p w14:paraId="608222C0"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0.1</w:t>
            </w:r>
          </w:p>
        </w:tc>
        <w:tc>
          <w:tcPr>
            <w:tcW w:w="976" w:type="dxa"/>
            <w:tcBorders>
              <w:top w:val="nil"/>
              <w:left w:val="nil"/>
              <w:bottom w:val="nil"/>
              <w:right w:val="nil"/>
            </w:tcBorders>
            <w:shd w:val="clear" w:color="auto" w:fill="auto"/>
            <w:noWrap/>
            <w:vAlign w:val="bottom"/>
            <w:hideMark/>
          </w:tcPr>
          <w:p w14:paraId="7B7C1409"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21.3</w:t>
            </w:r>
          </w:p>
        </w:tc>
        <w:tc>
          <w:tcPr>
            <w:tcW w:w="976" w:type="dxa"/>
            <w:tcBorders>
              <w:top w:val="nil"/>
              <w:left w:val="nil"/>
              <w:bottom w:val="nil"/>
              <w:right w:val="nil"/>
            </w:tcBorders>
            <w:shd w:val="clear" w:color="auto" w:fill="auto"/>
            <w:noWrap/>
            <w:vAlign w:val="bottom"/>
            <w:hideMark/>
          </w:tcPr>
          <w:p w14:paraId="621999E0"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23.3</w:t>
            </w:r>
          </w:p>
        </w:tc>
      </w:tr>
      <w:tr w:rsidR="00ED2ADC" w:rsidRPr="00D0012A" w14:paraId="56931361" w14:textId="77777777" w:rsidTr="00033349">
        <w:trPr>
          <w:trHeight w:val="300"/>
        </w:trPr>
        <w:tc>
          <w:tcPr>
            <w:tcW w:w="976" w:type="dxa"/>
            <w:tcBorders>
              <w:top w:val="nil"/>
              <w:left w:val="nil"/>
              <w:bottom w:val="nil"/>
              <w:right w:val="nil"/>
            </w:tcBorders>
            <w:shd w:val="clear" w:color="D9D9D9" w:fill="D9D9D9"/>
            <w:noWrap/>
            <w:vAlign w:val="bottom"/>
            <w:hideMark/>
          </w:tcPr>
          <w:p w14:paraId="72498AFE"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2019</w:t>
            </w:r>
          </w:p>
        </w:tc>
        <w:tc>
          <w:tcPr>
            <w:tcW w:w="976" w:type="dxa"/>
            <w:tcBorders>
              <w:top w:val="nil"/>
              <w:left w:val="nil"/>
              <w:bottom w:val="nil"/>
              <w:right w:val="nil"/>
            </w:tcBorders>
            <w:shd w:val="clear" w:color="D9D9D9" w:fill="D9D9D9"/>
            <w:noWrap/>
            <w:vAlign w:val="bottom"/>
            <w:hideMark/>
          </w:tcPr>
          <w:p w14:paraId="0A663720"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1.7</w:t>
            </w:r>
          </w:p>
        </w:tc>
        <w:tc>
          <w:tcPr>
            <w:tcW w:w="976" w:type="dxa"/>
            <w:tcBorders>
              <w:top w:val="nil"/>
              <w:left w:val="nil"/>
              <w:bottom w:val="nil"/>
              <w:right w:val="nil"/>
            </w:tcBorders>
            <w:shd w:val="clear" w:color="D9D9D9" w:fill="D9D9D9"/>
            <w:noWrap/>
            <w:vAlign w:val="bottom"/>
            <w:hideMark/>
          </w:tcPr>
          <w:p w14:paraId="0E5D7C0D"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0.1</w:t>
            </w:r>
          </w:p>
        </w:tc>
        <w:tc>
          <w:tcPr>
            <w:tcW w:w="976" w:type="dxa"/>
            <w:tcBorders>
              <w:top w:val="nil"/>
              <w:left w:val="nil"/>
              <w:bottom w:val="nil"/>
              <w:right w:val="nil"/>
            </w:tcBorders>
            <w:shd w:val="clear" w:color="D9D9D9" w:fill="D9D9D9"/>
            <w:noWrap/>
            <w:vAlign w:val="bottom"/>
            <w:hideMark/>
          </w:tcPr>
          <w:p w14:paraId="336CC5C1"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21.3</w:t>
            </w:r>
          </w:p>
        </w:tc>
        <w:tc>
          <w:tcPr>
            <w:tcW w:w="976" w:type="dxa"/>
            <w:tcBorders>
              <w:top w:val="nil"/>
              <w:left w:val="nil"/>
              <w:bottom w:val="nil"/>
              <w:right w:val="nil"/>
            </w:tcBorders>
            <w:shd w:val="clear" w:color="D9D9D9" w:fill="D9D9D9"/>
            <w:noWrap/>
            <w:vAlign w:val="bottom"/>
            <w:hideMark/>
          </w:tcPr>
          <w:p w14:paraId="6EEB5E71"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23.1</w:t>
            </w:r>
          </w:p>
        </w:tc>
      </w:tr>
      <w:tr w:rsidR="00ED2ADC" w:rsidRPr="00D0012A" w14:paraId="03FFAD8C" w14:textId="77777777" w:rsidTr="00033349">
        <w:trPr>
          <w:trHeight w:val="300"/>
        </w:trPr>
        <w:tc>
          <w:tcPr>
            <w:tcW w:w="976" w:type="dxa"/>
            <w:tcBorders>
              <w:top w:val="nil"/>
              <w:left w:val="nil"/>
              <w:bottom w:val="nil"/>
              <w:right w:val="nil"/>
            </w:tcBorders>
            <w:shd w:val="clear" w:color="auto" w:fill="auto"/>
            <w:noWrap/>
            <w:vAlign w:val="bottom"/>
            <w:hideMark/>
          </w:tcPr>
          <w:p w14:paraId="635B53AB"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2020</w:t>
            </w:r>
          </w:p>
        </w:tc>
        <w:tc>
          <w:tcPr>
            <w:tcW w:w="976" w:type="dxa"/>
            <w:tcBorders>
              <w:top w:val="nil"/>
              <w:left w:val="nil"/>
              <w:bottom w:val="nil"/>
              <w:right w:val="nil"/>
            </w:tcBorders>
            <w:shd w:val="clear" w:color="auto" w:fill="auto"/>
            <w:noWrap/>
            <w:vAlign w:val="bottom"/>
            <w:hideMark/>
          </w:tcPr>
          <w:p w14:paraId="41A5A262"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1.8</w:t>
            </w:r>
          </w:p>
        </w:tc>
        <w:tc>
          <w:tcPr>
            <w:tcW w:w="976" w:type="dxa"/>
            <w:tcBorders>
              <w:top w:val="nil"/>
              <w:left w:val="nil"/>
              <w:bottom w:val="nil"/>
              <w:right w:val="nil"/>
            </w:tcBorders>
            <w:shd w:val="clear" w:color="auto" w:fill="auto"/>
            <w:noWrap/>
            <w:vAlign w:val="bottom"/>
            <w:hideMark/>
          </w:tcPr>
          <w:p w14:paraId="0A536C96"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0.1</w:t>
            </w:r>
          </w:p>
        </w:tc>
        <w:tc>
          <w:tcPr>
            <w:tcW w:w="976" w:type="dxa"/>
            <w:tcBorders>
              <w:top w:val="nil"/>
              <w:left w:val="nil"/>
              <w:bottom w:val="nil"/>
              <w:right w:val="nil"/>
            </w:tcBorders>
            <w:shd w:val="clear" w:color="auto" w:fill="auto"/>
            <w:noWrap/>
            <w:vAlign w:val="bottom"/>
            <w:hideMark/>
          </w:tcPr>
          <w:p w14:paraId="3D7967F2"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23.2</w:t>
            </w:r>
          </w:p>
        </w:tc>
        <w:tc>
          <w:tcPr>
            <w:tcW w:w="976" w:type="dxa"/>
            <w:tcBorders>
              <w:top w:val="nil"/>
              <w:left w:val="nil"/>
              <w:bottom w:val="nil"/>
              <w:right w:val="nil"/>
            </w:tcBorders>
            <w:shd w:val="clear" w:color="auto" w:fill="auto"/>
            <w:noWrap/>
            <w:vAlign w:val="bottom"/>
            <w:hideMark/>
          </w:tcPr>
          <w:p w14:paraId="75958441"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25.2</w:t>
            </w:r>
          </w:p>
        </w:tc>
      </w:tr>
      <w:tr w:rsidR="00ED2ADC" w:rsidRPr="00D0012A" w14:paraId="2578EF1A" w14:textId="77777777" w:rsidTr="00033349">
        <w:trPr>
          <w:trHeight w:val="300"/>
        </w:trPr>
        <w:tc>
          <w:tcPr>
            <w:tcW w:w="976" w:type="dxa"/>
            <w:tcBorders>
              <w:top w:val="nil"/>
              <w:left w:val="nil"/>
              <w:bottom w:val="single" w:sz="4" w:space="0" w:color="000000"/>
              <w:right w:val="nil"/>
            </w:tcBorders>
            <w:shd w:val="clear" w:color="D9D9D9" w:fill="D9D9D9"/>
            <w:noWrap/>
            <w:vAlign w:val="bottom"/>
            <w:hideMark/>
          </w:tcPr>
          <w:p w14:paraId="02B19820"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2021</w:t>
            </w:r>
          </w:p>
        </w:tc>
        <w:tc>
          <w:tcPr>
            <w:tcW w:w="976" w:type="dxa"/>
            <w:tcBorders>
              <w:top w:val="nil"/>
              <w:left w:val="nil"/>
              <w:bottom w:val="single" w:sz="4" w:space="0" w:color="000000"/>
              <w:right w:val="nil"/>
            </w:tcBorders>
            <w:shd w:val="clear" w:color="D9D9D9" w:fill="D9D9D9"/>
            <w:noWrap/>
            <w:vAlign w:val="bottom"/>
            <w:hideMark/>
          </w:tcPr>
          <w:p w14:paraId="7225A2F1"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2.2</w:t>
            </w:r>
          </w:p>
        </w:tc>
        <w:tc>
          <w:tcPr>
            <w:tcW w:w="976" w:type="dxa"/>
            <w:tcBorders>
              <w:top w:val="nil"/>
              <w:left w:val="nil"/>
              <w:bottom w:val="single" w:sz="4" w:space="0" w:color="000000"/>
              <w:right w:val="nil"/>
            </w:tcBorders>
            <w:shd w:val="clear" w:color="D9D9D9" w:fill="D9D9D9"/>
            <w:noWrap/>
            <w:vAlign w:val="bottom"/>
            <w:hideMark/>
          </w:tcPr>
          <w:p w14:paraId="28E8F4E9"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0.0</w:t>
            </w:r>
          </w:p>
        </w:tc>
        <w:tc>
          <w:tcPr>
            <w:tcW w:w="976" w:type="dxa"/>
            <w:tcBorders>
              <w:top w:val="nil"/>
              <w:left w:val="nil"/>
              <w:bottom w:val="single" w:sz="4" w:space="0" w:color="000000"/>
              <w:right w:val="nil"/>
            </w:tcBorders>
            <w:shd w:val="clear" w:color="D9D9D9" w:fill="D9D9D9"/>
            <w:noWrap/>
            <w:vAlign w:val="bottom"/>
            <w:hideMark/>
          </w:tcPr>
          <w:p w14:paraId="0C0854B5"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24.2</w:t>
            </w:r>
          </w:p>
        </w:tc>
        <w:tc>
          <w:tcPr>
            <w:tcW w:w="976" w:type="dxa"/>
            <w:tcBorders>
              <w:top w:val="nil"/>
              <w:left w:val="nil"/>
              <w:bottom w:val="single" w:sz="4" w:space="0" w:color="000000"/>
              <w:right w:val="nil"/>
            </w:tcBorders>
            <w:shd w:val="clear" w:color="D9D9D9" w:fill="D9D9D9"/>
            <w:noWrap/>
            <w:vAlign w:val="bottom"/>
            <w:hideMark/>
          </w:tcPr>
          <w:p w14:paraId="36A650DD" w14:textId="77777777" w:rsidR="00ED2ADC" w:rsidRPr="00D0012A" w:rsidRDefault="00ED2ADC" w:rsidP="00ED2ADC">
            <w:pPr>
              <w:spacing w:after="0" w:line="240" w:lineRule="auto"/>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26.4</w:t>
            </w:r>
          </w:p>
        </w:tc>
      </w:tr>
    </w:tbl>
    <w:p w14:paraId="2B79707E" w14:textId="77777777" w:rsidR="00ED2ADC" w:rsidRPr="00ED2ADC" w:rsidRDefault="00ED2ADC" w:rsidP="00ED2ADC">
      <w:pPr>
        <w:rPr>
          <w:rFonts w:asciiTheme="minorHAnsi" w:hAnsiTheme="minorHAnsi" w:cs="Times New Roman"/>
          <w:sz w:val="22"/>
        </w:rPr>
      </w:pPr>
    </w:p>
    <w:p w14:paraId="6CDD6684" w14:textId="7FC37CE0" w:rsidR="00ED2ADC" w:rsidRPr="00ED2ADC" w:rsidRDefault="00ED2ADC" w:rsidP="00596E66">
      <w:pPr>
        <w:pStyle w:val="Heading5"/>
        <w:rPr>
          <w:rFonts w:cs="Times New Roman"/>
        </w:rPr>
      </w:pPr>
      <w:r w:rsidRPr="00ED2ADC">
        <w:t>Grocery sales of non-prescription paracetamol, IRI2017-21, tonnes of paracetamol</w:t>
      </w:r>
    </w:p>
    <w:tbl>
      <w:tblPr>
        <w:tblW w:w="4880" w:type="dxa"/>
        <w:tblCellMar>
          <w:left w:w="85" w:type="dxa"/>
          <w:right w:w="85" w:type="dxa"/>
        </w:tblCellMar>
        <w:tblLook w:val="04A0" w:firstRow="1" w:lastRow="0" w:firstColumn="1" w:lastColumn="0" w:noHBand="0" w:noVBand="1"/>
      </w:tblPr>
      <w:tblGrid>
        <w:gridCol w:w="976"/>
        <w:gridCol w:w="976"/>
        <w:gridCol w:w="976"/>
        <w:gridCol w:w="976"/>
        <w:gridCol w:w="976"/>
      </w:tblGrid>
      <w:tr w:rsidR="00ED2ADC" w:rsidRPr="00F81459" w14:paraId="1531BED1" w14:textId="77777777" w:rsidTr="00F81459">
        <w:trPr>
          <w:trHeight w:val="300"/>
        </w:trPr>
        <w:tc>
          <w:tcPr>
            <w:tcW w:w="976" w:type="dxa"/>
            <w:tcBorders>
              <w:top w:val="single" w:sz="4" w:space="0" w:color="000000"/>
              <w:left w:val="nil"/>
              <w:bottom w:val="single" w:sz="4" w:space="0" w:color="000000"/>
              <w:right w:val="nil"/>
            </w:tcBorders>
            <w:shd w:val="clear" w:color="auto" w:fill="auto"/>
            <w:noWrap/>
            <w:vAlign w:val="bottom"/>
            <w:hideMark/>
          </w:tcPr>
          <w:p w14:paraId="04B2C081" w14:textId="77777777" w:rsidR="00ED2ADC" w:rsidRPr="00F81459" w:rsidRDefault="00ED2ADC" w:rsidP="00F81459">
            <w:pPr>
              <w:spacing w:after="0" w:line="240" w:lineRule="auto"/>
              <w:jc w:val="right"/>
              <w:rPr>
                <w:rFonts w:eastAsia="Times New Roman" w:cs="Times New Roman"/>
                <w:b/>
                <w:bCs/>
                <w:color w:val="000000"/>
                <w:sz w:val="20"/>
                <w:szCs w:val="20"/>
                <w:lang w:eastAsia="en-AU"/>
              </w:rPr>
            </w:pPr>
            <w:r w:rsidRPr="00F81459">
              <w:rPr>
                <w:rFonts w:eastAsia="Times New Roman" w:cs="Times New Roman"/>
                <w:b/>
                <w:bCs/>
                <w:color w:val="000000"/>
                <w:sz w:val="20"/>
                <w:szCs w:val="20"/>
                <w:lang w:eastAsia="en-AU"/>
              </w:rPr>
              <w:t>Year</w:t>
            </w:r>
          </w:p>
        </w:tc>
        <w:tc>
          <w:tcPr>
            <w:tcW w:w="976" w:type="dxa"/>
            <w:tcBorders>
              <w:top w:val="single" w:sz="4" w:space="0" w:color="000000"/>
              <w:left w:val="nil"/>
              <w:bottom w:val="single" w:sz="4" w:space="0" w:color="000000"/>
              <w:right w:val="nil"/>
            </w:tcBorders>
            <w:shd w:val="clear" w:color="auto" w:fill="auto"/>
            <w:noWrap/>
            <w:vAlign w:val="bottom"/>
            <w:hideMark/>
          </w:tcPr>
          <w:p w14:paraId="588FD3BA" w14:textId="77777777" w:rsidR="00ED2ADC" w:rsidRPr="00F81459" w:rsidRDefault="00ED2ADC" w:rsidP="00F81459">
            <w:pPr>
              <w:spacing w:after="0" w:line="240" w:lineRule="auto"/>
              <w:jc w:val="right"/>
              <w:rPr>
                <w:rFonts w:eastAsia="Times New Roman" w:cs="Times New Roman"/>
                <w:b/>
                <w:bCs/>
                <w:color w:val="000000"/>
                <w:sz w:val="20"/>
                <w:szCs w:val="20"/>
                <w:lang w:eastAsia="en-AU"/>
              </w:rPr>
            </w:pPr>
            <w:r w:rsidRPr="00F81459">
              <w:rPr>
                <w:rFonts w:eastAsia="Times New Roman" w:cs="Times New Roman"/>
                <w:b/>
                <w:bCs/>
                <w:color w:val="000000"/>
                <w:sz w:val="20"/>
                <w:szCs w:val="20"/>
                <w:lang w:eastAsia="en-AU"/>
              </w:rPr>
              <w:t>12</w:t>
            </w:r>
          </w:p>
        </w:tc>
        <w:tc>
          <w:tcPr>
            <w:tcW w:w="976" w:type="dxa"/>
            <w:tcBorders>
              <w:top w:val="single" w:sz="4" w:space="0" w:color="000000"/>
              <w:left w:val="nil"/>
              <w:bottom w:val="single" w:sz="4" w:space="0" w:color="000000"/>
              <w:right w:val="nil"/>
            </w:tcBorders>
            <w:shd w:val="clear" w:color="auto" w:fill="auto"/>
            <w:noWrap/>
            <w:vAlign w:val="bottom"/>
            <w:hideMark/>
          </w:tcPr>
          <w:p w14:paraId="20BA6F9F" w14:textId="77777777" w:rsidR="00ED2ADC" w:rsidRPr="00F81459" w:rsidRDefault="00ED2ADC" w:rsidP="00F81459">
            <w:pPr>
              <w:spacing w:after="0" w:line="240" w:lineRule="auto"/>
              <w:jc w:val="right"/>
              <w:rPr>
                <w:rFonts w:eastAsia="Times New Roman" w:cs="Times New Roman"/>
                <w:b/>
                <w:bCs/>
                <w:color w:val="000000"/>
                <w:sz w:val="20"/>
                <w:szCs w:val="20"/>
                <w:lang w:eastAsia="en-AU"/>
              </w:rPr>
            </w:pPr>
            <w:r w:rsidRPr="00F81459">
              <w:rPr>
                <w:rFonts w:eastAsia="Times New Roman" w:cs="Times New Roman"/>
                <w:b/>
                <w:bCs/>
                <w:color w:val="000000"/>
                <w:sz w:val="20"/>
                <w:szCs w:val="20"/>
                <w:lang w:eastAsia="en-AU"/>
              </w:rPr>
              <w:t>16</w:t>
            </w:r>
          </w:p>
        </w:tc>
        <w:tc>
          <w:tcPr>
            <w:tcW w:w="976" w:type="dxa"/>
            <w:tcBorders>
              <w:top w:val="single" w:sz="4" w:space="0" w:color="000000"/>
              <w:left w:val="nil"/>
              <w:bottom w:val="single" w:sz="4" w:space="0" w:color="000000"/>
              <w:right w:val="nil"/>
            </w:tcBorders>
            <w:shd w:val="clear" w:color="auto" w:fill="auto"/>
            <w:noWrap/>
            <w:vAlign w:val="bottom"/>
            <w:hideMark/>
          </w:tcPr>
          <w:p w14:paraId="2B58F391" w14:textId="77777777" w:rsidR="00ED2ADC" w:rsidRPr="00F81459" w:rsidRDefault="00ED2ADC" w:rsidP="00F81459">
            <w:pPr>
              <w:spacing w:after="0" w:line="240" w:lineRule="auto"/>
              <w:jc w:val="right"/>
              <w:rPr>
                <w:rFonts w:eastAsia="Times New Roman" w:cs="Times New Roman"/>
                <w:b/>
                <w:bCs/>
                <w:color w:val="000000"/>
                <w:sz w:val="20"/>
                <w:szCs w:val="20"/>
                <w:lang w:eastAsia="en-AU"/>
              </w:rPr>
            </w:pPr>
            <w:r w:rsidRPr="00F81459">
              <w:rPr>
                <w:rFonts w:eastAsia="Times New Roman" w:cs="Times New Roman"/>
                <w:b/>
                <w:bCs/>
                <w:color w:val="000000"/>
                <w:sz w:val="20"/>
                <w:szCs w:val="20"/>
                <w:lang w:eastAsia="en-AU"/>
              </w:rPr>
              <w:t>20</w:t>
            </w:r>
          </w:p>
        </w:tc>
        <w:tc>
          <w:tcPr>
            <w:tcW w:w="976" w:type="dxa"/>
            <w:tcBorders>
              <w:top w:val="single" w:sz="4" w:space="0" w:color="000000"/>
              <w:left w:val="nil"/>
              <w:bottom w:val="single" w:sz="4" w:space="0" w:color="000000"/>
              <w:right w:val="nil"/>
            </w:tcBorders>
            <w:shd w:val="clear" w:color="auto" w:fill="auto"/>
            <w:noWrap/>
            <w:vAlign w:val="bottom"/>
            <w:hideMark/>
          </w:tcPr>
          <w:p w14:paraId="0E84BC20" w14:textId="77777777" w:rsidR="00ED2ADC" w:rsidRPr="00F81459" w:rsidRDefault="00ED2ADC" w:rsidP="00F81459">
            <w:pPr>
              <w:spacing w:after="0" w:line="240" w:lineRule="auto"/>
              <w:jc w:val="right"/>
              <w:rPr>
                <w:rFonts w:eastAsia="Times New Roman" w:cs="Times New Roman"/>
                <w:b/>
                <w:bCs/>
                <w:color w:val="000000"/>
                <w:sz w:val="20"/>
                <w:szCs w:val="20"/>
                <w:lang w:eastAsia="en-AU"/>
              </w:rPr>
            </w:pPr>
            <w:r w:rsidRPr="00F81459">
              <w:rPr>
                <w:rFonts w:eastAsia="Times New Roman" w:cs="Times New Roman"/>
                <w:b/>
                <w:bCs/>
                <w:color w:val="000000"/>
                <w:sz w:val="20"/>
                <w:szCs w:val="20"/>
                <w:lang w:eastAsia="en-AU"/>
              </w:rPr>
              <w:t>Total</w:t>
            </w:r>
          </w:p>
        </w:tc>
      </w:tr>
      <w:tr w:rsidR="00F81459" w:rsidRPr="00F81459" w14:paraId="15EBE475" w14:textId="77777777" w:rsidTr="00F81459">
        <w:trPr>
          <w:trHeight w:val="300"/>
        </w:trPr>
        <w:tc>
          <w:tcPr>
            <w:tcW w:w="976" w:type="dxa"/>
            <w:tcBorders>
              <w:top w:val="nil"/>
              <w:left w:val="nil"/>
              <w:bottom w:val="nil"/>
              <w:right w:val="nil"/>
            </w:tcBorders>
            <w:shd w:val="clear" w:color="D9D9D9" w:fill="D9D9D9"/>
            <w:noWrap/>
            <w:hideMark/>
          </w:tcPr>
          <w:p w14:paraId="30720B54" w14:textId="77777777" w:rsidR="00F81459" w:rsidRPr="00F81459" w:rsidRDefault="00F81459" w:rsidP="00F81459">
            <w:pPr>
              <w:spacing w:after="0" w:line="240" w:lineRule="auto"/>
              <w:jc w:val="right"/>
              <w:rPr>
                <w:sz w:val="20"/>
                <w:szCs w:val="20"/>
              </w:rPr>
            </w:pPr>
            <w:r w:rsidRPr="00F81459">
              <w:rPr>
                <w:sz w:val="20"/>
                <w:szCs w:val="20"/>
              </w:rPr>
              <w:t>2017</w:t>
            </w:r>
          </w:p>
        </w:tc>
        <w:tc>
          <w:tcPr>
            <w:tcW w:w="976" w:type="dxa"/>
            <w:tcBorders>
              <w:top w:val="nil"/>
              <w:left w:val="nil"/>
              <w:bottom w:val="nil"/>
              <w:right w:val="nil"/>
            </w:tcBorders>
            <w:shd w:val="clear" w:color="D9D9D9" w:fill="D9D9D9"/>
            <w:noWrap/>
            <w:hideMark/>
          </w:tcPr>
          <w:p w14:paraId="22296039" w14:textId="0FE0FC94"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11.79</w:t>
            </w:r>
          </w:p>
        </w:tc>
        <w:tc>
          <w:tcPr>
            <w:tcW w:w="976" w:type="dxa"/>
            <w:tcBorders>
              <w:top w:val="nil"/>
              <w:left w:val="nil"/>
              <w:bottom w:val="nil"/>
              <w:right w:val="nil"/>
            </w:tcBorders>
            <w:shd w:val="clear" w:color="D9D9D9" w:fill="D9D9D9"/>
            <w:noWrap/>
            <w:hideMark/>
          </w:tcPr>
          <w:p w14:paraId="285D21DB" w14:textId="3AB42B5E"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0.45</w:t>
            </w:r>
          </w:p>
        </w:tc>
        <w:tc>
          <w:tcPr>
            <w:tcW w:w="976" w:type="dxa"/>
            <w:tcBorders>
              <w:top w:val="nil"/>
              <w:left w:val="nil"/>
              <w:bottom w:val="nil"/>
              <w:right w:val="nil"/>
            </w:tcBorders>
            <w:shd w:val="clear" w:color="D9D9D9" w:fill="D9D9D9"/>
            <w:noWrap/>
            <w:hideMark/>
          </w:tcPr>
          <w:p w14:paraId="17E89C69" w14:textId="22A79D39"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208.89</w:t>
            </w:r>
          </w:p>
        </w:tc>
        <w:tc>
          <w:tcPr>
            <w:tcW w:w="976" w:type="dxa"/>
            <w:tcBorders>
              <w:top w:val="nil"/>
              <w:left w:val="nil"/>
              <w:bottom w:val="nil"/>
              <w:right w:val="nil"/>
            </w:tcBorders>
            <w:shd w:val="clear" w:color="D9D9D9" w:fill="D9D9D9"/>
            <w:noWrap/>
            <w:hideMark/>
          </w:tcPr>
          <w:p w14:paraId="51C5376B" w14:textId="34487C4B"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221.13</w:t>
            </w:r>
          </w:p>
        </w:tc>
      </w:tr>
      <w:tr w:rsidR="00F81459" w:rsidRPr="00F81459" w14:paraId="4D68D092" w14:textId="77777777" w:rsidTr="00F81459">
        <w:trPr>
          <w:trHeight w:val="300"/>
        </w:trPr>
        <w:tc>
          <w:tcPr>
            <w:tcW w:w="976" w:type="dxa"/>
            <w:tcBorders>
              <w:top w:val="nil"/>
              <w:left w:val="nil"/>
              <w:bottom w:val="nil"/>
              <w:right w:val="nil"/>
            </w:tcBorders>
            <w:shd w:val="clear" w:color="auto" w:fill="auto"/>
            <w:noWrap/>
            <w:hideMark/>
          </w:tcPr>
          <w:p w14:paraId="15A81527" w14:textId="77777777" w:rsidR="00F81459" w:rsidRPr="00F81459" w:rsidRDefault="00F81459" w:rsidP="00F81459">
            <w:pPr>
              <w:spacing w:after="0" w:line="240" w:lineRule="auto"/>
              <w:jc w:val="right"/>
              <w:rPr>
                <w:sz w:val="20"/>
                <w:szCs w:val="20"/>
              </w:rPr>
            </w:pPr>
            <w:r w:rsidRPr="00F81459">
              <w:rPr>
                <w:sz w:val="20"/>
                <w:szCs w:val="20"/>
              </w:rPr>
              <w:t>2018</w:t>
            </w:r>
          </w:p>
        </w:tc>
        <w:tc>
          <w:tcPr>
            <w:tcW w:w="976" w:type="dxa"/>
            <w:tcBorders>
              <w:top w:val="nil"/>
              <w:left w:val="nil"/>
              <w:bottom w:val="nil"/>
              <w:right w:val="nil"/>
            </w:tcBorders>
            <w:shd w:val="clear" w:color="auto" w:fill="auto"/>
            <w:noWrap/>
            <w:hideMark/>
          </w:tcPr>
          <w:p w14:paraId="6C4038EE" w14:textId="1A149BA6"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11.41</w:t>
            </w:r>
          </w:p>
        </w:tc>
        <w:tc>
          <w:tcPr>
            <w:tcW w:w="976" w:type="dxa"/>
            <w:tcBorders>
              <w:top w:val="nil"/>
              <w:left w:val="nil"/>
              <w:bottom w:val="nil"/>
              <w:right w:val="nil"/>
            </w:tcBorders>
            <w:shd w:val="clear" w:color="auto" w:fill="auto"/>
            <w:noWrap/>
            <w:hideMark/>
          </w:tcPr>
          <w:p w14:paraId="76D4F267" w14:textId="65C93014"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0.39</w:t>
            </w:r>
          </w:p>
        </w:tc>
        <w:tc>
          <w:tcPr>
            <w:tcW w:w="976" w:type="dxa"/>
            <w:tcBorders>
              <w:top w:val="nil"/>
              <w:left w:val="nil"/>
              <w:bottom w:val="nil"/>
              <w:right w:val="nil"/>
            </w:tcBorders>
            <w:shd w:val="clear" w:color="auto" w:fill="auto"/>
            <w:noWrap/>
            <w:hideMark/>
          </w:tcPr>
          <w:p w14:paraId="626441A4" w14:textId="10D37B6D"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213.07</w:t>
            </w:r>
          </w:p>
        </w:tc>
        <w:tc>
          <w:tcPr>
            <w:tcW w:w="976" w:type="dxa"/>
            <w:tcBorders>
              <w:top w:val="nil"/>
              <w:left w:val="nil"/>
              <w:bottom w:val="nil"/>
              <w:right w:val="nil"/>
            </w:tcBorders>
            <w:shd w:val="clear" w:color="auto" w:fill="auto"/>
            <w:noWrap/>
            <w:hideMark/>
          </w:tcPr>
          <w:p w14:paraId="3B3723E5" w14:textId="63F15E5C"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224.88</w:t>
            </w:r>
          </w:p>
        </w:tc>
      </w:tr>
      <w:tr w:rsidR="00F81459" w:rsidRPr="00F81459" w14:paraId="294600CE" w14:textId="77777777" w:rsidTr="00F81459">
        <w:trPr>
          <w:trHeight w:val="300"/>
        </w:trPr>
        <w:tc>
          <w:tcPr>
            <w:tcW w:w="976" w:type="dxa"/>
            <w:tcBorders>
              <w:top w:val="nil"/>
              <w:left w:val="nil"/>
              <w:bottom w:val="nil"/>
              <w:right w:val="nil"/>
            </w:tcBorders>
            <w:shd w:val="clear" w:color="D9D9D9" w:fill="D9D9D9"/>
            <w:noWrap/>
            <w:hideMark/>
          </w:tcPr>
          <w:p w14:paraId="49165CB6" w14:textId="77777777" w:rsidR="00F81459" w:rsidRPr="00F81459" w:rsidRDefault="00F81459" w:rsidP="00F81459">
            <w:pPr>
              <w:spacing w:after="0" w:line="240" w:lineRule="auto"/>
              <w:jc w:val="right"/>
              <w:rPr>
                <w:sz w:val="20"/>
                <w:szCs w:val="20"/>
              </w:rPr>
            </w:pPr>
            <w:r w:rsidRPr="00F81459">
              <w:rPr>
                <w:sz w:val="20"/>
                <w:szCs w:val="20"/>
              </w:rPr>
              <w:t>2019</w:t>
            </w:r>
          </w:p>
        </w:tc>
        <w:tc>
          <w:tcPr>
            <w:tcW w:w="976" w:type="dxa"/>
            <w:tcBorders>
              <w:top w:val="nil"/>
              <w:left w:val="nil"/>
              <w:bottom w:val="nil"/>
              <w:right w:val="nil"/>
            </w:tcBorders>
            <w:shd w:val="clear" w:color="D9D9D9" w:fill="D9D9D9"/>
            <w:noWrap/>
            <w:hideMark/>
          </w:tcPr>
          <w:p w14:paraId="79EF8CA1" w14:textId="3A1A64BF"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10.31</w:t>
            </w:r>
          </w:p>
        </w:tc>
        <w:tc>
          <w:tcPr>
            <w:tcW w:w="976" w:type="dxa"/>
            <w:tcBorders>
              <w:top w:val="nil"/>
              <w:left w:val="nil"/>
              <w:bottom w:val="nil"/>
              <w:right w:val="nil"/>
            </w:tcBorders>
            <w:shd w:val="clear" w:color="D9D9D9" w:fill="D9D9D9"/>
            <w:noWrap/>
            <w:hideMark/>
          </w:tcPr>
          <w:p w14:paraId="75F2E682" w14:textId="57418066"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0.39</w:t>
            </w:r>
          </w:p>
        </w:tc>
        <w:tc>
          <w:tcPr>
            <w:tcW w:w="976" w:type="dxa"/>
            <w:tcBorders>
              <w:top w:val="nil"/>
              <w:left w:val="nil"/>
              <w:bottom w:val="nil"/>
              <w:right w:val="nil"/>
            </w:tcBorders>
            <w:shd w:val="clear" w:color="D9D9D9" w:fill="D9D9D9"/>
            <w:noWrap/>
            <w:hideMark/>
          </w:tcPr>
          <w:p w14:paraId="02820A55" w14:textId="7E8C466E"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212.65</w:t>
            </w:r>
          </w:p>
        </w:tc>
        <w:tc>
          <w:tcPr>
            <w:tcW w:w="976" w:type="dxa"/>
            <w:tcBorders>
              <w:top w:val="nil"/>
              <w:left w:val="nil"/>
              <w:bottom w:val="nil"/>
              <w:right w:val="nil"/>
            </w:tcBorders>
            <w:shd w:val="clear" w:color="D9D9D9" w:fill="D9D9D9"/>
            <w:noWrap/>
            <w:hideMark/>
          </w:tcPr>
          <w:p w14:paraId="51D31128" w14:textId="7AA62324"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223.36</w:t>
            </w:r>
          </w:p>
        </w:tc>
      </w:tr>
      <w:tr w:rsidR="00F81459" w:rsidRPr="00F81459" w14:paraId="185E8195" w14:textId="77777777" w:rsidTr="00F81459">
        <w:trPr>
          <w:trHeight w:val="300"/>
        </w:trPr>
        <w:tc>
          <w:tcPr>
            <w:tcW w:w="976" w:type="dxa"/>
            <w:tcBorders>
              <w:top w:val="nil"/>
              <w:left w:val="nil"/>
              <w:bottom w:val="nil"/>
              <w:right w:val="nil"/>
            </w:tcBorders>
            <w:shd w:val="clear" w:color="auto" w:fill="auto"/>
            <w:noWrap/>
            <w:hideMark/>
          </w:tcPr>
          <w:p w14:paraId="7D999E12" w14:textId="77777777" w:rsidR="00F81459" w:rsidRPr="00F81459" w:rsidRDefault="00F81459" w:rsidP="00F81459">
            <w:pPr>
              <w:spacing w:after="0" w:line="240" w:lineRule="auto"/>
              <w:jc w:val="right"/>
              <w:rPr>
                <w:sz w:val="20"/>
                <w:szCs w:val="20"/>
              </w:rPr>
            </w:pPr>
            <w:r w:rsidRPr="00F81459">
              <w:rPr>
                <w:sz w:val="20"/>
                <w:szCs w:val="20"/>
              </w:rPr>
              <w:t>2020</w:t>
            </w:r>
          </w:p>
        </w:tc>
        <w:tc>
          <w:tcPr>
            <w:tcW w:w="976" w:type="dxa"/>
            <w:tcBorders>
              <w:top w:val="nil"/>
              <w:left w:val="nil"/>
              <w:bottom w:val="nil"/>
              <w:right w:val="nil"/>
            </w:tcBorders>
            <w:shd w:val="clear" w:color="auto" w:fill="auto"/>
            <w:noWrap/>
            <w:hideMark/>
          </w:tcPr>
          <w:p w14:paraId="0952246F" w14:textId="3ACB01F9"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11.02</w:t>
            </w:r>
          </w:p>
        </w:tc>
        <w:tc>
          <w:tcPr>
            <w:tcW w:w="976" w:type="dxa"/>
            <w:tcBorders>
              <w:top w:val="nil"/>
              <w:left w:val="nil"/>
              <w:bottom w:val="nil"/>
              <w:right w:val="nil"/>
            </w:tcBorders>
            <w:shd w:val="clear" w:color="auto" w:fill="auto"/>
            <w:noWrap/>
            <w:hideMark/>
          </w:tcPr>
          <w:p w14:paraId="2F4C6E99" w14:textId="365AE408"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0.53</w:t>
            </w:r>
          </w:p>
        </w:tc>
        <w:tc>
          <w:tcPr>
            <w:tcW w:w="976" w:type="dxa"/>
            <w:tcBorders>
              <w:top w:val="nil"/>
              <w:left w:val="nil"/>
              <w:bottom w:val="nil"/>
              <w:right w:val="nil"/>
            </w:tcBorders>
            <w:shd w:val="clear" w:color="auto" w:fill="auto"/>
            <w:noWrap/>
            <w:hideMark/>
          </w:tcPr>
          <w:p w14:paraId="223BA6DF" w14:textId="69552A34"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231.90</w:t>
            </w:r>
          </w:p>
        </w:tc>
        <w:tc>
          <w:tcPr>
            <w:tcW w:w="976" w:type="dxa"/>
            <w:tcBorders>
              <w:top w:val="nil"/>
              <w:left w:val="nil"/>
              <w:bottom w:val="nil"/>
              <w:right w:val="nil"/>
            </w:tcBorders>
            <w:shd w:val="clear" w:color="auto" w:fill="auto"/>
            <w:noWrap/>
            <w:hideMark/>
          </w:tcPr>
          <w:p w14:paraId="657D70D5" w14:textId="6D927213"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243.46</w:t>
            </w:r>
          </w:p>
        </w:tc>
      </w:tr>
      <w:tr w:rsidR="00F81459" w:rsidRPr="00F81459" w14:paraId="2D603459" w14:textId="77777777" w:rsidTr="00F81459">
        <w:trPr>
          <w:trHeight w:val="300"/>
        </w:trPr>
        <w:tc>
          <w:tcPr>
            <w:tcW w:w="976" w:type="dxa"/>
            <w:tcBorders>
              <w:top w:val="nil"/>
              <w:left w:val="nil"/>
              <w:bottom w:val="single" w:sz="4" w:space="0" w:color="000000"/>
              <w:right w:val="nil"/>
            </w:tcBorders>
            <w:shd w:val="clear" w:color="D9D9D9" w:fill="D9D9D9"/>
            <w:noWrap/>
            <w:hideMark/>
          </w:tcPr>
          <w:p w14:paraId="7C9E01AC" w14:textId="77777777" w:rsidR="00F81459" w:rsidRPr="00F81459" w:rsidRDefault="00F81459" w:rsidP="00F81459">
            <w:pPr>
              <w:spacing w:after="0" w:line="240" w:lineRule="auto"/>
              <w:jc w:val="right"/>
              <w:rPr>
                <w:sz w:val="20"/>
                <w:szCs w:val="20"/>
              </w:rPr>
            </w:pPr>
            <w:r w:rsidRPr="00F81459">
              <w:rPr>
                <w:sz w:val="20"/>
                <w:szCs w:val="20"/>
              </w:rPr>
              <w:t>2021</w:t>
            </w:r>
          </w:p>
        </w:tc>
        <w:tc>
          <w:tcPr>
            <w:tcW w:w="976" w:type="dxa"/>
            <w:tcBorders>
              <w:top w:val="nil"/>
              <w:left w:val="nil"/>
              <w:bottom w:val="single" w:sz="4" w:space="0" w:color="000000"/>
              <w:right w:val="nil"/>
            </w:tcBorders>
            <w:shd w:val="clear" w:color="D9D9D9" w:fill="D9D9D9"/>
            <w:noWrap/>
            <w:hideMark/>
          </w:tcPr>
          <w:p w14:paraId="54B32DCD" w14:textId="7CD83AF2"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12.98</w:t>
            </w:r>
          </w:p>
        </w:tc>
        <w:tc>
          <w:tcPr>
            <w:tcW w:w="976" w:type="dxa"/>
            <w:tcBorders>
              <w:top w:val="nil"/>
              <w:left w:val="nil"/>
              <w:bottom w:val="single" w:sz="4" w:space="0" w:color="000000"/>
              <w:right w:val="nil"/>
            </w:tcBorders>
            <w:shd w:val="clear" w:color="D9D9D9" w:fill="D9D9D9"/>
            <w:noWrap/>
            <w:hideMark/>
          </w:tcPr>
          <w:p w14:paraId="78F0F74C" w14:textId="3905C179"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0.03</w:t>
            </w:r>
          </w:p>
        </w:tc>
        <w:tc>
          <w:tcPr>
            <w:tcW w:w="976" w:type="dxa"/>
            <w:tcBorders>
              <w:top w:val="nil"/>
              <w:left w:val="nil"/>
              <w:bottom w:val="single" w:sz="4" w:space="0" w:color="000000"/>
              <w:right w:val="nil"/>
            </w:tcBorders>
            <w:shd w:val="clear" w:color="D9D9D9" w:fill="D9D9D9"/>
            <w:noWrap/>
            <w:hideMark/>
          </w:tcPr>
          <w:p w14:paraId="4F4C190B" w14:textId="1245C092"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242.06</w:t>
            </w:r>
          </w:p>
        </w:tc>
        <w:tc>
          <w:tcPr>
            <w:tcW w:w="976" w:type="dxa"/>
            <w:tcBorders>
              <w:top w:val="nil"/>
              <w:left w:val="nil"/>
              <w:bottom w:val="single" w:sz="4" w:space="0" w:color="000000"/>
              <w:right w:val="nil"/>
            </w:tcBorders>
            <w:shd w:val="clear" w:color="D9D9D9" w:fill="D9D9D9"/>
            <w:noWrap/>
            <w:hideMark/>
          </w:tcPr>
          <w:p w14:paraId="35698D58" w14:textId="2FF58015" w:rsidR="00F81459" w:rsidRPr="00F81459" w:rsidRDefault="00F81459" w:rsidP="00F81459">
            <w:pPr>
              <w:spacing w:after="0" w:line="240" w:lineRule="auto"/>
              <w:jc w:val="right"/>
              <w:rPr>
                <w:rFonts w:eastAsia="Times New Roman" w:cs="Times New Roman"/>
                <w:color w:val="000000"/>
                <w:sz w:val="20"/>
                <w:szCs w:val="20"/>
                <w:lang w:eastAsia="en-AU"/>
              </w:rPr>
            </w:pPr>
            <w:r w:rsidRPr="00F81459">
              <w:rPr>
                <w:sz w:val="20"/>
                <w:szCs w:val="20"/>
              </w:rPr>
              <w:t>255.07</w:t>
            </w:r>
          </w:p>
        </w:tc>
      </w:tr>
    </w:tbl>
    <w:p w14:paraId="4816FF81" w14:textId="77777777" w:rsidR="00ED2ADC" w:rsidRPr="00ED2ADC" w:rsidRDefault="00ED2ADC" w:rsidP="00ED2ADC">
      <w:pPr>
        <w:rPr>
          <w:rFonts w:asciiTheme="minorHAnsi" w:hAnsiTheme="minorHAnsi" w:cs="Times New Roman"/>
          <w:sz w:val="22"/>
        </w:rPr>
      </w:pPr>
    </w:p>
    <w:p w14:paraId="3554CA83" w14:textId="099AA287" w:rsidR="00ED2ADC" w:rsidRPr="00ED2ADC" w:rsidRDefault="00ED2ADC" w:rsidP="00596E66">
      <w:pPr>
        <w:pStyle w:val="Heading5"/>
      </w:pPr>
      <w:r w:rsidRPr="00ED2ADC">
        <w:t>G</w:t>
      </w:r>
      <w:r w:rsidRPr="00ED2ADC">
        <w:rPr>
          <w:noProof/>
        </w:rPr>
        <w:t>rocery sales of non-prescription paracetamol, IRI2017-21, number of packs purchased when more than one item purchased</w:t>
      </w:r>
    </w:p>
    <w:tbl>
      <w:tblPr>
        <w:tblStyle w:val="ListTable2"/>
        <w:tblW w:w="5000" w:type="pct"/>
        <w:tblLook w:val="04A0" w:firstRow="1" w:lastRow="0" w:firstColumn="1" w:lastColumn="0" w:noHBand="0" w:noVBand="1"/>
      </w:tblPr>
      <w:tblGrid>
        <w:gridCol w:w="902"/>
        <w:gridCol w:w="902"/>
        <w:gridCol w:w="902"/>
        <w:gridCol w:w="902"/>
        <w:gridCol w:w="903"/>
        <w:gridCol w:w="903"/>
        <w:gridCol w:w="903"/>
        <w:gridCol w:w="903"/>
        <w:gridCol w:w="903"/>
        <w:gridCol w:w="903"/>
      </w:tblGrid>
      <w:tr w:rsidR="00ED2ADC" w:rsidRPr="00D0012A" w14:paraId="558A29CD" w14:textId="77777777" w:rsidTr="00D00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dxa"/>
            <w:noWrap/>
            <w:hideMark/>
          </w:tcPr>
          <w:p w14:paraId="10E9C47B" w14:textId="77777777" w:rsidR="00ED2ADC" w:rsidRPr="00D0012A" w:rsidRDefault="00ED2ADC" w:rsidP="00F81459">
            <w:pPr>
              <w:jc w:val="right"/>
              <w:rPr>
                <w:rFonts w:eastAsia="Times New Roman" w:cs="Times New Roman"/>
                <w:sz w:val="20"/>
                <w:szCs w:val="20"/>
                <w:lang w:eastAsia="en-AU"/>
              </w:rPr>
            </w:pPr>
            <w:r w:rsidRPr="00D0012A">
              <w:rPr>
                <w:rFonts w:eastAsia="Times New Roman" w:cs="Times New Roman"/>
                <w:sz w:val="20"/>
                <w:szCs w:val="20"/>
                <w:lang w:eastAsia="en-AU"/>
              </w:rPr>
              <w:t>Year</w:t>
            </w:r>
          </w:p>
        </w:tc>
        <w:tc>
          <w:tcPr>
            <w:tcW w:w="1166" w:type="dxa"/>
            <w:noWrap/>
            <w:hideMark/>
          </w:tcPr>
          <w:p w14:paraId="732361B2"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2 Units</w:t>
            </w:r>
          </w:p>
        </w:tc>
        <w:tc>
          <w:tcPr>
            <w:tcW w:w="1166" w:type="dxa"/>
            <w:noWrap/>
            <w:hideMark/>
          </w:tcPr>
          <w:p w14:paraId="2F67E0A7"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3 Units</w:t>
            </w:r>
          </w:p>
        </w:tc>
        <w:tc>
          <w:tcPr>
            <w:tcW w:w="1166" w:type="dxa"/>
            <w:noWrap/>
            <w:hideMark/>
          </w:tcPr>
          <w:p w14:paraId="3F222B3A"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 Units</w:t>
            </w:r>
          </w:p>
        </w:tc>
        <w:tc>
          <w:tcPr>
            <w:tcW w:w="1166" w:type="dxa"/>
            <w:noWrap/>
            <w:hideMark/>
          </w:tcPr>
          <w:p w14:paraId="1CE131A1"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5 Units</w:t>
            </w:r>
          </w:p>
        </w:tc>
        <w:tc>
          <w:tcPr>
            <w:tcW w:w="1166" w:type="dxa"/>
            <w:noWrap/>
            <w:hideMark/>
          </w:tcPr>
          <w:p w14:paraId="0639B400"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6 Units</w:t>
            </w:r>
          </w:p>
        </w:tc>
        <w:tc>
          <w:tcPr>
            <w:tcW w:w="1166" w:type="dxa"/>
            <w:noWrap/>
            <w:hideMark/>
          </w:tcPr>
          <w:p w14:paraId="6EBB148D"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7 Units</w:t>
            </w:r>
          </w:p>
        </w:tc>
        <w:tc>
          <w:tcPr>
            <w:tcW w:w="1166" w:type="dxa"/>
            <w:noWrap/>
            <w:hideMark/>
          </w:tcPr>
          <w:p w14:paraId="1A105A0A"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8 Units</w:t>
            </w:r>
          </w:p>
        </w:tc>
        <w:tc>
          <w:tcPr>
            <w:tcW w:w="1166" w:type="dxa"/>
            <w:noWrap/>
            <w:hideMark/>
          </w:tcPr>
          <w:p w14:paraId="005AEC02" w14:textId="77777777" w:rsidR="00ED2ADC" w:rsidRPr="00D0012A" w:rsidRDefault="00ED2ADC" w:rsidP="00ED2ADC">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 Units</w:t>
            </w:r>
          </w:p>
        </w:tc>
        <w:tc>
          <w:tcPr>
            <w:tcW w:w="1166" w:type="dxa"/>
            <w:noWrap/>
            <w:hideMark/>
          </w:tcPr>
          <w:p w14:paraId="3B1CA8F2" w14:textId="77777777" w:rsidR="00ED2ADC" w:rsidRPr="00D0012A" w:rsidRDefault="00ED2ADC" w:rsidP="00F81459">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10+ Units</w:t>
            </w:r>
          </w:p>
        </w:tc>
      </w:tr>
      <w:tr w:rsidR="00ED2ADC" w:rsidRPr="00D0012A" w14:paraId="5FE90BC2" w14:textId="77777777" w:rsidTr="00D0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6" w:type="dxa"/>
            <w:noWrap/>
            <w:hideMark/>
          </w:tcPr>
          <w:p w14:paraId="30727630" w14:textId="77777777" w:rsidR="00ED2ADC" w:rsidRPr="00D0012A" w:rsidRDefault="00ED2ADC" w:rsidP="00ED2ADC">
            <w:pPr>
              <w:jc w:val="right"/>
              <w:rPr>
                <w:rFonts w:eastAsia="Times New Roman" w:cs="Times New Roman"/>
                <w:sz w:val="20"/>
                <w:szCs w:val="20"/>
                <w:lang w:eastAsia="en-AU"/>
              </w:rPr>
            </w:pPr>
            <w:r w:rsidRPr="00D0012A">
              <w:rPr>
                <w:rFonts w:eastAsia="Times New Roman" w:cs="Times New Roman"/>
                <w:sz w:val="20"/>
                <w:szCs w:val="20"/>
                <w:lang w:eastAsia="en-AU"/>
              </w:rPr>
              <w:t>2017</w:t>
            </w:r>
          </w:p>
        </w:tc>
        <w:tc>
          <w:tcPr>
            <w:tcW w:w="1166" w:type="dxa"/>
            <w:noWrap/>
            <w:hideMark/>
          </w:tcPr>
          <w:p w14:paraId="322CEBAD"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17.17</w:t>
            </w:r>
          </w:p>
        </w:tc>
        <w:tc>
          <w:tcPr>
            <w:tcW w:w="1166" w:type="dxa"/>
            <w:noWrap/>
            <w:hideMark/>
          </w:tcPr>
          <w:p w14:paraId="005A1655"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2.81</w:t>
            </w:r>
          </w:p>
        </w:tc>
        <w:tc>
          <w:tcPr>
            <w:tcW w:w="1166" w:type="dxa"/>
            <w:noWrap/>
            <w:hideMark/>
          </w:tcPr>
          <w:p w14:paraId="1B175D20"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1.17</w:t>
            </w:r>
          </w:p>
        </w:tc>
        <w:tc>
          <w:tcPr>
            <w:tcW w:w="1166" w:type="dxa"/>
            <w:noWrap/>
            <w:hideMark/>
          </w:tcPr>
          <w:p w14:paraId="6A5C4879"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0.26</w:t>
            </w:r>
          </w:p>
        </w:tc>
        <w:tc>
          <w:tcPr>
            <w:tcW w:w="1166" w:type="dxa"/>
            <w:noWrap/>
            <w:hideMark/>
          </w:tcPr>
          <w:p w14:paraId="71554CDB"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0.16</w:t>
            </w:r>
          </w:p>
        </w:tc>
        <w:tc>
          <w:tcPr>
            <w:tcW w:w="1166" w:type="dxa"/>
            <w:noWrap/>
            <w:hideMark/>
          </w:tcPr>
          <w:p w14:paraId="707253E8"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1166" w:type="dxa"/>
            <w:noWrap/>
            <w:hideMark/>
          </w:tcPr>
          <w:p w14:paraId="6D09F047"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1166" w:type="dxa"/>
            <w:noWrap/>
            <w:hideMark/>
          </w:tcPr>
          <w:p w14:paraId="3153BD85"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0.01</w:t>
            </w:r>
          </w:p>
        </w:tc>
        <w:tc>
          <w:tcPr>
            <w:tcW w:w="1166" w:type="dxa"/>
            <w:noWrap/>
            <w:hideMark/>
          </w:tcPr>
          <w:p w14:paraId="749A562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0.06</w:t>
            </w:r>
          </w:p>
        </w:tc>
      </w:tr>
      <w:tr w:rsidR="00ED2ADC" w:rsidRPr="00D0012A" w14:paraId="513FE826" w14:textId="77777777" w:rsidTr="00D0012A">
        <w:tc>
          <w:tcPr>
            <w:cnfStyle w:val="001000000000" w:firstRow="0" w:lastRow="0" w:firstColumn="1" w:lastColumn="0" w:oddVBand="0" w:evenVBand="0" w:oddHBand="0" w:evenHBand="0" w:firstRowFirstColumn="0" w:firstRowLastColumn="0" w:lastRowFirstColumn="0" w:lastRowLastColumn="0"/>
            <w:tcW w:w="0" w:type="auto"/>
            <w:noWrap/>
            <w:hideMark/>
          </w:tcPr>
          <w:p w14:paraId="0A7504CB" w14:textId="77777777" w:rsidR="00ED2ADC" w:rsidRPr="00D0012A" w:rsidRDefault="00ED2ADC" w:rsidP="00ED2ADC">
            <w:pPr>
              <w:jc w:val="right"/>
              <w:rPr>
                <w:rFonts w:eastAsia="Times New Roman" w:cs="Times New Roman"/>
                <w:sz w:val="20"/>
                <w:szCs w:val="20"/>
                <w:lang w:eastAsia="en-AU"/>
              </w:rPr>
            </w:pPr>
            <w:r w:rsidRPr="00D0012A">
              <w:rPr>
                <w:rFonts w:eastAsia="Times New Roman" w:cs="Times New Roman"/>
                <w:sz w:val="20"/>
                <w:szCs w:val="20"/>
                <w:lang w:eastAsia="en-AU"/>
              </w:rPr>
              <w:t>2018</w:t>
            </w:r>
          </w:p>
        </w:tc>
        <w:tc>
          <w:tcPr>
            <w:tcW w:w="0" w:type="auto"/>
            <w:noWrap/>
            <w:hideMark/>
          </w:tcPr>
          <w:p w14:paraId="4645A820"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18.05</w:t>
            </w:r>
          </w:p>
        </w:tc>
        <w:tc>
          <w:tcPr>
            <w:tcW w:w="0" w:type="auto"/>
            <w:noWrap/>
            <w:hideMark/>
          </w:tcPr>
          <w:p w14:paraId="794FBF4B"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3.06</w:t>
            </w:r>
          </w:p>
        </w:tc>
        <w:tc>
          <w:tcPr>
            <w:tcW w:w="0" w:type="auto"/>
            <w:noWrap/>
            <w:hideMark/>
          </w:tcPr>
          <w:p w14:paraId="036AA120"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1.31</w:t>
            </w:r>
          </w:p>
        </w:tc>
        <w:tc>
          <w:tcPr>
            <w:tcW w:w="0" w:type="auto"/>
            <w:noWrap/>
            <w:hideMark/>
          </w:tcPr>
          <w:p w14:paraId="2CB40C49"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0.29</w:t>
            </w:r>
          </w:p>
        </w:tc>
        <w:tc>
          <w:tcPr>
            <w:tcW w:w="0" w:type="auto"/>
            <w:noWrap/>
            <w:hideMark/>
          </w:tcPr>
          <w:p w14:paraId="12482730"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0.18</w:t>
            </w:r>
          </w:p>
        </w:tc>
        <w:tc>
          <w:tcPr>
            <w:tcW w:w="0" w:type="auto"/>
            <w:noWrap/>
            <w:hideMark/>
          </w:tcPr>
          <w:p w14:paraId="751407AB"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1C7723E8"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21A94DA1"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0.01</w:t>
            </w:r>
          </w:p>
        </w:tc>
        <w:tc>
          <w:tcPr>
            <w:tcW w:w="0" w:type="auto"/>
            <w:noWrap/>
            <w:hideMark/>
          </w:tcPr>
          <w:p w14:paraId="7713E4DD"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0.06</w:t>
            </w:r>
          </w:p>
        </w:tc>
      </w:tr>
      <w:tr w:rsidR="00ED2ADC" w:rsidRPr="00D0012A" w14:paraId="7E3D59A3" w14:textId="77777777" w:rsidTr="00D0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BB9C902" w14:textId="77777777" w:rsidR="00ED2ADC" w:rsidRPr="00D0012A" w:rsidRDefault="00ED2ADC" w:rsidP="00ED2ADC">
            <w:pPr>
              <w:jc w:val="right"/>
              <w:rPr>
                <w:rFonts w:eastAsia="Times New Roman" w:cs="Times New Roman"/>
                <w:sz w:val="20"/>
                <w:szCs w:val="20"/>
                <w:lang w:eastAsia="en-AU"/>
              </w:rPr>
            </w:pPr>
            <w:r w:rsidRPr="00D0012A">
              <w:rPr>
                <w:rFonts w:eastAsia="Times New Roman" w:cs="Times New Roman"/>
                <w:sz w:val="20"/>
                <w:szCs w:val="20"/>
                <w:lang w:eastAsia="en-AU"/>
              </w:rPr>
              <w:t>2019</w:t>
            </w:r>
          </w:p>
        </w:tc>
        <w:tc>
          <w:tcPr>
            <w:tcW w:w="0" w:type="auto"/>
            <w:noWrap/>
            <w:hideMark/>
          </w:tcPr>
          <w:p w14:paraId="416104FA"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18.37</w:t>
            </w:r>
          </w:p>
        </w:tc>
        <w:tc>
          <w:tcPr>
            <w:tcW w:w="0" w:type="auto"/>
            <w:noWrap/>
            <w:hideMark/>
          </w:tcPr>
          <w:p w14:paraId="4208CDF3"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3.17</w:t>
            </w:r>
          </w:p>
        </w:tc>
        <w:tc>
          <w:tcPr>
            <w:tcW w:w="0" w:type="auto"/>
            <w:noWrap/>
            <w:hideMark/>
          </w:tcPr>
          <w:p w14:paraId="66D1C907"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1.35</w:t>
            </w:r>
          </w:p>
        </w:tc>
        <w:tc>
          <w:tcPr>
            <w:tcW w:w="0" w:type="auto"/>
            <w:noWrap/>
            <w:hideMark/>
          </w:tcPr>
          <w:p w14:paraId="191A0503"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0.30</w:t>
            </w:r>
          </w:p>
        </w:tc>
        <w:tc>
          <w:tcPr>
            <w:tcW w:w="0" w:type="auto"/>
            <w:noWrap/>
            <w:hideMark/>
          </w:tcPr>
          <w:p w14:paraId="163EF40C"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0.19</w:t>
            </w:r>
          </w:p>
        </w:tc>
        <w:tc>
          <w:tcPr>
            <w:tcW w:w="0" w:type="auto"/>
            <w:noWrap/>
            <w:hideMark/>
          </w:tcPr>
          <w:p w14:paraId="08252D6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154C89DD"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34519FE7"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0.01</w:t>
            </w:r>
          </w:p>
        </w:tc>
        <w:tc>
          <w:tcPr>
            <w:tcW w:w="0" w:type="auto"/>
            <w:noWrap/>
            <w:hideMark/>
          </w:tcPr>
          <w:p w14:paraId="3A7038BC"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0.06</w:t>
            </w:r>
          </w:p>
        </w:tc>
      </w:tr>
      <w:tr w:rsidR="00ED2ADC" w:rsidRPr="00D0012A" w14:paraId="60936153" w14:textId="77777777" w:rsidTr="00D0012A">
        <w:tc>
          <w:tcPr>
            <w:cnfStyle w:val="001000000000" w:firstRow="0" w:lastRow="0" w:firstColumn="1" w:lastColumn="0" w:oddVBand="0" w:evenVBand="0" w:oddHBand="0" w:evenHBand="0" w:firstRowFirstColumn="0" w:firstRowLastColumn="0" w:lastRowFirstColumn="0" w:lastRowLastColumn="0"/>
            <w:tcW w:w="0" w:type="auto"/>
            <w:noWrap/>
            <w:hideMark/>
          </w:tcPr>
          <w:p w14:paraId="12A4BE26" w14:textId="77777777" w:rsidR="00ED2ADC" w:rsidRPr="00D0012A" w:rsidRDefault="00ED2ADC" w:rsidP="00ED2ADC">
            <w:pPr>
              <w:jc w:val="right"/>
              <w:rPr>
                <w:rFonts w:eastAsia="Times New Roman" w:cs="Times New Roman"/>
                <w:sz w:val="20"/>
                <w:szCs w:val="20"/>
                <w:lang w:eastAsia="en-AU"/>
              </w:rPr>
            </w:pPr>
            <w:r w:rsidRPr="00D0012A">
              <w:rPr>
                <w:rFonts w:eastAsia="Times New Roman" w:cs="Times New Roman"/>
                <w:sz w:val="20"/>
                <w:szCs w:val="20"/>
                <w:lang w:eastAsia="en-AU"/>
              </w:rPr>
              <w:t>2020</w:t>
            </w:r>
          </w:p>
        </w:tc>
        <w:tc>
          <w:tcPr>
            <w:tcW w:w="0" w:type="auto"/>
            <w:noWrap/>
            <w:hideMark/>
          </w:tcPr>
          <w:p w14:paraId="551F7C10"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20.62</w:t>
            </w:r>
          </w:p>
        </w:tc>
        <w:tc>
          <w:tcPr>
            <w:tcW w:w="0" w:type="auto"/>
            <w:noWrap/>
            <w:hideMark/>
          </w:tcPr>
          <w:p w14:paraId="33E75DDC"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3.25</w:t>
            </w:r>
          </w:p>
        </w:tc>
        <w:tc>
          <w:tcPr>
            <w:tcW w:w="0" w:type="auto"/>
            <w:noWrap/>
            <w:hideMark/>
          </w:tcPr>
          <w:p w14:paraId="4E0897EA"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1.46</w:t>
            </w:r>
          </w:p>
        </w:tc>
        <w:tc>
          <w:tcPr>
            <w:tcW w:w="0" w:type="auto"/>
            <w:noWrap/>
            <w:hideMark/>
          </w:tcPr>
          <w:p w14:paraId="3AB8C16D"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0.32</w:t>
            </w:r>
          </w:p>
        </w:tc>
        <w:tc>
          <w:tcPr>
            <w:tcW w:w="0" w:type="auto"/>
            <w:noWrap/>
            <w:hideMark/>
          </w:tcPr>
          <w:p w14:paraId="5CE14F22"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0.19</w:t>
            </w:r>
          </w:p>
        </w:tc>
        <w:tc>
          <w:tcPr>
            <w:tcW w:w="0" w:type="auto"/>
            <w:noWrap/>
            <w:hideMark/>
          </w:tcPr>
          <w:p w14:paraId="4AA5B1B4"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519F24E0"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0.04</w:t>
            </w:r>
          </w:p>
        </w:tc>
        <w:tc>
          <w:tcPr>
            <w:tcW w:w="0" w:type="auto"/>
            <w:noWrap/>
            <w:hideMark/>
          </w:tcPr>
          <w:p w14:paraId="61568116"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0.01</w:t>
            </w:r>
          </w:p>
        </w:tc>
        <w:tc>
          <w:tcPr>
            <w:tcW w:w="0" w:type="auto"/>
            <w:noWrap/>
            <w:hideMark/>
          </w:tcPr>
          <w:p w14:paraId="4EA30F6B"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0.06</w:t>
            </w:r>
          </w:p>
        </w:tc>
      </w:tr>
      <w:tr w:rsidR="00ED2ADC" w:rsidRPr="00D0012A" w14:paraId="522C82DE" w14:textId="77777777" w:rsidTr="00D00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noWrap/>
            <w:hideMark/>
          </w:tcPr>
          <w:p w14:paraId="110984BF" w14:textId="77777777" w:rsidR="00ED2ADC" w:rsidRPr="00D0012A" w:rsidRDefault="00ED2ADC" w:rsidP="00ED2ADC">
            <w:pPr>
              <w:jc w:val="right"/>
              <w:rPr>
                <w:rFonts w:eastAsia="Times New Roman" w:cs="Times New Roman"/>
                <w:sz w:val="20"/>
                <w:szCs w:val="20"/>
                <w:lang w:eastAsia="en-AU"/>
              </w:rPr>
            </w:pPr>
            <w:r w:rsidRPr="00D0012A">
              <w:rPr>
                <w:rFonts w:eastAsia="Times New Roman" w:cs="Times New Roman"/>
                <w:sz w:val="20"/>
                <w:szCs w:val="20"/>
                <w:lang w:eastAsia="en-AU"/>
              </w:rPr>
              <w:t>2021</w:t>
            </w:r>
          </w:p>
        </w:tc>
        <w:tc>
          <w:tcPr>
            <w:tcW w:w="0" w:type="auto"/>
            <w:noWrap/>
            <w:hideMark/>
          </w:tcPr>
          <w:p w14:paraId="353653D3"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19.61</w:t>
            </w:r>
          </w:p>
        </w:tc>
        <w:tc>
          <w:tcPr>
            <w:tcW w:w="0" w:type="auto"/>
            <w:noWrap/>
            <w:hideMark/>
          </w:tcPr>
          <w:p w14:paraId="003AA796"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3.21</w:t>
            </w:r>
          </w:p>
        </w:tc>
        <w:tc>
          <w:tcPr>
            <w:tcW w:w="0" w:type="auto"/>
            <w:noWrap/>
            <w:hideMark/>
          </w:tcPr>
          <w:p w14:paraId="653BE87A"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1.36</w:t>
            </w:r>
          </w:p>
        </w:tc>
        <w:tc>
          <w:tcPr>
            <w:tcW w:w="0" w:type="auto"/>
            <w:noWrap/>
            <w:hideMark/>
          </w:tcPr>
          <w:p w14:paraId="465278FF"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0.30</w:t>
            </w:r>
          </w:p>
        </w:tc>
        <w:tc>
          <w:tcPr>
            <w:tcW w:w="0" w:type="auto"/>
            <w:noWrap/>
            <w:hideMark/>
          </w:tcPr>
          <w:p w14:paraId="64F8AD58"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0.17</w:t>
            </w:r>
          </w:p>
        </w:tc>
        <w:tc>
          <w:tcPr>
            <w:tcW w:w="0" w:type="auto"/>
            <w:noWrap/>
            <w:hideMark/>
          </w:tcPr>
          <w:p w14:paraId="331EF996"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4659C98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0.03</w:t>
            </w:r>
          </w:p>
        </w:tc>
        <w:tc>
          <w:tcPr>
            <w:tcW w:w="0" w:type="auto"/>
            <w:noWrap/>
            <w:hideMark/>
          </w:tcPr>
          <w:p w14:paraId="7D963329"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0.01</w:t>
            </w:r>
          </w:p>
        </w:tc>
        <w:tc>
          <w:tcPr>
            <w:tcW w:w="0" w:type="auto"/>
            <w:noWrap/>
            <w:hideMark/>
          </w:tcPr>
          <w:p w14:paraId="06359F4A"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cs="Times New Roman"/>
                <w:color w:val="000000"/>
                <w:sz w:val="20"/>
                <w:szCs w:val="20"/>
              </w:rPr>
              <w:t>0.05</w:t>
            </w:r>
          </w:p>
        </w:tc>
      </w:tr>
    </w:tbl>
    <w:p w14:paraId="344E8D6B" w14:textId="77777777" w:rsidR="00ED2ADC" w:rsidRPr="00ED2ADC" w:rsidRDefault="00ED2ADC" w:rsidP="00ED2ADC">
      <w:pPr>
        <w:rPr>
          <w:rFonts w:asciiTheme="minorHAnsi" w:hAnsiTheme="minorHAnsi"/>
          <w:sz w:val="22"/>
        </w:rPr>
      </w:pPr>
    </w:p>
    <w:p w14:paraId="44940202" w14:textId="77777777" w:rsidR="00ED2ADC" w:rsidRPr="00ED2ADC" w:rsidRDefault="00ED2ADC" w:rsidP="00F81459">
      <w:pPr>
        <w:pStyle w:val="Heading5"/>
      </w:pPr>
      <w:r w:rsidRPr="00ED2ADC">
        <w:t>Total sales (all states and territories) of paracetamol-containing products (single or multiple ingredients) by pack size at grocery/convenience stores.</w:t>
      </w:r>
    </w:p>
    <w:p w14:paraId="7D1DF325" w14:textId="77777777" w:rsidR="00ED2ADC" w:rsidRPr="00ED2ADC" w:rsidRDefault="00ED2ADC" w:rsidP="00F81459">
      <w:pPr>
        <w:pStyle w:val="Heading6"/>
      </w:pPr>
      <w:r w:rsidRPr="00ED2ADC">
        <w:t>Proportion of single pack sales, by pack size</w:t>
      </w:r>
    </w:p>
    <w:tbl>
      <w:tblPr>
        <w:tblStyle w:val="ListTable6Colorful"/>
        <w:tblW w:w="7760" w:type="dxa"/>
        <w:tblLook w:val="04A0" w:firstRow="1" w:lastRow="0" w:firstColumn="1" w:lastColumn="0" w:noHBand="0" w:noVBand="1"/>
      </w:tblPr>
      <w:tblGrid>
        <w:gridCol w:w="960"/>
        <w:gridCol w:w="1360"/>
        <w:gridCol w:w="1360"/>
        <w:gridCol w:w="1360"/>
        <w:gridCol w:w="1360"/>
        <w:gridCol w:w="1360"/>
      </w:tblGrid>
      <w:tr w:rsidR="00ED2ADC" w:rsidRPr="00D0012A" w14:paraId="17C85212" w14:textId="77777777" w:rsidTr="000333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05CC47" w14:textId="77777777" w:rsidR="00ED2ADC" w:rsidRPr="00D0012A" w:rsidRDefault="00ED2ADC" w:rsidP="00F81459">
            <w:pPr>
              <w:keepNext/>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Pack size</w:t>
            </w:r>
          </w:p>
        </w:tc>
        <w:tc>
          <w:tcPr>
            <w:tcW w:w="1360" w:type="dxa"/>
            <w:noWrap/>
            <w:hideMark/>
          </w:tcPr>
          <w:p w14:paraId="567A80C1" w14:textId="77777777" w:rsidR="00ED2ADC" w:rsidRPr="00D0012A" w:rsidRDefault="00ED2ADC" w:rsidP="00F81459">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2017</w:t>
            </w:r>
          </w:p>
        </w:tc>
        <w:tc>
          <w:tcPr>
            <w:tcW w:w="1360" w:type="dxa"/>
            <w:noWrap/>
            <w:hideMark/>
          </w:tcPr>
          <w:p w14:paraId="34AA5876" w14:textId="77777777" w:rsidR="00ED2ADC" w:rsidRPr="00D0012A" w:rsidRDefault="00ED2ADC" w:rsidP="00F81459">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2018</w:t>
            </w:r>
          </w:p>
        </w:tc>
        <w:tc>
          <w:tcPr>
            <w:tcW w:w="1360" w:type="dxa"/>
            <w:noWrap/>
            <w:hideMark/>
          </w:tcPr>
          <w:p w14:paraId="06107ED6" w14:textId="77777777" w:rsidR="00ED2ADC" w:rsidRPr="00D0012A" w:rsidRDefault="00ED2ADC" w:rsidP="00F81459">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2019</w:t>
            </w:r>
          </w:p>
        </w:tc>
        <w:tc>
          <w:tcPr>
            <w:tcW w:w="1360" w:type="dxa"/>
            <w:noWrap/>
            <w:hideMark/>
          </w:tcPr>
          <w:p w14:paraId="41DE94A9" w14:textId="77777777" w:rsidR="00ED2ADC" w:rsidRPr="00D0012A" w:rsidRDefault="00ED2ADC" w:rsidP="00F81459">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2020</w:t>
            </w:r>
          </w:p>
        </w:tc>
        <w:tc>
          <w:tcPr>
            <w:tcW w:w="1360" w:type="dxa"/>
            <w:noWrap/>
            <w:hideMark/>
          </w:tcPr>
          <w:p w14:paraId="12F9E4B9" w14:textId="77777777" w:rsidR="00ED2ADC" w:rsidRPr="00D0012A" w:rsidRDefault="00ED2ADC" w:rsidP="00F81459">
            <w:pPr>
              <w:keepNext/>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2021</w:t>
            </w:r>
          </w:p>
        </w:tc>
      </w:tr>
      <w:tr w:rsidR="00ED2ADC" w:rsidRPr="00D0012A" w14:paraId="07F55A7F" w14:textId="77777777" w:rsidTr="0003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B012D3D" w14:textId="77777777" w:rsidR="00ED2ADC" w:rsidRPr="00D0012A" w:rsidRDefault="00ED2ADC" w:rsidP="00F81459">
            <w:pPr>
              <w:keepNext/>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w:t>
            </w:r>
          </w:p>
        </w:tc>
        <w:tc>
          <w:tcPr>
            <w:tcW w:w="1360" w:type="dxa"/>
            <w:hideMark/>
          </w:tcPr>
          <w:p w14:paraId="77317FE8" w14:textId="77777777" w:rsidR="00ED2ADC" w:rsidRPr="00D0012A" w:rsidRDefault="00ED2ADC" w:rsidP="00F81459">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87.80%</w:t>
            </w:r>
          </w:p>
        </w:tc>
        <w:tc>
          <w:tcPr>
            <w:tcW w:w="1360" w:type="dxa"/>
            <w:hideMark/>
          </w:tcPr>
          <w:p w14:paraId="4104E623" w14:textId="77777777" w:rsidR="00ED2ADC" w:rsidRPr="00D0012A" w:rsidRDefault="00ED2ADC" w:rsidP="00F81459">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90.26%</w:t>
            </w:r>
          </w:p>
        </w:tc>
        <w:tc>
          <w:tcPr>
            <w:tcW w:w="1360" w:type="dxa"/>
            <w:hideMark/>
          </w:tcPr>
          <w:p w14:paraId="73FD941E" w14:textId="77777777" w:rsidR="00ED2ADC" w:rsidRPr="00D0012A" w:rsidRDefault="00ED2ADC" w:rsidP="00F81459">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90.43%</w:t>
            </w:r>
          </w:p>
        </w:tc>
        <w:tc>
          <w:tcPr>
            <w:tcW w:w="1360" w:type="dxa"/>
            <w:hideMark/>
          </w:tcPr>
          <w:p w14:paraId="62284712" w14:textId="77777777" w:rsidR="00ED2ADC" w:rsidRPr="00D0012A" w:rsidRDefault="00ED2ADC" w:rsidP="00F81459">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91.49%</w:t>
            </w:r>
          </w:p>
        </w:tc>
        <w:tc>
          <w:tcPr>
            <w:tcW w:w="1360" w:type="dxa"/>
            <w:hideMark/>
          </w:tcPr>
          <w:p w14:paraId="3E3B6743" w14:textId="77777777" w:rsidR="00ED2ADC" w:rsidRPr="00D0012A" w:rsidRDefault="00ED2ADC" w:rsidP="00F81459">
            <w:pPr>
              <w:keepNext/>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92.29%</w:t>
            </w:r>
          </w:p>
        </w:tc>
      </w:tr>
      <w:tr w:rsidR="00ED2ADC" w:rsidRPr="00D0012A" w14:paraId="717719B7" w14:textId="77777777" w:rsidTr="00033349">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A9D75DA" w14:textId="77777777" w:rsidR="00ED2ADC" w:rsidRPr="00D0012A" w:rsidRDefault="00ED2ADC" w:rsidP="00F81459">
            <w:pPr>
              <w:keepNext/>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c>
          <w:tcPr>
            <w:tcW w:w="1360" w:type="dxa"/>
            <w:hideMark/>
          </w:tcPr>
          <w:p w14:paraId="35BF237B" w14:textId="77777777" w:rsidR="00ED2ADC" w:rsidRPr="00D0012A" w:rsidRDefault="00ED2ADC" w:rsidP="00F81459">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7.26%</w:t>
            </w:r>
          </w:p>
        </w:tc>
        <w:tc>
          <w:tcPr>
            <w:tcW w:w="1360" w:type="dxa"/>
            <w:hideMark/>
          </w:tcPr>
          <w:p w14:paraId="00C1061F" w14:textId="77777777" w:rsidR="00ED2ADC" w:rsidRPr="00D0012A" w:rsidRDefault="00ED2ADC" w:rsidP="00F81459">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4.00%</w:t>
            </w:r>
          </w:p>
        </w:tc>
        <w:tc>
          <w:tcPr>
            <w:tcW w:w="1360" w:type="dxa"/>
            <w:hideMark/>
          </w:tcPr>
          <w:p w14:paraId="08147DF9" w14:textId="77777777" w:rsidR="00ED2ADC" w:rsidRPr="00D0012A" w:rsidRDefault="00ED2ADC" w:rsidP="00F81459">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3.44%</w:t>
            </w:r>
          </w:p>
        </w:tc>
        <w:tc>
          <w:tcPr>
            <w:tcW w:w="1360" w:type="dxa"/>
            <w:hideMark/>
          </w:tcPr>
          <w:p w14:paraId="15318178" w14:textId="77777777" w:rsidR="00ED2ADC" w:rsidRPr="00D0012A" w:rsidRDefault="00ED2ADC" w:rsidP="00F81459">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3.92%</w:t>
            </w:r>
          </w:p>
        </w:tc>
        <w:tc>
          <w:tcPr>
            <w:tcW w:w="1360" w:type="dxa"/>
            <w:hideMark/>
          </w:tcPr>
          <w:p w14:paraId="27408690" w14:textId="77777777" w:rsidR="00ED2ADC" w:rsidRPr="00D0012A" w:rsidRDefault="00ED2ADC" w:rsidP="00F81459">
            <w:pPr>
              <w:keepNext/>
              <w:jc w:val="right"/>
              <w:cnfStyle w:val="000000000000" w:firstRow="0" w:lastRow="0" w:firstColumn="0" w:lastColumn="0" w:oddVBand="0" w:evenVBand="0" w:oddHBand="0"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3.38%</w:t>
            </w:r>
          </w:p>
        </w:tc>
      </w:tr>
      <w:tr w:rsidR="00ED2ADC" w:rsidRPr="00D0012A" w14:paraId="7946E92A" w14:textId="77777777" w:rsidTr="0003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1226A0C" w14:textId="77777777" w:rsidR="00ED2ADC" w:rsidRPr="00D0012A" w:rsidRDefault="00ED2ADC" w:rsidP="00ED2ADC">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c>
          <w:tcPr>
            <w:tcW w:w="1360" w:type="dxa"/>
            <w:hideMark/>
          </w:tcPr>
          <w:p w14:paraId="204B0117"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4.95%</w:t>
            </w:r>
          </w:p>
        </w:tc>
        <w:tc>
          <w:tcPr>
            <w:tcW w:w="1360" w:type="dxa"/>
            <w:hideMark/>
          </w:tcPr>
          <w:p w14:paraId="787581B5"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5.74%</w:t>
            </w:r>
          </w:p>
        </w:tc>
        <w:tc>
          <w:tcPr>
            <w:tcW w:w="1360" w:type="dxa"/>
            <w:hideMark/>
          </w:tcPr>
          <w:p w14:paraId="4EFDE47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6.13%</w:t>
            </w:r>
          </w:p>
        </w:tc>
        <w:tc>
          <w:tcPr>
            <w:tcW w:w="1360" w:type="dxa"/>
            <w:hideMark/>
          </w:tcPr>
          <w:p w14:paraId="7D338F02"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4.59%</w:t>
            </w:r>
          </w:p>
        </w:tc>
        <w:tc>
          <w:tcPr>
            <w:tcW w:w="1360" w:type="dxa"/>
            <w:hideMark/>
          </w:tcPr>
          <w:p w14:paraId="3E024CB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n-AU"/>
              </w:rPr>
            </w:pPr>
            <w:r w:rsidRPr="00D0012A">
              <w:rPr>
                <w:rFonts w:eastAsia="Times New Roman" w:cs="Times New Roman"/>
                <w:sz w:val="20"/>
                <w:szCs w:val="20"/>
                <w:lang w:eastAsia="en-AU"/>
              </w:rPr>
              <w:t>4.33%</w:t>
            </w:r>
          </w:p>
        </w:tc>
      </w:tr>
    </w:tbl>
    <w:p w14:paraId="306BEFC9" w14:textId="77777777" w:rsidR="00ED2ADC" w:rsidRPr="00ED2ADC" w:rsidRDefault="00ED2ADC" w:rsidP="00ED2ADC">
      <w:pPr>
        <w:rPr>
          <w:rFonts w:asciiTheme="minorHAnsi" w:hAnsiTheme="minorHAnsi"/>
          <w:sz w:val="22"/>
        </w:rPr>
      </w:pPr>
    </w:p>
    <w:p w14:paraId="37DAD1DB" w14:textId="77777777" w:rsidR="00ED2ADC" w:rsidRPr="00ED2ADC" w:rsidRDefault="00ED2ADC" w:rsidP="00EA1BEF">
      <w:pPr>
        <w:pStyle w:val="Heading6"/>
      </w:pPr>
      <w:r w:rsidRPr="00ED2ADC">
        <w:t>Proportion of occasions where this pack size is sold with at least one other paracetamol-containing product</w:t>
      </w:r>
    </w:p>
    <w:tbl>
      <w:tblPr>
        <w:tblStyle w:val="ListTable6Colorful"/>
        <w:tblW w:w="7760" w:type="dxa"/>
        <w:tblLook w:val="04A0" w:firstRow="1" w:lastRow="0" w:firstColumn="1" w:lastColumn="0" w:noHBand="0" w:noVBand="1"/>
      </w:tblPr>
      <w:tblGrid>
        <w:gridCol w:w="960"/>
        <w:gridCol w:w="1360"/>
        <w:gridCol w:w="1360"/>
        <w:gridCol w:w="1360"/>
        <w:gridCol w:w="1360"/>
        <w:gridCol w:w="1360"/>
      </w:tblGrid>
      <w:tr w:rsidR="00ED2ADC" w:rsidRPr="00D0012A" w14:paraId="12B1D44E" w14:textId="77777777" w:rsidTr="0003334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60B17E3F" w14:textId="77777777" w:rsidR="00ED2ADC" w:rsidRPr="00D0012A" w:rsidRDefault="00ED2ADC" w:rsidP="00F81459">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Pack size</w:t>
            </w:r>
          </w:p>
        </w:tc>
        <w:tc>
          <w:tcPr>
            <w:tcW w:w="1360" w:type="dxa"/>
            <w:noWrap/>
            <w:hideMark/>
          </w:tcPr>
          <w:p w14:paraId="14451FDD" w14:textId="77777777" w:rsidR="00ED2ADC" w:rsidRPr="00D0012A"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2017</w:t>
            </w:r>
          </w:p>
        </w:tc>
        <w:tc>
          <w:tcPr>
            <w:tcW w:w="1360" w:type="dxa"/>
            <w:noWrap/>
            <w:hideMark/>
          </w:tcPr>
          <w:p w14:paraId="3AE4271E" w14:textId="77777777" w:rsidR="00ED2ADC" w:rsidRPr="00D0012A"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2018</w:t>
            </w:r>
          </w:p>
        </w:tc>
        <w:tc>
          <w:tcPr>
            <w:tcW w:w="1360" w:type="dxa"/>
            <w:noWrap/>
            <w:hideMark/>
          </w:tcPr>
          <w:p w14:paraId="5DBD8ED3" w14:textId="77777777" w:rsidR="00ED2ADC" w:rsidRPr="00D0012A"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2019</w:t>
            </w:r>
          </w:p>
        </w:tc>
        <w:tc>
          <w:tcPr>
            <w:tcW w:w="1360" w:type="dxa"/>
            <w:noWrap/>
            <w:hideMark/>
          </w:tcPr>
          <w:p w14:paraId="4C1D2831" w14:textId="77777777" w:rsidR="00ED2ADC" w:rsidRPr="00D0012A"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2020</w:t>
            </w:r>
          </w:p>
        </w:tc>
        <w:tc>
          <w:tcPr>
            <w:tcW w:w="1360" w:type="dxa"/>
            <w:noWrap/>
            <w:hideMark/>
          </w:tcPr>
          <w:p w14:paraId="159BBD17" w14:textId="77777777" w:rsidR="00ED2ADC" w:rsidRPr="00D0012A" w:rsidRDefault="00ED2ADC" w:rsidP="00ED2ADC">
            <w:pPr>
              <w:jc w:val="right"/>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2021</w:t>
            </w:r>
          </w:p>
        </w:tc>
      </w:tr>
      <w:tr w:rsidR="00ED2ADC" w:rsidRPr="00D0012A" w14:paraId="30522F44" w14:textId="77777777" w:rsidTr="0003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B2A699C" w14:textId="77777777" w:rsidR="00ED2ADC" w:rsidRPr="00D0012A" w:rsidRDefault="00ED2ADC" w:rsidP="00ED2ADC">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20</w:t>
            </w:r>
          </w:p>
        </w:tc>
        <w:tc>
          <w:tcPr>
            <w:tcW w:w="1360" w:type="dxa"/>
            <w:noWrap/>
            <w:hideMark/>
          </w:tcPr>
          <w:p w14:paraId="35226522"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0.64%</w:t>
            </w:r>
          </w:p>
        </w:tc>
        <w:tc>
          <w:tcPr>
            <w:tcW w:w="1360" w:type="dxa"/>
            <w:noWrap/>
            <w:hideMark/>
          </w:tcPr>
          <w:p w14:paraId="038E8C91"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0.68%</w:t>
            </w:r>
          </w:p>
        </w:tc>
        <w:tc>
          <w:tcPr>
            <w:tcW w:w="1360" w:type="dxa"/>
            <w:noWrap/>
            <w:hideMark/>
          </w:tcPr>
          <w:p w14:paraId="0EB34788"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0.72%</w:t>
            </w:r>
          </w:p>
        </w:tc>
        <w:tc>
          <w:tcPr>
            <w:tcW w:w="1360" w:type="dxa"/>
            <w:noWrap/>
            <w:hideMark/>
          </w:tcPr>
          <w:p w14:paraId="0ECBF05F"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0.73%</w:t>
            </w:r>
          </w:p>
        </w:tc>
        <w:tc>
          <w:tcPr>
            <w:tcW w:w="1360" w:type="dxa"/>
            <w:noWrap/>
            <w:hideMark/>
          </w:tcPr>
          <w:p w14:paraId="40D11652"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0.66%</w:t>
            </w:r>
          </w:p>
        </w:tc>
      </w:tr>
      <w:tr w:rsidR="00ED2ADC" w:rsidRPr="00D0012A" w14:paraId="1FB28E9F" w14:textId="77777777" w:rsidTr="00033349">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BEC179F" w14:textId="77777777" w:rsidR="00ED2ADC" w:rsidRPr="00D0012A" w:rsidRDefault="00ED2ADC" w:rsidP="00ED2ADC">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12</w:t>
            </w:r>
          </w:p>
        </w:tc>
        <w:tc>
          <w:tcPr>
            <w:tcW w:w="1360" w:type="dxa"/>
            <w:noWrap/>
            <w:hideMark/>
          </w:tcPr>
          <w:p w14:paraId="0B531963"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4.47%</w:t>
            </w:r>
          </w:p>
        </w:tc>
        <w:tc>
          <w:tcPr>
            <w:tcW w:w="1360" w:type="dxa"/>
            <w:noWrap/>
            <w:hideMark/>
          </w:tcPr>
          <w:p w14:paraId="0E01B0A7"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5.50%</w:t>
            </w:r>
          </w:p>
        </w:tc>
        <w:tc>
          <w:tcPr>
            <w:tcW w:w="1360" w:type="dxa"/>
            <w:noWrap/>
            <w:hideMark/>
          </w:tcPr>
          <w:p w14:paraId="71E2A74B"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7.04%</w:t>
            </w:r>
          </w:p>
        </w:tc>
        <w:tc>
          <w:tcPr>
            <w:tcW w:w="1360" w:type="dxa"/>
            <w:noWrap/>
            <w:hideMark/>
          </w:tcPr>
          <w:p w14:paraId="1F38E408"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8.67%</w:t>
            </w:r>
          </w:p>
        </w:tc>
        <w:tc>
          <w:tcPr>
            <w:tcW w:w="1360" w:type="dxa"/>
            <w:noWrap/>
            <w:hideMark/>
          </w:tcPr>
          <w:p w14:paraId="6490BD14" w14:textId="77777777" w:rsidR="00ED2ADC" w:rsidRPr="00D0012A" w:rsidRDefault="00ED2ADC" w:rsidP="00ED2ADC">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8.74%</w:t>
            </w:r>
          </w:p>
        </w:tc>
      </w:tr>
      <w:tr w:rsidR="00ED2ADC" w:rsidRPr="00D0012A" w14:paraId="6177DCA6" w14:textId="77777777" w:rsidTr="0003334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01621E3" w14:textId="77777777" w:rsidR="00ED2ADC" w:rsidRPr="00D0012A" w:rsidRDefault="00ED2ADC" w:rsidP="00ED2ADC">
            <w:pPr>
              <w:jc w:val="right"/>
              <w:rPr>
                <w:rFonts w:eastAsia="Times New Roman" w:cs="Times New Roman"/>
                <w:color w:val="000000"/>
                <w:sz w:val="20"/>
                <w:szCs w:val="20"/>
                <w:lang w:eastAsia="en-AU"/>
              </w:rPr>
            </w:pPr>
            <w:r w:rsidRPr="00D0012A">
              <w:rPr>
                <w:rFonts w:eastAsia="Times New Roman" w:cs="Times New Roman"/>
                <w:color w:val="000000"/>
                <w:sz w:val="20"/>
                <w:szCs w:val="20"/>
                <w:lang w:eastAsia="en-AU"/>
              </w:rPr>
              <w:t>10</w:t>
            </w:r>
          </w:p>
        </w:tc>
        <w:tc>
          <w:tcPr>
            <w:tcW w:w="1360" w:type="dxa"/>
            <w:noWrap/>
            <w:hideMark/>
          </w:tcPr>
          <w:p w14:paraId="0C1EB6D1"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8.00%</w:t>
            </w:r>
          </w:p>
        </w:tc>
        <w:tc>
          <w:tcPr>
            <w:tcW w:w="1360" w:type="dxa"/>
            <w:noWrap/>
            <w:hideMark/>
          </w:tcPr>
          <w:p w14:paraId="11582FFE"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9.60%</w:t>
            </w:r>
          </w:p>
        </w:tc>
        <w:tc>
          <w:tcPr>
            <w:tcW w:w="1360" w:type="dxa"/>
            <w:noWrap/>
            <w:hideMark/>
          </w:tcPr>
          <w:p w14:paraId="7F35E25C"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9.55%</w:t>
            </w:r>
          </w:p>
        </w:tc>
        <w:tc>
          <w:tcPr>
            <w:tcW w:w="1360" w:type="dxa"/>
            <w:noWrap/>
            <w:hideMark/>
          </w:tcPr>
          <w:p w14:paraId="5139E160"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10.92%</w:t>
            </w:r>
          </w:p>
        </w:tc>
        <w:tc>
          <w:tcPr>
            <w:tcW w:w="1360" w:type="dxa"/>
            <w:noWrap/>
            <w:hideMark/>
          </w:tcPr>
          <w:p w14:paraId="348806C1" w14:textId="77777777" w:rsidR="00ED2ADC" w:rsidRPr="00D0012A" w:rsidRDefault="00ED2ADC" w:rsidP="00ED2ADC">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en-AU"/>
              </w:rPr>
            </w:pPr>
            <w:r w:rsidRPr="00D0012A">
              <w:rPr>
                <w:rFonts w:eastAsia="Times New Roman" w:cs="Times New Roman"/>
                <w:color w:val="000000"/>
                <w:sz w:val="20"/>
                <w:szCs w:val="20"/>
                <w:lang w:eastAsia="en-AU"/>
              </w:rPr>
              <w:t>11.01%</w:t>
            </w:r>
          </w:p>
        </w:tc>
      </w:tr>
    </w:tbl>
    <w:p w14:paraId="157BA441" w14:textId="77777777" w:rsidR="00860BB3" w:rsidRPr="00860BB3" w:rsidRDefault="00860BB3" w:rsidP="00860BB3"/>
    <w:p w14:paraId="1FC82630" w14:textId="360A5EC7" w:rsidR="00F777E9" w:rsidRDefault="00F777E9">
      <w:pPr>
        <w:rPr>
          <w:rStyle w:val="BookTitle"/>
          <w:rFonts w:asciiTheme="majorHAnsi" w:eastAsiaTheme="majorEastAsia" w:hAnsiTheme="majorHAnsi" w:cstheme="majorBidi"/>
          <w:b w:val="0"/>
          <w:bCs w:val="0"/>
          <w:i w:val="0"/>
          <w:iCs w:val="0"/>
          <w:noProof/>
          <w:color w:val="2F5496" w:themeColor="accent1" w:themeShade="BF"/>
          <w:spacing w:val="0"/>
          <w:sz w:val="26"/>
          <w:szCs w:val="26"/>
        </w:rPr>
      </w:pPr>
      <w:bookmarkStart w:id="180" w:name="OLE_LINK5"/>
    </w:p>
    <w:p w14:paraId="44FB702E" w14:textId="77777777" w:rsidR="00D0012A" w:rsidRDefault="00D0012A" w:rsidP="00F00B65">
      <w:pPr>
        <w:pStyle w:val="Heading2"/>
        <w:rPr>
          <w:rStyle w:val="BookTitle"/>
          <w:b w:val="0"/>
          <w:bCs w:val="0"/>
          <w:i w:val="0"/>
          <w:iCs w:val="0"/>
          <w:spacing w:val="0"/>
        </w:rPr>
      </w:pPr>
      <w:r>
        <w:rPr>
          <w:rStyle w:val="BookTitle"/>
          <w:b w:val="0"/>
          <w:bCs w:val="0"/>
          <w:i w:val="0"/>
          <w:iCs w:val="0"/>
          <w:spacing w:val="0"/>
        </w:rPr>
        <w:br w:type="page"/>
      </w:r>
    </w:p>
    <w:p w14:paraId="57F69BAB" w14:textId="424D0361" w:rsidR="00B94CD6" w:rsidRPr="00B94CD6" w:rsidRDefault="00706FC3" w:rsidP="005F1C6C">
      <w:pPr>
        <w:pStyle w:val="Heading2"/>
      </w:pPr>
      <w:bookmarkStart w:id="181" w:name="_Toc112843960"/>
      <w:r w:rsidRPr="00E228BF">
        <w:rPr>
          <w:rStyle w:val="BookTitle"/>
          <w:b w:val="0"/>
          <w:bCs w:val="0"/>
          <w:i w:val="0"/>
          <w:iCs w:val="0"/>
          <w:spacing w:val="0"/>
        </w:rPr>
        <w:t>Appendix D</w:t>
      </w:r>
      <w:r w:rsidR="001B5D11">
        <w:rPr>
          <w:rStyle w:val="BookTitle"/>
          <w:b w:val="0"/>
          <w:bCs w:val="0"/>
          <w:i w:val="0"/>
          <w:iCs w:val="0"/>
          <w:spacing w:val="0"/>
        </w:rPr>
        <w:t>:</w:t>
      </w:r>
      <w:r w:rsidRPr="00E228BF">
        <w:rPr>
          <w:rStyle w:val="BookTitle"/>
          <w:b w:val="0"/>
          <w:bCs w:val="0"/>
          <w:i w:val="0"/>
          <w:iCs w:val="0"/>
          <w:spacing w:val="0"/>
        </w:rPr>
        <w:t xml:space="preserve"> Combined Australian PIC data in Tables</w:t>
      </w:r>
      <w:bookmarkEnd w:id="181"/>
      <w:r w:rsidRPr="00E228BF">
        <w:rPr>
          <w:rStyle w:val="BookTitle"/>
          <w:b w:val="0"/>
          <w:bCs w:val="0"/>
          <w:i w:val="0"/>
          <w:iCs w:val="0"/>
          <w:spacing w:val="0"/>
        </w:rPr>
        <w:t xml:space="preserve"> </w:t>
      </w:r>
      <w:bookmarkEnd w:id="180"/>
    </w:p>
    <w:p w14:paraId="2ABED94C" w14:textId="77777777" w:rsidR="00B94CD6" w:rsidRPr="00B94CD6" w:rsidRDefault="00B94CD6" w:rsidP="00D0012A">
      <w:pPr>
        <w:pStyle w:val="Heading5"/>
      </w:pPr>
      <w:r w:rsidRPr="00B94CD6">
        <w:t>National PIC calls about paracetamol exposures - Trends by age 2017-21 </w:t>
      </w:r>
    </w:p>
    <w:tbl>
      <w:tblPr>
        <w:tblW w:w="66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945"/>
        <w:gridCol w:w="945"/>
        <w:gridCol w:w="945"/>
        <w:gridCol w:w="945"/>
        <w:gridCol w:w="945"/>
        <w:gridCol w:w="945"/>
      </w:tblGrid>
      <w:tr w:rsidR="00B94CD6" w:rsidRPr="00D0012A" w14:paraId="789EA9F7"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76A2FAD8" w14:textId="77777777" w:rsidR="00B94CD6" w:rsidRPr="00D0012A" w:rsidRDefault="00B94CD6" w:rsidP="00F81459">
            <w:pPr>
              <w:jc w:val="right"/>
              <w:rPr>
                <w:b/>
                <w:bCs/>
                <w:sz w:val="20"/>
                <w:szCs w:val="20"/>
              </w:rPr>
            </w:pPr>
            <w:r w:rsidRPr="00D0012A">
              <w:rPr>
                <w:b/>
                <w:bCs/>
                <w:sz w:val="20"/>
                <w:szCs w:val="20"/>
              </w:rPr>
              <w:t>Year </w:t>
            </w:r>
          </w:p>
        </w:tc>
        <w:tc>
          <w:tcPr>
            <w:tcW w:w="945" w:type="dxa"/>
            <w:tcBorders>
              <w:top w:val="single" w:sz="6" w:space="0" w:color="666666"/>
              <w:left w:val="nil"/>
              <w:bottom w:val="single" w:sz="6" w:space="0" w:color="666666"/>
              <w:right w:val="nil"/>
            </w:tcBorders>
            <w:shd w:val="clear" w:color="auto" w:fill="auto"/>
            <w:hideMark/>
          </w:tcPr>
          <w:p w14:paraId="657E202F" w14:textId="77777777" w:rsidR="00B94CD6" w:rsidRPr="00D0012A" w:rsidRDefault="00B94CD6" w:rsidP="00F81459">
            <w:pPr>
              <w:jc w:val="right"/>
              <w:rPr>
                <w:b/>
                <w:bCs/>
                <w:sz w:val="20"/>
                <w:szCs w:val="20"/>
              </w:rPr>
            </w:pPr>
            <w:r w:rsidRPr="00D0012A">
              <w:rPr>
                <w:b/>
                <w:bCs/>
                <w:sz w:val="20"/>
                <w:szCs w:val="20"/>
              </w:rPr>
              <w:t>&lt;5 </w:t>
            </w:r>
          </w:p>
        </w:tc>
        <w:tc>
          <w:tcPr>
            <w:tcW w:w="945" w:type="dxa"/>
            <w:tcBorders>
              <w:top w:val="single" w:sz="6" w:space="0" w:color="666666"/>
              <w:left w:val="nil"/>
              <w:bottom w:val="single" w:sz="6" w:space="0" w:color="666666"/>
              <w:right w:val="nil"/>
            </w:tcBorders>
            <w:shd w:val="clear" w:color="auto" w:fill="auto"/>
            <w:hideMark/>
          </w:tcPr>
          <w:p w14:paraId="32A5A4AF" w14:textId="77777777" w:rsidR="00B94CD6" w:rsidRPr="00D0012A" w:rsidRDefault="00B94CD6" w:rsidP="00F81459">
            <w:pPr>
              <w:jc w:val="right"/>
              <w:rPr>
                <w:b/>
                <w:bCs/>
                <w:sz w:val="20"/>
                <w:szCs w:val="20"/>
              </w:rPr>
            </w:pPr>
            <w:r w:rsidRPr="00D0012A">
              <w:rPr>
                <w:b/>
                <w:bCs/>
                <w:sz w:val="20"/>
                <w:szCs w:val="20"/>
              </w:rPr>
              <w:t>5--14 </w:t>
            </w:r>
          </w:p>
        </w:tc>
        <w:tc>
          <w:tcPr>
            <w:tcW w:w="945" w:type="dxa"/>
            <w:tcBorders>
              <w:top w:val="single" w:sz="6" w:space="0" w:color="666666"/>
              <w:left w:val="nil"/>
              <w:bottom w:val="single" w:sz="6" w:space="0" w:color="666666"/>
              <w:right w:val="nil"/>
            </w:tcBorders>
            <w:shd w:val="clear" w:color="auto" w:fill="auto"/>
            <w:hideMark/>
          </w:tcPr>
          <w:p w14:paraId="17AB9FD9" w14:textId="77777777" w:rsidR="00B94CD6" w:rsidRPr="00D0012A" w:rsidRDefault="00B94CD6" w:rsidP="00F81459">
            <w:pPr>
              <w:jc w:val="right"/>
              <w:rPr>
                <w:b/>
                <w:bCs/>
                <w:sz w:val="20"/>
                <w:szCs w:val="20"/>
              </w:rPr>
            </w:pPr>
            <w:r w:rsidRPr="00D0012A">
              <w:rPr>
                <w:b/>
                <w:bCs/>
                <w:sz w:val="20"/>
                <w:szCs w:val="20"/>
              </w:rPr>
              <w:t>15-19 </w:t>
            </w:r>
          </w:p>
        </w:tc>
        <w:tc>
          <w:tcPr>
            <w:tcW w:w="945" w:type="dxa"/>
            <w:tcBorders>
              <w:top w:val="single" w:sz="6" w:space="0" w:color="666666"/>
              <w:left w:val="nil"/>
              <w:bottom w:val="single" w:sz="6" w:space="0" w:color="666666"/>
              <w:right w:val="nil"/>
            </w:tcBorders>
            <w:shd w:val="clear" w:color="auto" w:fill="auto"/>
            <w:hideMark/>
          </w:tcPr>
          <w:p w14:paraId="2E200C3E" w14:textId="77777777" w:rsidR="00B94CD6" w:rsidRPr="00D0012A" w:rsidRDefault="00B94CD6" w:rsidP="00F81459">
            <w:pPr>
              <w:jc w:val="right"/>
              <w:rPr>
                <w:b/>
                <w:bCs/>
                <w:sz w:val="20"/>
                <w:szCs w:val="20"/>
              </w:rPr>
            </w:pPr>
            <w:r w:rsidRPr="00D0012A">
              <w:rPr>
                <w:b/>
                <w:bCs/>
                <w:sz w:val="20"/>
                <w:szCs w:val="20"/>
              </w:rPr>
              <w:t>20-74 </w:t>
            </w:r>
          </w:p>
        </w:tc>
        <w:tc>
          <w:tcPr>
            <w:tcW w:w="945" w:type="dxa"/>
            <w:tcBorders>
              <w:top w:val="single" w:sz="6" w:space="0" w:color="666666"/>
              <w:left w:val="nil"/>
              <w:bottom w:val="single" w:sz="6" w:space="0" w:color="666666"/>
              <w:right w:val="nil"/>
            </w:tcBorders>
            <w:shd w:val="clear" w:color="auto" w:fill="auto"/>
            <w:hideMark/>
          </w:tcPr>
          <w:p w14:paraId="1E827A25" w14:textId="77777777" w:rsidR="00B94CD6" w:rsidRPr="00D0012A" w:rsidRDefault="00B94CD6" w:rsidP="00F81459">
            <w:pPr>
              <w:jc w:val="right"/>
              <w:rPr>
                <w:b/>
                <w:bCs/>
                <w:sz w:val="20"/>
                <w:szCs w:val="20"/>
              </w:rPr>
            </w:pPr>
            <w:r w:rsidRPr="00D0012A">
              <w:rPr>
                <w:b/>
                <w:bCs/>
                <w:sz w:val="20"/>
                <w:szCs w:val="20"/>
              </w:rPr>
              <w:t>75+ </w:t>
            </w:r>
          </w:p>
        </w:tc>
        <w:tc>
          <w:tcPr>
            <w:tcW w:w="945" w:type="dxa"/>
            <w:tcBorders>
              <w:top w:val="single" w:sz="6" w:space="0" w:color="666666"/>
              <w:left w:val="nil"/>
              <w:bottom w:val="single" w:sz="6" w:space="0" w:color="666666"/>
              <w:right w:val="nil"/>
            </w:tcBorders>
            <w:shd w:val="clear" w:color="auto" w:fill="auto"/>
            <w:hideMark/>
          </w:tcPr>
          <w:p w14:paraId="0E94AC32" w14:textId="77777777" w:rsidR="00B94CD6" w:rsidRPr="00D0012A" w:rsidRDefault="00B94CD6" w:rsidP="00F81459">
            <w:pPr>
              <w:jc w:val="right"/>
              <w:rPr>
                <w:b/>
                <w:bCs/>
                <w:sz w:val="20"/>
                <w:szCs w:val="20"/>
              </w:rPr>
            </w:pPr>
            <w:r w:rsidRPr="00D0012A">
              <w:rPr>
                <w:b/>
                <w:bCs/>
                <w:sz w:val="20"/>
                <w:szCs w:val="20"/>
              </w:rPr>
              <w:t>All </w:t>
            </w:r>
          </w:p>
        </w:tc>
      </w:tr>
      <w:tr w:rsidR="00B94CD6" w:rsidRPr="00D0012A" w14:paraId="0381D7D5"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79EB6495" w14:textId="77777777" w:rsidR="00B94CD6" w:rsidRPr="00D0012A" w:rsidRDefault="00B94CD6" w:rsidP="00F81459">
            <w:pPr>
              <w:jc w:val="right"/>
              <w:rPr>
                <w:b/>
                <w:bCs/>
                <w:sz w:val="20"/>
                <w:szCs w:val="20"/>
              </w:rPr>
            </w:pPr>
            <w:r w:rsidRPr="00D0012A">
              <w:rPr>
                <w:b/>
                <w:bCs/>
                <w:sz w:val="20"/>
                <w:szCs w:val="20"/>
              </w:rPr>
              <w:t>2017 </w:t>
            </w:r>
          </w:p>
        </w:tc>
        <w:tc>
          <w:tcPr>
            <w:tcW w:w="945" w:type="dxa"/>
            <w:tcBorders>
              <w:top w:val="single" w:sz="6" w:space="0" w:color="666666"/>
              <w:left w:val="nil"/>
              <w:bottom w:val="single" w:sz="6" w:space="0" w:color="666666"/>
              <w:right w:val="nil"/>
            </w:tcBorders>
            <w:shd w:val="clear" w:color="auto" w:fill="CCCCCC"/>
            <w:hideMark/>
          </w:tcPr>
          <w:p w14:paraId="567EB212" w14:textId="77777777" w:rsidR="00B94CD6" w:rsidRPr="00D0012A" w:rsidRDefault="00B94CD6" w:rsidP="00F81459">
            <w:pPr>
              <w:jc w:val="right"/>
              <w:rPr>
                <w:sz w:val="20"/>
                <w:szCs w:val="20"/>
              </w:rPr>
            </w:pPr>
            <w:r w:rsidRPr="00D0012A">
              <w:rPr>
                <w:sz w:val="20"/>
                <w:szCs w:val="20"/>
              </w:rPr>
              <w:t>5172 </w:t>
            </w:r>
          </w:p>
        </w:tc>
        <w:tc>
          <w:tcPr>
            <w:tcW w:w="945" w:type="dxa"/>
            <w:tcBorders>
              <w:top w:val="single" w:sz="6" w:space="0" w:color="666666"/>
              <w:left w:val="nil"/>
              <w:bottom w:val="single" w:sz="6" w:space="0" w:color="666666"/>
              <w:right w:val="nil"/>
            </w:tcBorders>
            <w:shd w:val="clear" w:color="auto" w:fill="CCCCCC"/>
            <w:hideMark/>
          </w:tcPr>
          <w:p w14:paraId="558245D0" w14:textId="77777777" w:rsidR="00B94CD6" w:rsidRPr="00D0012A" w:rsidRDefault="00B94CD6" w:rsidP="00F81459">
            <w:pPr>
              <w:jc w:val="right"/>
              <w:rPr>
                <w:sz w:val="20"/>
                <w:szCs w:val="20"/>
              </w:rPr>
            </w:pPr>
            <w:r w:rsidRPr="00D0012A">
              <w:rPr>
                <w:sz w:val="20"/>
                <w:szCs w:val="20"/>
              </w:rPr>
              <w:t>1546 </w:t>
            </w:r>
          </w:p>
        </w:tc>
        <w:tc>
          <w:tcPr>
            <w:tcW w:w="945" w:type="dxa"/>
            <w:tcBorders>
              <w:top w:val="single" w:sz="6" w:space="0" w:color="666666"/>
              <w:left w:val="nil"/>
              <w:bottom w:val="single" w:sz="6" w:space="0" w:color="666666"/>
              <w:right w:val="nil"/>
            </w:tcBorders>
            <w:shd w:val="clear" w:color="auto" w:fill="CCCCCC"/>
            <w:hideMark/>
          </w:tcPr>
          <w:p w14:paraId="01BD1E46" w14:textId="77777777" w:rsidR="00B94CD6" w:rsidRPr="00D0012A" w:rsidRDefault="00B94CD6" w:rsidP="00F81459">
            <w:pPr>
              <w:jc w:val="right"/>
              <w:rPr>
                <w:sz w:val="20"/>
                <w:szCs w:val="20"/>
              </w:rPr>
            </w:pPr>
            <w:r w:rsidRPr="00D0012A">
              <w:rPr>
                <w:sz w:val="20"/>
                <w:szCs w:val="20"/>
              </w:rPr>
              <w:t>1950 </w:t>
            </w:r>
          </w:p>
        </w:tc>
        <w:tc>
          <w:tcPr>
            <w:tcW w:w="945" w:type="dxa"/>
            <w:tcBorders>
              <w:top w:val="single" w:sz="6" w:space="0" w:color="666666"/>
              <w:left w:val="nil"/>
              <w:bottom w:val="single" w:sz="6" w:space="0" w:color="666666"/>
              <w:right w:val="nil"/>
            </w:tcBorders>
            <w:shd w:val="clear" w:color="auto" w:fill="CCCCCC"/>
            <w:hideMark/>
          </w:tcPr>
          <w:p w14:paraId="4F3F1183" w14:textId="77777777" w:rsidR="00B94CD6" w:rsidRPr="00D0012A" w:rsidRDefault="00B94CD6" w:rsidP="00F81459">
            <w:pPr>
              <w:jc w:val="right"/>
              <w:rPr>
                <w:sz w:val="20"/>
                <w:szCs w:val="20"/>
              </w:rPr>
            </w:pPr>
            <w:r w:rsidRPr="00D0012A">
              <w:rPr>
                <w:sz w:val="20"/>
                <w:szCs w:val="20"/>
              </w:rPr>
              <w:t>7498 </w:t>
            </w:r>
          </w:p>
        </w:tc>
        <w:tc>
          <w:tcPr>
            <w:tcW w:w="945" w:type="dxa"/>
            <w:tcBorders>
              <w:top w:val="single" w:sz="6" w:space="0" w:color="666666"/>
              <w:left w:val="nil"/>
              <w:bottom w:val="single" w:sz="6" w:space="0" w:color="666666"/>
              <w:right w:val="nil"/>
            </w:tcBorders>
            <w:shd w:val="clear" w:color="auto" w:fill="CCCCCC"/>
            <w:hideMark/>
          </w:tcPr>
          <w:p w14:paraId="418F9D44" w14:textId="77777777" w:rsidR="00B94CD6" w:rsidRPr="00D0012A" w:rsidRDefault="00B94CD6" w:rsidP="00F81459">
            <w:pPr>
              <w:jc w:val="right"/>
              <w:rPr>
                <w:sz w:val="20"/>
                <w:szCs w:val="20"/>
              </w:rPr>
            </w:pPr>
            <w:r w:rsidRPr="00D0012A">
              <w:rPr>
                <w:sz w:val="20"/>
                <w:szCs w:val="20"/>
              </w:rPr>
              <w:t>493 </w:t>
            </w:r>
          </w:p>
        </w:tc>
        <w:tc>
          <w:tcPr>
            <w:tcW w:w="945" w:type="dxa"/>
            <w:tcBorders>
              <w:top w:val="single" w:sz="6" w:space="0" w:color="666666"/>
              <w:left w:val="nil"/>
              <w:bottom w:val="single" w:sz="6" w:space="0" w:color="666666"/>
              <w:right w:val="nil"/>
            </w:tcBorders>
            <w:shd w:val="clear" w:color="auto" w:fill="CCCCCC"/>
            <w:hideMark/>
          </w:tcPr>
          <w:p w14:paraId="3D911FE8" w14:textId="77777777" w:rsidR="00B94CD6" w:rsidRPr="00D0012A" w:rsidRDefault="00B94CD6" w:rsidP="00F81459">
            <w:pPr>
              <w:jc w:val="right"/>
              <w:rPr>
                <w:sz w:val="20"/>
                <w:szCs w:val="20"/>
              </w:rPr>
            </w:pPr>
            <w:r w:rsidRPr="00D0012A">
              <w:rPr>
                <w:sz w:val="20"/>
                <w:szCs w:val="20"/>
              </w:rPr>
              <w:t>16690 </w:t>
            </w:r>
          </w:p>
        </w:tc>
      </w:tr>
      <w:tr w:rsidR="00B94CD6" w:rsidRPr="00D0012A" w14:paraId="707331FD"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2741C3F9" w14:textId="77777777" w:rsidR="00B94CD6" w:rsidRPr="00D0012A" w:rsidRDefault="00B94CD6" w:rsidP="00F81459">
            <w:pPr>
              <w:jc w:val="right"/>
              <w:rPr>
                <w:b/>
                <w:bCs/>
                <w:sz w:val="20"/>
                <w:szCs w:val="20"/>
              </w:rPr>
            </w:pPr>
            <w:r w:rsidRPr="00D0012A">
              <w:rPr>
                <w:b/>
                <w:bCs/>
                <w:sz w:val="20"/>
                <w:szCs w:val="20"/>
              </w:rPr>
              <w:t>2018 </w:t>
            </w:r>
          </w:p>
        </w:tc>
        <w:tc>
          <w:tcPr>
            <w:tcW w:w="945" w:type="dxa"/>
            <w:tcBorders>
              <w:top w:val="single" w:sz="6" w:space="0" w:color="666666"/>
              <w:left w:val="nil"/>
              <w:bottom w:val="single" w:sz="6" w:space="0" w:color="666666"/>
              <w:right w:val="nil"/>
            </w:tcBorders>
            <w:shd w:val="clear" w:color="auto" w:fill="auto"/>
            <w:hideMark/>
          </w:tcPr>
          <w:p w14:paraId="2107E6C6" w14:textId="77777777" w:rsidR="00B94CD6" w:rsidRPr="00D0012A" w:rsidRDefault="00B94CD6" w:rsidP="00F81459">
            <w:pPr>
              <w:jc w:val="right"/>
              <w:rPr>
                <w:sz w:val="20"/>
                <w:szCs w:val="20"/>
              </w:rPr>
            </w:pPr>
            <w:r w:rsidRPr="00D0012A">
              <w:rPr>
                <w:sz w:val="20"/>
                <w:szCs w:val="20"/>
              </w:rPr>
              <w:t>4934 </w:t>
            </w:r>
          </w:p>
        </w:tc>
        <w:tc>
          <w:tcPr>
            <w:tcW w:w="945" w:type="dxa"/>
            <w:tcBorders>
              <w:top w:val="single" w:sz="6" w:space="0" w:color="666666"/>
              <w:left w:val="nil"/>
              <w:bottom w:val="single" w:sz="6" w:space="0" w:color="666666"/>
              <w:right w:val="nil"/>
            </w:tcBorders>
            <w:shd w:val="clear" w:color="auto" w:fill="auto"/>
            <w:hideMark/>
          </w:tcPr>
          <w:p w14:paraId="472D0010" w14:textId="77777777" w:rsidR="00B94CD6" w:rsidRPr="00D0012A" w:rsidRDefault="00B94CD6" w:rsidP="00F81459">
            <w:pPr>
              <w:jc w:val="right"/>
              <w:rPr>
                <w:sz w:val="20"/>
                <w:szCs w:val="20"/>
              </w:rPr>
            </w:pPr>
            <w:r w:rsidRPr="00D0012A">
              <w:rPr>
                <w:sz w:val="20"/>
                <w:szCs w:val="20"/>
              </w:rPr>
              <w:t>1351 </w:t>
            </w:r>
          </w:p>
        </w:tc>
        <w:tc>
          <w:tcPr>
            <w:tcW w:w="945" w:type="dxa"/>
            <w:tcBorders>
              <w:top w:val="single" w:sz="6" w:space="0" w:color="666666"/>
              <w:left w:val="nil"/>
              <w:bottom w:val="single" w:sz="6" w:space="0" w:color="666666"/>
              <w:right w:val="nil"/>
            </w:tcBorders>
            <w:shd w:val="clear" w:color="auto" w:fill="auto"/>
            <w:hideMark/>
          </w:tcPr>
          <w:p w14:paraId="24684041" w14:textId="77777777" w:rsidR="00B94CD6" w:rsidRPr="00D0012A" w:rsidRDefault="00B94CD6" w:rsidP="00F81459">
            <w:pPr>
              <w:jc w:val="right"/>
              <w:rPr>
                <w:sz w:val="20"/>
                <w:szCs w:val="20"/>
              </w:rPr>
            </w:pPr>
            <w:r w:rsidRPr="00D0012A">
              <w:rPr>
                <w:sz w:val="20"/>
                <w:szCs w:val="20"/>
              </w:rPr>
              <w:t>1752 </w:t>
            </w:r>
          </w:p>
        </w:tc>
        <w:tc>
          <w:tcPr>
            <w:tcW w:w="945" w:type="dxa"/>
            <w:tcBorders>
              <w:top w:val="single" w:sz="6" w:space="0" w:color="666666"/>
              <w:left w:val="nil"/>
              <w:bottom w:val="single" w:sz="6" w:space="0" w:color="666666"/>
              <w:right w:val="nil"/>
            </w:tcBorders>
            <w:shd w:val="clear" w:color="auto" w:fill="auto"/>
            <w:hideMark/>
          </w:tcPr>
          <w:p w14:paraId="4E75BA4E" w14:textId="77777777" w:rsidR="00B94CD6" w:rsidRPr="00D0012A" w:rsidRDefault="00B94CD6" w:rsidP="00F81459">
            <w:pPr>
              <w:jc w:val="right"/>
              <w:rPr>
                <w:sz w:val="20"/>
                <w:szCs w:val="20"/>
              </w:rPr>
            </w:pPr>
            <w:r w:rsidRPr="00D0012A">
              <w:rPr>
                <w:sz w:val="20"/>
                <w:szCs w:val="20"/>
              </w:rPr>
              <w:t>6838 </w:t>
            </w:r>
          </w:p>
        </w:tc>
        <w:tc>
          <w:tcPr>
            <w:tcW w:w="945" w:type="dxa"/>
            <w:tcBorders>
              <w:top w:val="single" w:sz="6" w:space="0" w:color="666666"/>
              <w:left w:val="nil"/>
              <w:bottom w:val="single" w:sz="6" w:space="0" w:color="666666"/>
              <w:right w:val="nil"/>
            </w:tcBorders>
            <w:shd w:val="clear" w:color="auto" w:fill="auto"/>
            <w:hideMark/>
          </w:tcPr>
          <w:p w14:paraId="15792120" w14:textId="77777777" w:rsidR="00B94CD6" w:rsidRPr="00D0012A" w:rsidRDefault="00B94CD6" w:rsidP="00F81459">
            <w:pPr>
              <w:jc w:val="right"/>
              <w:rPr>
                <w:sz w:val="20"/>
                <w:szCs w:val="20"/>
              </w:rPr>
            </w:pPr>
            <w:r w:rsidRPr="00D0012A">
              <w:rPr>
                <w:sz w:val="20"/>
                <w:szCs w:val="20"/>
              </w:rPr>
              <w:t>515 </w:t>
            </w:r>
          </w:p>
        </w:tc>
        <w:tc>
          <w:tcPr>
            <w:tcW w:w="945" w:type="dxa"/>
            <w:tcBorders>
              <w:top w:val="single" w:sz="6" w:space="0" w:color="666666"/>
              <w:left w:val="nil"/>
              <w:bottom w:val="single" w:sz="6" w:space="0" w:color="666666"/>
              <w:right w:val="nil"/>
            </w:tcBorders>
            <w:shd w:val="clear" w:color="auto" w:fill="auto"/>
            <w:hideMark/>
          </w:tcPr>
          <w:p w14:paraId="62F8737B" w14:textId="77777777" w:rsidR="00B94CD6" w:rsidRPr="00D0012A" w:rsidRDefault="00B94CD6" w:rsidP="00F81459">
            <w:pPr>
              <w:jc w:val="right"/>
              <w:rPr>
                <w:sz w:val="20"/>
                <w:szCs w:val="20"/>
              </w:rPr>
            </w:pPr>
            <w:r w:rsidRPr="00D0012A">
              <w:rPr>
                <w:sz w:val="20"/>
                <w:szCs w:val="20"/>
              </w:rPr>
              <w:t>15406 </w:t>
            </w:r>
          </w:p>
        </w:tc>
      </w:tr>
      <w:tr w:rsidR="00B94CD6" w:rsidRPr="00D0012A" w14:paraId="28BB01F3"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0E519DDD" w14:textId="77777777" w:rsidR="00B94CD6" w:rsidRPr="00D0012A" w:rsidRDefault="00B94CD6" w:rsidP="00F81459">
            <w:pPr>
              <w:jc w:val="right"/>
              <w:rPr>
                <w:b/>
                <w:bCs/>
                <w:sz w:val="20"/>
                <w:szCs w:val="20"/>
              </w:rPr>
            </w:pPr>
            <w:r w:rsidRPr="00D0012A">
              <w:rPr>
                <w:b/>
                <w:bCs/>
                <w:sz w:val="20"/>
                <w:szCs w:val="20"/>
              </w:rPr>
              <w:t>2019 </w:t>
            </w:r>
          </w:p>
        </w:tc>
        <w:tc>
          <w:tcPr>
            <w:tcW w:w="945" w:type="dxa"/>
            <w:tcBorders>
              <w:top w:val="single" w:sz="6" w:space="0" w:color="666666"/>
              <w:left w:val="nil"/>
              <w:bottom w:val="single" w:sz="6" w:space="0" w:color="666666"/>
              <w:right w:val="nil"/>
            </w:tcBorders>
            <w:shd w:val="clear" w:color="auto" w:fill="CCCCCC"/>
            <w:hideMark/>
          </w:tcPr>
          <w:p w14:paraId="6C21F0F0" w14:textId="77777777" w:rsidR="00B94CD6" w:rsidRPr="00D0012A" w:rsidRDefault="00B94CD6" w:rsidP="00F81459">
            <w:pPr>
              <w:jc w:val="right"/>
              <w:rPr>
                <w:sz w:val="20"/>
                <w:szCs w:val="20"/>
              </w:rPr>
            </w:pPr>
            <w:r w:rsidRPr="00D0012A">
              <w:rPr>
                <w:sz w:val="20"/>
                <w:szCs w:val="20"/>
              </w:rPr>
              <w:t>5297 </w:t>
            </w:r>
          </w:p>
        </w:tc>
        <w:tc>
          <w:tcPr>
            <w:tcW w:w="945" w:type="dxa"/>
            <w:tcBorders>
              <w:top w:val="single" w:sz="6" w:space="0" w:color="666666"/>
              <w:left w:val="nil"/>
              <w:bottom w:val="single" w:sz="6" w:space="0" w:color="666666"/>
              <w:right w:val="nil"/>
            </w:tcBorders>
            <w:shd w:val="clear" w:color="auto" w:fill="CCCCCC"/>
            <w:hideMark/>
          </w:tcPr>
          <w:p w14:paraId="6D25163B" w14:textId="77777777" w:rsidR="00B94CD6" w:rsidRPr="00D0012A" w:rsidRDefault="00B94CD6" w:rsidP="00F81459">
            <w:pPr>
              <w:jc w:val="right"/>
              <w:rPr>
                <w:sz w:val="20"/>
                <w:szCs w:val="20"/>
              </w:rPr>
            </w:pPr>
            <w:r w:rsidRPr="00D0012A">
              <w:rPr>
                <w:sz w:val="20"/>
                <w:szCs w:val="20"/>
              </w:rPr>
              <w:t>1516 </w:t>
            </w:r>
          </w:p>
        </w:tc>
        <w:tc>
          <w:tcPr>
            <w:tcW w:w="945" w:type="dxa"/>
            <w:tcBorders>
              <w:top w:val="single" w:sz="6" w:space="0" w:color="666666"/>
              <w:left w:val="nil"/>
              <w:bottom w:val="single" w:sz="6" w:space="0" w:color="666666"/>
              <w:right w:val="nil"/>
            </w:tcBorders>
            <w:shd w:val="clear" w:color="auto" w:fill="CCCCCC"/>
            <w:hideMark/>
          </w:tcPr>
          <w:p w14:paraId="42D2B6C4" w14:textId="77777777" w:rsidR="00B94CD6" w:rsidRPr="00D0012A" w:rsidRDefault="00B94CD6" w:rsidP="00F81459">
            <w:pPr>
              <w:jc w:val="right"/>
              <w:rPr>
                <w:sz w:val="20"/>
                <w:szCs w:val="20"/>
              </w:rPr>
            </w:pPr>
            <w:r w:rsidRPr="00D0012A">
              <w:rPr>
                <w:sz w:val="20"/>
                <w:szCs w:val="20"/>
              </w:rPr>
              <w:t>1969 </w:t>
            </w:r>
          </w:p>
        </w:tc>
        <w:tc>
          <w:tcPr>
            <w:tcW w:w="945" w:type="dxa"/>
            <w:tcBorders>
              <w:top w:val="single" w:sz="6" w:space="0" w:color="666666"/>
              <w:left w:val="nil"/>
              <w:bottom w:val="single" w:sz="6" w:space="0" w:color="666666"/>
              <w:right w:val="nil"/>
            </w:tcBorders>
            <w:shd w:val="clear" w:color="auto" w:fill="CCCCCC"/>
            <w:hideMark/>
          </w:tcPr>
          <w:p w14:paraId="28BA553F" w14:textId="77777777" w:rsidR="00B94CD6" w:rsidRPr="00D0012A" w:rsidRDefault="00B94CD6" w:rsidP="00F81459">
            <w:pPr>
              <w:jc w:val="right"/>
              <w:rPr>
                <w:sz w:val="20"/>
                <w:szCs w:val="20"/>
              </w:rPr>
            </w:pPr>
            <w:r w:rsidRPr="00D0012A">
              <w:rPr>
                <w:sz w:val="20"/>
                <w:szCs w:val="20"/>
              </w:rPr>
              <w:t>7396 </w:t>
            </w:r>
          </w:p>
        </w:tc>
        <w:tc>
          <w:tcPr>
            <w:tcW w:w="945" w:type="dxa"/>
            <w:tcBorders>
              <w:top w:val="single" w:sz="6" w:space="0" w:color="666666"/>
              <w:left w:val="nil"/>
              <w:bottom w:val="single" w:sz="6" w:space="0" w:color="666666"/>
              <w:right w:val="nil"/>
            </w:tcBorders>
            <w:shd w:val="clear" w:color="auto" w:fill="CCCCCC"/>
            <w:hideMark/>
          </w:tcPr>
          <w:p w14:paraId="0F6515C6" w14:textId="77777777" w:rsidR="00B94CD6" w:rsidRPr="00D0012A" w:rsidRDefault="00B94CD6" w:rsidP="00F81459">
            <w:pPr>
              <w:jc w:val="right"/>
              <w:rPr>
                <w:sz w:val="20"/>
                <w:szCs w:val="20"/>
              </w:rPr>
            </w:pPr>
            <w:r w:rsidRPr="00D0012A">
              <w:rPr>
                <w:sz w:val="20"/>
                <w:szCs w:val="20"/>
              </w:rPr>
              <w:t>568 </w:t>
            </w:r>
          </w:p>
        </w:tc>
        <w:tc>
          <w:tcPr>
            <w:tcW w:w="945" w:type="dxa"/>
            <w:tcBorders>
              <w:top w:val="single" w:sz="6" w:space="0" w:color="666666"/>
              <w:left w:val="nil"/>
              <w:bottom w:val="single" w:sz="6" w:space="0" w:color="666666"/>
              <w:right w:val="nil"/>
            </w:tcBorders>
            <w:shd w:val="clear" w:color="auto" w:fill="CCCCCC"/>
            <w:hideMark/>
          </w:tcPr>
          <w:p w14:paraId="34011623" w14:textId="77777777" w:rsidR="00B94CD6" w:rsidRPr="00D0012A" w:rsidRDefault="00B94CD6" w:rsidP="00F81459">
            <w:pPr>
              <w:jc w:val="right"/>
              <w:rPr>
                <w:sz w:val="20"/>
                <w:szCs w:val="20"/>
              </w:rPr>
            </w:pPr>
            <w:r w:rsidRPr="00D0012A">
              <w:rPr>
                <w:sz w:val="20"/>
                <w:szCs w:val="20"/>
              </w:rPr>
              <w:t>16779 </w:t>
            </w:r>
          </w:p>
        </w:tc>
      </w:tr>
      <w:tr w:rsidR="00B94CD6" w:rsidRPr="00D0012A" w14:paraId="32955338"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29469AD3" w14:textId="77777777" w:rsidR="00B94CD6" w:rsidRPr="00D0012A" w:rsidRDefault="00B94CD6" w:rsidP="00F81459">
            <w:pPr>
              <w:jc w:val="right"/>
              <w:rPr>
                <w:b/>
                <w:bCs/>
                <w:sz w:val="20"/>
                <w:szCs w:val="20"/>
              </w:rPr>
            </w:pPr>
            <w:r w:rsidRPr="00D0012A">
              <w:rPr>
                <w:b/>
                <w:bCs/>
                <w:sz w:val="20"/>
                <w:szCs w:val="20"/>
              </w:rPr>
              <w:t>2020 </w:t>
            </w:r>
          </w:p>
        </w:tc>
        <w:tc>
          <w:tcPr>
            <w:tcW w:w="945" w:type="dxa"/>
            <w:tcBorders>
              <w:top w:val="single" w:sz="6" w:space="0" w:color="666666"/>
              <w:left w:val="nil"/>
              <w:bottom w:val="single" w:sz="6" w:space="0" w:color="666666"/>
              <w:right w:val="nil"/>
            </w:tcBorders>
            <w:shd w:val="clear" w:color="auto" w:fill="auto"/>
            <w:hideMark/>
          </w:tcPr>
          <w:p w14:paraId="14AE5870" w14:textId="77777777" w:rsidR="00B94CD6" w:rsidRPr="00D0012A" w:rsidRDefault="00B94CD6" w:rsidP="00F81459">
            <w:pPr>
              <w:jc w:val="right"/>
              <w:rPr>
                <w:sz w:val="20"/>
                <w:szCs w:val="20"/>
              </w:rPr>
            </w:pPr>
            <w:r w:rsidRPr="00D0012A">
              <w:rPr>
                <w:sz w:val="20"/>
                <w:szCs w:val="20"/>
              </w:rPr>
              <w:t>4431 </w:t>
            </w:r>
          </w:p>
        </w:tc>
        <w:tc>
          <w:tcPr>
            <w:tcW w:w="945" w:type="dxa"/>
            <w:tcBorders>
              <w:top w:val="single" w:sz="6" w:space="0" w:color="666666"/>
              <w:left w:val="nil"/>
              <w:bottom w:val="single" w:sz="6" w:space="0" w:color="666666"/>
              <w:right w:val="nil"/>
            </w:tcBorders>
            <w:shd w:val="clear" w:color="auto" w:fill="auto"/>
            <w:hideMark/>
          </w:tcPr>
          <w:p w14:paraId="7F83749C" w14:textId="77777777" w:rsidR="00B94CD6" w:rsidRPr="00D0012A" w:rsidRDefault="00B94CD6" w:rsidP="00F81459">
            <w:pPr>
              <w:jc w:val="right"/>
              <w:rPr>
                <w:sz w:val="20"/>
                <w:szCs w:val="20"/>
              </w:rPr>
            </w:pPr>
            <w:r w:rsidRPr="00D0012A">
              <w:rPr>
                <w:sz w:val="20"/>
                <w:szCs w:val="20"/>
              </w:rPr>
              <w:t>1567 </w:t>
            </w:r>
          </w:p>
        </w:tc>
        <w:tc>
          <w:tcPr>
            <w:tcW w:w="945" w:type="dxa"/>
            <w:tcBorders>
              <w:top w:val="single" w:sz="6" w:space="0" w:color="666666"/>
              <w:left w:val="nil"/>
              <w:bottom w:val="single" w:sz="6" w:space="0" w:color="666666"/>
              <w:right w:val="nil"/>
            </w:tcBorders>
            <w:shd w:val="clear" w:color="auto" w:fill="auto"/>
            <w:hideMark/>
          </w:tcPr>
          <w:p w14:paraId="711D8027" w14:textId="77777777" w:rsidR="00B94CD6" w:rsidRPr="00D0012A" w:rsidRDefault="00B94CD6" w:rsidP="00F81459">
            <w:pPr>
              <w:jc w:val="right"/>
              <w:rPr>
                <w:sz w:val="20"/>
                <w:szCs w:val="20"/>
              </w:rPr>
            </w:pPr>
            <w:r w:rsidRPr="00D0012A">
              <w:rPr>
                <w:sz w:val="20"/>
                <w:szCs w:val="20"/>
              </w:rPr>
              <w:t>2272 </w:t>
            </w:r>
          </w:p>
        </w:tc>
        <w:tc>
          <w:tcPr>
            <w:tcW w:w="945" w:type="dxa"/>
            <w:tcBorders>
              <w:top w:val="single" w:sz="6" w:space="0" w:color="666666"/>
              <w:left w:val="nil"/>
              <w:bottom w:val="single" w:sz="6" w:space="0" w:color="666666"/>
              <w:right w:val="nil"/>
            </w:tcBorders>
            <w:shd w:val="clear" w:color="auto" w:fill="auto"/>
            <w:hideMark/>
          </w:tcPr>
          <w:p w14:paraId="13CA3F33" w14:textId="77777777" w:rsidR="00B94CD6" w:rsidRPr="00D0012A" w:rsidRDefault="00B94CD6" w:rsidP="00F81459">
            <w:pPr>
              <w:jc w:val="right"/>
              <w:rPr>
                <w:sz w:val="20"/>
                <w:szCs w:val="20"/>
              </w:rPr>
            </w:pPr>
            <w:r w:rsidRPr="00D0012A">
              <w:rPr>
                <w:sz w:val="20"/>
                <w:szCs w:val="20"/>
              </w:rPr>
              <w:t>7395 </w:t>
            </w:r>
          </w:p>
        </w:tc>
        <w:tc>
          <w:tcPr>
            <w:tcW w:w="945" w:type="dxa"/>
            <w:tcBorders>
              <w:top w:val="single" w:sz="6" w:space="0" w:color="666666"/>
              <w:left w:val="nil"/>
              <w:bottom w:val="single" w:sz="6" w:space="0" w:color="666666"/>
              <w:right w:val="nil"/>
            </w:tcBorders>
            <w:shd w:val="clear" w:color="auto" w:fill="auto"/>
            <w:hideMark/>
          </w:tcPr>
          <w:p w14:paraId="50E731B6" w14:textId="77777777" w:rsidR="00B94CD6" w:rsidRPr="00D0012A" w:rsidRDefault="00B94CD6" w:rsidP="00F81459">
            <w:pPr>
              <w:jc w:val="right"/>
              <w:rPr>
                <w:sz w:val="20"/>
                <w:szCs w:val="20"/>
              </w:rPr>
            </w:pPr>
            <w:r w:rsidRPr="00D0012A">
              <w:rPr>
                <w:sz w:val="20"/>
                <w:szCs w:val="20"/>
              </w:rPr>
              <w:t>649 </w:t>
            </w:r>
          </w:p>
        </w:tc>
        <w:tc>
          <w:tcPr>
            <w:tcW w:w="945" w:type="dxa"/>
            <w:tcBorders>
              <w:top w:val="single" w:sz="6" w:space="0" w:color="666666"/>
              <w:left w:val="nil"/>
              <w:bottom w:val="single" w:sz="6" w:space="0" w:color="666666"/>
              <w:right w:val="nil"/>
            </w:tcBorders>
            <w:shd w:val="clear" w:color="auto" w:fill="auto"/>
            <w:hideMark/>
          </w:tcPr>
          <w:p w14:paraId="506AF712" w14:textId="77777777" w:rsidR="00B94CD6" w:rsidRPr="00D0012A" w:rsidRDefault="00B94CD6" w:rsidP="00F81459">
            <w:pPr>
              <w:jc w:val="right"/>
              <w:rPr>
                <w:sz w:val="20"/>
                <w:szCs w:val="20"/>
              </w:rPr>
            </w:pPr>
            <w:r w:rsidRPr="00D0012A">
              <w:rPr>
                <w:sz w:val="20"/>
                <w:szCs w:val="20"/>
              </w:rPr>
              <w:t>16341 </w:t>
            </w:r>
          </w:p>
        </w:tc>
      </w:tr>
      <w:tr w:rsidR="00B94CD6" w:rsidRPr="00D0012A" w14:paraId="58770339"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25A6517B" w14:textId="77777777" w:rsidR="00B94CD6" w:rsidRPr="00D0012A" w:rsidRDefault="00B94CD6" w:rsidP="00F81459">
            <w:pPr>
              <w:jc w:val="right"/>
              <w:rPr>
                <w:b/>
                <w:bCs/>
                <w:sz w:val="20"/>
                <w:szCs w:val="20"/>
              </w:rPr>
            </w:pPr>
            <w:r w:rsidRPr="00D0012A">
              <w:rPr>
                <w:b/>
                <w:bCs/>
                <w:sz w:val="20"/>
                <w:szCs w:val="20"/>
              </w:rPr>
              <w:t>2021 </w:t>
            </w:r>
          </w:p>
        </w:tc>
        <w:tc>
          <w:tcPr>
            <w:tcW w:w="945" w:type="dxa"/>
            <w:tcBorders>
              <w:top w:val="single" w:sz="6" w:space="0" w:color="666666"/>
              <w:left w:val="nil"/>
              <w:bottom w:val="single" w:sz="6" w:space="0" w:color="666666"/>
              <w:right w:val="nil"/>
            </w:tcBorders>
            <w:shd w:val="clear" w:color="auto" w:fill="CCCCCC"/>
            <w:hideMark/>
          </w:tcPr>
          <w:p w14:paraId="78908FC1" w14:textId="77777777" w:rsidR="00B94CD6" w:rsidRPr="00D0012A" w:rsidRDefault="00B94CD6" w:rsidP="00F81459">
            <w:pPr>
              <w:jc w:val="right"/>
              <w:rPr>
                <w:sz w:val="20"/>
                <w:szCs w:val="20"/>
              </w:rPr>
            </w:pPr>
            <w:r w:rsidRPr="00D0012A">
              <w:rPr>
                <w:sz w:val="20"/>
                <w:szCs w:val="20"/>
              </w:rPr>
              <w:t>4941 </w:t>
            </w:r>
          </w:p>
        </w:tc>
        <w:tc>
          <w:tcPr>
            <w:tcW w:w="945" w:type="dxa"/>
            <w:tcBorders>
              <w:top w:val="single" w:sz="6" w:space="0" w:color="666666"/>
              <w:left w:val="nil"/>
              <w:bottom w:val="single" w:sz="6" w:space="0" w:color="666666"/>
              <w:right w:val="nil"/>
            </w:tcBorders>
            <w:shd w:val="clear" w:color="auto" w:fill="CCCCCC"/>
            <w:hideMark/>
          </w:tcPr>
          <w:p w14:paraId="5CE7E888" w14:textId="77777777" w:rsidR="00B94CD6" w:rsidRPr="00D0012A" w:rsidRDefault="00B94CD6" w:rsidP="00F81459">
            <w:pPr>
              <w:jc w:val="right"/>
              <w:rPr>
                <w:sz w:val="20"/>
                <w:szCs w:val="20"/>
              </w:rPr>
            </w:pPr>
            <w:r w:rsidRPr="00D0012A">
              <w:rPr>
                <w:sz w:val="20"/>
                <w:szCs w:val="20"/>
              </w:rPr>
              <w:t>2128 </w:t>
            </w:r>
          </w:p>
        </w:tc>
        <w:tc>
          <w:tcPr>
            <w:tcW w:w="945" w:type="dxa"/>
            <w:tcBorders>
              <w:top w:val="single" w:sz="6" w:space="0" w:color="666666"/>
              <w:left w:val="nil"/>
              <w:bottom w:val="single" w:sz="6" w:space="0" w:color="666666"/>
              <w:right w:val="nil"/>
            </w:tcBorders>
            <w:shd w:val="clear" w:color="auto" w:fill="CCCCCC"/>
            <w:hideMark/>
          </w:tcPr>
          <w:p w14:paraId="47D08857" w14:textId="77777777" w:rsidR="00B94CD6" w:rsidRPr="00D0012A" w:rsidRDefault="00B94CD6" w:rsidP="00F81459">
            <w:pPr>
              <w:jc w:val="right"/>
              <w:rPr>
                <w:sz w:val="20"/>
                <w:szCs w:val="20"/>
              </w:rPr>
            </w:pPr>
            <w:r w:rsidRPr="00D0012A">
              <w:rPr>
                <w:sz w:val="20"/>
                <w:szCs w:val="20"/>
              </w:rPr>
              <w:t>2911 </w:t>
            </w:r>
          </w:p>
        </w:tc>
        <w:tc>
          <w:tcPr>
            <w:tcW w:w="945" w:type="dxa"/>
            <w:tcBorders>
              <w:top w:val="single" w:sz="6" w:space="0" w:color="666666"/>
              <w:left w:val="nil"/>
              <w:bottom w:val="single" w:sz="6" w:space="0" w:color="666666"/>
              <w:right w:val="nil"/>
            </w:tcBorders>
            <w:shd w:val="clear" w:color="auto" w:fill="CCCCCC"/>
            <w:hideMark/>
          </w:tcPr>
          <w:p w14:paraId="260B50C4" w14:textId="77777777" w:rsidR="00B94CD6" w:rsidRPr="00D0012A" w:rsidRDefault="00B94CD6" w:rsidP="00F81459">
            <w:pPr>
              <w:jc w:val="right"/>
              <w:rPr>
                <w:sz w:val="20"/>
                <w:szCs w:val="20"/>
              </w:rPr>
            </w:pPr>
            <w:r w:rsidRPr="00D0012A">
              <w:rPr>
                <w:sz w:val="20"/>
                <w:szCs w:val="20"/>
              </w:rPr>
              <w:t>7552 </w:t>
            </w:r>
          </w:p>
        </w:tc>
        <w:tc>
          <w:tcPr>
            <w:tcW w:w="945" w:type="dxa"/>
            <w:tcBorders>
              <w:top w:val="single" w:sz="6" w:space="0" w:color="666666"/>
              <w:left w:val="nil"/>
              <w:bottom w:val="single" w:sz="6" w:space="0" w:color="666666"/>
              <w:right w:val="nil"/>
            </w:tcBorders>
            <w:shd w:val="clear" w:color="auto" w:fill="CCCCCC"/>
            <w:hideMark/>
          </w:tcPr>
          <w:p w14:paraId="1B263CE8" w14:textId="77777777" w:rsidR="00B94CD6" w:rsidRPr="00D0012A" w:rsidRDefault="00B94CD6" w:rsidP="00F81459">
            <w:pPr>
              <w:jc w:val="right"/>
              <w:rPr>
                <w:sz w:val="20"/>
                <w:szCs w:val="20"/>
              </w:rPr>
            </w:pPr>
            <w:r w:rsidRPr="00D0012A">
              <w:rPr>
                <w:sz w:val="20"/>
                <w:szCs w:val="20"/>
              </w:rPr>
              <w:t>720 </w:t>
            </w:r>
          </w:p>
        </w:tc>
        <w:tc>
          <w:tcPr>
            <w:tcW w:w="945" w:type="dxa"/>
            <w:tcBorders>
              <w:top w:val="single" w:sz="6" w:space="0" w:color="666666"/>
              <w:left w:val="nil"/>
              <w:bottom w:val="single" w:sz="6" w:space="0" w:color="666666"/>
              <w:right w:val="nil"/>
            </w:tcBorders>
            <w:shd w:val="clear" w:color="auto" w:fill="CCCCCC"/>
            <w:hideMark/>
          </w:tcPr>
          <w:p w14:paraId="24FB519F" w14:textId="77777777" w:rsidR="00B94CD6" w:rsidRPr="00D0012A" w:rsidRDefault="00B94CD6" w:rsidP="00F81459">
            <w:pPr>
              <w:jc w:val="right"/>
              <w:rPr>
                <w:sz w:val="20"/>
                <w:szCs w:val="20"/>
              </w:rPr>
            </w:pPr>
            <w:r w:rsidRPr="00D0012A">
              <w:rPr>
                <w:sz w:val="20"/>
                <w:szCs w:val="20"/>
              </w:rPr>
              <w:t>18293 </w:t>
            </w:r>
          </w:p>
        </w:tc>
      </w:tr>
    </w:tbl>
    <w:p w14:paraId="68C37FF7" w14:textId="77777777" w:rsidR="00B94CD6" w:rsidRPr="00B94CD6" w:rsidRDefault="00B94CD6" w:rsidP="00B94CD6">
      <w:r w:rsidRPr="00B94CD6">
        <w:t> </w:t>
      </w:r>
    </w:p>
    <w:p w14:paraId="2F1113E7" w14:textId="77777777" w:rsidR="00B94CD6" w:rsidRPr="00B94CD6" w:rsidRDefault="00B94CD6" w:rsidP="00D0012A">
      <w:pPr>
        <w:pStyle w:val="Heading5"/>
      </w:pPr>
      <w:r w:rsidRPr="00B94CD6">
        <w:t>National PIC calls about paracetamol exposures - Trends by Intent 2017-21 </w:t>
      </w:r>
    </w:p>
    <w:tbl>
      <w:tblPr>
        <w:tblW w:w="6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5"/>
        <w:gridCol w:w="1429"/>
        <w:gridCol w:w="1430"/>
        <w:gridCol w:w="1429"/>
        <w:gridCol w:w="1430"/>
      </w:tblGrid>
      <w:tr w:rsidR="00B94CD6" w:rsidRPr="00D0012A" w14:paraId="43B65E5A"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3D355158" w14:textId="77777777" w:rsidR="00B94CD6" w:rsidRPr="00D0012A" w:rsidRDefault="00B94CD6" w:rsidP="00F81459">
            <w:pPr>
              <w:jc w:val="right"/>
              <w:rPr>
                <w:b/>
                <w:bCs/>
                <w:sz w:val="20"/>
                <w:szCs w:val="18"/>
              </w:rPr>
            </w:pPr>
            <w:r w:rsidRPr="00D0012A">
              <w:rPr>
                <w:b/>
                <w:bCs/>
                <w:sz w:val="20"/>
                <w:szCs w:val="18"/>
              </w:rPr>
              <w:t>Year </w:t>
            </w:r>
          </w:p>
        </w:tc>
        <w:tc>
          <w:tcPr>
            <w:tcW w:w="1429" w:type="dxa"/>
            <w:tcBorders>
              <w:top w:val="single" w:sz="6" w:space="0" w:color="666666"/>
              <w:left w:val="nil"/>
              <w:bottom w:val="single" w:sz="6" w:space="0" w:color="666666"/>
              <w:right w:val="nil"/>
            </w:tcBorders>
            <w:shd w:val="clear" w:color="auto" w:fill="auto"/>
            <w:hideMark/>
          </w:tcPr>
          <w:p w14:paraId="417E814C" w14:textId="77777777" w:rsidR="00B94CD6" w:rsidRPr="00D0012A" w:rsidRDefault="00B94CD6" w:rsidP="00F81459">
            <w:pPr>
              <w:jc w:val="right"/>
              <w:rPr>
                <w:b/>
                <w:bCs/>
                <w:sz w:val="20"/>
                <w:szCs w:val="18"/>
              </w:rPr>
            </w:pPr>
            <w:r w:rsidRPr="00D0012A">
              <w:rPr>
                <w:b/>
                <w:bCs/>
                <w:sz w:val="20"/>
                <w:szCs w:val="18"/>
              </w:rPr>
              <w:t>DSPs </w:t>
            </w:r>
          </w:p>
        </w:tc>
        <w:tc>
          <w:tcPr>
            <w:tcW w:w="1430" w:type="dxa"/>
            <w:tcBorders>
              <w:top w:val="single" w:sz="6" w:space="0" w:color="666666"/>
              <w:left w:val="nil"/>
              <w:bottom w:val="single" w:sz="6" w:space="0" w:color="666666"/>
              <w:right w:val="nil"/>
            </w:tcBorders>
            <w:shd w:val="clear" w:color="auto" w:fill="auto"/>
            <w:hideMark/>
          </w:tcPr>
          <w:p w14:paraId="2D3322C4" w14:textId="77777777" w:rsidR="00B94CD6" w:rsidRPr="00D0012A" w:rsidRDefault="00B94CD6" w:rsidP="00F81459">
            <w:pPr>
              <w:jc w:val="right"/>
              <w:rPr>
                <w:b/>
                <w:bCs/>
                <w:sz w:val="20"/>
                <w:szCs w:val="18"/>
              </w:rPr>
            </w:pPr>
            <w:r w:rsidRPr="00D0012A">
              <w:rPr>
                <w:b/>
                <w:bCs/>
                <w:sz w:val="20"/>
                <w:szCs w:val="18"/>
              </w:rPr>
              <w:t>Accidental </w:t>
            </w:r>
          </w:p>
        </w:tc>
        <w:tc>
          <w:tcPr>
            <w:tcW w:w="1429" w:type="dxa"/>
            <w:tcBorders>
              <w:top w:val="single" w:sz="6" w:space="0" w:color="666666"/>
              <w:left w:val="nil"/>
              <w:bottom w:val="single" w:sz="6" w:space="0" w:color="666666"/>
              <w:right w:val="nil"/>
            </w:tcBorders>
            <w:shd w:val="clear" w:color="auto" w:fill="auto"/>
            <w:hideMark/>
          </w:tcPr>
          <w:p w14:paraId="1DC99119" w14:textId="77777777" w:rsidR="00B94CD6" w:rsidRPr="00D0012A" w:rsidRDefault="00B94CD6" w:rsidP="00F81459">
            <w:pPr>
              <w:jc w:val="right"/>
              <w:rPr>
                <w:b/>
                <w:bCs/>
                <w:sz w:val="20"/>
                <w:szCs w:val="18"/>
              </w:rPr>
            </w:pPr>
            <w:r w:rsidRPr="00D0012A">
              <w:rPr>
                <w:b/>
                <w:bCs/>
                <w:sz w:val="20"/>
                <w:szCs w:val="18"/>
              </w:rPr>
              <w:t>Therapeutic errors </w:t>
            </w:r>
          </w:p>
        </w:tc>
        <w:tc>
          <w:tcPr>
            <w:tcW w:w="1430" w:type="dxa"/>
            <w:tcBorders>
              <w:top w:val="single" w:sz="6" w:space="0" w:color="666666"/>
              <w:left w:val="nil"/>
              <w:bottom w:val="single" w:sz="6" w:space="0" w:color="666666"/>
              <w:right w:val="nil"/>
            </w:tcBorders>
            <w:shd w:val="clear" w:color="auto" w:fill="auto"/>
            <w:hideMark/>
          </w:tcPr>
          <w:p w14:paraId="58D02207" w14:textId="77777777" w:rsidR="00B94CD6" w:rsidRPr="00D0012A" w:rsidRDefault="00B94CD6" w:rsidP="00F81459">
            <w:pPr>
              <w:jc w:val="right"/>
              <w:rPr>
                <w:b/>
                <w:bCs/>
                <w:sz w:val="20"/>
                <w:szCs w:val="18"/>
              </w:rPr>
            </w:pPr>
            <w:r w:rsidRPr="00D0012A">
              <w:rPr>
                <w:b/>
                <w:bCs/>
                <w:sz w:val="20"/>
                <w:szCs w:val="18"/>
              </w:rPr>
              <w:t>Others </w:t>
            </w:r>
          </w:p>
        </w:tc>
      </w:tr>
      <w:tr w:rsidR="00B94CD6" w:rsidRPr="00D0012A" w14:paraId="38452F99"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464E8D8B" w14:textId="77777777" w:rsidR="00B94CD6" w:rsidRPr="00D0012A" w:rsidRDefault="00B94CD6" w:rsidP="00F81459">
            <w:pPr>
              <w:jc w:val="right"/>
              <w:rPr>
                <w:b/>
                <w:bCs/>
                <w:sz w:val="20"/>
                <w:szCs w:val="18"/>
              </w:rPr>
            </w:pPr>
            <w:r w:rsidRPr="00D0012A">
              <w:rPr>
                <w:b/>
                <w:bCs/>
                <w:sz w:val="20"/>
                <w:szCs w:val="18"/>
              </w:rPr>
              <w:t>2017 </w:t>
            </w:r>
          </w:p>
        </w:tc>
        <w:tc>
          <w:tcPr>
            <w:tcW w:w="1429" w:type="dxa"/>
            <w:tcBorders>
              <w:top w:val="single" w:sz="6" w:space="0" w:color="666666"/>
              <w:left w:val="nil"/>
              <w:bottom w:val="single" w:sz="6" w:space="0" w:color="666666"/>
              <w:right w:val="nil"/>
            </w:tcBorders>
            <w:shd w:val="clear" w:color="auto" w:fill="CCCCCC"/>
            <w:hideMark/>
          </w:tcPr>
          <w:p w14:paraId="4E98E815" w14:textId="77777777" w:rsidR="00B94CD6" w:rsidRPr="00D0012A" w:rsidRDefault="00B94CD6" w:rsidP="00F81459">
            <w:pPr>
              <w:jc w:val="right"/>
              <w:rPr>
                <w:sz w:val="20"/>
                <w:szCs w:val="18"/>
              </w:rPr>
            </w:pPr>
            <w:r w:rsidRPr="00D0012A">
              <w:rPr>
                <w:sz w:val="20"/>
                <w:szCs w:val="18"/>
              </w:rPr>
              <w:t>5910 </w:t>
            </w:r>
          </w:p>
        </w:tc>
        <w:tc>
          <w:tcPr>
            <w:tcW w:w="1430" w:type="dxa"/>
            <w:tcBorders>
              <w:top w:val="single" w:sz="6" w:space="0" w:color="666666"/>
              <w:left w:val="nil"/>
              <w:bottom w:val="single" w:sz="6" w:space="0" w:color="666666"/>
              <w:right w:val="nil"/>
            </w:tcBorders>
            <w:shd w:val="clear" w:color="auto" w:fill="CCCCCC"/>
            <w:hideMark/>
          </w:tcPr>
          <w:p w14:paraId="5B0C5E9F" w14:textId="77777777" w:rsidR="00B94CD6" w:rsidRPr="00D0012A" w:rsidRDefault="00B94CD6" w:rsidP="00F81459">
            <w:pPr>
              <w:jc w:val="right"/>
              <w:rPr>
                <w:sz w:val="20"/>
                <w:szCs w:val="18"/>
              </w:rPr>
            </w:pPr>
            <w:r w:rsidRPr="00D0012A">
              <w:rPr>
                <w:sz w:val="20"/>
                <w:szCs w:val="18"/>
              </w:rPr>
              <w:t>3347 </w:t>
            </w:r>
          </w:p>
        </w:tc>
        <w:tc>
          <w:tcPr>
            <w:tcW w:w="1429" w:type="dxa"/>
            <w:tcBorders>
              <w:top w:val="single" w:sz="6" w:space="0" w:color="666666"/>
              <w:left w:val="nil"/>
              <w:bottom w:val="single" w:sz="6" w:space="0" w:color="666666"/>
              <w:right w:val="nil"/>
            </w:tcBorders>
            <w:shd w:val="clear" w:color="auto" w:fill="CCCCCC"/>
            <w:hideMark/>
          </w:tcPr>
          <w:p w14:paraId="0496D04F" w14:textId="77777777" w:rsidR="00B94CD6" w:rsidRPr="00D0012A" w:rsidRDefault="00B94CD6" w:rsidP="00F81459">
            <w:pPr>
              <w:jc w:val="right"/>
              <w:rPr>
                <w:sz w:val="20"/>
                <w:szCs w:val="18"/>
              </w:rPr>
            </w:pPr>
            <w:r w:rsidRPr="00D0012A">
              <w:rPr>
                <w:sz w:val="20"/>
                <w:szCs w:val="18"/>
              </w:rPr>
              <w:t>6197 </w:t>
            </w:r>
          </w:p>
        </w:tc>
        <w:tc>
          <w:tcPr>
            <w:tcW w:w="1430" w:type="dxa"/>
            <w:tcBorders>
              <w:top w:val="single" w:sz="6" w:space="0" w:color="666666"/>
              <w:left w:val="nil"/>
              <w:bottom w:val="single" w:sz="6" w:space="0" w:color="666666"/>
              <w:right w:val="nil"/>
            </w:tcBorders>
            <w:shd w:val="clear" w:color="auto" w:fill="CCCCCC"/>
            <w:hideMark/>
          </w:tcPr>
          <w:p w14:paraId="28C2124F" w14:textId="77777777" w:rsidR="00B94CD6" w:rsidRPr="00D0012A" w:rsidRDefault="00B94CD6" w:rsidP="00F81459">
            <w:pPr>
              <w:jc w:val="right"/>
              <w:rPr>
                <w:sz w:val="20"/>
                <w:szCs w:val="18"/>
              </w:rPr>
            </w:pPr>
            <w:r w:rsidRPr="00D0012A">
              <w:rPr>
                <w:sz w:val="20"/>
                <w:szCs w:val="18"/>
              </w:rPr>
              <w:t>1119 </w:t>
            </w:r>
          </w:p>
        </w:tc>
      </w:tr>
      <w:tr w:rsidR="00B94CD6" w:rsidRPr="00D0012A" w14:paraId="1A02492D"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513FE4AF" w14:textId="77777777" w:rsidR="00B94CD6" w:rsidRPr="00D0012A" w:rsidRDefault="00B94CD6" w:rsidP="00F81459">
            <w:pPr>
              <w:jc w:val="right"/>
              <w:rPr>
                <w:b/>
                <w:bCs/>
                <w:sz w:val="20"/>
                <w:szCs w:val="18"/>
              </w:rPr>
            </w:pPr>
            <w:r w:rsidRPr="00D0012A">
              <w:rPr>
                <w:b/>
                <w:bCs/>
                <w:sz w:val="20"/>
                <w:szCs w:val="18"/>
              </w:rPr>
              <w:t>2018 </w:t>
            </w:r>
          </w:p>
        </w:tc>
        <w:tc>
          <w:tcPr>
            <w:tcW w:w="1429" w:type="dxa"/>
            <w:tcBorders>
              <w:top w:val="single" w:sz="6" w:space="0" w:color="666666"/>
              <w:left w:val="nil"/>
              <w:bottom w:val="single" w:sz="6" w:space="0" w:color="666666"/>
              <w:right w:val="nil"/>
            </w:tcBorders>
            <w:shd w:val="clear" w:color="auto" w:fill="auto"/>
            <w:hideMark/>
          </w:tcPr>
          <w:p w14:paraId="1B350131" w14:textId="77777777" w:rsidR="00B94CD6" w:rsidRPr="00D0012A" w:rsidRDefault="00B94CD6" w:rsidP="00F81459">
            <w:pPr>
              <w:jc w:val="right"/>
              <w:rPr>
                <w:sz w:val="20"/>
                <w:szCs w:val="18"/>
              </w:rPr>
            </w:pPr>
            <w:r w:rsidRPr="00D0012A">
              <w:rPr>
                <w:sz w:val="20"/>
                <w:szCs w:val="18"/>
              </w:rPr>
              <w:t>5462 </w:t>
            </w:r>
          </w:p>
        </w:tc>
        <w:tc>
          <w:tcPr>
            <w:tcW w:w="1430" w:type="dxa"/>
            <w:tcBorders>
              <w:top w:val="single" w:sz="6" w:space="0" w:color="666666"/>
              <w:left w:val="nil"/>
              <w:bottom w:val="single" w:sz="6" w:space="0" w:color="666666"/>
              <w:right w:val="nil"/>
            </w:tcBorders>
            <w:shd w:val="clear" w:color="auto" w:fill="auto"/>
            <w:hideMark/>
          </w:tcPr>
          <w:p w14:paraId="5B7B72B1" w14:textId="77777777" w:rsidR="00B94CD6" w:rsidRPr="00D0012A" w:rsidRDefault="00B94CD6" w:rsidP="00F81459">
            <w:pPr>
              <w:jc w:val="right"/>
              <w:rPr>
                <w:sz w:val="20"/>
                <w:szCs w:val="18"/>
              </w:rPr>
            </w:pPr>
            <w:r w:rsidRPr="00D0012A">
              <w:rPr>
                <w:sz w:val="20"/>
                <w:szCs w:val="18"/>
              </w:rPr>
              <w:t>3054 </w:t>
            </w:r>
          </w:p>
        </w:tc>
        <w:tc>
          <w:tcPr>
            <w:tcW w:w="1429" w:type="dxa"/>
            <w:tcBorders>
              <w:top w:val="single" w:sz="6" w:space="0" w:color="666666"/>
              <w:left w:val="nil"/>
              <w:bottom w:val="single" w:sz="6" w:space="0" w:color="666666"/>
              <w:right w:val="nil"/>
            </w:tcBorders>
            <w:shd w:val="clear" w:color="auto" w:fill="auto"/>
            <w:hideMark/>
          </w:tcPr>
          <w:p w14:paraId="29EBCB7D" w14:textId="77777777" w:rsidR="00B94CD6" w:rsidRPr="00D0012A" w:rsidRDefault="00B94CD6" w:rsidP="00F81459">
            <w:pPr>
              <w:jc w:val="right"/>
              <w:rPr>
                <w:sz w:val="20"/>
                <w:szCs w:val="18"/>
              </w:rPr>
            </w:pPr>
            <w:r w:rsidRPr="00D0012A">
              <w:rPr>
                <w:sz w:val="20"/>
                <w:szCs w:val="18"/>
              </w:rPr>
              <w:t>6067 </w:t>
            </w:r>
          </w:p>
        </w:tc>
        <w:tc>
          <w:tcPr>
            <w:tcW w:w="1430" w:type="dxa"/>
            <w:tcBorders>
              <w:top w:val="single" w:sz="6" w:space="0" w:color="666666"/>
              <w:left w:val="nil"/>
              <w:bottom w:val="single" w:sz="6" w:space="0" w:color="666666"/>
              <w:right w:val="nil"/>
            </w:tcBorders>
            <w:shd w:val="clear" w:color="auto" w:fill="auto"/>
            <w:hideMark/>
          </w:tcPr>
          <w:p w14:paraId="55EA566C" w14:textId="77777777" w:rsidR="00B94CD6" w:rsidRPr="00D0012A" w:rsidRDefault="00B94CD6" w:rsidP="00F81459">
            <w:pPr>
              <w:jc w:val="right"/>
              <w:rPr>
                <w:sz w:val="20"/>
                <w:szCs w:val="18"/>
              </w:rPr>
            </w:pPr>
            <w:r w:rsidRPr="00D0012A">
              <w:rPr>
                <w:sz w:val="20"/>
                <w:szCs w:val="18"/>
              </w:rPr>
              <w:t>823 </w:t>
            </w:r>
          </w:p>
        </w:tc>
      </w:tr>
      <w:tr w:rsidR="00B94CD6" w:rsidRPr="00D0012A" w14:paraId="16F24D4D"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64BDF1F3" w14:textId="77777777" w:rsidR="00B94CD6" w:rsidRPr="00D0012A" w:rsidRDefault="00B94CD6" w:rsidP="00F81459">
            <w:pPr>
              <w:jc w:val="right"/>
              <w:rPr>
                <w:b/>
                <w:bCs/>
                <w:sz w:val="20"/>
                <w:szCs w:val="18"/>
              </w:rPr>
            </w:pPr>
            <w:r w:rsidRPr="00D0012A">
              <w:rPr>
                <w:b/>
                <w:bCs/>
                <w:sz w:val="20"/>
                <w:szCs w:val="18"/>
              </w:rPr>
              <w:t>2019 </w:t>
            </w:r>
          </w:p>
        </w:tc>
        <w:tc>
          <w:tcPr>
            <w:tcW w:w="1429" w:type="dxa"/>
            <w:tcBorders>
              <w:top w:val="single" w:sz="6" w:space="0" w:color="666666"/>
              <w:left w:val="nil"/>
              <w:bottom w:val="single" w:sz="6" w:space="0" w:color="666666"/>
              <w:right w:val="nil"/>
            </w:tcBorders>
            <w:shd w:val="clear" w:color="auto" w:fill="CCCCCC"/>
            <w:hideMark/>
          </w:tcPr>
          <w:p w14:paraId="65F7F6BA" w14:textId="77777777" w:rsidR="00B94CD6" w:rsidRPr="00D0012A" w:rsidRDefault="00B94CD6" w:rsidP="00F81459">
            <w:pPr>
              <w:jc w:val="right"/>
              <w:rPr>
                <w:sz w:val="20"/>
                <w:szCs w:val="18"/>
              </w:rPr>
            </w:pPr>
            <w:r w:rsidRPr="00D0012A">
              <w:rPr>
                <w:sz w:val="20"/>
                <w:szCs w:val="18"/>
              </w:rPr>
              <w:t>5767 </w:t>
            </w:r>
          </w:p>
        </w:tc>
        <w:tc>
          <w:tcPr>
            <w:tcW w:w="1430" w:type="dxa"/>
            <w:tcBorders>
              <w:top w:val="single" w:sz="6" w:space="0" w:color="666666"/>
              <w:left w:val="nil"/>
              <w:bottom w:val="single" w:sz="6" w:space="0" w:color="666666"/>
              <w:right w:val="nil"/>
            </w:tcBorders>
            <w:shd w:val="clear" w:color="auto" w:fill="CCCCCC"/>
            <w:hideMark/>
          </w:tcPr>
          <w:p w14:paraId="74C13CA5" w14:textId="77777777" w:rsidR="00B94CD6" w:rsidRPr="00D0012A" w:rsidRDefault="00B94CD6" w:rsidP="00F81459">
            <w:pPr>
              <w:jc w:val="right"/>
              <w:rPr>
                <w:sz w:val="20"/>
                <w:szCs w:val="18"/>
              </w:rPr>
            </w:pPr>
            <w:r w:rsidRPr="00D0012A">
              <w:rPr>
                <w:sz w:val="20"/>
                <w:szCs w:val="18"/>
              </w:rPr>
              <w:t>2914 </w:t>
            </w:r>
          </w:p>
        </w:tc>
        <w:tc>
          <w:tcPr>
            <w:tcW w:w="1429" w:type="dxa"/>
            <w:tcBorders>
              <w:top w:val="single" w:sz="6" w:space="0" w:color="666666"/>
              <w:left w:val="nil"/>
              <w:bottom w:val="single" w:sz="6" w:space="0" w:color="666666"/>
              <w:right w:val="nil"/>
            </w:tcBorders>
            <w:shd w:val="clear" w:color="auto" w:fill="CCCCCC"/>
            <w:hideMark/>
          </w:tcPr>
          <w:p w14:paraId="3440888B" w14:textId="77777777" w:rsidR="00B94CD6" w:rsidRPr="00D0012A" w:rsidRDefault="00B94CD6" w:rsidP="00F81459">
            <w:pPr>
              <w:jc w:val="right"/>
              <w:rPr>
                <w:sz w:val="20"/>
                <w:szCs w:val="18"/>
              </w:rPr>
            </w:pPr>
            <w:r w:rsidRPr="00D0012A">
              <w:rPr>
                <w:sz w:val="20"/>
                <w:szCs w:val="18"/>
              </w:rPr>
              <w:t>7148 </w:t>
            </w:r>
          </w:p>
        </w:tc>
        <w:tc>
          <w:tcPr>
            <w:tcW w:w="1430" w:type="dxa"/>
            <w:tcBorders>
              <w:top w:val="single" w:sz="6" w:space="0" w:color="666666"/>
              <w:left w:val="nil"/>
              <w:bottom w:val="single" w:sz="6" w:space="0" w:color="666666"/>
              <w:right w:val="nil"/>
            </w:tcBorders>
            <w:shd w:val="clear" w:color="auto" w:fill="CCCCCC"/>
            <w:hideMark/>
          </w:tcPr>
          <w:p w14:paraId="2AC3070D" w14:textId="77777777" w:rsidR="00B94CD6" w:rsidRPr="00D0012A" w:rsidRDefault="00B94CD6" w:rsidP="00F81459">
            <w:pPr>
              <w:jc w:val="right"/>
              <w:rPr>
                <w:sz w:val="20"/>
                <w:szCs w:val="18"/>
              </w:rPr>
            </w:pPr>
            <w:r w:rsidRPr="00D0012A">
              <w:rPr>
                <w:sz w:val="20"/>
                <w:szCs w:val="18"/>
              </w:rPr>
              <w:t>950 </w:t>
            </w:r>
          </w:p>
        </w:tc>
      </w:tr>
      <w:tr w:rsidR="00B94CD6" w:rsidRPr="00D0012A" w14:paraId="3057C026" w14:textId="77777777" w:rsidTr="00672E4C">
        <w:trPr>
          <w:trHeight w:val="315"/>
        </w:trPr>
        <w:tc>
          <w:tcPr>
            <w:tcW w:w="945" w:type="dxa"/>
            <w:tcBorders>
              <w:top w:val="single" w:sz="6" w:space="0" w:color="666666"/>
              <w:left w:val="nil"/>
              <w:bottom w:val="single" w:sz="6" w:space="0" w:color="666666"/>
              <w:right w:val="nil"/>
            </w:tcBorders>
            <w:shd w:val="clear" w:color="auto" w:fill="auto"/>
            <w:hideMark/>
          </w:tcPr>
          <w:p w14:paraId="688C32B3" w14:textId="77777777" w:rsidR="00B94CD6" w:rsidRPr="00D0012A" w:rsidRDefault="00B94CD6" w:rsidP="00F81459">
            <w:pPr>
              <w:jc w:val="right"/>
              <w:rPr>
                <w:b/>
                <w:bCs/>
                <w:sz w:val="20"/>
                <w:szCs w:val="18"/>
              </w:rPr>
            </w:pPr>
            <w:r w:rsidRPr="00D0012A">
              <w:rPr>
                <w:b/>
                <w:bCs/>
                <w:sz w:val="20"/>
                <w:szCs w:val="18"/>
              </w:rPr>
              <w:t>2020 </w:t>
            </w:r>
          </w:p>
        </w:tc>
        <w:tc>
          <w:tcPr>
            <w:tcW w:w="1429" w:type="dxa"/>
            <w:tcBorders>
              <w:top w:val="single" w:sz="6" w:space="0" w:color="666666"/>
              <w:left w:val="nil"/>
              <w:bottom w:val="single" w:sz="6" w:space="0" w:color="666666"/>
              <w:right w:val="nil"/>
            </w:tcBorders>
            <w:shd w:val="clear" w:color="auto" w:fill="auto"/>
            <w:hideMark/>
          </w:tcPr>
          <w:p w14:paraId="6581F1EA" w14:textId="77777777" w:rsidR="00B94CD6" w:rsidRPr="00D0012A" w:rsidRDefault="00B94CD6" w:rsidP="00F81459">
            <w:pPr>
              <w:jc w:val="right"/>
              <w:rPr>
                <w:sz w:val="20"/>
                <w:szCs w:val="18"/>
              </w:rPr>
            </w:pPr>
            <w:r w:rsidRPr="00D0012A">
              <w:rPr>
                <w:sz w:val="20"/>
                <w:szCs w:val="18"/>
              </w:rPr>
              <w:t>6629 </w:t>
            </w:r>
          </w:p>
        </w:tc>
        <w:tc>
          <w:tcPr>
            <w:tcW w:w="1430" w:type="dxa"/>
            <w:tcBorders>
              <w:top w:val="single" w:sz="6" w:space="0" w:color="666666"/>
              <w:left w:val="nil"/>
              <w:bottom w:val="single" w:sz="6" w:space="0" w:color="666666"/>
              <w:right w:val="nil"/>
            </w:tcBorders>
            <w:shd w:val="clear" w:color="auto" w:fill="auto"/>
            <w:hideMark/>
          </w:tcPr>
          <w:p w14:paraId="452A85A2" w14:textId="77777777" w:rsidR="00B94CD6" w:rsidRPr="00D0012A" w:rsidRDefault="00B94CD6" w:rsidP="00F81459">
            <w:pPr>
              <w:jc w:val="right"/>
              <w:rPr>
                <w:sz w:val="20"/>
                <w:szCs w:val="18"/>
              </w:rPr>
            </w:pPr>
            <w:r w:rsidRPr="00D0012A">
              <w:rPr>
                <w:sz w:val="20"/>
                <w:szCs w:val="18"/>
              </w:rPr>
              <w:t>2294 </w:t>
            </w:r>
          </w:p>
        </w:tc>
        <w:tc>
          <w:tcPr>
            <w:tcW w:w="1429" w:type="dxa"/>
            <w:tcBorders>
              <w:top w:val="single" w:sz="6" w:space="0" w:color="666666"/>
              <w:left w:val="nil"/>
              <w:bottom w:val="single" w:sz="6" w:space="0" w:color="666666"/>
              <w:right w:val="nil"/>
            </w:tcBorders>
            <w:shd w:val="clear" w:color="auto" w:fill="auto"/>
            <w:hideMark/>
          </w:tcPr>
          <w:p w14:paraId="0B5579B6" w14:textId="77777777" w:rsidR="00B94CD6" w:rsidRPr="00D0012A" w:rsidRDefault="00B94CD6" w:rsidP="00F81459">
            <w:pPr>
              <w:jc w:val="right"/>
              <w:rPr>
                <w:sz w:val="20"/>
                <w:szCs w:val="18"/>
              </w:rPr>
            </w:pPr>
            <w:r w:rsidRPr="00D0012A">
              <w:rPr>
                <w:sz w:val="20"/>
                <w:szCs w:val="18"/>
              </w:rPr>
              <w:t>6402 </w:t>
            </w:r>
          </w:p>
        </w:tc>
        <w:tc>
          <w:tcPr>
            <w:tcW w:w="1430" w:type="dxa"/>
            <w:tcBorders>
              <w:top w:val="single" w:sz="6" w:space="0" w:color="666666"/>
              <w:left w:val="nil"/>
              <w:bottom w:val="single" w:sz="6" w:space="0" w:color="666666"/>
              <w:right w:val="nil"/>
            </w:tcBorders>
            <w:shd w:val="clear" w:color="auto" w:fill="auto"/>
            <w:hideMark/>
          </w:tcPr>
          <w:p w14:paraId="692AF722" w14:textId="77777777" w:rsidR="00B94CD6" w:rsidRPr="00D0012A" w:rsidRDefault="00B94CD6" w:rsidP="00F81459">
            <w:pPr>
              <w:jc w:val="right"/>
              <w:rPr>
                <w:sz w:val="20"/>
                <w:szCs w:val="18"/>
              </w:rPr>
            </w:pPr>
            <w:r w:rsidRPr="00D0012A">
              <w:rPr>
                <w:sz w:val="20"/>
                <w:szCs w:val="18"/>
              </w:rPr>
              <w:t>1018 </w:t>
            </w:r>
          </w:p>
        </w:tc>
      </w:tr>
      <w:tr w:rsidR="00B94CD6" w:rsidRPr="00D0012A" w14:paraId="4B11A91C" w14:textId="77777777" w:rsidTr="00672E4C">
        <w:trPr>
          <w:trHeight w:val="315"/>
        </w:trPr>
        <w:tc>
          <w:tcPr>
            <w:tcW w:w="945" w:type="dxa"/>
            <w:tcBorders>
              <w:top w:val="single" w:sz="6" w:space="0" w:color="666666"/>
              <w:left w:val="nil"/>
              <w:bottom w:val="single" w:sz="6" w:space="0" w:color="666666"/>
              <w:right w:val="nil"/>
            </w:tcBorders>
            <w:shd w:val="clear" w:color="auto" w:fill="CCCCCC"/>
            <w:hideMark/>
          </w:tcPr>
          <w:p w14:paraId="317341C1" w14:textId="77777777" w:rsidR="00B94CD6" w:rsidRPr="00D0012A" w:rsidRDefault="00B94CD6" w:rsidP="00F81459">
            <w:pPr>
              <w:jc w:val="right"/>
              <w:rPr>
                <w:b/>
                <w:bCs/>
                <w:sz w:val="20"/>
                <w:szCs w:val="18"/>
              </w:rPr>
            </w:pPr>
            <w:r w:rsidRPr="00D0012A">
              <w:rPr>
                <w:b/>
                <w:bCs/>
                <w:sz w:val="20"/>
                <w:szCs w:val="18"/>
              </w:rPr>
              <w:t>2021 </w:t>
            </w:r>
          </w:p>
        </w:tc>
        <w:tc>
          <w:tcPr>
            <w:tcW w:w="1429" w:type="dxa"/>
            <w:tcBorders>
              <w:top w:val="single" w:sz="6" w:space="0" w:color="666666"/>
              <w:left w:val="nil"/>
              <w:bottom w:val="single" w:sz="6" w:space="0" w:color="666666"/>
              <w:right w:val="nil"/>
            </w:tcBorders>
            <w:shd w:val="clear" w:color="auto" w:fill="CCCCCC"/>
            <w:hideMark/>
          </w:tcPr>
          <w:p w14:paraId="2DAE5BB0" w14:textId="77777777" w:rsidR="00B94CD6" w:rsidRPr="00D0012A" w:rsidRDefault="00B94CD6" w:rsidP="00F81459">
            <w:pPr>
              <w:jc w:val="right"/>
              <w:rPr>
                <w:sz w:val="20"/>
                <w:szCs w:val="18"/>
              </w:rPr>
            </w:pPr>
            <w:r w:rsidRPr="00D0012A">
              <w:rPr>
                <w:sz w:val="20"/>
                <w:szCs w:val="18"/>
              </w:rPr>
              <w:t>7729 </w:t>
            </w:r>
          </w:p>
        </w:tc>
        <w:tc>
          <w:tcPr>
            <w:tcW w:w="1430" w:type="dxa"/>
            <w:tcBorders>
              <w:top w:val="single" w:sz="6" w:space="0" w:color="666666"/>
              <w:left w:val="nil"/>
              <w:bottom w:val="single" w:sz="6" w:space="0" w:color="666666"/>
              <w:right w:val="nil"/>
            </w:tcBorders>
            <w:shd w:val="clear" w:color="auto" w:fill="CCCCCC"/>
            <w:hideMark/>
          </w:tcPr>
          <w:p w14:paraId="150028DC" w14:textId="77777777" w:rsidR="00B94CD6" w:rsidRPr="00D0012A" w:rsidRDefault="00B94CD6" w:rsidP="00F81459">
            <w:pPr>
              <w:jc w:val="right"/>
              <w:rPr>
                <w:sz w:val="20"/>
                <w:szCs w:val="18"/>
              </w:rPr>
            </w:pPr>
            <w:r w:rsidRPr="00D0012A">
              <w:rPr>
                <w:sz w:val="20"/>
                <w:szCs w:val="18"/>
              </w:rPr>
              <w:t>2167 </w:t>
            </w:r>
          </w:p>
        </w:tc>
        <w:tc>
          <w:tcPr>
            <w:tcW w:w="1429" w:type="dxa"/>
            <w:tcBorders>
              <w:top w:val="single" w:sz="6" w:space="0" w:color="666666"/>
              <w:left w:val="nil"/>
              <w:bottom w:val="single" w:sz="6" w:space="0" w:color="666666"/>
              <w:right w:val="nil"/>
            </w:tcBorders>
            <w:shd w:val="clear" w:color="auto" w:fill="CCCCCC"/>
            <w:hideMark/>
          </w:tcPr>
          <w:p w14:paraId="422C430F" w14:textId="77777777" w:rsidR="00B94CD6" w:rsidRPr="00D0012A" w:rsidRDefault="00B94CD6" w:rsidP="00F81459">
            <w:pPr>
              <w:jc w:val="right"/>
              <w:rPr>
                <w:sz w:val="20"/>
                <w:szCs w:val="18"/>
              </w:rPr>
            </w:pPr>
            <w:r w:rsidRPr="00D0012A">
              <w:rPr>
                <w:sz w:val="20"/>
                <w:szCs w:val="18"/>
              </w:rPr>
              <w:t>7259 </w:t>
            </w:r>
          </w:p>
        </w:tc>
        <w:tc>
          <w:tcPr>
            <w:tcW w:w="1430" w:type="dxa"/>
            <w:tcBorders>
              <w:top w:val="single" w:sz="6" w:space="0" w:color="666666"/>
              <w:left w:val="nil"/>
              <w:bottom w:val="single" w:sz="6" w:space="0" w:color="666666"/>
              <w:right w:val="nil"/>
            </w:tcBorders>
            <w:shd w:val="clear" w:color="auto" w:fill="CCCCCC"/>
            <w:hideMark/>
          </w:tcPr>
          <w:p w14:paraId="371566B3" w14:textId="77777777" w:rsidR="00B94CD6" w:rsidRPr="00D0012A" w:rsidRDefault="00B94CD6" w:rsidP="00F81459">
            <w:pPr>
              <w:jc w:val="right"/>
              <w:rPr>
                <w:sz w:val="20"/>
                <w:szCs w:val="18"/>
              </w:rPr>
            </w:pPr>
            <w:r w:rsidRPr="00D0012A">
              <w:rPr>
                <w:sz w:val="20"/>
                <w:szCs w:val="18"/>
              </w:rPr>
              <w:t>1141 </w:t>
            </w:r>
          </w:p>
        </w:tc>
      </w:tr>
    </w:tbl>
    <w:p w14:paraId="7F9166F8" w14:textId="77777777" w:rsidR="00B94CD6" w:rsidRPr="00B94CD6" w:rsidRDefault="00B94CD6" w:rsidP="00B94CD6">
      <w:r w:rsidRPr="00B94CD6">
        <w:t> </w:t>
      </w:r>
    </w:p>
    <w:p w14:paraId="08282318" w14:textId="77777777" w:rsidR="00B94CD6" w:rsidRPr="00B94CD6" w:rsidRDefault="00B94CD6" w:rsidP="00D0012A">
      <w:pPr>
        <w:pStyle w:val="Heading5"/>
      </w:pPr>
      <w:r w:rsidRPr="00B94CD6">
        <w:t>National PIC calls about deliberate self poisoning with paracetamol  - Trends by Age 2017-21 </w:t>
      </w:r>
    </w:p>
    <w:tbl>
      <w:tblPr>
        <w:tblW w:w="89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64"/>
        <w:gridCol w:w="462"/>
        <w:gridCol w:w="461"/>
        <w:gridCol w:w="461"/>
        <w:gridCol w:w="461"/>
        <w:gridCol w:w="461"/>
      </w:tblGrid>
      <w:tr w:rsidR="00B94CD6" w:rsidRPr="00B94CD6" w14:paraId="1A0C6C58" w14:textId="77777777" w:rsidTr="00B94CD6">
        <w:trPr>
          <w:trHeight w:val="315"/>
        </w:trPr>
        <w:tc>
          <w:tcPr>
            <w:tcW w:w="6045" w:type="dxa"/>
            <w:tcBorders>
              <w:top w:val="nil"/>
              <w:left w:val="nil"/>
              <w:bottom w:val="nil"/>
              <w:right w:val="nil"/>
            </w:tcBorders>
            <w:shd w:val="clear" w:color="auto" w:fill="auto"/>
            <w:vAlign w:val="bottom"/>
            <w:hideMark/>
          </w:tcPr>
          <w:tbl>
            <w:tblPr>
              <w:tblW w:w="6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70"/>
              <w:gridCol w:w="705"/>
              <w:gridCol w:w="957"/>
              <w:gridCol w:w="958"/>
              <w:gridCol w:w="957"/>
              <w:gridCol w:w="958"/>
              <w:gridCol w:w="958"/>
            </w:tblGrid>
            <w:tr w:rsidR="00B94CD6" w:rsidRPr="00D0012A" w14:paraId="44D98D32" w14:textId="77777777" w:rsidTr="00672E4C">
              <w:trPr>
                <w:trHeight w:val="255"/>
              </w:trPr>
              <w:tc>
                <w:tcPr>
                  <w:tcW w:w="1170" w:type="dxa"/>
                  <w:tcBorders>
                    <w:top w:val="single" w:sz="6" w:space="0" w:color="666666"/>
                    <w:left w:val="nil"/>
                    <w:bottom w:val="single" w:sz="6" w:space="0" w:color="666666"/>
                    <w:right w:val="nil"/>
                  </w:tcBorders>
                  <w:shd w:val="clear" w:color="auto" w:fill="auto"/>
                  <w:hideMark/>
                </w:tcPr>
                <w:p w14:paraId="06D711E2" w14:textId="77777777" w:rsidR="00B94CD6" w:rsidRPr="00D0012A" w:rsidRDefault="00B94CD6" w:rsidP="00F81459">
                  <w:pPr>
                    <w:jc w:val="right"/>
                    <w:rPr>
                      <w:b/>
                      <w:bCs/>
                      <w:sz w:val="20"/>
                      <w:szCs w:val="18"/>
                    </w:rPr>
                  </w:pPr>
                  <w:r w:rsidRPr="00D0012A">
                    <w:rPr>
                      <w:b/>
                      <w:bCs/>
                      <w:sz w:val="20"/>
                      <w:szCs w:val="18"/>
                    </w:rPr>
                    <w:t>Year </w:t>
                  </w:r>
                </w:p>
              </w:tc>
              <w:tc>
                <w:tcPr>
                  <w:tcW w:w="705" w:type="dxa"/>
                  <w:tcBorders>
                    <w:top w:val="single" w:sz="6" w:space="0" w:color="666666"/>
                    <w:left w:val="nil"/>
                    <w:bottom w:val="single" w:sz="6" w:space="0" w:color="666666"/>
                    <w:right w:val="nil"/>
                  </w:tcBorders>
                  <w:shd w:val="clear" w:color="auto" w:fill="auto"/>
                  <w:hideMark/>
                </w:tcPr>
                <w:p w14:paraId="03D5CD7E" w14:textId="77777777" w:rsidR="00B94CD6" w:rsidRPr="00D0012A" w:rsidRDefault="00B94CD6" w:rsidP="00F81459">
                  <w:pPr>
                    <w:jc w:val="right"/>
                    <w:rPr>
                      <w:b/>
                      <w:bCs/>
                      <w:sz w:val="20"/>
                      <w:szCs w:val="18"/>
                    </w:rPr>
                  </w:pPr>
                  <w:r w:rsidRPr="00D0012A">
                    <w:rPr>
                      <w:b/>
                      <w:bCs/>
                      <w:sz w:val="20"/>
                      <w:szCs w:val="18"/>
                    </w:rPr>
                    <w:t>&lt;5 </w:t>
                  </w:r>
                </w:p>
              </w:tc>
              <w:tc>
                <w:tcPr>
                  <w:tcW w:w="957" w:type="dxa"/>
                  <w:tcBorders>
                    <w:top w:val="single" w:sz="6" w:space="0" w:color="666666"/>
                    <w:left w:val="nil"/>
                    <w:bottom w:val="single" w:sz="6" w:space="0" w:color="666666"/>
                    <w:right w:val="nil"/>
                  </w:tcBorders>
                  <w:shd w:val="clear" w:color="auto" w:fill="auto"/>
                  <w:hideMark/>
                </w:tcPr>
                <w:p w14:paraId="3C390BB4" w14:textId="77777777" w:rsidR="00B94CD6" w:rsidRPr="00D0012A" w:rsidRDefault="00B94CD6" w:rsidP="00F81459">
                  <w:pPr>
                    <w:jc w:val="right"/>
                    <w:rPr>
                      <w:b/>
                      <w:bCs/>
                      <w:sz w:val="20"/>
                      <w:szCs w:val="18"/>
                    </w:rPr>
                  </w:pPr>
                  <w:r w:rsidRPr="00D0012A">
                    <w:rPr>
                      <w:b/>
                      <w:bCs/>
                      <w:sz w:val="20"/>
                      <w:szCs w:val="18"/>
                    </w:rPr>
                    <w:t>5--14 </w:t>
                  </w:r>
                </w:p>
              </w:tc>
              <w:tc>
                <w:tcPr>
                  <w:tcW w:w="958" w:type="dxa"/>
                  <w:tcBorders>
                    <w:top w:val="single" w:sz="6" w:space="0" w:color="666666"/>
                    <w:left w:val="nil"/>
                    <w:bottom w:val="single" w:sz="6" w:space="0" w:color="666666"/>
                    <w:right w:val="nil"/>
                  </w:tcBorders>
                  <w:shd w:val="clear" w:color="auto" w:fill="auto"/>
                  <w:hideMark/>
                </w:tcPr>
                <w:p w14:paraId="7382C351" w14:textId="77777777" w:rsidR="00B94CD6" w:rsidRPr="00D0012A" w:rsidRDefault="00B94CD6" w:rsidP="00F81459">
                  <w:pPr>
                    <w:jc w:val="right"/>
                    <w:rPr>
                      <w:b/>
                      <w:bCs/>
                      <w:sz w:val="20"/>
                      <w:szCs w:val="18"/>
                    </w:rPr>
                  </w:pPr>
                  <w:r w:rsidRPr="00D0012A">
                    <w:rPr>
                      <w:b/>
                      <w:bCs/>
                      <w:sz w:val="20"/>
                      <w:szCs w:val="18"/>
                    </w:rPr>
                    <w:t>15-19 </w:t>
                  </w:r>
                </w:p>
              </w:tc>
              <w:tc>
                <w:tcPr>
                  <w:tcW w:w="957" w:type="dxa"/>
                  <w:tcBorders>
                    <w:top w:val="single" w:sz="6" w:space="0" w:color="666666"/>
                    <w:left w:val="nil"/>
                    <w:bottom w:val="single" w:sz="6" w:space="0" w:color="666666"/>
                    <w:right w:val="nil"/>
                  </w:tcBorders>
                  <w:shd w:val="clear" w:color="auto" w:fill="auto"/>
                  <w:hideMark/>
                </w:tcPr>
                <w:p w14:paraId="7A8BECD7" w14:textId="77777777" w:rsidR="00B94CD6" w:rsidRPr="00D0012A" w:rsidRDefault="00B94CD6" w:rsidP="00F81459">
                  <w:pPr>
                    <w:jc w:val="right"/>
                    <w:rPr>
                      <w:b/>
                      <w:bCs/>
                      <w:sz w:val="20"/>
                      <w:szCs w:val="18"/>
                    </w:rPr>
                  </w:pPr>
                  <w:r w:rsidRPr="00D0012A">
                    <w:rPr>
                      <w:b/>
                      <w:bCs/>
                      <w:sz w:val="20"/>
                      <w:szCs w:val="18"/>
                    </w:rPr>
                    <w:t>20-74 </w:t>
                  </w:r>
                </w:p>
              </w:tc>
              <w:tc>
                <w:tcPr>
                  <w:tcW w:w="958" w:type="dxa"/>
                  <w:tcBorders>
                    <w:top w:val="single" w:sz="6" w:space="0" w:color="666666"/>
                    <w:left w:val="nil"/>
                    <w:bottom w:val="single" w:sz="6" w:space="0" w:color="666666"/>
                    <w:right w:val="nil"/>
                  </w:tcBorders>
                  <w:shd w:val="clear" w:color="auto" w:fill="auto"/>
                  <w:hideMark/>
                </w:tcPr>
                <w:p w14:paraId="6509DC07" w14:textId="77777777" w:rsidR="00B94CD6" w:rsidRPr="00D0012A" w:rsidRDefault="00B94CD6" w:rsidP="00F81459">
                  <w:pPr>
                    <w:jc w:val="right"/>
                    <w:rPr>
                      <w:b/>
                      <w:bCs/>
                      <w:sz w:val="20"/>
                      <w:szCs w:val="18"/>
                    </w:rPr>
                  </w:pPr>
                  <w:r w:rsidRPr="00D0012A">
                    <w:rPr>
                      <w:b/>
                      <w:bCs/>
                      <w:sz w:val="20"/>
                      <w:szCs w:val="18"/>
                    </w:rPr>
                    <w:t>75+ </w:t>
                  </w:r>
                </w:p>
              </w:tc>
              <w:tc>
                <w:tcPr>
                  <w:tcW w:w="958" w:type="dxa"/>
                  <w:tcBorders>
                    <w:top w:val="single" w:sz="6" w:space="0" w:color="666666"/>
                    <w:left w:val="nil"/>
                    <w:bottom w:val="single" w:sz="6" w:space="0" w:color="666666"/>
                    <w:right w:val="nil"/>
                  </w:tcBorders>
                  <w:shd w:val="clear" w:color="auto" w:fill="auto"/>
                  <w:hideMark/>
                </w:tcPr>
                <w:p w14:paraId="464AF659" w14:textId="77777777" w:rsidR="00B94CD6" w:rsidRPr="00D0012A" w:rsidRDefault="00B94CD6" w:rsidP="00F81459">
                  <w:pPr>
                    <w:jc w:val="right"/>
                    <w:rPr>
                      <w:b/>
                      <w:bCs/>
                      <w:sz w:val="20"/>
                      <w:szCs w:val="18"/>
                    </w:rPr>
                  </w:pPr>
                  <w:r w:rsidRPr="00D0012A">
                    <w:rPr>
                      <w:b/>
                      <w:bCs/>
                      <w:sz w:val="20"/>
                      <w:szCs w:val="18"/>
                    </w:rPr>
                    <w:t>All </w:t>
                  </w:r>
                </w:p>
              </w:tc>
            </w:tr>
            <w:tr w:rsidR="00B94CD6" w:rsidRPr="00D0012A" w14:paraId="4F66A2B9" w14:textId="77777777" w:rsidTr="00672E4C">
              <w:trPr>
                <w:trHeight w:val="255"/>
              </w:trPr>
              <w:tc>
                <w:tcPr>
                  <w:tcW w:w="1170" w:type="dxa"/>
                  <w:tcBorders>
                    <w:top w:val="single" w:sz="6" w:space="0" w:color="666666"/>
                    <w:left w:val="nil"/>
                    <w:bottom w:val="single" w:sz="6" w:space="0" w:color="666666"/>
                    <w:right w:val="nil"/>
                  </w:tcBorders>
                  <w:shd w:val="clear" w:color="auto" w:fill="CCCCCC"/>
                  <w:hideMark/>
                </w:tcPr>
                <w:p w14:paraId="690AA156" w14:textId="77777777" w:rsidR="00B94CD6" w:rsidRPr="00D0012A" w:rsidRDefault="00B94CD6" w:rsidP="00F81459">
                  <w:pPr>
                    <w:jc w:val="right"/>
                    <w:rPr>
                      <w:b/>
                      <w:bCs/>
                      <w:sz w:val="20"/>
                      <w:szCs w:val="18"/>
                    </w:rPr>
                  </w:pPr>
                  <w:r w:rsidRPr="00D0012A">
                    <w:rPr>
                      <w:b/>
                      <w:bCs/>
                      <w:sz w:val="20"/>
                      <w:szCs w:val="18"/>
                    </w:rPr>
                    <w:t>2017 </w:t>
                  </w:r>
                </w:p>
              </w:tc>
              <w:tc>
                <w:tcPr>
                  <w:tcW w:w="705" w:type="dxa"/>
                  <w:tcBorders>
                    <w:top w:val="single" w:sz="6" w:space="0" w:color="666666"/>
                    <w:left w:val="nil"/>
                    <w:bottom w:val="single" w:sz="6" w:space="0" w:color="666666"/>
                    <w:right w:val="nil"/>
                  </w:tcBorders>
                  <w:shd w:val="clear" w:color="auto" w:fill="CCCCCC"/>
                  <w:hideMark/>
                </w:tcPr>
                <w:p w14:paraId="57DC48D7" w14:textId="77777777" w:rsidR="00B94CD6" w:rsidRPr="00D0012A" w:rsidRDefault="00B94CD6" w:rsidP="00F81459">
                  <w:pPr>
                    <w:jc w:val="right"/>
                    <w:rPr>
                      <w:sz w:val="20"/>
                      <w:szCs w:val="18"/>
                    </w:rPr>
                  </w:pPr>
                  <w:r w:rsidRPr="00D0012A">
                    <w:rPr>
                      <w:sz w:val="20"/>
                      <w:szCs w:val="18"/>
                    </w:rPr>
                    <w:t>0 </w:t>
                  </w:r>
                </w:p>
              </w:tc>
              <w:tc>
                <w:tcPr>
                  <w:tcW w:w="957" w:type="dxa"/>
                  <w:tcBorders>
                    <w:top w:val="single" w:sz="6" w:space="0" w:color="666666"/>
                    <w:left w:val="nil"/>
                    <w:bottom w:val="single" w:sz="6" w:space="0" w:color="666666"/>
                    <w:right w:val="nil"/>
                  </w:tcBorders>
                  <w:shd w:val="clear" w:color="auto" w:fill="CCCCCC"/>
                  <w:hideMark/>
                </w:tcPr>
                <w:p w14:paraId="38E34FD3" w14:textId="77777777" w:rsidR="00B94CD6" w:rsidRPr="00D0012A" w:rsidRDefault="00B94CD6" w:rsidP="00F81459">
                  <w:pPr>
                    <w:jc w:val="right"/>
                    <w:rPr>
                      <w:sz w:val="20"/>
                      <w:szCs w:val="18"/>
                    </w:rPr>
                  </w:pPr>
                  <w:r w:rsidRPr="00D0012A">
                    <w:rPr>
                      <w:sz w:val="20"/>
                      <w:szCs w:val="18"/>
                    </w:rPr>
                    <w:t>473 </w:t>
                  </w:r>
                </w:p>
              </w:tc>
              <w:tc>
                <w:tcPr>
                  <w:tcW w:w="958" w:type="dxa"/>
                  <w:tcBorders>
                    <w:top w:val="single" w:sz="6" w:space="0" w:color="666666"/>
                    <w:left w:val="nil"/>
                    <w:bottom w:val="single" w:sz="6" w:space="0" w:color="666666"/>
                    <w:right w:val="nil"/>
                  </w:tcBorders>
                  <w:shd w:val="clear" w:color="auto" w:fill="CCCCCC"/>
                  <w:hideMark/>
                </w:tcPr>
                <w:p w14:paraId="037A24D4" w14:textId="77777777" w:rsidR="00B94CD6" w:rsidRPr="00D0012A" w:rsidRDefault="00B94CD6" w:rsidP="00F81459">
                  <w:pPr>
                    <w:jc w:val="right"/>
                    <w:rPr>
                      <w:sz w:val="20"/>
                      <w:szCs w:val="18"/>
                    </w:rPr>
                  </w:pPr>
                  <w:r w:rsidRPr="00D0012A">
                    <w:rPr>
                      <w:sz w:val="20"/>
                      <w:szCs w:val="18"/>
                    </w:rPr>
                    <w:t>1450 </w:t>
                  </w:r>
                </w:p>
              </w:tc>
              <w:tc>
                <w:tcPr>
                  <w:tcW w:w="957" w:type="dxa"/>
                  <w:tcBorders>
                    <w:top w:val="single" w:sz="6" w:space="0" w:color="666666"/>
                    <w:left w:val="nil"/>
                    <w:bottom w:val="single" w:sz="6" w:space="0" w:color="666666"/>
                    <w:right w:val="nil"/>
                  </w:tcBorders>
                  <w:shd w:val="clear" w:color="auto" w:fill="CCCCCC"/>
                  <w:hideMark/>
                </w:tcPr>
                <w:p w14:paraId="7FE37DF4" w14:textId="77777777" w:rsidR="00B94CD6" w:rsidRPr="00D0012A" w:rsidRDefault="00B94CD6" w:rsidP="00F81459">
                  <w:pPr>
                    <w:jc w:val="right"/>
                    <w:rPr>
                      <w:sz w:val="20"/>
                      <w:szCs w:val="18"/>
                    </w:rPr>
                  </w:pPr>
                  <w:r w:rsidRPr="00D0012A">
                    <w:rPr>
                      <w:sz w:val="20"/>
                      <w:szCs w:val="18"/>
                    </w:rPr>
                    <w:t>3299 </w:t>
                  </w:r>
                </w:p>
              </w:tc>
              <w:tc>
                <w:tcPr>
                  <w:tcW w:w="958" w:type="dxa"/>
                  <w:tcBorders>
                    <w:top w:val="single" w:sz="6" w:space="0" w:color="666666"/>
                    <w:left w:val="nil"/>
                    <w:bottom w:val="single" w:sz="6" w:space="0" w:color="666666"/>
                    <w:right w:val="nil"/>
                  </w:tcBorders>
                  <w:shd w:val="clear" w:color="auto" w:fill="CCCCCC"/>
                  <w:hideMark/>
                </w:tcPr>
                <w:p w14:paraId="5563E889" w14:textId="77777777" w:rsidR="00B94CD6" w:rsidRPr="00D0012A" w:rsidRDefault="00B94CD6" w:rsidP="00F81459">
                  <w:pPr>
                    <w:jc w:val="right"/>
                    <w:rPr>
                      <w:sz w:val="20"/>
                      <w:szCs w:val="18"/>
                    </w:rPr>
                  </w:pPr>
                  <w:r w:rsidRPr="00D0012A">
                    <w:rPr>
                      <w:sz w:val="20"/>
                      <w:szCs w:val="18"/>
                    </w:rPr>
                    <w:t>44 </w:t>
                  </w:r>
                </w:p>
              </w:tc>
              <w:tc>
                <w:tcPr>
                  <w:tcW w:w="958" w:type="dxa"/>
                  <w:tcBorders>
                    <w:top w:val="single" w:sz="6" w:space="0" w:color="666666"/>
                    <w:left w:val="nil"/>
                    <w:bottom w:val="single" w:sz="6" w:space="0" w:color="666666"/>
                    <w:right w:val="nil"/>
                  </w:tcBorders>
                  <w:shd w:val="clear" w:color="auto" w:fill="CCCCCC"/>
                  <w:hideMark/>
                </w:tcPr>
                <w:p w14:paraId="74DCA303" w14:textId="77777777" w:rsidR="00B94CD6" w:rsidRPr="00D0012A" w:rsidRDefault="00B94CD6" w:rsidP="00F81459">
                  <w:pPr>
                    <w:jc w:val="right"/>
                    <w:rPr>
                      <w:sz w:val="20"/>
                      <w:szCs w:val="18"/>
                    </w:rPr>
                  </w:pPr>
                  <w:r w:rsidRPr="00D0012A">
                    <w:rPr>
                      <w:sz w:val="20"/>
                      <w:szCs w:val="18"/>
                    </w:rPr>
                    <w:t>5293 </w:t>
                  </w:r>
                </w:p>
              </w:tc>
            </w:tr>
            <w:tr w:rsidR="00B94CD6" w:rsidRPr="00D0012A" w14:paraId="4677AD3A" w14:textId="77777777" w:rsidTr="00672E4C">
              <w:trPr>
                <w:trHeight w:val="255"/>
              </w:trPr>
              <w:tc>
                <w:tcPr>
                  <w:tcW w:w="1170" w:type="dxa"/>
                  <w:tcBorders>
                    <w:top w:val="single" w:sz="6" w:space="0" w:color="666666"/>
                    <w:left w:val="nil"/>
                    <w:bottom w:val="single" w:sz="6" w:space="0" w:color="666666"/>
                    <w:right w:val="nil"/>
                  </w:tcBorders>
                  <w:shd w:val="clear" w:color="auto" w:fill="auto"/>
                  <w:hideMark/>
                </w:tcPr>
                <w:p w14:paraId="2F7D7E22" w14:textId="77777777" w:rsidR="00B94CD6" w:rsidRPr="00D0012A" w:rsidRDefault="00B94CD6" w:rsidP="00F81459">
                  <w:pPr>
                    <w:jc w:val="right"/>
                    <w:rPr>
                      <w:b/>
                      <w:bCs/>
                      <w:sz w:val="20"/>
                      <w:szCs w:val="18"/>
                    </w:rPr>
                  </w:pPr>
                  <w:r w:rsidRPr="00D0012A">
                    <w:rPr>
                      <w:b/>
                      <w:bCs/>
                      <w:sz w:val="20"/>
                      <w:szCs w:val="18"/>
                    </w:rPr>
                    <w:t>2018 </w:t>
                  </w:r>
                </w:p>
              </w:tc>
              <w:tc>
                <w:tcPr>
                  <w:tcW w:w="705" w:type="dxa"/>
                  <w:tcBorders>
                    <w:top w:val="single" w:sz="6" w:space="0" w:color="666666"/>
                    <w:left w:val="nil"/>
                    <w:bottom w:val="single" w:sz="6" w:space="0" w:color="666666"/>
                    <w:right w:val="nil"/>
                  </w:tcBorders>
                  <w:shd w:val="clear" w:color="auto" w:fill="auto"/>
                  <w:hideMark/>
                </w:tcPr>
                <w:p w14:paraId="7C5C998B" w14:textId="77777777" w:rsidR="00B94CD6" w:rsidRPr="00D0012A" w:rsidRDefault="00B94CD6" w:rsidP="00F81459">
                  <w:pPr>
                    <w:jc w:val="right"/>
                    <w:rPr>
                      <w:sz w:val="20"/>
                      <w:szCs w:val="18"/>
                    </w:rPr>
                  </w:pPr>
                  <w:r w:rsidRPr="00D0012A">
                    <w:rPr>
                      <w:sz w:val="20"/>
                      <w:szCs w:val="18"/>
                    </w:rPr>
                    <w:t>0 </w:t>
                  </w:r>
                </w:p>
              </w:tc>
              <w:tc>
                <w:tcPr>
                  <w:tcW w:w="957" w:type="dxa"/>
                  <w:tcBorders>
                    <w:top w:val="single" w:sz="6" w:space="0" w:color="666666"/>
                    <w:left w:val="nil"/>
                    <w:bottom w:val="single" w:sz="6" w:space="0" w:color="666666"/>
                    <w:right w:val="nil"/>
                  </w:tcBorders>
                  <w:shd w:val="clear" w:color="auto" w:fill="auto"/>
                  <w:hideMark/>
                </w:tcPr>
                <w:p w14:paraId="077B565F" w14:textId="77777777" w:rsidR="00B94CD6" w:rsidRPr="00D0012A" w:rsidRDefault="00B94CD6" w:rsidP="00F81459">
                  <w:pPr>
                    <w:jc w:val="right"/>
                    <w:rPr>
                      <w:sz w:val="20"/>
                      <w:szCs w:val="18"/>
                    </w:rPr>
                  </w:pPr>
                  <w:r w:rsidRPr="00D0012A">
                    <w:rPr>
                      <w:sz w:val="20"/>
                      <w:szCs w:val="18"/>
                    </w:rPr>
                    <w:t>502 </w:t>
                  </w:r>
                </w:p>
              </w:tc>
              <w:tc>
                <w:tcPr>
                  <w:tcW w:w="958" w:type="dxa"/>
                  <w:tcBorders>
                    <w:top w:val="single" w:sz="6" w:space="0" w:color="666666"/>
                    <w:left w:val="nil"/>
                    <w:bottom w:val="single" w:sz="6" w:space="0" w:color="666666"/>
                    <w:right w:val="nil"/>
                  </w:tcBorders>
                  <w:shd w:val="clear" w:color="auto" w:fill="auto"/>
                  <w:hideMark/>
                </w:tcPr>
                <w:p w14:paraId="21AD2B24" w14:textId="77777777" w:rsidR="00B94CD6" w:rsidRPr="00D0012A" w:rsidRDefault="00B94CD6" w:rsidP="00F81459">
                  <w:pPr>
                    <w:jc w:val="right"/>
                    <w:rPr>
                      <w:sz w:val="20"/>
                      <w:szCs w:val="18"/>
                    </w:rPr>
                  </w:pPr>
                  <w:r w:rsidRPr="00D0012A">
                    <w:rPr>
                      <w:sz w:val="20"/>
                      <w:szCs w:val="18"/>
                    </w:rPr>
                    <w:t>1477 </w:t>
                  </w:r>
                </w:p>
              </w:tc>
              <w:tc>
                <w:tcPr>
                  <w:tcW w:w="957" w:type="dxa"/>
                  <w:tcBorders>
                    <w:top w:val="single" w:sz="6" w:space="0" w:color="666666"/>
                    <w:left w:val="nil"/>
                    <w:bottom w:val="single" w:sz="6" w:space="0" w:color="666666"/>
                    <w:right w:val="nil"/>
                  </w:tcBorders>
                  <w:shd w:val="clear" w:color="auto" w:fill="auto"/>
                  <w:hideMark/>
                </w:tcPr>
                <w:p w14:paraId="0B5CD980" w14:textId="77777777" w:rsidR="00B94CD6" w:rsidRPr="00D0012A" w:rsidRDefault="00B94CD6" w:rsidP="00F81459">
                  <w:pPr>
                    <w:jc w:val="right"/>
                    <w:rPr>
                      <w:sz w:val="20"/>
                      <w:szCs w:val="18"/>
                    </w:rPr>
                  </w:pPr>
                  <w:r w:rsidRPr="00D0012A">
                    <w:rPr>
                      <w:sz w:val="20"/>
                      <w:szCs w:val="18"/>
                    </w:rPr>
                    <w:t>3421 </w:t>
                  </w:r>
                </w:p>
              </w:tc>
              <w:tc>
                <w:tcPr>
                  <w:tcW w:w="958" w:type="dxa"/>
                  <w:tcBorders>
                    <w:top w:val="single" w:sz="6" w:space="0" w:color="666666"/>
                    <w:left w:val="nil"/>
                    <w:bottom w:val="single" w:sz="6" w:space="0" w:color="666666"/>
                    <w:right w:val="nil"/>
                  </w:tcBorders>
                  <w:shd w:val="clear" w:color="auto" w:fill="auto"/>
                  <w:hideMark/>
                </w:tcPr>
                <w:p w14:paraId="0410B9AD" w14:textId="77777777" w:rsidR="00B94CD6" w:rsidRPr="00D0012A" w:rsidRDefault="00B94CD6" w:rsidP="00F81459">
                  <w:pPr>
                    <w:jc w:val="right"/>
                    <w:rPr>
                      <w:sz w:val="20"/>
                      <w:szCs w:val="18"/>
                    </w:rPr>
                  </w:pPr>
                  <w:r w:rsidRPr="00D0012A">
                    <w:rPr>
                      <w:sz w:val="20"/>
                      <w:szCs w:val="18"/>
                    </w:rPr>
                    <w:t>47 </w:t>
                  </w:r>
                </w:p>
              </w:tc>
              <w:tc>
                <w:tcPr>
                  <w:tcW w:w="958" w:type="dxa"/>
                  <w:tcBorders>
                    <w:top w:val="single" w:sz="6" w:space="0" w:color="666666"/>
                    <w:left w:val="nil"/>
                    <w:bottom w:val="single" w:sz="6" w:space="0" w:color="666666"/>
                    <w:right w:val="nil"/>
                  </w:tcBorders>
                  <w:shd w:val="clear" w:color="auto" w:fill="auto"/>
                  <w:hideMark/>
                </w:tcPr>
                <w:p w14:paraId="10AFE1D7" w14:textId="77777777" w:rsidR="00B94CD6" w:rsidRPr="00D0012A" w:rsidRDefault="00B94CD6" w:rsidP="00F81459">
                  <w:pPr>
                    <w:jc w:val="right"/>
                    <w:rPr>
                      <w:sz w:val="20"/>
                      <w:szCs w:val="18"/>
                    </w:rPr>
                  </w:pPr>
                  <w:r w:rsidRPr="00D0012A">
                    <w:rPr>
                      <w:sz w:val="20"/>
                      <w:szCs w:val="18"/>
                    </w:rPr>
                    <w:t>5460 </w:t>
                  </w:r>
                </w:p>
              </w:tc>
            </w:tr>
            <w:tr w:rsidR="00B94CD6" w:rsidRPr="00D0012A" w14:paraId="11D50CE9" w14:textId="77777777" w:rsidTr="00672E4C">
              <w:trPr>
                <w:trHeight w:val="255"/>
              </w:trPr>
              <w:tc>
                <w:tcPr>
                  <w:tcW w:w="1170" w:type="dxa"/>
                  <w:tcBorders>
                    <w:top w:val="single" w:sz="6" w:space="0" w:color="666666"/>
                    <w:left w:val="nil"/>
                    <w:bottom w:val="single" w:sz="6" w:space="0" w:color="666666"/>
                    <w:right w:val="nil"/>
                  </w:tcBorders>
                  <w:shd w:val="clear" w:color="auto" w:fill="CCCCCC"/>
                  <w:hideMark/>
                </w:tcPr>
                <w:p w14:paraId="783D65C8" w14:textId="77777777" w:rsidR="00B94CD6" w:rsidRPr="00D0012A" w:rsidRDefault="00B94CD6" w:rsidP="00F81459">
                  <w:pPr>
                    <w:jc w:val="right"/>
                    <w:rPr>
                      <w:b/>
                      <w:bCs/>
                      <w:sz w:val="20"/>
                      <w:szCs w:val="18"/>
                    </w:rPr>
                  </w:pPr>
                  <w:r w:rsidRPr="00D0012A">
                    <w:rPr>
                      <w:b/>
                      <w:bCs/>
                      <w:sz w:val="20"/>
                      <w:szCs w:val="18"/>
                    </w:rPr>
                    <w:t>2019 </w:t>
                  </w:r>
                </w:p>
              </w:tc>
              <w:tc>
                <w:tcPr>
                  <w:tcW w:w="705" w:type="dxa"/>
                  <w:tcBorders>
                    <w:top w:val="single" w:sz="6" w:space="0" w:color="666666"/>
                    <w:left w:val="nil"/>
                    <w:bottom w:val="single" w:sz="6" w:space="0" w:color="666666"/>
                    <w:right w:val="nil"/>
                  </w:tcBorders>
                  <w:shd w:val="clear" w:color="auto" w:fill="CCCCCC"/>
                  <w:hideMark/>
                </w:tcPr>
                <w:p w14:paraId="66769015" w14:textId="77777777" w:rsidR="00B94CD6" w:rsidRPr="00D0012A" w:rsidRDefault="00B94CD6" w:rsidP="00F81459">
                  <w:pPr>
                    <w:jc w:val="right"/>
                    <w:rPr>
                      <w:sz w:val="20"/>
                      <w:szCs w:val="18"/>
                    </w:rPr>
                  </w:pPr>
                  <w:r w:rsidRPr="00D0012A">
                    <w:rPr>
                      <w:sz w:val="20"/>
                      <w:szCs w:val="18"/>
                    </w:rPr>
                    <w:t>0 </w:t>
                  </w:r>
                </w:p>
              </w:tc>
              <w:tc>
                <w:tcPr>
                  <w:tcW w:w="957" w:type="dxa"/>
                  <w:tcBorders>
                    <w:top w:val="single" w:sz="6" w:space="0" w:color="666666"/>
                    <w:left w:val="nil"/>
                    <w:bottom w:val="single" w:sz="6" w:space="0" w:color="666666"/>
                    <w:right w:val="nil"/>
                  </w:tcBorders>
                  <w:shd w:val="clear" w:color="auto" w:fill="CCCCCC"/>
                  <w:hideMark/>
                </w:tcPr>
                <w:p w14:paraId="6D825B27" w14:textId="77777777" w:rsidR="00B94CD6" w:rsidRPr="00D0012A" w:rsidRDefault="00B94CD6" w:rsidP="00F81459">
                  <w:pPr>
                    <w:jc w:val="right"/>
                    <w:rPr>
                      <w:sz w:val="20"/>
                      <w:szCs w:val="18"/>
                    </w:rPr>
                  </w:pPr>
                  <w:r w:rsidRPr="00D0012A">
                    <w:rPr>
                      <w:sz w:val="20"/>
                      <w:szCs w:val="18"/>
                    </w:rPr>
                    <w:t>502 </w:t>
                  </w:r>
                </w:p>
              </w:tc>
              <w:tc>
                <w:tcPr>
                  <w:tcW w:w="958" w:type="dxa"/>
                  <w:tcBorders>
                    <w:top w:val="single" w:sz="6" w:space="0" w:color="666666"/>
                    <w:left w:val="nil"/>
                    <w:bottom w:val="single" w:sz="6" w:space="0" w:color="666666"/>
                    <w:right w:val="nil"/>
                  </w:tcBorders>
                  <w:shd w:val="clear" w:color="auto" w:fill="CCCCCC"/>
                  <w:hideMark/>
                </w:tcPr>
                <w:p w14:paraId="3CEFEC17" w14:textId="77777777" w:rsidR="00B94CD6" w:rsidRPr="00D0012A" w:rsidRDefault="00B94CD6" w:rsidP="00F81459">
                  <w:pPr>
                    <w:jc w:val="right"/>
                    <w:rPr>
                      <w:sz w:val="20"/>
                      <w:szCs w:val="18"/>
                    </w:rPr>
                  </w:pPr>
                  <w:r w:rsidRPr="00D0012A">
                    <w:rPr>
                      <w:sz w:val="20"/>
                      <w:szCs w:val="18"/>
                    </w:rPr>
                    <w:t>1641 </w:t>
                  </w:r>
                </w:p>
              </w:tc>
              <w:tc>
                <w:tcPr>
                  <w:tcW w:w="957" w:type="dxa"/>
                  <w:tcBorders>
                    <w:top w:val="single" w:sz="6" w:space="0" w:color="666666"/>
                    <w:left w:val="nil"/>
                    <w:bottom w:val="single" w:sz="6" w:space="0" w:color="666666"/>
                    <w:right w:val="nil"/>
                  </w:tcBorders>
                  <w:shd w:val="clear" w:color="auto" w:fill="CCCCCC"/>
                  <w:hideMark/>
                </w:tcPr>
                <w:p w14:paraId="5B41112F" w14:textId="77777777" w:rsidR="00B94CD6" w:rsidRPr="00D0012A" w:rsidRDefault="00B94CD6" w:rsidP="00F81459">
                  <w:pPr>
                    <w:jc w:val="right"/>
                    <w:rPr>
                      <w:sz w:val="20"/>
                      <w:szCs w:val="18"/>
                    </w:rPr>
                  </w:pPr>
                  <w:r w:rsidRPr="00D0012A">
                    <w:rPr>
                      <w:sz w:val="20"/>
                      <w:szCs w:val="18"/>
                    </w:rPr>
                    <w:t>3518 </w:t>
                  </w:r>
                </w:p>
              </w:tc>
              <w:tc>
                <w:tcPr>
                  <w:tcW w:w="958" w:type="dxa"/>
                  <w:tcBorders>
                    <w:top w:val="single" w:sz="6" w:space="0" w:color="666666"/>
                    <w:left w:val="nil"/>
                    <w:bottom w:val="single" w:sz="6" w:space="0" w:color="666666"/>
                    <w:right w:val="nil"/>
                  </w:tcBorders>
                  <w:shd w:val="clear" w:color="auto" w:fill="CCCCCC"/>
                  <w:hideMark/>
                </w:tcPr>
                <w:p w14:paraId="6A3D2851" w14:textId="77777777" w:rsidR="00B94CD6" w:rsidRPr="00D0012A" w:rsidRDefault="00B94CD6" w:rsidP="00F81459">
                  <w:pPr>
                    <w:jc w:val="right"/>
                    <w:rPr>
                      <w:sz w:val="20"/>
                      <w:szCs w:val="18"/>
                    </w:rPr>
                  </w:pPr>
                  <w:r w:rsidRPr="00D0012A">
                    <w:rPr>
                      <w:sz w:val="20"/>
                      <w:szCs w:val="18"/>
                    </w:rPr>
                    <w:t>78 </w:t>
                  </w:r>
                </w:p>
              </w:tc>
              <w:tc>
                <w:tcPr>
                  <w:tcW w:w="958" w:type="dxa"/>
                  <w:tcBorders>
                    <w:top w:val="single" w:sz="6" w:space="0" w:color="666666"/>
                    <w:left w:val="nil"/>
                    <w:bottom w:val="single" w:sz="6" w:space="0" w:color="666666"/>
                    <w:right w:val="nil"/>
                  </w:tcBorders>
                  <w:shd w:val="clear" w:color="auto" w:fill="CCCCCC"/>
                  <w:hideMark/>
                </w:tcPr>
                <w:p w14:paraId="47408903" w14:textId="77777777" w:rsidR="00B94CD6" w:rsidRPr="00D0012A" w:rsidRDefault="00B94CD6" w:rsidP="00F81459">
                  <w:pPr>
                    <w:jc w:val="right"/>
                    <w:rPr>
                      <w:sz w:val="20"/>
                      <w:szCs w:val="18"/>
                    </w:rPr>
                  </w:pPr>
                  <w:r w:rsidRPr="00D0012A">
                    <w:rPr>
                      <w:sz w:val="20"/>
                      <w:szCs w:val="18"/>
                    </w:rPr>
                    <w:t>5767 </w:t>
                  </w:r>
                </w:p>
              </w:tc>
            </w:tr>
            <w:tr w:rsidR="00B94CD6" w:rsidRPr="00D0012A" w14:paraId="1999B6A7" w14:textId="77777777" w:rsidTr="00672E4C">
              <w:trPr>
                <w:trHeight w:val="255"/>
              </w:trPr>
              <w:tc>
                <w:tcPr>
                  <w:tcW w:w="1170" w:type="dxa"/>
                  <w:tcBorders>
                    <w:top w:val="single" w:sz="6" w:space="0" w:color="666666"/>
                    <w:left w:val="nil"/>
                    <w:bottom w:val="single" w:sz="6" w:space="0" w:color="666666"/>
                    <w:right w:val="nil"/>
                  </w:tcBorders>
                  <w:shd w:val="clear" w:color="auto" w:fill="auto"/>
                  <w:hideMark/>
                </w:tcPr>
                <w:p w14:paraId="355D11CC" w14:textId="77777777" w:rsidR="00B94CD6" w:rsidRPr="00D0012A" w:rsidRDefault="00B94CD6" w:rsidP="00F81459">
                  <w:pPr>
                    <w:jc w:val="right"/>
                    <w:rPr>
                      <w:b/>
                      <w:bCs/>
                      <w:sz w:val="20"/>
                      <w:szCs w:val="18"/>
                    </w:rPr>
                  </w:pPr>
                  <w:r w:rsidRPr="00D0012A">
                    <w:rPr>
                      <w:b/>
                      <w:bCs/>
                      <w:sz w:val="20"/>
                      <w:szCs w:val="18"/>
                    </w:rPr>
                    <w:t>2020 </w:t>
                  </w:r>
                </w:p>
              </w:tc>
              <w:tc>
                <w:tcPr>
                  <w:tcW w:w="705" w:type="dxa"/>
                  <w:tcBorders>
                    <w:top w:val="single" w:sz="6" w:space="0" w:color="666666"/>
                    <w:left w:val="nil"/>
                    <w:bottom w:val="single" w:sz="6" w:space="0" w:color="666666"/>
                    <w:right w:val="nil"/>
                  </w:tcBorders>
                  <w:shd w:val="clear" w:color="auto" w:fill="auto"/>
                  <w:hideMark/>
                </w:tcPr>
                <w:p w14:paraId="4E80A011" w14:textId="77777777" w:rsidR="00B94CD6" w:rsidRPr="00D0012A" w:rsidRDefault="00B94CD6" w:rsidP="00F81459">
                  <w:pPr>
                    <w:jc w:val="right"/>
                    <w:rPr>
                      <w:sz w:val="20"/>
                      <w:szCs w:val="18"/>
                    </w:rPr>
                  </w:pPr>
                  <w:r w:rsidRPr="00D0012A">
                    <w:rPr>
                      <w:sz w:val="20"/>
                      <w:szCs w:val="18"/>
                    </w:rPr>
                    <w:t>0 </w:t>
                  </w:r>
                </w:p>
              </w:tc>
              <w:tc>
                <w:tcPr>
                  <w:tcW w:w="957" w:type="dxa"/>
                  <w:tcBorders>
                    <w:top w:val="single" w:sz="6" w:space="0" w:color="666666"/>
                    <w:left w:val="nil"/>
                    <w:bottom w:val="single" w:sz="6" w:space="0" w:color="666666"/>
                    <w:right w:val="nil"/>
                  </w:tcBorders>
                  <w:shd w:val="clear" w:color="auto" w:fill="auto"/>
                  <w:hideMark/>
                </w:tcPr>
                <w:p w14:paraId="378987AA" w14:textId="77777777" w:rsidR="00B94CD6" w:rsidRPr="00D0012A" w:rsidRDefault="00B94CD6" w:rsidP="00F81459">
                  <w:pPr>
                    <w:jc w:val="right"/>
                    <w:rPr>
                      <w:sz w:val="20"/>
                      <w:szCs w:val="18"/>
                    </w:rPr>
                  </w:pPr>
                  <w:r w:rsidRPr="00D0012A">
                    <w:rPr>
                      <w:sz w:val="20"/>
                      <w:szCs w:val="18"/>
                    </w:rPr>
                    <w:t>840 </w:t>
                  </w:r>
                </w:p>
              </w:tc>
              <w:tc>
                <w:tcPr>
                  <w:tcW w:w="958" w:type="dxa"/>
                  <w:tcBorders>
                    <w:top w:val="single" w:sz="6" w:space="0" w:color="666666"/>
                    <w:left w:val="nil"/>
                    <w:bottom w:val="single" w:sz="6" w:space="0" w:color="666666"/>
                    <w:right w:val="nil"/>
                  </w:tcBorders>
                  <w:shd w:val="clear" w:color="auto" w:fill="auto"/>
                  <w:hideMark/>
                </w:tcPr>
                <w:p w14:paraId="32265648" w14:textId="77777777" w:rsidR="00B94CD6" w:rsidRPr="00D0012A" w:rsidRDefault="00B94CD6" w:rsidP="00F81459">
                  <w:pPr>
                    <w:jc w:val="right"/>
                    <w:rPr>
                      <w:sz w:val="20"/>
                      <w:szCs w:val="18"/>
                    </w:rPr>
                  </w:pPr>
                  <w:r w:rsidRPr="00D0012A">
                    <w:rPr>
                      <w:sz w:val="20"/>
                      <w:szCs w:val="18"/>
                    </w:rPr>
                    <w:t>2001 </w:t>
                  </w:r>
                </w:p>
              </w:tc>
              <w:tc>
                <w:tcPr>
                  <w:tcW w:w="957" w:type="dxa"/>
                  <w:tcBorders>
                    <w:top w:val="single" w:sz="6" w:space="0" w:color="666666"/>
                    <w:left w:val="nil"/>
                    <w:bottom w:val="single" w:sz="6" w:space="0" w:color="666666"/>
                    <w:right w:val="nil"/>
                  </w:tcBorders>
                  <w:shd w:val="clear" w:color="auto" w:fill="auto"/>
                  <w:hideMark/>
                </w:tcPr>
                <w:p w14:paraId="03C8D39D" w14:textId="77777777" w:rsidR="00B94CD6" w:rsidRPr="00D0012A" w:rsidRDefault="00B94CD6" w:rsidP="00F81459">
                  <w:pPr>
                    <w:jc w:val="right"/>
                    <w:rPr>
                      <w:sz w:val="20"/>
                      <w:szCs w:val="18"/>
                    </w:rPr>
                  </w:pPr>
                  <w:r w:rsidRPr="00D0012A">
                    <w:rPr>
                      <w:sz w:val="20"/>
                      <w:szCs w:val="18"/>
                    </w:rPr>
                    <w:t>3698 </w:t>
                  </w:r>
                </w:p>
              </w:tc>
              <w:tc>
                <w:tcPr>
                  <w:tcW w:w="958" w:type="dxa"/>
                  <w:tcBorders>
                    <w:top w:val="single" w:sz="6" w:space="0" w:color="666666"/>
                    <w:left w:val="nil"/>
                    <w:bottom w:val="single" w:sz="6" w:space="0" w:color="666666"/>
                    <w:right w:val="nil"/>
                  </w:tcBorders>
                  <w:shd w:val="clear" w:color="auto" w:fill="auto"/>
                  <w:hideMark/>
                </w:tcPr>
                <w:p w14:paraId="4A6ADE24" w14:textId="77777777" w:rsidR="00B94CD6" w:rsidRPr="00D0012A" w:rsidRDefault="00B94CD6" w:rsidP="00F81459">
                  <w:pPr>
                    <w:jc w:val="right"/>
                    <w:rPr>
                      <w:sz w:val="20"/>
                      <w:szCs w:val="18"/>
                    </w:rPr>
                  </w:pPr>
                  <w:r w:rsidRPr="00D0012A">
                    <w:rPr>
                      <w:sz w:val="20"/>
                      <w:szCs w:val="18"/>
                    </w:rPr>
                    <w:t>51 </w:t>
                  </w:r>
                </w:p>
              </w:tc>
              <w:tc>
                <w:tcPr>
                  <w:tcW w:w="958" w:type="dxa"/>
                  <w:tcBorders>
                    <w:top w:val="single" w:sz="6" w:space="0" w:color="666666"/>
                    <w:left w:val="nil"/>
                    <w:bottom w:val="single" w:sz="6" w:space="0" w:color="666666"/>
                    <w:right w:val="nil"/>
                  </w:tcBorders>
                  <w:shd w:val="clear" w:color="auto" w:fill="auto"/>
                  <w:hideMark/>
                </w:tcPr>
                <w:p w14:paraId="00D8D616" w14:textId="77777777" w:rsidR="00B94CD6" w:rsidRPr="00D0012A" w:rsidRDefault="00B94CD6" w:rsidP="00F81459">
                  <w:pPr>
                    <w:jc w:val="right"/>
                    <w:rPr>
                      <w:sz w:val="20"/>
                      <w:szCs w:val="18"/>
                    </w:rPr>
                  </w:pPr>
                  <w:r w:rsidRPr="00D0012A">
                    <w:rPr>
                      <w:sz w:val="20"/>
                      <w:szCs w:val="18"/>
                    </w:rPr>
                    <w:t>6615 </w:t>
                  </w:r>
                </w:p>
              </w:tc>
            </w:tr>
            <w:tr w:rsidR="00B94CD6" w:rsidRPr="00D0012A" w14:paraId="260B736B" w14:textId="77777777" w:rsidTr="00672E4C">
              <w:trPr>
                <w:trHeight w:val="255"/>
              </w:trPr>
              <w:tc>
                <w:tcPr>
                  <w:tcW w:w="1170" w:type="dxa"/>
                  <w:tcBorders>
                    <w:top w:val="single" w:sz="6" w:space="0" w:color="666666"/>
                    <w:left w:val="nil"/>
                    <w:bottom w:val="single" w:sz="6" w:space="0" w:color="666666"/>
                    <w:right w:val="nil"/>
                  </w:tcBorders>
                  <w:shd w:val="clear" w:color="auto" w:fill="CCCCCC"/>
                  <w:hideMark/>
                </w:tcPr>
                <w:p w14:paraId="3900E209" w14:textId="77777777" w:rsidR="00B94CD6" w:rsidRPr="00D0012A" w:rsidRDefault="00B94CD6" w:rsidP="00F81459">
                  <w:pPr>
                    <w:jc w:val="right"/>
                    <w:rPr>
                      <w:b/>
                      <w:bCs/>
                      <w:sz w:val="20"/>
                      <w:szCs w:val="18"/>
                    </w:rPr>
                  </w:pPr>
                  <w:r w:rsidRPr="00D0012A">
                    <w:rPr>
                      <w:b/>
                      <w:bCs/>
                      <w:sz w:val="20"/>
                      <w:szCs w:val="18"/>
                    </w:rPr>
                    <w:t>2021 </w:t>
                  </w:r>
                </w:p>
              </w:tc>
              <w:tc>
                <w:tcPr>
                  <w:tcW w:w="705" w:type="dxa"/>
                  <w:tcBorders>
                    <w:top w:val="single" w:sz="6" w:space="0" w:color="666666"/>
                    <w:left w:val="nil"/>
                    <w:bottom w:val="single" w:sz="6" w:space="0" w:color="666666"/>
                    <w:right w:val="nil"/>
                  </w:tcBorders>
                  <w:shd w:val="clear" w:color="auto" w:fill="CCCCCC"/>
                  <w:hideMark/>
                </w:tcPr>
                <w:p w14:paraId="71EC4F8A" w14:textId="77777777" w:rsidR="00B94CD6" w:rsidRPr="00D0012A" w:rsidRDefault="00B94CD6" w:rsidP="00F81459">
                  <w:pPr>
                    <w:jc w:val="right"/>
                    <w:rPr>
                      <w:sz w:val="20"/>
                      <w:szCs w:val="18"/>
                    </w:rPr>
                  </w:pPr>
                  <w:r w:rsidRPr="00D0012A">
                    <w:rPr>
                      <w:sz w:val="20"/>
                      <w:szCs w:val="18"/>
                    </w:rPr>
                    <w:t>0 </w:t>
                  </w:r>
                </w:p>
              </w:tc>
              <w:tc>
                <w:tcPr>
                  <w:tcW w:w="957" w:type="dxa"/>
                  <w:tcBorders>
                    <w:top w:val="single" w:sz="6" w:space="0" w:color="666666"/>
                    <w:left w:val="nil"/>
                    <w:bottom w:val="single" w:sz="6" w:space="0" w:color="666666"/>
                    <w:right w:val="nil"/>
                  </w:tcBorders>
                  <w:shd w:val="clear" w:color="auto" w:fill="CCCCCC"/>
                  <w:hideMark/>
                </w:tcPr>
                <w:p w14:paraId="11B4689B" w14:textId="77777777" w:rsidR="00B94CD6" w:rsidRPr="00D0012A" w:rsidRDefault="00B94CD6" w:rsidP="00F81459">
                  <w:pPr>
                    <w:jc w:val="right"/>
                    <w:rPr>
                      <w:sz w:val="20"/>
                      <w:szCs w:val="18"/>
                    </w:rPr>
                  </w:pPr>
                  <w:r w:rsidRPr="00D0012A">
                    <w:rPr>
                      <w:sz w:val="20"/>
                      <w:szCs w:val="18"/>
                    </w:rPr>
                    <w:t>1291 </w:t>
                  </w:r>
                </w:p>
              </w:tc>
              <w:tc>
                <w:tcPr>
                  <w:tcW w:w="958" w:type="dxa"/>
                  <w:tcBorders>
                    <w:top w:val="single" w:sz="6" w:space="0" w:color="666666"/>
                    <w:left w:val="nil"/>
                    <w:bottom w:val="single" w:sz="6" w:space="0" w:color="666666"/>
                    <w:right w:val="nil"/>
                  </w:tcBorders>
                  <w:shd w:val="clear" w:color="auto" w:fill="CCCCCC"/>
                  <w:hideMark/>
                </w:tcPr>
                <w:p w14:paraId="511DC55E" w14:textId="77777777" w:rsidR="00B94CD6" w:rsidRPr="00D0012A" w:rsidRDefault="00B94CD6" w:rsidP="00F81459">
                  <w:pPr>
                    <w:jc w:val="right"/>
                    <w:rPr>
                      <w:sz w:val="20"/>
                      <w:szCs w:val="18"/>
                    </w:rPr>
                  </w:pPr>
                  <w:r w:rsidRPr="00D0012A">
                    <w:rPr>
                      <w:sz w:val="20"/>
                      <w:szCs w:val="18"/>
                    </w:rPr>
                    <w:t>2607 </w:t>
                  </w:r>
                </w:p>
              </w:tc>
              <w:tc>
                <w:tcPr>
                  <w:tcW w:w="957" w:type="dxa"/>
                  <w:tcBorders>
                    <w:top w:val="single" w:sz="6" w:space="0" w:color="666666"/>
                    <w:left w:val="nil"/>
                    <w:bottom w:val="single" w:sz="6" w:space="0" w:color="666666"/>
                    <w:right w:val="nil"/>
                  </w:tcBorders>
                  <w:shd w:val="clear" w:color="auto" w:fill="CCCCCC"/>
                  <w:hideMark/>
                </w:tcPr>
                <w:p w14:paraId="7E2996CA" w14:textId="77777777" w:rsidR="00B94CD6" w:rsidRPr="00D0012A" w:rsidRDefault="00B94CD6" w:rsidP="00F81459">
                  <w:pPr>
                    <w:jc w:val="right"/>
                    <w:rPr>
                      <w:sz w:val="20"/>
                      <w:szCs w:val="18"/>
                    </w:rPr>
                  </w:pPr>
                  <w:r w:rsidRPr="00D0012A">
                    <w:rPr>
                      <w:sz w:val="20"/>
                      <w:szCs w:val="18"/>
                    </w:rPr>
                    <w:t>3705 </w:t>
                  </w:r>
                </w:p>
              </w:tc>
              <w:tc>
                <w:tcPr>
                  <w:tcW w:w="958" w:type="dxa"/>
                  <w:tcBorders>
                    <w:top w:val="single" w:sz="6" w:space="0" w:color="666666"/>
                    <w:left w:val="nil"/>
                    <w:bottom w:val="single" w:sz="6" w:space="0" w:color="666666"/>
                    <w:right w:val="nil"/>
                  </w:tcBorders>
                  <w:shd w:val="clear" w:color="auto" w:fill="CCCCCC"/>
                  <w:hideMark/>
                </w:tcPr>
                <w:p w14:paraId="1C8AB5F3" w14:textId="77777777" w:rsidR="00B94CD6" w:rsidRPr="00D0012A" w:rsidRDefault="00B94CD6" w:rsidP="00F81459">
                  <w:pPr>
                    <w:jc w:val="right"/>
                    <w:rPr>
                      <w:sz w:val="20"/>
                      <w:szCs w:val="18"/>
                    </w:rPr>
                  </w:pPr>
                  <w:r w:rsidRPr="00D0012A">
                    <w:rPr>
                      <w:sz w:val="20"/>
                      <w:szCs w:val="18"/>
                    </w:rPr>
                    <w:t>85 </w:t>
                  </w:r>
                </w:p>
              </w:tc>
              <w:tc>
                <w:tcPr>
                  <w:tcW w:w="958" w:type="dxa"/>
                  <w:tcBorders>
                    <w:top w:val="single" w:sz="6" w:space="0" w:color="666666"/>
                    <w:left w:val="nil"/>
                    <w:bottom w:val="single" w:sz="6" w:space="0" w:color="666666"/>
                    <w:right w:val="nil"/>
                  </w:tcBorders>
                  <w:shd w:val="clear" w:color="auto" w:fill="CCCCCC"/>
                  <w:hideMark/>
                </w:tcPr>
                <w:p w14:paraId="1072FAC8" w14:textId="77777777" w:rsidR="00B94CD6" w:rsidRPr="00D0012A" w:rsidRDefault="00B94CD6" w:rsidP="00F81459">
                  <w:pPr>
                    <w:jc w:val="right"/>
                    <w:rPr>
                      <w:sz w:val="20"/>
                      <w:szCs w:val="18"/>
                    </w:rPr>
                  </w:pPr>
                  <w:r w:rsidRPr="00D0012A">
                    <w:rPr>
                      <w:sz w:val="20"/>
                      <w:szCs w:val="18"/>
                    </w:rPr>
                    <w:t>7725 </w:t>
                  </w:r>
                </w:p>
              </w:tc>
            </w:tr>
          </w:tbl>
          <w:p w14:paraId="2057A285" w14:textId="77777777" w:rsidR="00B94CD6" w:rsidRPr="00B94CD6" w:rsidRDefault="00B94CD6" w:rsidP="00B94CD6">
            <w:r w:rsidRPr="00B94CD6">
              <w:t> </w:t>
            </w:r>
          </w:p>
        </w:tc>
        <w:tc>
          <w:tcPr>
            <w:tcW w:w="585" w:type="dxa"/>
            <w:tcBorders>
              <w:top w:val="nil"/>
              <w:left w:val="nil"/>
              <w:bottom w:val="nil"/>
              <w:right w:val="nil"/>
            </w:tcBorders>
            <w:shd w:val="clear" w:color="auto" w:fill="auto"/>
            <w:vAlign w:val="bottom"/>
            <w:hideMark/>
          </w:tcPr>
          <w:p w14:paraId="5D028934" w14:textId="77777777" w:rsidR="00B94CD6" w:rsidRPr="00B94CD6" w:rsidRDefault="00B94CD6" w:rsidP="00B94CD6">
            <w:r w:rsidRPr="00B94CD6">
              <w:t> </w:t>
            </w:r>
          </w:p>
        </w:tc>
        <w:tc>
          <w:tcPr>
            <w:tcW w:w="585" w:type="dxa"/>
            <w:tcBorders>
              <w:top w:val="nil"/>
              <w:left w:val="nil"/>
              <w:bottom w:val="nil"/>
              <w:right w:val="nil"/>
            </w:tcBorders>
            <w:shd w:val="clear" w:color="auto" w:fill="auto"/>
            <w:vAlign w:val="bottom"/>
            <w:hideMark/>
          </w:tcPr>
          <w:p w14:paraId="45567545" w14:textId="77777777" w:rsidR="00B94CD6" w:rsidRPr="00B94CD6" w:rsidRDefault="00B94CD6" w:rsidP="00B94CD6">
            <w:r w:rsidRPr="00B94CD6">
              <w:t> </w:t>
            </w:r>
          </w:p>
        </w:tc>
        <w:tc>
          <w:tcPr>
            <w:tcW w:w="585" w:type="dxa"/>
            <w:tcBorders>
              <w:top w:val="nil"/>
              <w:left w:val="nil"/>
              <w:bottom w:val="nil"/>
              <w:right w:val="nil"/>
            </w:tcBorders>
            <w:shd w:val="clear" w:color="auto" w:fill="auto"/>
            <w:vAlign w:val="bottom"/>
            <w:hideMark/>
          </w:tcPr>
          <w:p w14:paraId="20DDA8B1" w14:textId="77777777" w:rsidR="00B94CD6" w:rsidRPr="00B94CD6" w:rsidRDefault="00B94CD6" w:rsidP="00B94CD6">
            <w:r w:rsidRPr="00B94CD6">
              <w:t> </w:t>
            </w:r>
          </w:p>
        </w:tc>
        <w:tc>
          <w:tcPr>
            <w:tcW w:w="585" w:type="dxa"/>
            <w:tcBorders>
              <w:top w:val="nil"/>
              <w:left w:val="nil"/>
              <w:bottom w:val="nil"/>
              <w:right w:val="nil"/>
            </w:tcBorders>
            <w:shd w:val="clear" w:color="auto" w:fill="auto"/>
            <w:vAlign w:val="bottom"/>
            <w:hideMark/>
          </w:tcPr>
          <w:p w14:paraId="729D52DB" w14:textId="77777777" w:rsidR="00B94CD6" w:rsidRPr="00B94CD6" w:rsidRDefault="00B94CD6" w:rsidP="00B94CD6">
            <w:r w:rsidRPr="00B94CD6">
              <w:t> </w:t>
            </w:r>
          </w:p>
        </w:tc>
        <w:tc>
          <w:tcPr>
            <w:tcW w:w="585" w:type="dxa"/>
            <w:tcBorders>
              <w:top w:val="nil"/>
              <w:left w:val="nil"/>
              <w:bottom w:val="nil"/>
              <w:right w:val="nil"/>
            </w:tcBorders>
            <w:shd w:val="clear" w:color="auto" w:fill="auto"/>
            <w:vAlign w:val="bottom"/>
            <w:hideMark/>
          </w:tcPr>
          <w:p w14:paraId="1880A37B" w14:textId="77777777" w:rsidR="00B94CD6" w:rsidRPr="00B94CD6" w:rsidRDefault="00B94CD6" w:rsidP="00B94CD6">
            <w:r w:rsidRPr="00B94CD6">
              <w:t> </w:t>
            </w:r>
          </w:p>
        </w:tc>
      </w:tr>
    </w:tbl>
    <w:p w14:paraId="3FD84C7D" w14:textId="40397078" w:rsidR="00B94CD6" w:rsidRPr="00B94CD6" w:rsidRDefault="00B94CD6" w:rsidP="00D17926">
      <w:pPr>
        <w:pStyle w:val="Heading5"/>
      </w:pPr>
      <w:r w:rsidRPr="00B94CD6">
        <w:t>Comparison of numbers of patients providing relevant data from the four PICs, 2017-21 </w:t>
      </w:r>
    </w:p>
    <w:tbl>
      <w:tblPr>
        <w:tblW w:w="666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60"/>
        <w:gridCol w:w="1020"/>
        <w:gridCol w:w="1021"/>
        <w:gridCol w:w="1020"/>
        <w:gridCol w:w="1021"/>
        <w:gridCol w:w="1021"/>
      </w:tblGrid>
      <w:tr w:rsidR="00B94CD6" w:rsidRPr="00D0012A" w14:paraId="0243EF98" w14:textId="77777777" w:rsidTr="00672E4C">
        <w:tc>
          <w:tcPr>
            <w:tcW w:w="1560" w:type="dxa"/>
            <w:tcBorders>
              <w:top w:val="single" w:sz="6" w:space="0" w:color="666666"/>
              <w:left w:val="nil"/>
              <w:bottom w:val="single" w:sz="6" w:space="0" w:color="666666"/>
              <w:right w:val="nil"/>
            </w:tcBorders>
            <w:shd w:val="clear" w:color="auto" w:fill="auto"/>
            <w:hideMark/>
          </w:tcPr>
          <w:p w14:paraId="67FB3CF0" w14:textId="77777777" w:rsidR="00B94CD6" w:rsidRPr="00D0012A" w:rsidRDefault="00B94CD6" w:rsidP="00F81459">
            <w:pPr>
              <w:rPr>
                <w:rFonts w:cs="Times New Roman"/>
                <w:b/>
                <w:bCs/>
                <w:sz w:val="20"/>
                <w:szCs w:val="20"/>
              </w:rPr>
            </w:pPr>
            <w:r w:rsidRPr="00D0012A">
              <w:rPr>
                <w:rFonts w:cs="Times New Roman"/>
                <w:b/>
                <w:bCs/>
                <w:sz w:val="20"/>
                <w:szCs w:val="20"/>
              </w:rPr>
              <w:t>All exposure calls </w:t>
            </w:r>
          </w:p>
        </w:tc>
        <w:tc>
          <w:tcPr>
            <w:tcW w:w="1020" w:type="dxa"/>
            <w:tcBorders>
              <w:top w:val="single" w:sz="6" w:space="0" w:color="666666"/>
              <w:left w:val="nil"/>
              <w:bottom w:val="single" w:sz="6" w:space="0" w:color="666666"/>
              <w:right w:val="nil"/>
            </w:tcBorders>
            <w:shd w:val="clear" w:color="auto" w:fill="auto"/>
            <w:hideMark/>
          </w:tcPr>
          <w:p w14:paraId="2C5DA1C0" w14:textId="77777777" w:rsidR="00B94CD6" w:rsidRPr="00D0012A" w:rsidRDefault="00B94CD6" w:rsidP="00F81459">
            <w:pPr>
              <w:jc w:val="right"/>
              <w:rPr>
                <w:rFonts w:cs="Times New Roman"/>
                <w:b/>
                <w:bCs/>
                <w:sz w:val="20"/>
                <w:szCs w:val="20"/>
              </w:rPr>
            </w:pPr>
            <w:r w:rsidRPr="00D0012A">
              <w:rPr>
                <w:rFonts w:cs="Times New Roman"/>
                <w:b/>
                <w:bCs/>
                <w:sz w:val="20"/>
                <w:szCs w:val="20"/>
              </w:rPr>
              <w:t>QLD </w:t>
            </w:r>
          </w:p>
        </w:tc>
        <w:tc>
          <w:tcPr>
            <w:tcW w:w="1021" w:type="dxa"/>
            <w:tcBorders>
              <w:top w:val="single" w:sz="6" w:space="0" w:color="666666"/>
              <w:left w:val="nil"/>
              <w:bottom w:val="single" w:sz="6" w:space="0" w:color="666666"/>
              <w:right w:val="nil"/>
            </w:tcBorders>
            <w:shd w:val="clear" w:color="auto" w:fill="auto"/>
            <w:hideMark/>
          </w:tcPr>
          <w:p w14:paraId="1F12FF12" w14:textId="77777777" w:rsidR="00B94CD6" w:rsidRPr="00D0012A" w:rsidRDefault="00B94CD6" w:rsidP="00F81459">
            <w:pPr>
              <w:jc w:val="right"/>
              <w:rPr>
                <w:rFonts w:cs="Times New Roman"/>
                <w:b/>
                <w:bCs/>
                <w:sz w:val="20"/>
                <w:szCs w:val="20"/>
              </w:rPr>
            </w:pPr>
            <w:r w:rsidRPr="00D0012A">
              <w:rPr>
                <w:rFonts w:cs="Times New Roman"/>
                <w:b/>
                <w:bCs/>
                <w:sz w:val="20"/>
                <w:szCs w:val="20"/>
              </w:rPr>
              <w:t>WA </w:t>
            </w:r>
          </w:p>
        </w:tc>
        <w:tc>
          <w:tcPr>
            <w:tcW w:w="1020" w:type="dxa"/>
            <w:tcBorders>
              <w:top w:val="single" w:sz="6" w:space="0" w:color="666666"/>
              <w:left w:val="nil"/>
              <w:bottom w:val="single" w:sz="6" w:space="0" w:color="666666"/>
              <w:right w:val="nil"/>
            </w:tcBorders>
            <w:shd w:val="clear" w:color="auto" w:fill="auto"/>
            <w:hideMark/>
          </w:tcPr>
          <w:p w14:paraId="36D0117C" w14:textId="77777777" w:rsidR="00B94CD6" w:rsidRPr="00D0012A" w:rsidRDefault="00B94CD6" w:rsidP="00F81459">
            <w:pPr>
              <w:jc w:val="right"/>
              <w:rPr>
                <w:rFonts w:cs="Times New Roman"/>
                <w:b/>
                <w:bCs/>
                <w:sz w:val="20"/>
                <w:szCs w:val="20"/>
              </w:rPr>
            </w:pPr>
            <w:r w:rsidRPr="00D0012A">
              <w:rPr>
                <w:rFonts w:cs="Times New Roman"/>
                <w:b/>
                <w:bCs/>
                <w:sz w:val="20"/>
                <w:szCs w:val="20"/>
              </w:rPr>
              <w:t>VIC </w:t>
            </w:r>
          </w:p>
        </w:tc>
        <w:tc>
          <w:tcPr>
            <w:tcW w:w="1021" w:type="dxa"/>
            <w:tcBorders>
              <w:top w:val="single" w:sz="6" w:space="0" w:color="666666"/>
              <w:left w:val="nil"/>
              <w:bottom w:val="single" w:sz="6" w:space="0" w:color="666666"/>
              <w:right w:val="nil"/>
            </w:tcBorders>
            <w:shd w:val="clear" w:color="auto" w:fill="auto"/>
            <w:hideMark/>
          </w:tcPr>
          <w:p w14:paraId="673B8182" w14:textId="77777777" w:rsidR="00B94CD6" w:rsidRPr="00D0012A" w:rsidRDefault="00B94CD6" w:rsidP="00F81459">
            <w:pPr>
              <w:jc w:val="right"/>
              <w:rPr>
                <w:rFonts w:cs="Times New Roman"/>
                <w:b/>
                <w:bCs/>
                <w:sz w:val="20"/>
                <w:szCs w:val="20"/>
              </w:rPr>
            </w:pPr>
            <w:r w:rsidRPr="00D0012A">
              <w:rPr>
                <w:rFonts w:cs="Times New Roman"/>
                <w:b/>
                <w:bCs/>
                <w:sz w:val="20"/>
                <w:szCs w:val="20"/>
              </w:rPr>
              <w:t>NSW </w:t>
            </w:r>
          </w:p>
        </w:tc>
        <w:tc>
          <w:tcPr>
            <w:tcW w:w="1021" w:type="dxa"/>
            <w:tcBorders>
              <w:top w:val="single" w:sz="6" w:space="0" w:color="666666"/>
              <w:left w:val="nil"/>
              <w:bottom w:val="single" w:sz="6" w:space="0" w:color="666666"/>
              <w:right w:val="nil"/>
            </w:tcBorders>
            <w:shd w:val="clear" w:color="auto" w:fill="auto"/>
            <w:hideMark/>
          </w:tcPr>
          <w:p w14:paraId="70E452A8" w14:textId="77777777" w:rsidR="00B94CD6" w:rsidRPr="00D0012A" w:rsidRDefault="00B94CD6" w:rsidP="00F81459">
            <w:pPr>
              <w:jc w:val="right"/>
              <w:rPr>
                <w:rFonts w:cs="Times New Roman"/>
                <w:b/>
                <w:bCs/>
                <w:sz w:val="20"/>
                <w:szCs w:val="20"/>
              </w:rPr>
            </w:pPr>
            <w:r w:rsidRPr="00D0012A">
              <w:rPr>
                <w:rFonts w:cs="Times New Roman"/>
                <w:b/>
                <w:bCs/>
                <w:sz w:val="20"/>
                <w:szCs w:val="20"/>
              </w:rPr>
              <w:t>Total </w:t>
            </w:r>
          </w:p>
        </w:tc>
      </w:tr>
      <w:tr w:rsidR="00B94CD6" w:rsidRPr="00D0012A" w14:paraId="60175D83" w14:textId="77777777" w:rsidTr="00672E4C">
        <w:tc>
          <w:tcPr>
            <w:tcW w:w="1560" w:type="dxa"/>
            <w:tcBorders>
              <w:top w:val="single" w:sz="6" w:space="0" w:color="666666"/>
              <w:left w:val="nil"/>
              <w:bottom w:val="single" w:sz="6" w:space="0" w:color="666666"/>
              <w:right w:val="nil"/>
            </w:tcBorders>
            <w:shd w:val="clear" w:color="auto" w:fill="CCCCCC"/>
            <w:hideMark/>
          </w:tcPr>
          <w:p w14:paraId="034B57BD" w14:textId="77777777" w:rsidR="00B94CD6" w:rsidRPr="00D0012A" w:rsidRDefault="00B94CD6" w:rsidP="00F81459">
            <w:pPr>
              <w:rPr>
                <w:rFonts w:cs="Times New Roman"/>
                <w:b/>
                <w:bCs/>
                <w:sz w:val="20"/>
                <w:szCs w:val="20"/>
              </w:rPr>
            </w:pPr>
            <w:r w:rsidRPr="00D0012A">
              <w:rPr>
                <w:rFonts w:cs="Times New Roman"/>
                <w:b/>
                <w:bCs/>
                <w:sz w:val="20"/>
                <w:szCs w:val="20"/>
              </w:rPr>
              <w:t>2017 </w:t>
            </w:r>
          </w:p>
        </w:tc>
        <w:tc>
          <w:tcPr>
            <w:tcW w:w="1020" w:type="dxa"/>
            <w:tcBorders>
              <w:top w:val="single" w:sz="6" w:space="0" w:color="666666"/>
              <w:left w:val="nil"/>
              <w:bottom w:val="single" w:sz="6" w:space="0" w:color="666666"/>
              <w:right w:val="nil"/>
            </w:tcBorders>
            <w:shd w:val="clear" w:color="auto" w:fill="CCCCCC"/>
            <w:hideMark/>
          </w:tcPr>
          <w:p w14:paraId="7C71A601" w14:textId="77777777" w:rsidR="00B94CD6" w:rsidRPr="00D0012A" w:rsidRDefault="00B94CD6" w:rsidP="00F81459">
            <w:pPr>
              <w:jc w:val="right"/>
              <w:rPr>
                <w:rFonts w:cs="Times New Roman"/>
                <w:sz w:val="20"/>
                <w:szCs w:val="20"/>
              </w:rPr>
            </w:pPr>
            <w:r w:rsidRPr="00D0012A">
              <w:rPr>
                <w:rFonts w:cs="Times New Roman"/>
                <w:sz w:val="20"/>
                <w:szCs w:val="20"/>
              </w:rPr>
              <w:t>28363 </w:t>
            </w:r>
          </w:p>
        </w:tc>
        <w:tc>
          <w:tcPr>
            <w:tcW w:w="1021" w:type="dxa"/>
            <w:tcBorders>
              <w:top w:val="single" w:sz="6" w:space="0" w:color="666666"/>
              <w:left w:val="nil"/>
              <w:bottom w:val="single" w:sz="6" w:space="0" w:color="666666"/>
              <w:right w:val="nil"/>
            </w:tcBorders>
            <w:shd w:val="clear" w:color="auto" w:fill="CCCCCC"/>
            <w:hideMark/>
          </w:tcPr>
          <w:p w14:paraId="2EFA7BFB" w14:textId="77777777" w:rsidR="00B94CD6" w:rsidRPr="00D0012A" w:rsidRDefault="00B94CD6" w:rsidP="00F81459">
            <w:pPr>
              <w:jc w:val="right"/>
              <w:rPr>
                <w:rFonts w:cs="Times New Roman"/>
                <w:sz w:val="20"/>
                <w:szCs w:val="20"/>
              </w:rPr>
            </w:pPr>
            <w:r w:rsidRPr="00D0012A">
              <w:rPr>
                <w:rFonts w:cs="Times New Roman"/>
                <w:sz w:val="20"/>
                <w:szCs w:val="20"/>
              </w:rPr>
              <w:t>28497 </w:t>
            </w:r>
          </w:p>
        </w:tc>
        <w:tc>
          <w:tcPr>
            <w:tcW w:w="1020" w:type="dxa"/>
            <w:tcBorders>
              <w:top w:val="single" w:sz="6" w:space="0" w:color="666666"/>
              <w:left w:val="nil"/>
              <w:bottom w:val="single" w:sz="6" w:space="0" w:color="666666"/>
              <w:right w:val="nil"/>
            </w:tcBorders>
            <w:shd w:val="clear" w:color="auto" w:fill="CCCCCC"/>
            <w:hideMark/>
          </w:tcPr>
          <w:p w14:paraId="5A7315B0" w14:textId="77777777" w:rsidR="00B94CD6" w:rsidRPr="00D0012A" w:rsidRDefault="00B94CD6" w:rsidP="00F81459">
            <w:pPr>
              <w:jc w:val="right"/>
              <w:rPr>
                <w:rFonts w:cs="Times New Roman"/>
                <w:sz w:val="20"/>
                <w:szCs w:val="20"/>
              </w:rPr>
            </w:pPr>
            <w:r w:rsidRPr="00D0012A">
              <w:rPr>
                <w:rFonts w:cs="Times New Roman"/>
                <w:sz w:val="20"/>
                <w:szCs w:val="20"/>
              </w:rPr>
              <w:t>33211 </w:t>
            </w:r>
          </w:p>
        </w:tc>
        <w:tc>
          <w:tcPr>
            <w:tcW w:w="1021" w:type="dxa"/>
            <w:tcBorders>
              <w:top w:val="single" w:sz="6" w:space="0" w:color="666666"/>
              <w:left w:val="nil"/>
              <w:bottom w:val="single" w:sz="6" w:space="0" w:color="666666"/>
              <w:right w:val="nil"/>
            </w:tcBorders>
            <w:shd w:val="clear" w:color="auto" w:fill="CCCCCC"/>
            <w:hideMark/>
          </w:tcPr>
          <w:p w14:paraId="0C13E20C" w14:textId="77777777" w:rsidR="00B94CD6" w:rsidRPr="00D0012A" w:rsidRDefault="00B94CD6" w:rsidP="00F81459">
            <w:pPr>
              <w:jc w:val="right"/>
              <w:rPr>
                <w:rFonts w:cs="Times New Roman"/>
                <w:sz w:val="20"/>
                <w:szCs w:val="20"/>
              </w:rPr>
            </w:pPr>
            <w:r w:rsidRPr="00D0012A">
              <w:rPr>
                <w:rFonts w:cs="Times New Roman"/>
                <w:sz w:val="20"/>
                <w:szCs w:val="20"/>
              </w:rPr>
              <w:t>74105 </w:t>
            </w:r>
          </w:p>
        </w:tc>
        <w:tc>
          <w:tcPr>
            <w:tcW w:w="1021" w:type="dxa"/>
            <w:tcBorders>
              <w:top w:val="single" w:sz="6" w:space="0" w:color="666666"/>
              <w:left w:val="nil"/>
              <w:bottom w:val="single" w:sz="6" w:space="0" w:color="666666"/>
              <w:right w:val="nil"/>
            </w:tcBorders>
            <w:shd w:val="clear" w:color="auto" w:fill="CCCCCC"/>
            <w:hideMark/>
          </w:tcPr>
          <w:p w14:paraId="71D3A96B" w14:textId="77777777" w:rsidR="00B94CD6" w:rsidRPr="00D0012A" w:rsidRDefault="00B94CD6" w:rsidP="00F81459">
            <w:pPr>
              <w:jc w:val="right"/>
              <w:rPr>
                <w:rFonts w:cs="Times New Roman"/>
                <w:sz w:val="20"/>
                <w:szCs w:val="20"/>
              </w:rPr>
            </w:pPr>
            <w:r w:rsidRPr="00D0012A">
              <w:rPr>
                <w:rFonts w:cs="Times New Roman"/>
                <w:sz w:val="20"/>
                <w:szCs w:val="20"/>
              </w:rPr>
              <w:t>164176 </w:t>
            </w:r>
          </w:p>
        </w:tc>
      </w:tr>
      <w:tr w:rsidR="00B94CD6" w:rsidRPr="00D0012A" w14:paraId="4236F901" w14:textId="77777777" w:rsidTr="00672E4C">
        <w:tc>
          <w:tcPr>
            <w:tcW w:w="1560" w:type="dxa"/>
            <w:tcBorders>
              <w:top w:val="single" w:sz="6" w:space="0" w:color="666666"/>
              <w:left w:val="nil"/>
              <w:bottom w:val="single" w:sz="6" w:space="0" w:color="666666"/>
              <w:right w:val="nil"/>
            </w:tcBorders>
            <w:shd w:val="clear" w:color="auto" w:fill="auto"/>
            <w:hideMark/>
          </w:tcPr>
          <w:p w14:paraId="7B6B5D4D" w14:textId="77777777" w:rsidR="00B94CD6" w:rsidRPr="00D0012A" w:rsidRDefault="00B94CD6" w:rsidP="00F81459">
            <w:pPr>
              <w:rPr>
                <w:rFonts w:cs="Times New Roman"/>
                <w:b/>
                <w:bCs/>
                <w:sz w:val="20"/>
                <w:szCs w:val="20"/>
              </w:rPr>
            </w:pPr>
            <w:r w:rsidRPr="00D0012A">
              <w:rPr>
                <w:rFonts w:cs="Times New Roman"/>
                <w:b/>
                <w:bCs/>
                <w:sz w:val="20"/>
                <w:szCs w:val="20"/>
              </w:rPr>
              <w:t>2018 </w:t>
            </w:r>
          </w:p>
        </w:tc>
        <w:tc>
          <w:tcPr>
            <w:tcW w:w="1020" w:type="dxa"/>
            <w:tcBorders>
              <w:top w:val="single" w:sz="6" w:space="0" w:color="666666"/>
              <w:left w:val="nil"/>
              <w:bottom w:val="single" w:sz="6" w:space="0" w:color="666666"/>
              <w:right w:val="nil"/>
            </w:tcBorders>
            <w:shd w:val="clear" w:color="auto" w:fill="auto"/>
            <w:hideMark/>
          </w:tcPr>
          <w:p w14:paraId="60E756B2" w14:textId="77777777" w:rsidR="00B94CD6" w:rsidRPr="00D0012A" w:rsidRDefault="00B94CD6" w:rsidP="00F81459">
            <w:pPr>
              <w:jc w:val="right"/>
              <w:rPr>
                <w:rFonts w:cs="Times New Roman"/>
                <w:sz w:val="20"/>
                <w:szCs w:val="20"/>
              </w:rPr>
            </w:pPr>
            <w:r w:rsidRPr="00D0012A">
              <w:rPr>
                <w:rFonts w:cs="Times New Roman"/>
                <w:sz w:val="20"/>
                <w:szCs w:val="20"/>
              </w:rPr>
              <w:t>26276 </w:t>
            </w:r>
          </w:p>
        </w:tc>
        <w:tc>
          <w:tcPr>
            <w:tcW w:w="1021" w:type="dxa"/>
            <w:tcBorders>
              <w:top w:val="single" w:sz="6" w:space="0" w:color="666666"/>
              <w:left w:val="nil"/>
              <w:bottom w:val="single" w:sz="6" w:space="0" w:color="666666"/>
              <w:right w:val="nil"/>
            </w:tcBorders>
            <w:shd w:val="clear" w:color="auto" w:fill="auto"/>
            <w:hideMark/>
          </w:tcPr>
          <w:p w14:paraId="25F5D118" w14:textId="77777777" w:rsidR="00B94CD6" w:rsidRPr="00D0012A" w:rsidRDefault="00B94CD6" w:rsidP="00F81459">
            <w:pPr>
              <w:jc w:val="right"/>
              <w:rPr>
                <w:rFonts w:cs="Times New Roman"/>
                <w:sz w:val="20"/>
                <w:szCs w:val="20"/>
              </w:rPr>
            </w:pPr>
            <w:r w:rsidRPr="00D0012A">
              <w:rPr>
                <w:rFonts w:cs="Times New Roman"/>
                <w:sz w:val="20"/>
                <w:szCs w:val="20"/>
              </w:rPr>
              <w:t>28818 </w:t>
            </w:r>
          </w:p>
        </w:tc>
        <w:tc>
          <w:tcPr>
            <w:tcW w:w="1020" w:type="dxa"/>
            <w:tcBorders>
              <w:top w:val="single" w:sz="6" w:space="0" w:color="666666"/>
              <w:left w:val="nil"/>
              <w:bottom w:val="single" w:sz="6" w:space="0" w:color="666666"/>
              <w:right w:val="nil"/>
            </w:tcBorders>
            <w:shd w:val="clear" w:color="auto" w:fill="auto"/>
            <w:hideMark/>
          </w:tcPr>
          <w:p w14:paraId="626344CE" w14:textId="77777777" w:rsidR="00B94CD6" w:rsidRPr="00D0012A" w:rsidRDefault="00B94CD6" w:rsidP="00F81459">
            <w:pPr>
              <w:jc w:val="right"/>
              <w:rPr>
                <w:rFonts w:cs="Times New Roman"/>
                <w:sz w:val="20"/>
                <w:szCs w:val="20"/>
              </w:rPr>
            </w:pPr>
            <w:r w:rsidRPr="00D0012A">
              <w:rPr>
                <w:rFonts w:cs="Times New Roman"/>
                <w:sz w:val="20"/>
                <w:szCs w:val="20"/>
              </w:rPr>
              <w:t>33695 </w:t>
            </w:r>
          </w:p>
        </w:tc>
        <w:tc>
          <w:tcPr>
            <w:tcW w:w="1021" w:type="dxa"/>
            <w:tcBorders>
              <w:top w:val="single" w:sz="6" w:space="0" w:color="666666"/>
              <w:left w:val="nil"/>
              <w:bottom w:val="single" w:sz="6" w:space="0" w:color="666666"/>
              <w:right w:val="nil"/>
            </w:tcBorders>
            <w:shd w:val="clear" w:color="auto" w:fill="auto"/>
            <w:hideMark/>
          </w:tcPr>
          <w:p w14:paraId="155390CB" w14:textId="77777777" w:rsidR="00B94CD6" w:rsidRPr="00D0012A" w:rsidRDefault="00B94CD6" w:rsidP="00F81459">
            <w:pPr>
              <w:jc w:val="right"/>
              <w:rPr>
                <w:rFonts w:cs="Times New Roman"/>
                <w:sz w:val="20"/>
                <w:szCs w:val="20"/>
              </w:rPr>
            </w:pPr>
            <w:r w:rsidRPr="00D0012A">
              <w:rPr>
                <w:rFonts w:cs="Times New Roman"/>
                <w:sz w:val="20"/>
                <w:szCs w:val="20"/>
              </w:rPr>
              <w:t>74066 </w:t>
            </w:r>
          </w:p>
        </w:tc>
        <w:tc>
          <w:tcPr>
            <w:tcW w:w="1021" w:type="dxa"/>
            <w:tcBorders>
              <w:top w:val="single" w:sz="6" w:space="0" w:color="666666"/>
              <w:left w:val="nil"/>
              <w:bottom w:val="single" w:sz="6" w:space="0" w:color="666666"/>
              <w:right w:val="nil"/>
            </w:tcBorders>
            <w:shd w:val="clear" w:color="auto" w:fill="auto"/>
            <w:hideMark/>
          </w:tcPr>
          <w:p w14:paraId="41E67C2F" w14:textId="77777777" w:rsidR="00B94CD6" w:rsidRPr="00D0012A" w:rsidRDefault="00B94CD6" w:rsidP="00F81459">
            <w:pPr>
              <w:jc w:val="right"/>
              <w:rPr>
                <w:rFonts w:cs="Times New Roman"/>
                <w:sz w:val="20"/>
                <w:szCs w:val="20"/>
              </w:rPr>
            </w:pPr>
            <w:r w:rsidRPr="00D0012A">
              <w:rPr>
                <w:rFonts w:cs="Times New Roman"/>
                <w:sz w:val="20"/>
                <w:szCs w:val="20"/>
              </w:rPr>
              <w:t>162855 </w:t>
            </w:r>
          </w:p>
        </w:tc>
      </w:tr>
      <w:tr w:rsidR="00B94CD6" w:rsidRPr="00D0012A" w14:paraId="44AD8430" w14:textId="77777777" w:rsidTr="00672E4C">
        <w:tc>
          <w:tcPr>
            <w:tcW w:w="1560" w:type="dxa"/>
            <w:tcBorders>
              <w:top w:val="single" w:sz="6" w:space="0" w:color="666666"/>
              <w:left w:val="nil"/>
              <w:bottom w:val="single" w:sz="6" w:space="0" w:color="666666"/>
              <w:right w:val="nil"/>
            </w:tcBorders>
            <w:shd w:val="clear" w:color="auto" w:fill="CCCCCC"/>
            <w:hideMark/>
          </w:tcPr>
          <w:p w14:paraId="51FB84B6" w14:textId="77777777" w:rsidR="00B94CD6" w:rsidRPr="00D0012A" w:rsidRDefault="00B94CD6" w:rsidP="00F81459">
            <w:pPr>
              <w:rPr>
                <w:rFonts w:cs="Times New Roman"/>
                <w:b/>
                <w:bCs/>
                <w:sz w:val="20"/>
                <w:szCs w:val="20"/>
              </w:rPr>
            </w:pPr>
            <w:r w:rsidRPr="00D0012A">
              <w:rPr>
                <w:rFonts w:cs="Times New Roman"/>
                <w:b/>
                <w:bCs/>
                <w:sz w:val="20"/>
                <w:szCs w:val="20"/>
              </w:rPr>
              <w:t>2019 </w:t>
            </w:r>
          </w:p>
        </w:tc>
        <w:tc>
          <w:tcPr>
            <w:tcW w:w="1020" w:type="dxa"/>
            <w:tcBorders>
              <w:top w:val="single" w:sz="6" w:space="0" w:color="666666"/>
              <w:left w:val="nil"/>
              <w:bottom w:val="single" w:sz="6" w:space="0" w:color="666666"/>
              <w:right w:val="nil"/>
            </w:tcBorders>
            <w:shd w:val="clear" w:color="auto" w:fill="CCCCCC"/>
            <w:hideMark/>
          </w:tcPr>
          <w:p w14:paraId="391F22CB" w14:textId="77777777" w:rsidR="00B94CD6" w:rsidRPr="00D0012A" w:rsidRDefault="00B94CD6" w:rsidP="00F81459">
            <w:pPr>
              <w:jc w:val="right"/>
              <w:rPr>
                <w:rFonts w:cs="Times New Roman"/>
                <w:sz w:val="20"/>
                <w:szCs w:val="20"/>
              </w:rPr>
            </w:pPr>
            <w:r w:rsidRPr="00D0012A">
              <w:rPr>
                <w:rFonts w:cs="Times New Roman"/>
                <w:sz w:val="20"/>
                <w:szCs w:val="20"/>
              </w:rPr>
              <w:t>27478 </w:t>
            </w:r>
          </w:p>
        </w:tc>
        <w:tc>
          <w:tcPr>
            <w:tcW w:w="1021" w:type="dxa"/>
            <w:tcBorders>
              <w:top w:val="single" w:sz="6" w:space="0" w:color="666666"/>
              <w:left w:val="nil"/>
              <w:bottom w:val="single" w:sz="6" w:space="0" w:color="666666"/>
              <w:right w:val="nil"/>
            </w:tcBorders>
            <w:shd w:val="clear" w:color="auto" w:fill="CCCCCC"/>
            <w:hideMark/>
          </w:tcPr>
          <w:p w14:paraId="7A869611" w14:textId="77777777" w:rsidR="00B94CD6" w:rsidRPr="00D0012A" w:rsidRDefault="00B94CD6" w:rsidP="00F81459">
            <w:pPr>
              <w:jc w:val="right"/>
              <w:rPr>
                <w:rFonts w:cs="Times New Roman"/>
                <w:sz w:val="20"/>
                <w:szCs w:val="20"/>
              </w:rPr>
            </w:pPr>
            <w:r w:rsidRPr="00D0012A">
              <w:rPr>
                <w:rFonts w:cs="Times New Roman"/>
                <w:sz w:val="20"/>
                <w:szCs w:val="20"/>
              </w:rPr>
              <w:t>30285 </w:t>
            </w:r>
          </w:p>
        </w:tc>
        <w:tc>
          <w:tcPr>
            <w:tcW w:w="1020" w:type="dxa"/>
            <w:tcBorders>
              <w:top w:val="single" w:sz="6" w:space="0" w:color="666666"/>
              <w:left w:val="nil"/>
              <w:bottom w:val="single" w:sz="6" w:space="0" w:color="666666"/>
              <w:right w:val="nil"/>
            </w:tcBorders>
            <w:shd w:val="clear" w:color="auto" w:fill="CCCCCC"/>
            <w:hideMark/>
          </w:tcPr>
          <w:p w14:paraId="1837FF97" w14:textId="77777777" w:rsidR="00B94CD6" w:rsidRPr="00D0012A" w:rsidRDefault="00B94CD6" w:rsidP="00F81459">
            <w:pPr>
              <w:jc w:val="right"/>
              <w:rPr>
                <w:rFonts w:cs="Times New Roman"/>
                <w:sz w:val="20"/>
                <w:szCs w:val="20"/>
              </w:rPr>
            </w:pPr>
            <w:r w:rsidRPr="00D0012A">
              <w:rPr>
                <w:rFonts w:cs="Times New Roman"/>
                <w:sz w:val="20"/>
                <w:szCs w:val="20"/>
              </w:rPr>
              <w:t>34684 </w:t>
            </w:r>
          </w:p>
        </w:tc>
        <w:tc>
          <w:tcPr>
            <w:tcW w:w="1021" w:type="dxa"/>
            <w:tcBorders>
              <w:top w:val="single" w:sz="6" w:space="0" w:color="666666"/>
              <w:left w:val="nil"/>
              <w:bottom w:val="single" w:sz="6" w:space="0" w:color="666666"/>
              <w:right w:val="nil"/>
            </w:tcBorders>
            <w:shd w:val="clear" w:color="auto" w:fill="CCCCCC"/>
            <w:hideMark/>
          </w:tcPr>
          <w:p w14:paraId="37550F9C" w14:textId="77777777" w:rsidR="00B94CD6" w:rsidRPr="00D0012A" w:rsidRDefault="00B94CD6" w:rsidP="00F81459">
            <w:pPr>
              <w:jc w:val="right"/>
              <w:rPr>
                <w:rFonts w:cs="Times New Roman"/>
                <w:sz w:val="20"/>
                <w:szCs w:val="20"/>
              </w:rPr>
            </w:pPr>
            <w:r w:rsidRPr="00D0012A">
              <w:rPr>
                <w:rFonts w:cs="Times New Roman"/>
                <w:sz w:val="20"/>
                <w:szCs w:val="20"/>
              </w:rPr>
              <w:t>78631 </w:t>
            </w:r>
          </w:p>
        </w:tc>
        <w:tc>
          <w:tcPr>
            <w:tcW w:w="1021" w:type="dxa"/>
            <w:tcBorders>
              <w:top w:val="single" w:sz="6" w:space="0" w:color="666666"/>
              <w:left w:val="nil"/>
              <w:bottom w:val="single" w:sz="6" w:space="0" w:color="666666"/>
              <w:right w:val="nil"/>
            </w:tcBorders>
            <w:shd w:val="clear" w:color="auto" w:fill="CCCCCC"/>
            <w:hideMark/>
          </w:tcPr>
          <w:p w14:paraId="55449FA6" w14:textId="77777777" w:rsidR="00B94CD6" w:rsidRPr="00D0012A" w:rsidRDefault="00B94CD6" w:rsidP="00F81459">
            <w:pPr>
              <w:jc w:val="right"/>
              <w:rPr>
                <w:rFonts w:cs="Times New Roman"/>
                <w:sz w:val="20"/>
                <w:szCs w:val="20"/>
              </w:rPr>
            </w:pPr>
            <w:r w:rsidRPr="00D0012A">
              <w:rPr>
                <w:rFonts w:cs="Times New Roman"/>
                <w:sz w:val="20"/>
                <w:szCs w:val="20"/>
              </w:rPr>
              <w:t>171078 </w:t>
            </w:r>
          </w:p>
        </w:tc>
      </w:tr>
      <w:tr w:rsidR="00B94CD6" w:rsidRPr="00D0012A" w14:paraId="1BA3FB9F" w14:textId="77777777" w:rsidTr="00672E4C">
        <w:tc>
          <w:tcPr>
            <w:tcW w:w="1560" w:type="dxa"/>
            <w:tcBorders>
              <w:top w:val="single" w:sz="6" w:space="0" w:color="666666"/>
              <w:left w:val="nil"/>
              <w:bottom w:val="single" w:sz="6" w:space="0" w:color="666666"/>
              <w:right w:val="nil"/>
            </w:tcBorders>
            <w:shd w:val="clear" w:color="auto" w:fill="auto"/>
            <w:hideMark/>
          </w:tcPr>
          <w:p w14:paraId="4FB4F9F5" w14:textId="77777777" w:rsidR="00B94CD6" w:rsidRPr="00D0012A" w:rsidRDefault="00B94CD6" w:rsidP="00B94CD6">
            <w:pPr>
              <w:rPr>
                <w:rFonts w:cs="Times New Roman"/>
                <w:b/>
                <w:bCs/>
                <w:sz w:val="20"/>
                <w:szCs w:val="20"/>
              </w:rPr>
            </w:pPr>
            <w:r w:rsidRPr="00D0012A">
              <w:rPr>
                <w:rFonts w:cs="Times New Roman"/>
                <w:b/>
                <w:bCs/>
                <w:sz w:val="20"/>
                <w:szCs w:val="20"/>
              </w:rPr>
              <w:t>2020 </w:t>
            </w:r>
          </w:p>
        </w:tc>
        <w:tc>
          <w:tcPr>
            <w:tcW w:w="1020" w:type="dxa"/>
            <w:tcBorders>
              <w:top w:val="single" w:sz="6" w:space="0" w:color="666666"/>
              <w:left w:val="nil"/>
              <w:bottom w:val="single" w:sz="6" w:space="0" w:color="666666"/>
              <w:right w:val="nil"/>
            </w:tcBorders>
            <w:shd w:val="clear" w:color="auto" w:fill="auto"/>
            <w:hideMark/>
          </w:tcPr>
          <w:p w14:paraId="6CE601A5" w14:textId="77777777" w:rsidR="00B94CD6" w:rsidRPr="00D0012A" w:rsidRDefault="00B94CD6" w:rsidP="00957078">
            <w:pPr>
              <w:jc w:val="right"/>
              <w:rPr>
                <w:rFonts w:cs="Times New Roman"/>
                <w:sz w:val="20"/>
                <w:szCs w:val="20"/>
              </w:rPr>
            </w:pPr>
            <w:r w:rsidRPr="00D0012A">
              <w:rPr>
                <w:rFonts w:cs="Times New Roman"/>
                <w:sz w:val="20"/>
                <w:szCs w:val="20"/>
              </w:rPr>
              <w:t>29613 </w:t>
            </w:r>
          </w:p>
        </w:tc>
        <w:tc>
          <w:tcPr>
            <w:tcW w:w="1021" w:type="dxa"/>
            <w:tcBorders>
              <w:top w:val="single" w:sz="6" w:space="0" w:color="666666"/>
              <w:left w:val="nil"/>
              <w:bottom w:val="single" w:sz="6" w:space="0" w:color="666666"/>
              <w:right w:val="nil"/>
            </w:tcBorders>
            <w:shd w:val="clear" w:color="auto" w:fill="auto"/>
            <w:hideMark/>
          </w:tcPr>
          <w:p w14:paraId="4EDA0862" w14:textId="77777777" w:rsidR="00B94CD6" w:rsidRPr="00D0012A" w:rsidRDefault="00B94CD6" w:rsidP="00957078">
            <w:pPr>
              <w:jc w:val="right"/>
              <w:rPr>
                <w:rFonts w:cs="Times New Roman"/>
                <w:sz w:val="20"/>
                <w:szCs w:val="20"/>
              </w:rPr>
            </w:pPr>
            <w:r w:rsidRPr="00D0012A">
              <w:rPr>
                <w:rFonts w:cs="Times New Roman"/>
                <w:sz w:val="20"/>
                <w:szCs w:val="20"/>
              </w:rPr>
              <w:t>30440 </w:t>
            </w:r>
          </w:p>
        </w:tc>
        <w:tc>
          <w:tcPr>
            <w:tcW w:w="1020" w:type="dxa"/>
            <w:tcBorders>
              <w:top w:val="single" w:sz="6" w:space="0" w:color="666666"/>
              <w:left w:val="nil"/>
              <w:bottom w:val="single" w:sz="6" w:space="0" w:color="666666"/>
              <w:right w:val="nil"/>
            </w:tcBorders>
            <w:shd w:val="clear" w:color="auto" w:fill="auto"/>
            <w:hideMark/>
          </w:tcPr>
          <w:p w14:paraId="1D8071BE" w14:textId="77777777" w:rsidR="00B94CD6" w:rsidRPr="00D0012A" w:rsidRDefault="00B94CD6" w:rsidP="00957078">
            <w:pPr>
              <w:jc w:val="right"/>
              <w:rPr>
                <w:rFonts w:cs="Times New Roman"/>
                <w:sz w:val="20"/>
                <w:szCs w:val="20"/>
              </w:rPr>
            </w:pPr>
            <w:r w:rsidRPr="00D0012A">
              <w:rPr>
                <w:rFonts w:cs="Times New Roman"/>
                <w:sz w:val="20"/>
                <w:szCs w:val="20"/>
              </w:rPr>
              <w:t>33553 </w:t>
            </w:r>
          </w:p>
        </w:tc>
        <w:tc>
          <w:tcPr>
            <w:tcW w:w="1021" w:type="dxa"/>
            <w:tcBorders>
              <w:top w:val="single" w:sz="6" w:space="0" w:color="666666"/>
              <w:left w:val="nil"/>
              <w:bottom w:val="single" w:sz="6" w:space="0" w:color="666666"/>
              <w:right w:val="nil"/>
            </w:tcBorders>
            <w:shd w:val="clear" w:color="auto" w:fill="auto"/>
            <w:hideMark/>
          </w:tcPr>
          <w:p w14:paraId="63984D34" w14:textId="77777777" w:rsidR="00B94CD6" w:rsidRPr="00D0012A" w:rsidRDefault="00B94CD6" w:rsidP="00957078">
            <w:pPr>
              <w:jc w:val="right"/>
              <w:rPr>
                <w:rFonts w:cs="Times New Roman"/>
                <w:sz w:val="20"/>
                <w:szCs w:val="20"/>
              </w:rPr>
            </w:pPr>
            <w:r w:rsidRPr="00D0012A">
              <w:rPr>
                <w:rFonts w:cs="Times New Roman"/>
                <w:sz w:val="20"/>
                <w:szCs w:val="20"/>
              </w:rPr>
              <w:t>83630 </w:t>
            </w:r>
          </w:p>
        </w:tc>
        <w:tc>
          <w:tcPr>
            <w:tcW w:w="1021" w:type="dxa"/>
            <w:tcBorders>
              <w:top w:val="single" w:sz="6" w:space="0" w:color="666666"/>
              <w:left w:val="nil"/>
              <w:bottom w:val="single" w:sz="6" w:space="0" w:color="666666"/>
              <w:right w:val="nil"/>
            </w:tcBorders>
            <w:shd w:val="clear" w:color="auto" w:fill="auto"/>
            <w:hideMark/>
          </w:tcPr>
          <w:p w14:paraId="64D6B328" w14:textId="77777777" w:rsidR="00B94CD6" w:rsidRPr="00D0012A" w:rsidRDefault="00B94CD6" w:rsidP="00957078">
            <w:pPr>
              <w:jc w:val="right"/>
              <w:rPr>
                <w:rFonts w:cs="Times New Roman"/>
                <w:sz w:val="20"/>
                <w:szCs w:val="20"/>
              </w:rPr>
            </w:pPr>
            <w:r w:rsidRPr="00D0012A">
              <w:rPr>
                <w:rFonts w:cs="Times New Roman"/>
                <w:sz w:val="20"/>
                <w:szCs w:val="20"/>
              </w:rPr>
              <w:t>177236 </w:t>
            </w:r>
          </w:p>
        </w:tc>
      </w:tr>
      <w:tr w:rsidR="00B94CD6" w:rsidRPr="00D0012A" w14:paraId="31737827" w14:textId="77777777" w:rsidTr="00672E4C">
        <w:tc>
          <w:tcPr>
            <w:tcW w:w="1560" w:type="dxa"/>
            <w:tcBorders>
              <w:top w:val="single" w:sz="6" w:space="0" w:color="666666"/>
              <w:left w:val="nil"/>
              <w:bottom w:val="single" w:sz="6" w:space="0" w:color="666666"/>
              <w:right w:val="nil"/>
            </w:tcBorders>
            <w:shd w:val="clear" w:color="auto" w:fill="CCCCCC"/>
            <w:hideMark/>
          </w:tcPr>
          <w:p w14:paraId="7CF8C06D" w14:textId="77777777" w:rsidR="00B94CD6" w:rsidRPr="00D0012A" w:rsidRDefault="00B94CD6" w:rsidP="00B94CD6">
            <w:pPr>
              <w:rPr>
                <w:rFonts w:cs="Times New Roman"/>
                <w:b/>
                <w:bCs/>
                <w:sz w:val="20"/>
                <w:szCs w:val="20"/>
              </w:rPr>
            </w:pPr>
            <w:r w:rsidRPr="00D0012A">
              <w:rPr>
                <w:rFonts w:cs="Times New Roman"/>
                <w:b/>
                <w:bCs/>
                <w:sz w:val="20"/>
                <w:szCs w:val="20"/>
              </w:rPr>
              <w:t>2021 </w:t>
            </w:r>
          </w:p>
        </w:tc>
        <w:tc>
          <w:tcPr>
            <w:tcW w:w="1020" w:type="dxa"/>
            <w:tcBorders>
              <w:top w:val="single" w:sz="6" w:space="0" w:color="666666"/>
              <w:left w:val="nil"/>
              <w:bottom w:val="single" w:sz="6" w:space="0" w:color="666666"/>
              <w:right w:val="nil"/>
            </w:tcBorders>
            <w:shd w:val="clear" w:color="auto" w:fill="CCCCCC"/>
            <w:hideMark/>
          </w:tcPr>
          <w:p w14:paraId="6DFB023E" w14:textId="77777777" w:rsidR="00B94CD6" w:rsidRPr="00D0012A" w:rsidRDefault="00B94CD6" w:rsidP="00957078">
            <w:pPr>
              <w:jc w:val="right"/>
              <w:rPr>
                <w:rFonts w:cs="Times New Roman"/>
                <w:sz w:val="20"/>
                <w:szCs w:val="20"/>
              </w:rPr>
            </w:pPr>
            <w:r w:rsidRPr="00D0012A">
              <w:rPr>
                <w:rFonts w:cs="Times New Roman"/>
                <w:sz w:val="20"/>
                <w:szCs w:val="20"/>
              </w:rPr>
              <w:t>29418 </w:t>
            </w:r>
          </w:p>
        </w:tc>
        <w:tc>
          <w:tcPr>
            <w:tcW w:w="1021" w:type="dxa"/>
            <w:tcBorders>
              <w:top w:val="single" w:sz="6" w:space="0" w:color="666666"/>
              <w:left w:val="nil"/>
              <w:bottom w:val="single" w:sz="6" w:space="0" w:color="666666"/>
              <w:right w:val="nil"/>
            </w:tcBorders>
            <w:shd w:val="clear" w:color="auto" w:fill="CCCCCC"/>
            <w:hideMark/>
          </w:tcPr>
          <w:p w14:paraId="5191ED0C" w14:textId="77777777" w:rsidR="00B94CD6" w:rsidRPr="00D0012A" w:rsidRDefault="00B94CD6" w:rsidP="00957078">
            <w:pPr>
              <w:jc w:val="right"/>
              <w:rPr>
                <w:rFonts w:cs="Times New Roman"/>
                <w:sz w:val="20"/>
                <w:szCs w:val="20"/>
              </w:rPr>
            </w:pPr>
            <w:r w:rsidRPr="00D0012A">
              <w:rPr>
                <w:rFonts w:cs="Times New Roman"/>
                <w:sz w:val="20"/>
                <w:szCs w:val="20"/>
              </w:rPr>
              <w:t>29430 </w:t>
            </w:r>
          </w:p>
        </w:tc>
        <w:tc>
          <w:tcPr>
            <w:tcW w:w="1020" w:type="dxa"/>
            <w:tcBorders>
              <w:top w:val="single" w:sz="6" w:space="0" w:color="666666"/>
              <w:left w:val="nil"/>
              <w:bottom w:val="single" w:sz="6" w:space="0" w:color="666666"/>
              <w:right w:val="nil"/>
            </w:tcBorders>
            <w:shd w:val="clear" w:color="auto" w:fill="CCCCCC"/>
            <w:hideMark/>
          </w:tcPr>
          <w:p w14:paraId="663FCE2F" w14:textId="77777777" w:rsidR="00B94CD6" w:rsidRPr="00D0012A" w:rsidRDefault="00B94CD6" w:rsidP="00957078">
            <w:pPr>
              <w:jc w:val="right"/>
              <w:rPr>
                <w:rFonts w:cs="Times New Roman"/>
                <w:sz w:val="20"/>
                <w:szCs w:val="20"/>
              </w:rPr>
            </w:pPr>
            <w:r w:rsidRPr="00D0012A">
              <w:rPr>
                <w:rFonts w:cs="Times New Roman"/>
                <w:sz w:val="20"/>
                <w:szCs w:val="20"/>
              </w:rPr>
              <w:t>35949 </w:t>
            </w:r>
          </w:p>
        </w:tc>
        <w:tc>
          <w:tcPr>
            <w:tcW w:w="1021" w:type="dxa"/>
            <w:tcBorders>
              <w:top w:val="single" w:sz="6" w:space="0" w:color="666666"/>
              <w:left w:val="nil"/>
              <w:bottom w:val="single" w:sz="6" w:space="0" w:color="666666"/>
              <w:right w:val="nil"/>
            </w:tcBorders>
            <w:shd w:val="clear" w:color="auto" w:fill="CCCCCC"/>
            <w:hideMark/>
          </w:tcPr>
          <w:p w14:paraId="38D5BF56" w14:textId="77777777" w:rsidR="00B94CD6" w:rsidRPr="00D0012A" w:rsidRDefault="00B94CD6" w:rsidP="00957078">
            <w:pPr>
              <w:jc w:val="right"/>
              <w:rPr>
                <w:rFonts w:cs="Times New Roman"/>
                <w:sz w:val="20"/>
                <w:szCs w:val="20"/>
              </w:rPr>
            </w:pPr>
            <w:r w:rsidRPr="00D0012A">
              <w:rPr>
                <w:rFonts w:cs="Times New Roman"/>
                <w:sz w:val="20"/>
                <w:szCs w:val="20"/>
              </w:rPr>
              <w:t>86059 </w:t>
            </w:r>
          </w:p>
        </w:tc>
        <w:tc>
          <w:tcPr>
            <w:tcW w:w="1021" w:type="dxa"/>
            <w:tcBorders>
              <w:top w:val="single" w:sz="6" w:space="0" w:color="666666"/>
              <w:left w:val="nil"/>
              <w:bottom w:val="single" w:sz="6" w:space="0" w:color="666666"/>
              <w:right w:val="nil"/>
            </w:tcBorders>
            <w:shd w:val="clear" w:color="auto" w:fill="CCCCCC"/>
            <w:hideMark/>
          </w:tcPr>
          <w:p w14:paraId="7B1A0D0C" w14:textId="77777777" w:rsidR="00B94CD6" w:rsidRPr="00D0012A" w:rsidRDefault="00B94CD6" w:rsidP="00957078">
            <w:pPr>
              <w:jc w:val="right"/>
              <w:rPr>
                <w:rFonts w:cs="Times New Roman"/>
                <w:sz w:val="20"/>
                <w:szCs w:val="20"/>
              </w:rPr>
            </w:pPr>
            <w:r w:rsidRPr="00D0012A">
              <w:rPr>
                <w:rFonts w:cs="Times New Roman"/>
                <w:sz w:val="20"/>
                <w:szCs w:val="20"/>
              </w:rPr>
              <w:t>180856 </w:t>
            </w:r>
          </w:p>
        </w:tc>
      </w:tr>
      <w:tr w:rsidR="00B94CD6" w:rsidRPr="00D0012A" w14:paraId="6AABA8FB" w14:textId="77777777" w:rsidTr="00672E4C">
        <w:tc>
          <w:tcPr>
            <w:tcW w:w="1560" w:type="dxa"/>
            <w:tcBorders>
              <w:top w:val="single" w:sz="6" w:space="0" w:color="666666"/>
              <w:left w:val="nil"/>
              <w:bottom w:val="single" w:sz="6" w:space="0" w:color="666666"/>
              <w:right w:val="nil"/>
            </w:tcBorders>
            <w:shd w:val="clear" w:color="auto" w:fill="auto"/>
            <w:hideMark/>
          </w:tcPr>
          <w:p w14:paraId="35D52E22" w14:textId="77777777" w:rsidR="00B94CD6" w:rsidRPr="00D0012A" w:rsidRDefault="00B94CD6" w:rsidP="00B94CD6">
            <w:pPr>
              <w:rPr>
                <w:rFonts w:cs="Times New Roman"/>
                <w:b/>
                <w:bCs/>
                <w:sz w:val="20"/>
                <w:szCs w:val="20"/>
              </w:rPr>
            </w:pPr>
            <w:r w:rsidRPr="00D0012A">
              <w:rPr>
                <w:rFonts w:cs="Times New Roman"/>
                <w:b/>
                <w:bCs/>
                <w:sz w:val="20"/>
                <w:szCs w:val="20"/>
              </w:rPr>
              <w:t>Paracetamol exposures </w:t>
            </w:r>
          </w:p>
        </w:tc>
        <w:tc>
          <w:tcPr>
            <w:tcW w:w="1020" w:type="dxa"/>
            <w:tcBorders>
              <w:top w:val="single" w:sz="6" w:space="0" w:color="666666"/>
              <w:left w:val="nil"/>
              <w:bottom w:val="single" w:sz="6" w:space="0" w:color="666666"/>
              <w:right w:val="nil"/>
            </w:tcBorders>
            <w:shd w:val="clear" w:color="auto" w:fill="auto"/>
            <w:hideMark/>
          </w:tcPr>
          <w:p w14:paraId="4E57B082"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151B431F" w14:textId="77777777" w:rsidR="00B94CD6" w:rsidRPr="00D0012A" w:rsidRDefault="00B94CD6" w:rsidP="00B94CD6">
            <w:pPr>
              <w:rPr>
                <w:rFonts w:cs="Times New Roman"/>
                <w:sz w:val="20"/>
                <w:szCs w:val="20"/>
              </w:rPr>
            </w:pPr>
            <w:r w:rsidRPr="00D0012A">
              <w:rPr>
                <w:rFonts w:cs="Times New Roman"/>
                <w:sz w:val="20"/>
                <w:szCs w:val="20"/>
              </w:rPr>
              <w:t> </w:t>
            </w:r>
          </w:p>
        </w:tc>
        <w:tc>
          <w:tcPr>
            <w:tcW w:w="1020" w:type="dxa"/>
            <w:tcBorders>
              <w:top w:val="single" w:sz="6" w:space="0" w:color="666666"/>
              <w:left w:val="nil"/>
              <w:bottom w:val="single" w:sz="6" w:space="0" w:color="666666"/>
              <w:right w:val="nil"/>
            </w:tcBorders>
            <w:shd w:val="clear" w:color="auto" w:fill="auto"/>
            <w:hideMark/>
          </w:tcPr>
          <w:p w14:paraId="51EAB236"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33C39311"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70EDB7A8" w14:textId="77777777" w:rsidR="00B94CD6" w:rsidRPr="00D0012A" w:rsidRDefault="00B94CD6" w:rsidP="00B94CD6">
            <w:pPr>
              <w:rPr>
                <w:rFonts w:cs="Times New Roman"/>
                <w:sz w:val="20"/>
                <w:szCs w:val="20"/>
              </w:rPr>
            </w:pPr>
            <w:r w:rsidRPr="00D0012A">
              <w:rPr>
                <w:rFonts w:cs="Times New Roman"/>
                <w:sz w:val="20"/>
                <w:szCs w:val="20"/>
              </w:rPr>
              <w:t> </w:t>
            </w:r>
          </w:p>
        </w:tc>
      </w:tr>
      <w:tr w:rsidR="00B94CD6" w:rsidRPr="00D0012A" w14:paraId="36A0FFB7" w14:textId="77777777" w:rsidTr="00672E4C">
        <w:tc>
          <w:tcPr>
            <w:tcW w:w="1560" w:type="dxa"/>
            <w:tcBorders>
              <w:top w:val="single" w:sz="6" w:space="0" w:color="666666"/>
              <w:left w:val="nil"/>
              <w:bottom w:val="single" w:sz="6" w:space="0" w:color="666666"/>
              <w:right w:val="nil"/>
            </w:tcBorders>
            <w:shd w:val="clear" w:color="auto" w:fill="CCCCCC"/>
            <w:hideMark/>
          </w:tcPr>
          <w:p w14:paraId="567E9640" w14:textId="77777777" w:rsidR="00B94CD6" w:rsidRPr="00D0012A" w:rsidRDefault="00B94CD6" w:rsidP="00B94CD6">
            <w:pPr>
              <w:rPr>
                <w:rFonts w:cs="Times New Roman"/>
                <w:b/>
                <w:bCs/>
                <w:sz w:val="20"/>
                <w:szCs w:val="20"/>
              </w:rPr>
            </w:pPr>
            <w:r w:rsidRPr="00D0012A">
              <w:rPr>
                <w:rFonts w:cs="Times New Roman"/>
                <w:b/>
                <w:bCs/>
                <w:sz w:val="20"/>
                <w:szCs w:val="20"/>
              </w:rPr>
              <w:t>2017 </w:t>
            </w:r>
          </w:p>
        </w:tc>
        <w:tc>
          <w:tcPr>
            <w:tcW w:w="1020" w:type="dxa"/>
            <w:tcBorders>
              <w:top w:val="single" w:sz="6" w:space="0" w:color="666666"/>
              <w:left w:val="nil"/>
              <w:bottom w:val="single" w:sz="6" w:space="0" w:color="666666"/>
              <w:right w:val="nil"/>
            </w:tcBorders>
            <w:shd w:val="clear" w:color="auto" w:fill="CCCCCC"/>
            <w:hideMark/>
          </w:tcPr>
          <w:p w14:paraId="5156F2C3" w14:textId="77777777" w:rsidR="00B94CD6" w:rsidRPr="00D0012A" w:rsidRDefault="00B94CD6" w:rsidP="00957078">
            <w:pPr>
              <w:jc w:val="right"/>
              <w:rPr>
                <w:rFonts w:cs="Times New Roman"/>
                <w:sz w:val="20"/>
                <w:szCs w:val="20"/>
              </w:rPr>
            </w:pPr>
            <w:r w:rsidRPr="00D0012A">
              <w:rPr>
                <w:rFonts w:cs="Times New Roman"/>
                <w:sz w:val="20"/>
                <w:szCs w:val="20"/>
              </w:rPr>
              <w:t>2688 </w:t>
            </w:r>
          </w:p>
        </w:tc>
        <w:tc>
          <w:tcPr>
            <w:tcW w:w="1021" w:type="dxa"/>
            <w:tcBorders>
              <w:top w:val="single" w:sz="6" w:space="0" w:color="666666"/>
              <w:left w:val="nil"/>
              <w:bottom w:val="single" w:sz="6" w:space="0" w:color="666666"/>
              <w:right w:val="nil"/>
            </w:tcBorders>
            <w:shd w:val="clear" w:color="auto" w:fill="CCCCCC"/>
            <w:hideMark/>
          </w:tcPr>
          <w:p w14:paraId="0FABF0B2" w14:textId="77777777" w:rsidR="00B94CD6" w:rsidRPr="00D0012A" w:rsidRDefault="00B94CD6" w:rsidP="00957078">
            <w:pPr>
              <w:jc w:val="right"/>
              <w:rPr>
                <w:rFonts w:cs="Times New Roman"/>
                <w:sz w:val="20"/>
                <w:szCs w:val="20"/>
              </w:rPr>
            </w:pPr>
            <w:r w:rsidRPr="00D0012A">
              <w:rPr>
                <w:rFonts w:cs="Times New Roman"/>
                <w:sz w:val="20"/>
                <w:szCs w:val="20"/>
              </w:rPr>
              <w:t>2860 </w:t>
            </w:r>
          </w:p>
        </w:tc>
        <w:tc>
          <w:tcPr>
            <w:tcW w:w="1020" w:type="dxa"/>
            <w:tcBorders>
              <w:top w:val="single" w:sz="6" w:space="0" w:color="666666"/>
              <w:left w:val="nil"/>
              <w:bottom w:val="single" w:sz="6" w:space="0" w:color="666666"/>
              <w:right w:val="nil"/>
            </w:tcBorders>
            <w:shd w:val="clear" w:color="auto" w:fill="CCCCCC"/>
            <w:hideMark/>
          </w:tcPr>
          <w:p w14:paraId="523D8593" w14:textId="77777777" w:rsidR="00B94CD6" w:rsidRPr="00D0012A" w:rsidRDefault="00B94CD6" w:rsidP="00957078">
            <w:pPr>
              <w:jc w:val="right"/>
              <w:rPr>
                <w:rFonts w:cs="Times New Roman"/>
                <w:sz w:val="20"/>
                <w:szCs w:val="20"/>
              </w:rPr>
            </w:pPr>
            <w:r w:rsidRPr="00D0012A">
              <w:rPr>
                <w:rFonts w:cs="Times New Roman"/>
                <w:sz w:val="20"/>
                <w:szCs w:val="20"/>
              </w:rPr>
              <w:t>3040 </w:t>
            </w:r>
          </w:p>
        </w:tc>
        <w:tc>
          <w:tcPr>
            <w:tcW w:w="1021" w:type="dxa"/>
            <w:tcBorders>
              <w:top w:val="single" w:sz="6" w:space="0" w:color="666666"/>
              <w:left w:val="nil"/>
              <w:bottom w:val="single" w:sz="6" w:space="0" w:color="666666"/>
              <w:right w:val="nil"/>
            </w:tcBorders>
            <w:shd w:val="clear" w:color="auto" w:fill="CCCCCC"/>
            <w:hideMark/>
          </w:tcPr>
          <w:p w14:paraId="1D3A38FD" w14:textId="77777777" w:rsidR="00B94CD6" w:rsidRPr="00D0012A" w:rsidRDefault="00B94CD6" w:rsidP="00957078">
            <w:pPr>
              <w:jc w:val="right"/>
              <w:rPr>
                <w:rFonts w:cs="Times New Roman"/>
                <w:sz w:val="20"/>
                <w:szCs w:val="20"/>
              </w:rPr>
            </w:pPr>
            <w:r w:rsidRPr="00D0012A">
              <w:rPr>
                <w:rFonts w:cs="Times New Roman"/>
                <w:sz w:val="20"/>
                <w:szCs w:val="20"/>
              </w:rPr>
              <w:t>7985 </w:t>
            </w:r>
          </w:p>
        </w:tc>
        <w:tc>
          <w:tcPr>
            <w:tcW w:w="1021" w:type="dxa"/>
            <w:tcBorders>
              <w:top w:val="single" w:sz="6" w:space="0" w:color="666666"/>
              <w:left w:val="nil"/>
              <w:bottom w:val="single" w:sz="6" w:space="0" w:color="666666"/>
              <w:right w:val="nil"/>
            </w:tcBorders>
            <w:shd w:val="clear" w:color="auto" w:fill="CCCCCC"/>
            <w:hideMark/>
          </w:tcPr>
          <w:p w14:paraId="5DA8FA8E" w14:textId="77777777" w:rsidR="00B94CD6" w:rsidRPr="00D0012A" w:rsidRDefault="00B94CD6" w:rsidP="00957078">
            <w:pPr>
              <w:jc w:val="right"/>
              <w:rPr>
                <w:rFonts w:cs="Times New Roman"/>
                <w:sz w:val="20"/>
                <w:szCs w:val="20"/>
              </w:rPr>
            </w:pPr>
            <w:r w:rsidRPr="00D0012A">
              <w:rPr>
                <w:rFonts w:cs="Times New Roman"/>
                <w:sz w:val="20"/>
                <w:szCs w:val="20"/>
              </w:rPr>
              <w:t>16573 </w:t>
            </w:r>
          </w:p>
        </w:tc>
      </w:tr>
      <w:tr w:rsidR="00B94CD6" w:rsidRPr="00D0012A" w14:paraId="4386CBE3" w14:textId="77777777" w:rsidTr="00672E4C">
        <w:tc>
          <w:tcPr>
            <w:tcW w:w="1560" w:type="dxa"/>
            <w:tcBorders>
              <w:top w:val="single" w:sz="6" w:space="0" w:color="666666"/>
              <w:left w:val="nil"/>
              <w:bottom w:val="single" w:sz="6" w:space="0" w:color="666666"/>
              <w:right w:val="nil"/>
            </w:tcBorders>
            <w:shd w:val="clear" w:color="auto" w:fill="auto"/>
            <w:hideMark/>
          </w:tcPr>
          <w:p w14:paraId="597ED90F" w14:textId="77777777" w:rsidR="00B94CD6" w:rsidRPr="00D0012A" w:rsidRDefault="00B94CD6" w:rsidP="00B94CD6">
            <w:pPr>
              <w:rPr>
                <w:rFonts w:cs="Times New Roman"/>
                <w:b/>
                <w:bCs/>
                <w:sz w:val="20"/>
                <w:szCs w:val="20"/>
              </w:rPr>
            </w:pPr>
            <w:r w:rsidRPr="00D0012A">
              <w:rPr>
                <w:rFonts w:cs="Times New Roman"/>
                <w:b/>
                <w:bCs/>
                <w:sz w:val="20"/>
                <w:szCs w:val="20"/>
              </w:rPr>
              <w:t>2018 </w:t>
            </w:r>
          </w:p>
        </w:tc>
        <w:tc>
          <w:tcPr>
            <w:tcW w:w="1020" w:type="dxa"/>
            <w:tcBorders>
              <w:top w:val="single" w:sz="6" w:space="0" w:color="666666"/>
              <w:left w:val="nil"/>
              <w:bottom w:val="single" w:sz="6" w:space="0" w:color="666666"/>
              <w:right w:val="nil"/>
            </w:tcBorders>
            <w:shd w:val="clear" w:color="auto" w:fill="auto"/>
            <w:hideMark/>
          </w:tcPr>
          <w:p w14:paraId="7259FC86" w14:textId="77777777" w:rsidR="00B94CD6" w:rsidRPr="00D0012A" w:rsidRDefault="00B94CD6" w:rsidP="00957078">
            <w:pPr>
              <w:jc w:val="right"/>
              <w:rPr>
                <w:rFonts w:cs="Times New Roman"/>
                <w:sz w:val="20"/>
                <w:szCs w:val="20"/>
              </w:rPr>
            </w:pPr>
            <w:r w:rsidRPr="00D0012A">
              <w:rPr>
                <w:rFonts w:cs="Times New Roman"/>
                <w:sz w:val="20"/>
                <w:szCs w:val="20"/>
              </w:rPr>
              <w:t>2356 </w:t>
            </w:r>
          </w:p>
        </w:tc>
        <w:tc>
          <w:tcPr>
            <w:tcW w:w="1021" w:type="dxa"/>
            <w:tcBorders>
              <w:top w:val="single" w:sz="6" w:space="0" w:color="666666"/>
              <w:left w:val="nil"/>
              <w:bottom w:val="single" w:sz="6" w:space="0" w:color="666666"/>
              <w:right w:val="nil"/>
            </w:tcBorders>
            <w:shd w:val="clear" w:color="auto" w:fill="auto"/>
            <w:hideMark/>
          </w:tcPr>
          <w:p w14:paraId="013985FD" w14:textId="77777777" w:rsidR="00B94CD6" w:rsidRPr="00D0012A" w:rsidRDefault="00B94CD6" w:rsidP="00957078">
            <w:pPr>
              <w:jc w:val="right"/>
              <w:rPr>
                <w:rFonts w:cs="Times New Roman"/>
                <w:sz w:val="20"/>
                <w:szCs w:val="20"/>
              </w:rPr>
            </w:pPr>
            <w:r w:rsidRPr="00D0012A">
              <w:rPr>
                <w:rFonts w:cs="Times New Roman"/>
                <w:sz w:val="20"/>
                <w:szCs w:val="20"/>
              </w:rPr>
              <w:t>2735 </w:t>
            </w:r>
          </w:p>
        </w:tc>
        <w:tc>
          <w:tcPr>
            <w:tcW w:w="1020" w:type="dxa"/>
            <w:tcBorders>
              <w:top w:val="single" w:sz="6" w:space="0" w:color="666666"/>
              <w:left w:val="nil"/>
              <w:bottom w:val="single" w:sz="6" w:space="0" w:color="666666"/>
              <w:right w:val="nil"/>
            </w:tcBorders>
            <w:shd w:val="clear" w:color="auto" w:fill="auto"/>
            <w:hideMark/>
          </w:tcPr>
          <w:p w14:paraId="16D5DE34" w14:textId="77777777" w:rsidR="00B94CD6" w:rsidRPr="00D0012A" w:rsidRDefault="00B94CD6" w:rsidP="00957078">
            <w:pPr>
              <w:jc w:val="right"/>
              <w:rPr>
                <w:rFonts w:cs="Times New Roman"/>
                <w:sz w:val="20"/>
                <w:szCs w:val="20"/>
              </w:rPr>
            </w:pPr>
            <w:r w:rsidRPr="00D0012A">
              <w:rPr>
                <w:rFonts w:cs="Times New Roman"/>
                <w:sz w:val="20"/>
                <w:szCs w:val="20"/>
              </w:rPr>
              <w:t>2964 </w:t>
            </w:r>
          </w:p>
        </w:tc>
        <w:tc>
          <w:tcPr>
            <w:tcW w:w="1021" w:type="dxa"/>
            <w:tcBorders>
              <w:top w:val="single" w:sz="6" w:space="0" w:color="666666"/>
              <w:left w:val="nil"/>
              <w:bottom w:val="single" w:sz="6" w:space="0" w:color="666666"/>
              <w:right w:val="nil"/>
            </w:tcBorders>
            <w:shd w:val="clear" w:color="auto" w:fill="auto"/>
            <w:hideMark/>
          </w:tcPr>
          <w:p w14:paraId="25BA3993" w14:textId="77777777" w:rsidR="00B94CD6" w:rsidRPr="00D0012A" w:rsidRDefault="00B94CD6" w:rsidP="00957078">
            <w:pPr>
              <w:jc w:val="right"/>
              <w:rPr>
                <w:rFonts w:cs="Times New Roman"/>
                <w:sz w:val="20"/>
                <w:szCs w:val="20"/>
              </w:rPr>
            </w:pPr>
            <w:r w:rsidRPr="00D0012A">
              <w:rPr>
                <w:rFonts w:cs="Times New Roman"/>
                <w:sz w:val="20"/>
                <w:szCs w:val="20"/>
              </w:rPr>
              <w:t>7351 </w:t>
            </w:r>
          </w:p>
        </w:tc>
        <w:tc>
          <w:tcPr>
            <w:tcW w:w="1021" w:type="dxa"/>
            <w:tcBorders>
              <w:top w:val="single" w:sz="6" w:space="0" w:color="666666"/>
              <w:left w:val="nil"/>
              <w:bottom w:val="single" w:sz="6" w:space="0" w:color="666666"/>
              <w:right w:val="nil"/>
            </w:tcBorders>
            <w:shd w:val="clear" w:color="auto" w:fill="auto"/>
            <w:hideMark/>
          </w:tcPr>
          <w:p w14:paraId="743F82B8" w14:textId="77777777" w:rsidR="00B94CD6" w:rsidRPr="00D0012A" w:rsidRDefault="00B94CD6" w:rsidP="00957078">
            <w:pPr>
              <w:jc w:val="right"/>
              <w:rPr>
                <w:rFonts w:cs="Times New Roman"/>
                <w:sz w:val="20"/>
                <w:szCs w:val="20"/>
              </w:rPr>
            </w:pPr>
            <w:r w:rsidRPr="00D0012A">
              <w:rPr>
                <w:rFonts w:cs="Times New Roman"/>
                <w:sz w:val="20"/>
                <w:szCs w:val="20"/>
              </w:rPr>
              <w:t>15406 </w:t>
            </w:r>
          </w:p>
        </w:tc>
      </w:tr>
      <w:tr w:rsidR="00B94CD6" w:rsidRPr="00D0012A" w14:paraId="615D1B28" w14:textId="77777777" w:rsidTr="00672E4C">
        <w:tc>
          <w:tcPr>
            <w:tcW w:w="1560" w:type="dxa"/>
            <w:tcBorders>
              <w:top w:val="single" w:sz="6" w:space="0" w:color="666666"/>
              <w:left w:val="nil"/>
              <w:bottom w:val="single" w:sz="6" w:space="0" w:color="666666"/>
              <w:right w:val="nil"/>
            </w:tcBorders>
            <w:shd w:val="clear" w:color="auto" w:fill="CCCCCC"/>
            <w:hideMark/>
          </w:tcPr>
          <w:p w14:paraId="25488913" w14:textId="77777777" w:rsidR="00B94CD6" w:rsidRPr="00D0012A" w:rsidRDefault="00B94CD6" w:rsidP="00B94CD6">
            <w:pPr>
              <w:rPr>
                <w:rFonts w:cs="Times New Roman"/>
                <w:b/>
                <w:bCs/>
                <w:sz w:val="20"/>
                <w:szCs w:val="20"/>
              </w:rPr>
            </w:pPr>
            <w:r w:rsidRPr="00D0012A">
              <w:rPr>
                <w:rFonts w:cs="Times New Roman"/>
                <w:b/>
                <w:bCs/>
                <w:sz w:val="20"/>
                <w:szCs w:val="20"/>
              </w:rPr>
              <w:t>2019 </w:t>
            </w:r>
          </w:p>
        </w:tc>
        <w:tc>
          <w:tcPr>
            <w:tcW w:w="1020" w:type="dxa"/>
            <w:tcBorders>
              <w:top w:val="single" w:sz="6" w:space="0" w:color="666666"/>
              <w:left w:val="nil"/>
              <w:bottom w:val="single" w:sz="6" w:space="0" w:color="666666"/>
              <w:right w:val="nil"/>
            </w:tcBorders>
            <w:shd w:val="clear" w:color="auto" w:fill="CCCCCC"/>
            <w:hideMark/>
          </w:tcPr>
          <w:p w14:paraId="6ABF6DEC" w14:textId="77777777" w:rsidR="00B94CD6" w:rsidRPr="00D0012A" w:rsidRDefault="00B94CD6" w:rsidP="00957078">
            <w:pPr>
              <w:jc w:val="right"/>
              <w:rPr>
                <w:rFonts w:cs="Times New Roman"/>
                <w:sz w:val="20"/>
                <w:szCs w:val="20"/>
              </w:rPr>
            </w:pPr>
            <w:r w:rsidRPr="00D0012A">
              <w:rPr>
                <w:rFonts w:cs="Times New Roman"/>
                <w:sz w:val="20"/>
                <w:szCs w:val="20"/>
              </w:rPr>
              <w:t>2467 </w:t>
            </w:r>
          </w:p>
        </w:tc>
        <w:tc>
          <w:tcPr>
            <w:tcW w:w="1021" w:type="dxa"/>
            <w:tcBorders>
              <w:top w:val="single" w:sz="6" w:space="0" w:color="666666"/>
              <w:left w:val="nil"/>
              <w:bottom w:val="single" w:sz="6" w:space="0" w:color="666666"/>
              <w:right w:val="nil"/>
            </w:tcBorders>
            <w:shd w:val="clear" w:color="auto" w:fill="CCCCCC"/>
            <w:hideMark/>
          </w:tcPr>
          <w:p w14:paraId="4CE8F6A3" w14:textId="77777777" w:rsidR="00B94CD6" w:rsidRPr="00D0012A" w:rsidRDefault="00B94CD6" w:rsidP="00957078">
            <w:pPr>
              <w:jc w:val="right"/>
              <w:rPr>
                <w:rFonts w:cs="Times New Roman"/>
                <w:sz w:val="20"/>
                <w:szCs w:val="20"/>
              </w:rPr>
            </w:pPr>
            <w:r w:rsidRPr="00D0012A">
              <w:rPr>
                <w:rFonts w:cs="Times New Roman"/>
                <w:sz w:val="20"/>
                <w:szCs w:val="20"/>
              </w:rPr>
              <w:t>3124 </w:t>
            </w:r>
          </w:p>
        </w:tc>
        <w:tc>
          <w:tcPr>
            <w:tcW w:w="1020" w:type="dxa"/>
            <w:tcBorders>
              <w:top w:val="single" w:sz="6" w:space="0" w:color="666666"/>
              <w:left w:val="nil"/>
              <w:bottom w:val="single" w:sz="6" w:space="0" w:color="666666"/>
              <w:right w:val="nil"/>
            </w:tcBorders>
            <w:shd w:val="clear" w:color="auto" w:fill="CCCCCC"/>
            <w:hideMark/>
          </w:tcPr>
          <w:p w14:paraId="204AA761" w14:textId="77777777" w:rsidR="00B94CD6" w:rsidRPr="00D0012A" w:rsidRDefault="00B94CD6" w:rsidP="00957078">
            <w:pPr>
              <w:jc w:val="right"/>
              <w:rPr>
                <w:rFonts w:cs="Times New Roman"/>
                <w:sz w:val="20"/>
                <w:szCs w:val="20"/>
              </w:rPr>
            </w:pPr>
            <w:r w:rsidRPr="00D0012A">
              <w:rPr>
                <w:rFonts w:cs="Times New Roman"/>
                <w:sz w:val="20"/>
                <w:szCs w:val="20"/>
              </w:rPr>
              <w:t>3085 </w:t>
            </w:r>
          </w:p>
        </w:tc>
        <w:tc>
          <w:tcPr>
            <w:tcW w:w="1021" w:type="dxa"/>
            <w:tcBorders>
              <w:top w:val="single" w:sz="6" w:space="0" w:color="666666"/>
              <w:left w:val="nil"/>
              <w:bottom w:val="single" w:sz="6" w:space="0" w:color="666666"/>
              <w:right w:val="nil"/>
            </w:tcBorders>
            <w:shd w:val="clear" w:color="auto" w:fill="CCCCCC"/>
            <w:hideMark/>
          </w:tcPr>
          <w:p w14:paraId="6B03F7BF" w14:textId="77777777" w:rsidR="00B94CD6" w:rsidRPr="00D0012A" w:rsidRDefault="00B94CD6" w:rsidP="00957078">
            <w:pPr>
              <w:jc w:val="right"/>
              <w:rPr>
                <w:rFonts w:cs="Times New Roman"/>
                <w:sz w:val="20"/>
                <w:szCs w:val="20"/>
              </w:rPr>
            </w:pPr>
            <w:r w:rsidRPr="00D0012A">
              <w:rPr>
                <w:rFonts w:cs="Times New Roman"/>
                <w:sz w:val="20"/>
                <w:szCs w:val="20"/>
              </w:rPr>
              <w:t>8103 </w:t>
            </w:r>
          </w:p>
        </w:tc>
        <w:tc>
          <w:tcPr>
            <w:tcW w:w="1021" w:type="dxa"/>
            <w:tcBorders>
              <w:top w:val="single" w:sz="6" w:space="0" w:color="666666"/>
              <w:left w:val="nil"/>
              <w:bottom w:val="single" w:sz="6" w:space="0" w:color="666666"/>
              <w:right w:val="nil"/>
            </w:tcBorders>
            <w:shd w:val="clear" w:color="auto" w:fill="CCCCCC"/>
            <w:hideMark/>
          </w:tcPr>
          <w:p w14:paraId="12444D7B" w14:textId="77777777" w:rsidR="00B94CD6" w:rsidRPr="00D0012A" w:rsidRDefault="00B94CD6" w:rsidP="00957078">
            <w:pPr>
              <w:jc w:val="right"/>
              <w:rPr>
                <w:rFonts w:cs="Times New Roman"/>
                <w:sz w:val="20"/>
                <w:szCs w:val="20"/>
              </w:rPr>
            </w:pPr>
            <w:r w:rsidRPr="00D0012A">
              <w:rPr>
                <w:rFonts w:cs="Times New Roman"/>
                <w:sz w:val="20"/>
                <w:szCs w:val="20"/>
              </w:rPr>
              <w:t>16779 </w:t>
            </w:r>
          </w:p>
        </w:tc>
      </w:tr>
      <w:tr w:rsidR="00B94CD6" w:rsidRPr="00D0012A" w14:paraId="37750EC5" w14:textId="77777777" w:rsidTr="00672E4C">
        <w:tc>
          <w:tcPr>
            <w:tcW w:w="1560" w:type="dxa"/>
            <w:tcBorders>
              <w:top w:val="single" w:sz="6" w:space="0" w:color="666666"/>
              <w:left w:val="nil"/>
              <w:bottom w:val="single" w:sz="6" w:space="0" w:color="666666"/>
              <w:right w:val="nil"/>
            </w:tcBorders>
            <w:shd w:val="clear" w:color="auto" w:fill="auto"/>
            <w:hideMark/>
          </w:tcPr>
          <w:p w14:paraId="4BE7C591" w14:textId="77777777" w:rsidR="00B94CD6" w:rsidRPr="00D0012A" w:rsidRDefault="00B94CD6" w:rsidP="00B94CD6">
            <w:pPr>
              <w:rPr>
                <w:rFonts w:cs="Times New Roman"/>
                <w:b/>
                <w:bCs/>
                <w:sz w:val="20"/>
                <w:szCs w:val="20"/>
              </w:rPr>
            </w:pPr>
            <w:r w:rsidRPr="00D0012A">
              <w:rPr>
                <w:rFonts w:cs="Times New Roman"/>
                <w:b/>
                <w:bCs/>
                <w:sz w:val="20"/>
                <w:szCs w:val="20"/>
              </w:rPr>
              <w:t>2020 </w:t>
            </w:r>
          </w:p>
        </w:tc>
        <w:tc>
          <w:tcPr>
            <w:tcW w:w="1020" w:type="dxa"/>
            <w:tcBorders>
              <w:top w:val="single" w:sz="6" w:space="0" w:color="666666"/>
              <w:left w:val="nil"/>
              <w:bottom w:val="single" w:sz="6" w:space="0" w:color="666666"/>
              <w:right w:val="nil"/>
            </w:tcBorders>
            <w:shd w:val="clear" w:color="auto" w:fill="auto"/>
            <w:hideMark/>
          </w:tcPr>
          <w:p w14:paraId="15932511" w14:textId="77777777" w:rsidR="00B94CD6" w:rsidRPr="00D0012A" w:rsidRDefault="00B94CD6" w:rsidP="00957078">
            <w:pPr>
              <w:jc w:val="right"/>
              <w:rPr>
                <w:rFonts w:cs="Times New Roman"/>
                <w:sz w:val="20"/>
                <w:szCs w:val="20"/>
              </w:rPr>
            </w:pPr>
            <w:r w:rsidRPr="00D0012A">
              <w:rPr>
                <w:rFonts w:cs="Times New Roman"/>
                <w:sz w:val="20"/>
                <w:szCs w:val="20"/>
              </w:rPr>
              <w:t>2676 </w:t>
            </w:r>
          </w:p>
        </w:tc>
        <w:tc>
          <w:tcPr>
            <w:tcW w:w="1021" w:type="dxa"/>
            <w:tcBorders>
              <w:top w:val="single" w:sz="6" w:space="0" w:color="666666"/>
              <w:left w:val="nil"/>
              <w:bottom w:val="single" w:sz="6" w:space="0" w:color="666666"/>
              <w:right w:val="nil"/>
            </w:tcBorders>
            <w:shd w:val="clear" w:color="auto" w:fill="auto"/>
            <w:hideMark/>
          </w:tcPr>
          <w:p w14:paraId="4901CB67" w14:textId="77777777" w:rsidR="00B94CD6" w:rsidRPr="00D0012A" w:rsidRDefault="00B94CD6" w:rsidP="00957078">
            <w:pPr>
              <w:jc w:val="right"/>
              <w:rPr>
                <w:rFonts w:cs="Times New Roman"/>
                <w:sz w:val="20"/>
                <w:szCs w:val="20"/>
              </w:rPr>
            </w:pPr>
            <w:r w:rsidRPr="00D0012A">
              <w:rPr>
                <w:rFonts w:cs="Times New Roman"/>
                <w:sz w:val="20"/>
                <w:szCs w:val="20"/>
              </w:rPr>
              <w:t>2950 </w:t>
            </w:r>
          </w:p>
        </w:tc>
        <w:tc>
          <w:tcPr>
            <w:tcW w:w="1020" w:type="dxa"/>
            <w:tcBorders>
              <w:top w:val="single" w:sz="6" w:space="0" w:color="666666"/>
              <w:left w:val="nil"/>
              <w:bottom w:val="single" w:sz="6" w:space="0" w:color="666666"/>
              <w:right w:val="nil"/>
            </w:tcBorders>
            <w:shd w:val="clear" w:color="auto" w:fill="auto"/>
            <w:hideMark/>
          </w:tcPr>
          <w:p w14:paraId="64E4FA2B" w14:textId="77777777" w:rsidR="00B94CD6" w:rsidRPr="00D0012A" w:rsidRDefault="00B94CD6" w:rsidP="00957078">
            <w:pPr>
              <w:jc w:val="right"/>
              <w:rPr>
                <w:rFonts w:cs="Times New Roman"/>
                <w:sz w:val="20"/>
                <w:szCs w:val="20"/>
              </w:rPr>
            </w:pPr>
            <w:r w:rsidRPr="00D0012A">
              <w:rPr>
                <w:rFonts w:cs="Times New Roman"/>
                <w:sz w:val="20"/>
                <w:szCs w:val="20"/>
              </w:rPr>
              <w:t>2477 </w:t>
            </w:r>
          </w:p>
        </w:tc>
        <w:tc>
          <w:tcPr>
            <w:tcW w:w="1021" w:type="dxa"/>
            <w:tcBorders>
              <w:top w:val="single" w:sz="6" w:space="0" w:color="666666"/>
              <w:left w:val="nil"/>
              <w:bottom w:val="single" w:sz="6" w:space="0" w:color="666666"/>
              <w:right w:val="nil"/>
            </w:tcBorders>
            <w:shd w:val="clear" w:color="auto" w:fill="auto"/>
            <w:hideMark/>
          </w:tcPr>
          <w:p w14:paraId="3F5E35F6" w14:textId="77777777" w:rsidR="00B94CD6" w:rsidRPr="00D0012A" w:rsidRDefault="00B94CD6" w:rsidP="00957078">
            <w:pPr>
              <w:jc w:val="right"/>
              <w:rPr>
                <w:rFonts w:cs="Times New Roman"/>
                <w:sz w:val="20"/>
                <w:szCs w:val="20"/>
              </w:rPr>
            </w:pPr>
            <w:r w:rsidRPr="00D0012A">
              <w:rPr>
                <w:rFonts w:cs="Times New Roman"/>
                <w:sz w:val="20"/>
                <w:szCs w:val="20"/>
              </w:rPr>
              <w:t>8240 </w:t>
            </w:r>
          </w:p>
        </w:tc>
        <w:tc>
          <w:tcPr>
            <w:tcW w:w="1021" w:type="dxa"/>
            <w:tcBorders>
              <w:top w:val="single" w:sz="6" w:space="0" w:color="666666"/>
              <w:left w:val="nil"/>
              <w:bottom w:val="single" w:sz="6" w:space="0" w:color="666666"/>
              <w:right w:val="nil"/>
            </w:tcBorders>
            <w:shd w:val="clear" w:color="auto" w:fill="auto"/>
            <w:hideMark/>
          </w:tcPr>
          <w:p w14:paraId="1C48FF41" w14:textId="77777777" w:rsidR="00B94CD6" w:rsidRPr="00D0012A" w:rsidRDefault="00B94CD6" w:rsidP="00957078">
            <w:pPr>
              <w:jc w:val="right"/>
              <w:rPr>
                <w:rFonts w:cs="Times New Roman"/>
                <w:sz w:val="20"/>
                <w:szCs w:val="20"/>
              </w:rPr>
            </w:pPr>
            <w:r w:rsidRPr="00D0012A">
              <w:rPr>
                <w:rFonts w:cs="Times New Roman"/>
                <w:sz w:val="20"/>
                <w:szCs w:val="20"/>
              </w:rPr>
              <w:t>16343 </w:t>
            </w:r>
          </w:p>
        </w:tc>
      </w:tr>
      <w:tr w:rsidR="00B94CD6" w:rsidRPr="00D0012A" w14:paraId="70E4F6C0" w14:textId="77777777" w:rsidTr="00672E4C">
        <w:tc>
          <w:tcPr>
            <w:tcW w:w="1560" w:type="dxa"/>
            <w:tcBorders>
              <w:top w:val="single" w:sz="6" w:space="0" w:color="666666"/>
              <w:left w:val="nil"/>
              <w:bottom w:val="single" w:sz="6" w:space="0" w:color="666666"/>
              <w:right w:val="nil"/>
            </w:tcBorders>
            <w:shd w:val="clear" w:color="auto" w:fill="CCCCCC"/>
            <w:hideMark/>
          </w:tcPr>
          <w:p w14:paraId="20C47136" w14:textId="77777777" w:rsidR="00B94CD6" w:rsidRPr="00D0012A" w:rsidRDefault="00B94CD6" w:rsidP="00B94CD6">
            <w:pPr>
              <w:rPr>
                <w:rFonts w:cs="Times New Roman"/>
                <w:b/>
                <w:bCs/>
                <w:sz w:val="20"/>
                <w:szCs w:val="20"/>
              </w:rPr>
            </w:pPr>
            <w:r w:rsidRPr="00D0012A">
              <w:rPr>
                <w:rFonts w:cs="Times New Roman"/>
                <w:b/>
                <w:bCs/>
                <w:sz w:val="20"/>
                <w:szCs w:val="20"/>
              </w:rPr>
              <w:t>2021 </w:t>
            </w:r>
          </w:p>
        </w:tc>
        <w:tc>
          <w:tcPr>
            <w:tcW w:w="1020" w:type="dxa"/>
            <w:tcBorders>
              <w:top w:val="single" w:sz="6" w:space="0" w:color="666666"/>
              <w:left w:val="nil"/>
              <w:bottom w:val="single" w:sz="6" w:space="0" w:color="666666"/>
              <w:right w:val="nil"/>
            </w:tcBorders>
            <w:shd w:val="clear" w:color="auto" w:fill="CCCCCC"/>
            <w:hideMark/>
          </w:tcPr>
          <w:p w14:paraId="2B37EFB2" w14:textId="77777777" w:rsidR="00B94CD6" w:rsidRPr="00D0012A" w:rsidRDefault="00B94CD6" w:rsidP="00957078">
            <w:pPr>
              <w:jc w:val="right"/>
              <w:rPr>
                <w:rFonts w:cs="Times New Roman"/>
                <w:sz w:val="20"/>
                <w:szCs w:val="20"/>
              </w:rPr>
            </w:pPr>
            <w:r w:rsidRPr="00D0012A">
              <w:rPr>
                <w:rFonts w:cs="Times New Roman"/>
                <w:sz w:val="20"/>
                <w:szCs w:val="20"/>
              </w:rPr>
              <w:t>2876 </w:t>
            </w:r>
          </w:p>
        </w:tc>
        <w:tc>
          <w:tcPr>
            <w:tcW w:w="1021" w:type="dxa"/>
            <w:tcBorders>
              <w:top w:val="single" w:sz="6" w:space="0" w:color="666666"/>
              <w:left w:val="nil"/>
              <w:bottom w:val="single" w:sz="6" w:space="0" w:color="666666"/>
              <w:right w:val="nil"/>
            </w:tcBorders>
            <w:shd w:val="clear" w:color="auto" w:fill="CCCCCC"/>
            <w:hideMark/>
          </w:tcPr>
          <w:p w14:paraId="1BF359A8" w14:textId="77777777" w:rsidR="00B94CD6" w:rsidRPr="00D0012A" w:rsidRDefault="00B94CD6" w:rsidP="00957078">
            <w:pPr>
              <w:jc w:val="right"/>
              <w:rPr>
                <w:rFonts w:cs="Times New Roman"/>
                <w:sz w:val="20"/>
                <w:szCs w:val="20"/>
              </w:rPr>
            </w:pPr>
            <w:r w:rsidRPr="00D0012A">
              <w:rPr>
                <w:rFonts w:cs="Times New Roman"/>
                <w:sz w:val="20"/>
                <w:szCs w:val="20"/>
              </w:rPr>
              <w:t>3051 </w:t>
            </w:r>
          </w:p>
        </w:tc>
        <w:tc>
          <w:tcPr>
            <w:tcW w:w="1020" w:type="dxa"/>
            <w:tcBorders>
              <w:top w:val="single" w:sz="6" w:space="0" w:color="666666"/>
              <w:left w:val="nil"/>
              <w:bottom w:val="single" w:sz="6" w:space="0" w:color="666666"/>
              <w:right w:val="nil"/>
            </w:tcBorders>
            <w:shd w:val="clear" w:color="auto" w:fill="CCCCCC"/>
            <w:hideMark/>
          </w:tcPr>
          <w:p w14:paraId="61C33B46" w14:textId="77777777" w:rsidR="00B94CD6" w:rsidRPr="00D0012A" w:rsidRDefault="00B94CD6" w:rsidP="00957078">
            <w:pPr>
              <w:jc w:val="right"/>
              <w:rPr>
                <w:rFonts w:cs="Times New Roman"/>
                <w:sz w:val="20"/>
                <w:szCs w:val="20"/>
              </w:rPr>
            </w:pPr>
            <w:r w:rsidRPr="00D0012A">
              <w:rPr>
                <w:rFonts w:cs="Times New Roman"/>
                <w:sz w:val="20"/>
                <w:szCs w:val="20"/>
              </w:rPr>
              <w:t>3404 </w:t>
            </w:r>
          </w:p>
        </w:tc>
        <w:tc>
          <w:tcPr>
            <w:tcW w:w="1021" w:type="dxa"/>
            <w:tcBorders>
              <w:top w:val="single" w:sz="6" w:space="0" w:color="666666"/>
              <w:left w:val="nil"/>
              <w:bottom w:val="single" w:sz="6" w:space="0" w:color="666666"/>
              <w:right w:val="nil"/>
            </w:tcBorders>
            <w:shd w:val="clear" w:color="auto" w:fill="CCCCCC"/>
            <w:hideMark/>
          </w:tcPr>
          <w:p w14:paraId="19C5E3F1" w14:textId="77777777" w:rsidR="00B94CD6" w:rsidRPr="00D0012A" w:rsidRDefault="00B94CD6" w:rsidP="00957078">
            <w:pPr>
              <w:jc w:val="right"/>
              <w:rPr>
                <w:rFonts w:cs="Times New Roman"/>
                <w:sz w:val="20"/>
                <w:szCs w:val="20"/>
              </w:rPr>
            </w:pPr>
            <w:r w:rsidRPr="00D0012A">
              <w:rPr>
                <w:rFonts w:cs="Times New Roman"/>
                <w:sz w:val="20"/>
                <w:szCs w:val="20"/>
              </w:rPr>
              <w:t>8965 </w:t>
            </w:r>
          </w:p>
        </w:tc>
        <w:tc>
          <w:tcPr>
            <w:tcW w:w="1021" w:type="dxa"/>
            <w:tcBorders>
              <w:top w:val="single" w:sz="6" w:space="0" w:color="666666"/>
              <w:left w:val="nil"/>
              <w:bottom w:val="single" w:sz="6" w:space="0" w:color="666666"/>
              <w:right w:val="nil"/>
            </w:tcBorders>
            <w:shd w:val="clear" w:color="auto" w:fill="CCCCCC"/>
            <w:hideMark/>
          </w:tcPr>
          <w:p w14:paraId="57C66386" w14:textId="77777777" w:rsidR="00B94CD6" w:rsidRPr="00D0012A" w:rsidRDefault="00B94CD6" w:rsidP="00957078">
            <w:pPr>
              <w:jc w:val="right"/>
              <w:rPr>
                <w:rFonts w:cs="Times New Roman"/>
                <w:sz w:val="20"/>
                <w:szCs w:val="20"/>
              </w:rPr>
            </w:pPr>
            <w:r w:rsidRPr="00D0012A">
              <w:rPr>
                <w:rFonts w:cs="Times New Roman"/>
                <w:sz w:val="20"/>
                <w:szCs w:val="20"/>
              </w:rPr>
              <w:t>18296 </w:t>
            </w:r>
          </w:p>
        </w:tc>
      </w:tr>
      <w:tr w:rsidR="00B94CD6" w:rsidRPr="00D0012A" w14:paraId="3F2068A1" w14:textId="77777777" w:rsidTr="00672E4C">
        <w:tc>
          <w:tcPr>
            <w:tcW w:w="1560" w:type="dxa"/>
            <w:tcBorders>
              <w:top w:val="single" w:sz="6" w:space="0" w:color="666666"/>
              <w:left w:val="nil"/>
              <w:bottom w:val="single" w:sz="6" w:space="0" w:color="666666"/>
              <w:right w:val="nil"/>
            </w:tcBorders>
            <w:shd w:val="clear" w:color="auto" w:fill="auto"/>
            <w:hideMark/>
          </w:tcPr>
          <w:p w14:paraId="1ADB133F" w14:textId="77777777" w:rsidR="00B94CD6" w:rsidRPr="00D0012A" w:rsidRDefault="00B94CD6" w:rsidP="00B94CD6">
            <w:pPr>
              <w:rPr>
                <w:rFonts w:cs="Times New Roman"/>
                <w:b/>
                <w:bCs/>
                <w:sz w:val="20"/>
                <w:szCs w:val="20"/>
              </w:rPr>
            </w:pPr>
            <w:r w:rsidRPr="00D0012A">
              <w:rPr>
                <w:rFonts w:cs="Times New Roman"/>
                <w:b/>
                <w:bCs/>
                <w:sz w:val="20"/>
                <w:szCs w:val="20"/>
              </w:rPr>
              <w:t>Intentional paracetamol </w:t>
            </w:r>
          </w:p>
        </w:tc>
        <w:tc>
          <w:tcPr>
            <w:tcW w:w="1020" w:type="dxa"/>
            <w:tcBorders>
              <w:top w:val="single" w:sz="6" w:space="0" w:color="666666"/>
              <w:left w:val="nil"/>
              <w:bottom w:val="single" w:sz="6" w:space="0" w:color="666666"/>
              <w:right w:val="nil"/>
            </w:tcBorders>
            <w:shd w:val="clear" w:color="auto" w:fill="auto"/>
            <w:hideMark/>
          </w:tcPr>
          <w:p w14:paraId="617E1627"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3D24ADD6" w14:textId="77777777" w:rsidR="00B94CD6" w:rsidRPr="00D0012A" w:rsidRDefault="00B94CD6" w:rsidP="00B94CD6">
            <w:pPr>
              <w:rPr>
                <w:rFonts w:cs="Times New Roman"/>
                <w:sz w:val="20"/>
                <w:szCs w:val="20"/>
              </w:rPr>
            </w:pPr>
            <w:r w:rsidRPr="00D0012A">
              <w:rPr>
                <w:rFonts w:cs="Times New Roman"/>
                <w:sz w:val="20"/>
                <w:szCs w:val="20"/>
              </w:rPr>
              <w:t> </w:t>
            </w:r>
          </w:p>
        </w:tc>
        <w:tc>
          <w:tcPr>
            <w:tcW w:w="1020" w:type="dxa"/>
            <w:tcBorders>
              <w:top w:val="single" w:sz="6" w:space="0" w:color="666666"/>
              <w:left w:val="nil"/>
              <w:bottom w:val="single" w:sz="6" w:space="0" w:color="666666"/>
              <w:right w:val="nil"/>
            </w:tcBorders>
            <w:shd w:val="clear" w:color="auto" w:fill="auto"/>
            <w:hideMark/>
          </w:tcPr>
          <w:p w14:paraId="432DB226"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4B18399D"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7B6725C1" w14:textId="77777777" w:rsidR="00B94CD6" w:rsidRPr="00D0012A" w:rsidRDefault="00B94CD6" w:rsidP="00B94CD6">
            <w:pPr>
              <w:rPr>
                <w:rFonts w:cs="Times New Roman"/>
                <w:sz w:val="20"/>
                <w:szCs w:val="20"/>
              </w:rPr>
            </w:pPr>
            <w:r w:rsidRPr="00D0012A">
              <w:rPr>
                <w:rFonts w:cs="Times New Roman"/>
                <w:sz w:val="20"/>
                <w:szCs w:val="20"/>
              </w:rPr>
              <w:t> </w:t>
            </w:r>
          </w:p>
        </w:tc>
      </w:tr>
      <w:tr w:rsidR="00B94CD6" w:rsidRPr="00D0012A" w14:paraId="624C53BF" w14:textId="77777777" w:rsidTr="00672E4C">
        <w:tc>
          <w:tcPr>
            <w:tcW w:w="1560" w:type="dxa"/>
            <w:tcBorders>
              <w:top w:val="single" w:sz="6" w:space="0" w:color="666666"/>
              <w:left w:val="nil"/>
              <w:bottom w:val="single" w:sz="6" w:space="0" w:color="666666"/>
              <w:right w:val="nil"/>
            </w:tcBorders>
            <w:shd w:val="clear" w:color="auto" w:fill="CCCCCC"/>
            <w:hideMark/>
          </w:tcPr>
          <w:p w14:paraId="595ACAB8" w14:textId="77777777" w:rsidR="00B94CD6" w:rsidRPr="00D0012A" w:rsidRDefault="00B94CD6" w:rsidP="00B94CD6">
            <w:pPr>
              <w:rPr>
                <w:rFonts w:cs="Times New Roman"/>
                <w:b/>
                <w:bCs/>
                <w:sz w:val="20"/>
                <w:szCs w:val="20"/>
              </w:rPr>
            </w:pPr>
            <w:r w:rsidRPr="00D0012A">
              <w:rPr>
                <w:rFonts w:cs="Times New Roman"/>
                <w:b/>
                <w:bCs/>
                <w:sz w:val="20"/>
                <w:szCs w:val="20"/>
              </w:rPr>
              <w:t>2017 </w:t>
            </w:r>
          </w:p>
        </w:tc>
        <w:tc>
          <w:tcPr>
            <w:tcW w:w="1020" w:type="dxa"/>
            <w:tcBorders>
              <w:top w:val="single" w:sz="6" w:space="0" w:color="666666"/>
              <w:left w:val="nil"/>
              <w:bottom w:val="single" w:sz="6" w:space="0" w:color="666666"/>
              <w:right w:val="nil"/>
            </w:tcBorders>
            <w:shd w:val="clear" w:color="auto" w:fill="CCCCCC"/>
            <w:hideMark/>
          </w:tcPr>
          <w:p w14:paraId="0B1FD3B5" w14:textId="77777777" w:rsidR="00B94CD6" w:rsidRPr="00D0012A" w:rsidRDefault="00B94CD6" w:rsidP="00957078">
            <w:pPr>
              <w:jc w:val="right"/>
              <w:rPr>
                <w:rFonts w:cs="Times New Roman"/>
                <w:sz w:val="20"/>
                <w:szCs w:val="20"/>
              </w:rPr>
            </w:pPr>
            <w:r w:rsidRPr="00D0012A">
              <w:rPr>
                <w:rFonts w:cs="Times New Roman"/>
                <w:sz w:val="20"/>
                <w:szCs w:val="20"/>
              </w:rPr>
              <w:t>983 </w:t>
            </w:r>
          </w:p>
        </w:tc>
        <w:tc>
          <w:tcPr>
            <w:tcW w:w="1021" w:type="dxa"/>
            <w:tcBorders>
              <w:top w:val="single" w:sz="6" w:space="0" w:color="666666"/>
              <w:left w:val="nil"/>
              <w:bottom w:val="single" w:sz="6" w:space="0" w:color="666666"/>
              <w:right w:val="nil"/>
            </w:tcBorders>
            <w:shd w:val="clear" w:color="auto" w:fill="CCCCCC"/>
            <w:hideMark/>
          </w:tcPr>
          <w:p w14:paraId="5F097894" w14:textId="77777777" w:rsidR="00B94CD6" w:rsidRPr="00D0012A" w:rsidRDefault="00B94CD6" w:rsidP="00957078">
            <w:pPr>
              <w:jc w:val="right"/>
              <w:rPr>
                <w:rFonts w:cs="Times New Roman"/>
                <w:sz w:val="20"/>
                <w:szCs w:val="20"/>
              </w:rPr>
            </w:pPr>
            <w:r w:rsidRPr="00D0012A">
              <w:rPr>
                <w:rFonts w:cs="Times New Roman"/>
                <w:sz w:val="20"/>
                <w:szCs w:val="20"/>
              </w:rPr>
              <w:t>943 </w:t>
            </w:r>
          </w:p>
        </w:tc>
        <w:tc>
          <w:tcPr>
            <w:tcW w:w="1020" w:type="dxa"/>
            <w:tcBorders>
              <w:top w:val="single" w:sz="6" w:space="0" w:color="666666"/>
              <w:left w:val="nil"/>
              <w:bottom w:val="single" w:sz="6" w:space="0" w:color="666666"/>
              <w:right w:val="nil"/>
            </w:tcBorders>
            <w:shd w:val="clear" w:color="auto" w:fill="CCCCCC"/>
            <w:hideMark/>
          </w:tcPr>
          <w:p w14:paraId="0963BDF4" w14:textId="77777777" w:rsidR="00B94CD6" w:rsidRPr="00D0012A" w:rsidRDefault="00B94CD6" w:rsidP="00957078">
            <w:pPr>
              <w:jc w:val="right"/>
              <w:rPr>
                <w:rFonts w:cs="Times New Roman"/>
                <w:sz w:val="20"/>
                <w:szCs w:val="20"/>
              </w:rPr>
            </w:pPr>
            <w:r w:rsidRPr="00D0012A">
              <w:rPr>
                <w:rFonts w:cs="Times New Roman"/>
                <w:sz w:val="20"/>
                <w:szCs w:val="20"/>
              </w:rPr>
              <w:t>1053 </w:t>
            </w:r>
          </w:p>
        </w:tc>
        <w:tc>
          <w:tcPr>
            <w:tcW w:w="1021" w:type="dxa"/>
            <w:tcBorders>
              <w:top w:val="single" w:sz="6" w:space="0" w:color="666666"/>
              <w:left w:val="nil"/>
              <w:bottom w:val="single" w:sz="6" w:space="0" w:color="666666"/>
              <w:right w:val="nil"/>
            </w:tcBorders>
            <w:shd w:val="clear" w:color="auto" w:fill="CCCCCC"/>
            <w:hideMark/>
          </w:tcPr>
          <w:p w14:paraId="527AFA9A" w14:textId="77777777" w:rsidR="00B94CD6" w:rsidRPr="00D0012A" w:rsidRDefault="00B94CD6" w:rsidP="00957078">
            <w:pPr>
              <w:jc w:val="right"/>
              <w:rPr>
                <w:rFonts w:cs="Times New Roman"/>
                <w:sz w:val="20"/>
                <w:szCs w:val="20"/>
              </w:rPr>
            </w:pPr>
            <w:r w:rsidRPr="00D0012A">
              <w:rPr>
                <w:rFonts w:cs="Times New Roman"/>
                <w:sz w:val="20"/>
                <w:szCs w:val="20"/>
              </w:rPr>
              <w:t>2931 </w:t>
            </w:r>
          </w:p>
        </w:tc>
        <w:tc>
          <w:tcPr>
            <w:tcW w:w="1021" w:type="dxa"/>
            <w:tcBorders>
              <w:top w:val="single" w:sz="6" w:space="0" w:color="666666"/>
              <w:left w:val="nil"/>
              <w:bottom w:val="single" w:sz="6" w:space="0" w:color="666666"/>
              <w:right w:val="nil"/>
            </w:tcBorders>
            <w:shd w:val="clear" w:color="auto" w:fill="CCCCCC"/>
            <w:hideMark/>
          </w:tcPr>
          <w:p w14:paraId="52ECD24A" w14:textId="77777777" w:rsidR="00B94CD6" w:rsidRPr="00D0012A" w:rsidRDefault="00B94CD6" w:rsidP="00957078">
            <w:pPr>
              <w:jc w:val="right"/>
              <w:rPr>
                <w:rFonts w:cs="Times New Roman"/>
                <w:sz w:val="20"/>
                <w:szCs w:val="20"/>
              </w:rPr>
            </w:pPr>
            <w:r w:rsidRPr="00D0012A">
              <w:rPr>
                <w:rFonts w:cs="Times New Roman"/>
                <w:sz w:val="20"/>
                <w:szCs w:val="20"/>
              </w:rPr>
              <w:t>5910 </w:t>
            </w:r>
          </w:p>
        </w:tc>
      </w:tr>
      <w:tr w:rsidR="00B94CD6" w:rsidRPr="00D0012A" w14:paraId="5C43B1E6" w14:textId="77777777" w:rsidTr="00672E4C">
        <w:tc>
          <w:tcPr>
            <w:tcW w:w="1560" w:type="dxa"/>
            <w:tcBorders>
              <w:top w:val="single" w:sz="6" w:space="0" w:color="666666"/>
              <w:left w:val="nil"/>
              <w:bottom w:val="single" w:sz="6" w:space="0" w:color="666666"/>
              <w:right w:val="nil"/>
            </w:tcBorders>
            <w:shd w:val="clear" w:color="auto" w:fill="auto"/>
            <w:hideMark/>
          </w:tcPr>
          <w:p w14:paraId="2535B1B0" w14:textId="77777777" w:rsidR="00B94CD6" w:rsidRPr="00D0012A" w:rsidRDefault="00B94CD6" w:rsidP="00B94CD6">
            <w:pPr>
              <w:rPr>
                <w:rFonts w:cs="Times New Roman"/>
                <w:b/>
                <w:bCs/>
                <w:sz w:val="20"/>
                <w:szCs w:val="20"/>
              </w:rPr>
            </w:pPr>
            <w:r w:rsidRPr="00D0012A">
              <w:rPr>
                <w:rFonts w:cs="Times New Roman"/>
                <w:b/>
                <w:bCs/>
                <w:sz w:val="20"/>
                <w:szCs w:val="20"/>
              </w:rPr>
              <w:t>2018 </w:t>
            </w:r>
          </w:p>
        </w:tc>
        <w:tc>
          <w:tcPr>
            <w:tcW w:w="1020" w:type="dxa"/>
            <w:tcBorders>
              <w:top w:val="single" w:sz="6" w:space="0" w:color="666666"/>
              <w:left w:val="nil"/>
              <w:bottom w:val="single" w:sz="6" w:space="0" w:color="666666"/>
              <w:right w:val="nil"/>
            </w:tcBorders>
            <w:shd w:val="clear" w:color="auto" w:fill="auto"/>
            <w:hideMark/>
          </w:tcPr>
          <w:p w14:paraId="17EE649D" w14:textId="77777777" w:rsidR="00B94CD6" w:rsidRPr="00D0012A" w:rsidRDefault="00B94CD6" w:rsidP="00957078">
            <w:pPr>
              <w:jc w:val="right"/>
              <w:rPr>
                <w:rFonts w:cs="Times New Roman"/>
                <w:sz w:val="20"/>
                <w:szCs w:val="20"/>
              </w:rPr>
            </w:pPr>
            <w:r w:rsidRPr="00D0012A">
              <w:rPr>
                <w:rFonts w:cs="Times New Roman"/>
                <w:sz w:val="20"/>
                <w:szCs w:val="20"/>
              </w:rPr>
              <w:t>844 </w:t>
            </w:r>
          </w:p>
        </w:tc>
        <w:tc>
          <w:tcPr>
            <w:tcW w:w="1021" w:type="dxa"/>
            <w:tcBorders>
              <w:top w:val="single" w:sz="6" w:space="0" w:color="666666"/>
              <w:left w:val="nil"/>
              <w:bottom w:val="single" w:sz="6" w:space="0" w:color="666666"/>
              <w:right w:val="nil"/>
            </w:tcBorders>
            <w:shd w:val="clear" w:color="auto" w:fill="auto"/>
            <w:hideMark/>
          </w:tcPr>
          <w:p w14:paraId="2F968CF0" w14:textId="77777777" w:rsidR="00B94CD6" w:rsidRPr="00D0012A" w:rsidRDefault="00B94CD6" w:rsidP="00957078">
            <w:pPr>
              <w:jc w:val="right"/>
              <w:rPr>
                <w:rFonts w:cs="Times New Roman"/>
                <w:sz w:val="20"/>
                <w:szCs w:val="20"/>
              </w:rPr>
            </w:pPr>
            <w:r w:rsidRPr="00D0012A">
              <w:rPr>
                <w:rFonts w:cs="Times New Roman"/>
                <w:sz w:val="20"/>
                <w:szCs w:val="20"/>
              </w:rPr>
              <w:t>935 </w:t>
            </w:r>
          </w:p>
        </w:tc>
        <w:tc>
          <w:tcPr>
            <w:tcW w:w="1020" w:type="dxa"/>
            <w:tcBorders>
              <w:top w:val="single" w:sz="6" w:space="0" w:color="666666"/>
              <w:left w:val="nil"/>
              <w:bottom w:val="single" w:sz="6" w:space="0" w:color="666666"/>
              <w:right w:val="nil"/>
            </w:tcBorders>
            <w:shd w:val="clear" w:color="auto" w:fill="auto"/>
            <w:hideMark/>
          </w:tcPr>
          <w:p w14:paraId="3DA9ABFA" w14:textId="77777777" w:rsidR="00B94CD6" w:rsidRPr="00D0012A" w:rsidRDefault="00B94CD6" w:rsidP="00957078">
            <w:pPr>
              <w:jc w:val="right"/>
              <w:rPr>
                <w:rFonts w:cs="Times New Roman"/>
                <w:sz w:val="20"/>
                <w:szCs w:val="20"/>
              </w:rPr>
            </w:pPr>
            <w:r w:rsidRPr="00D0012A">
              <w:rPr>
                <w:rFonts w:cs="Times New Roman"/>
                <w:sz w:val="20"/>
                <w:szCs w:val="20"/>
              </w:rPr>
              <w:t>998 </w:t>
            </w:r>
          </w:p>
        </w:tc>
        <w:tc>
          <w:tcPr>
            <w:tcW w:w="1021" w:type="dxa"/>
            <w:tcBorders>
              <w:top w:val="single" w:sz="6" w:space="0" w:color="666666"/>
              <w:left w:val="nil"/>
              <w:bottom w:val="single" w:sz="6" w:space="0" w:color="666666"/>
              <w:right w:val="nil"/>
            </w:tcBorders>
            <w:shd w:val="clear" w:color="auto" w:fill="auto"/>
            <w:hideMark/>
          </w:tcPr>
          <w:p w14:paraId="31377907" w14:textId="77777777" w:rsidR="00B94CD6" w:rsidRPr="00D0012A" w:rsidRDefault="00B94CD6" w:rsidP="00957078">
            <w:pPr>
              <w:jc w:val="right"/>
              <w:rPr>
                <w:rFonts w:cs="Times New Roman"/>
                <w:sz w:val="20"/>
                <w:szCs w:val="20"/>
              </w:rPr>
            </w:pPr>
            <w:r w:rsidRPr="00D0012A">
              <w:rPr>
                <w:rFonts w:cs="Times New Roman"/>
                <w:sz w:val="20"/>
                <w:szCs w:val="20"/>
              </w:rPr>
              <w:t>2685 </w:t>
            </w:r>
          </w:p>
        </w:tc>
        <w:tc>
          <w:tcPr>
            <w:tcW w:w="1021" w:type="dxa"/>
            <w:tcBorders>
              <w:top w:val="single" w:sz="6" w:space="0" w:color="666666"/>
              <w:left w:val="nil"/>
              <w:bottom w:val="single" w:sz="6" w:space="0" w:color="666666"/>
              <w:right w:val="nil"/>
            </w:tcBorders>
            <w:shd w:val="clear" w:color="auto" w:fill="auto"/>
            <w:hideMark/>
          </w:tcPr>
          <w:p w14:paraId="382AC7E7" w14:textId="77777777" w:rsidR="00B94CD6" w:rsidRPr="00D0012A" w:rsidRDefault="00B94CD6" w:rsidP="00957078">
            <w:pPr>
              <w:jc w:val="right"/>
              <w:rPr>
                <w:rFonts w:cs="Times New Roman"/>
                <w:sz w:val="20"/>
                <w:szCs w:val="20"/>
              </w:rPr>
            </w:pPr>
            <w:r w:rsidRPr="00D0012A">
              <w:rPr>
                <w:rFonts w:cs="Times New Roman"/>
                <w:sz w:val="20"/>
                <w:szCs w:val="20"/>
              </w:rPr>
              <w:t>5462 </w:t>
            </w:r>
          </w:p>
        </w:tc>
      </w:tr>
      <w:tr w:rsidR="00B94CD6" w:rsidRPr="00D0012A" w14:paraId="521E59D3" w14:textId="77777777" w:rsidTr="00672E4C">
        <w:tc>
          <w:tcPr>
            <w:tcW w:w="1560" w:type="dxa"/>
            <w:tcBorders>
              <w:top w:val="single" w:sz="6" w:space="0" w:color="666666"/>
              <w:left w:val="nil"/>
              <w:bottom w:val="single" w:sz="6" w:space="0" w:color="666666"/>
              <w:right w:val="nil"/>
            </w:tcBorders>
            <w:shd w:val="clear" w:color="auto" w:fill="CCCCCC"/>
            <w:hideMark/>
          </w:tcPr>
          <w:p w14:paraId="2C0C9B40" w14:textId="77777777" w:rsidR="00B94CD6" w:rsidRPr="00D0012A" w:rsidRDefault="00B94CD6" w:rsidP="00B94CD6">
            <w:pPr>
              <w:rPr>
                <w:rFonts w:cs="Times New Roman"/>
                <w:b/>
                <w:bCs/>
                <w:sz w:val="20"/>
                <w:szCs w:val="20"/>
              </w:rPr>
            </w:pPr>
            <w:r w:rsidRPr="00D0012A">
              <w:rPr>
                <w:rFonts w:cs="Times New Roman"/>
                <w:b/>
                <w:bCs/>
                <w:sz w:val="20"/>
                <w:szCs w:val="20"/>
              </w:rPr>
              <w:t>2019 </w:t>
            </w:r>
          </w:p>
        </w:tc>
        <w:tc>
          <w:tcPr>
            <w:tcW w:w="1020" w:type="dxa"/>
            <w:tcBorders>
              <w:top w:val="single" w:sz="6" w:space="0" w:color="666666"/>
              <w:left w:val="nil"/>
              <w:bottom w:val="single" w:sz="6" w:space="0" w:color="666666"/>
              <w:right w:val="nil"/>
            </w:tcBorders>
            <w:shd w:val="clear" w:color="auto" w:fill="CCCCCC"/>
            <w:hideMark/>
          </w:tcPr>
          <w:p w14:paraId="7AAC9FCB" w14:textId="77777777" w:rsidR="00B94CD6" w:rsidRPr="00D0012A" w:rsidRDefault="00B94CD6" w:rsidP="00957078">
            <w:pPr>
              <w:jc w:val="right"/>
              <w:rPr>
                <w:rFonts w:cs="Times New Roman"/>
                <w:sz w:val="20"/>
                <w:szCs w:val="20"/>
              </w:rPr>
            </w:pPr>
            <w:r w:rsidRPr="00D0012A">
              <w:rPr>
                <w:rFonts w:cs="Times New Roman"/>
                <w:sz w:val="20"/>
                <w:szCs w:val="20"/>
              </w:rPr>
              <w:t>856 </w:t>
            </w:r>
          </w:p>
        </w:tc>
        <w:tc>
          <w:tcPr>
            <w:tcW w:w="1021" w:type="dxa"/>
            <w:tcBorders>
              <w:top w:val="single" w:sz="6" w:space="0" w:color="666666"/>
              <w:left w:val="nil"/>
              <w:bottom w:val="single" w:sz="6" w:space="0" w:color="666666"/>
              <w:right w:val="nil"/>
            </w:tcBorders>
            <w:shd w:val="clear" w:color="auto" w:fill="CCCCCC"/>
            <w:hideMark/>
          </w:tcPr>
          <w:p w14:paraId="4B7B1BC4" w14:textId="77777777" w:rsidR="00B94CD6" w:rsidRPr="00D0012A" w:rsidRDefault="00B94CD6" w:rsidP="00957078">
            <w:pPr>
              <w:jc w:val="right"/>
              <w:rPr>
                <w:rFonts w:cs="Times New Roman"/>
                <w:sz w:val="20"/>
                <w:szCs w:val="20"/>
              </w:rPr>
            </w:pPr>
            <w:r w:rsidRPr="00D0012A">
              <w:rPr>
                <w:rFonts w:cs="Times New Roman"/>
                <w:sz w:val="20"/>
                <w:szCs w:val="20"/>
              </w:rPr>
              <w:t>1038 </w:t>
            </w:r>
          </w:p>
        </w:tc>
        <w:tc>
          <w:tcPr>
            <w:tcW w:w="1020" w:type="dxa"/>
            <w:tcBorders>
              <w:top w:val="single" w:sz="6" w:space="0" w:color="666666"/>
              <w:left w:val="nil"/>
              <w:bottom w:val="single" w:sz="6" w:space="0" w:color="666666"/>
              <w:right w:val="nil"/>
            </w:tcBorders>
            <w:shd w:val="clear" w:color="auto" w:fill="CCCCCC"/>
            <w:hideMark/>
          </w:tcPr>
          <w:p w14:paraId="4CE51322" w14:textId="77777777" w:rsidR="00B94CD6" w:rsidRPr="00D0012A" w:rsidRDefault="00B94CD6" w:rsidP="00957078">
            <w:pPr>
              <w:jc w:val="right"/>
              <w:rPr>
                <w:rFonts w:cs="Times New Roman"/>
                <w:sz w:val="20"/>
                <w:szCs w:val="20"/>
              </w:rPr>
            </w:pPr>
            <w:r w:rsidRPr="00D0012A">
              <w:rPr>
                <w:rFonts w:cs="Times New Roman"/>
                <w:sz w:val="20"/>
                <w:szCs w:val="20"/>
              </w:rPr>
              <w:t>1082 </w:t>
            </w:r>
          </w:p>
        </w:tc>
        <w:tc>
          <w:tcPr>
            <w:tcW w:w="1021" w:type="dxa"/>
            <w:tcBorders>
              <w:top w:val="single" w:sz="6" w:space="0" w:color="666666"/>
              <w:left w:val="nil"/>
              <w:bottom w:val="single" w:sz="6" w:space="0" w:color="666666"/>
              <w:right w:val="nil"/>
            </w:tcBorders>
            <w:shd w:val="clear" w:color="auto" w:fill="CCCCCC"/>
            <w:hideMark/>
          </w:tcPr>
          <w:p w14:paraId="0B1BCC88" w14:textId="77777777" w:rsidR="00B94CD6" w:rsidRPr="00D0012A" w:rsidRDefault="00B94CD6" w:rsidP="00957078">
            <w:pPr>
              <w:jc w:val="right"/>
              <w:rPr>
                <w:rFonts w:cs="Times New Roman"/>
                <w:sz w:val="20"/>
                <w:szCs w:val="20"/>
              </w:rPr>
            </w:pPr>
            <w:r w:rsidRPr="00D0012A">
              <w:rPr>
                <w:rFonts w:cs="Times New Roman"/>
                <w:sz w:val="20"/>
                <w:szCs w:val="20"/>
              </w:rPr>
              <w:t>2791 </w:t>
            </w:r>
          </w:p>
        </w:tc>
        <w:tc>
          <w:tcPr>
            <w:tcW w:w="1021" w:type="dxa"/>
            <w:tcBorders>
              <w:top w:val="single" w:sz="6" w:space="0" w:color="666666"/>
              <w:left w:val="nil"/>
              <w:bottom w:val="single" w:sz="6" w:space="0" w:color="666666"/>
              <w:right w:val="nil"/>
            </w:tcBorders>
            <w:shd w:val="clear" w:color="auto" w:fill="CCCCCC"/>
            <w:hideMark/>
          </w:tcPr>
          <w:p w14:paraId="44823454" w14:textId="77777777" w:rsidR="00B94CD6" w:rsidRPr="00D0012A" w:rsidRDefault="00B94CD6" w:rsidP="00957078">
            <w:pPr>
              <w:jc w:val="right"/>
              <w:rPr>
                <w:rFonts w:cs="Times New Roman"/>
                <w:sz w:val="20"/>
                <w:szCs w:val="20"/>
              </w:rPr>
            </w:pPr>
            <w:r w:rsidRPr="00D0012A">
              <w:rPr>
                <w:rFonts w:cs="Times New Roman"/>
                <w:sz w:val="20"/>
                <w:szCs w:val="20"/>
              </w:rPr>
              <w:t>5767 </w:t>
            </w:r>
          </w:p>
        </w:tc>
      </w:tr>
      <w:tr w:rsidR="00B94CD6" w:rsidRPr="00D0012A" w14:paraId="27AF2BFF" w14:textId="77777777" w:rsidTr="00672E4C">
        <w:tc>
          <w:tcPr>
            <w:tcW w:w="1560" w:type="dxa"/>
            <w:tcBorders>
              <w:top w:val="single" w:sz="6" w:space="0" w:color="666666"/>
              <w:left w:val="nil"/>
              <w:bottom w:val="single" w:sz="6" w:space="0" w:color="666666"/>
              <w:right w:val="nil"/>
            </w:tcBorders>
            <w:shd w:val="clear" w:color="auto" w:fill="auto"/>
            <w:hideMark/>
          </w:tcPr>
          <w:p w14:paraId="7168CF49" w14:textId="77777777" w:rsidR="00B94CD6" w:rsidRPr="00D0012A" w:rsidRDefault="00B94CD6" w:rsidP="00B94CD6">
            <w:pPr>
              <w:rPr>
                <w:rFonts w:cs="Times New Roman"/>
                <w:b/>
                <w:bCs/>
                <w:sz w:val="20"/>
                <w:szCs w:val="20"/>
              </w:rPr>
            </w:pPr>
            <w:r w:rsidRPr="00D0012A">
              <w:rPr>
                <w:rFonts w:cs="Times New Roman"/>
                <w:b/>
                <w:bCs/>
                <w:sz w:val="20"/>
                <w:szCs w:val="20"/>
              </w:rPr>
              <w:t>2020 </w:t>
            </w:r>
          </w:p>
        </w:tc>
        <w:tc>
          <w:tcPr>
            <w:tcW w:w="1020" w:type="dxa"/>
            <w:tcBorders>
              <w:top w:val="single" w:sz="6" w:space="0" w:color="666666"/>
              <w:left w:val="nil"/>
              <w:bottom w:val="single" w:sz="6" w:space="0" w:color="666666"/>
              <w:right w:val="nil"/>
            </w:tcBorders>
            <w:shd w:val="clear" w:color="auto" w:fill="auto"/>
            <w:hideMark/>
          </w:tcPr>
          <w:p w14:paraId="5CE52957" w14:textId="77777777" w:rsidR="00B94CD6" w:rsidRPr="00D0012A" w:rsidRDefault="00B94CD6" w:rsidP="00957078">
            <w:pPr>
              <w:jc w:val="right"/>
              <w:rPr>
                <w:rFonts w:cs="Times New Roman"/>
                <w:sz w:val="20"/>
                <w:szCs w:val="20"/>
              </w:rPr>
            </w:pPr>
            <w:r w:rsidRPr="00D0012A">
              <w:rPr>
                <w:rFonts w:cs="Times New Roman"/>
                <w:sz w:val="20"/>
                <w:szCs w:val="20"/>
              </w:rPr>
              <w:t>1148 </w:t>
            </w:r>
          </w:p>
        </w:tc>
        <w:tc>
          <w:tcPr>
            <w:tcW w:w="1021" w:type="dxa"/>
            <w:tcBorders>
              <w:top w:val="single" w:sz="6" w:space="0" w:color="666666"/>
              <w:left w:val="nil"/>
              <w:bottom w:val="single" w:sz="6" w:space="0" w:color="666666"/>
              <w:right w:val="nil"/>
            </w:tcBorders>
            <w:shd w:val="clear" w:color="auto" w:fill="auto"/>
            <w:hideMark/>
          </w:tcPr>
          <w:p w14:paraId="5E6FD854" w14:textId="77777777" w:rsidR="00B94CD6" w:rsidRPr="00D0012A" w:rsidRDefault="00B94CD6" w:rsidP="00957078">
            <w:pPr>
              <w:jc w:val="right"/>
              <w:rPr>
                <w:rFonts w:cs="Times New Roman"/>
                <w:sz w:val="20"/>
                <w:szCs w:val="20"/>
              </w:rPr>
            </w:pPr>
            <w:r w:rsidRPr="00D0012A">
              <w:rPr>
                <w:rFonts w:cs="Times New Roman"/>
                <w:sz w:val="20"/>
                <w:szCs w:val="20"/>
              </w:rPr>
              <w:t>1143 </w:t>
            </w:r>
          </w:p>
        </w:tc>
        <w:tc>
          <w:tcPr>
            <w:tcW w:w="1020" w:type="dxa"/>
            <w:tcBorders>
              <w:top w:val="single" w:sz="6" w:space="0" w:color="666666"/>
              <w:left w:val="nil"/>
              <w:bottom w:val="single" w:sz="6" w:space="0" w:color="666666"/>
              <w:right w:val="nil"/>
            </w:tcBorders>
            <w:shd w:val="clear" w:color="auto" w:fill="auto"/>
            <w:hideMark/>
          </w:tcPr>
          <w:p w14:paraId="03CAF3AC" w14:textId="77777777" w:rsidR="00B94CD6" w:rsidRPr="00D0012A" w:rsidRDefault="00B94CD6" w:rsidP="00957078">
            <w:pPr>
              <w:jc w:val="right"/>
              <w:rPr>
                <w:rFonts w:cs="Times New Roman"/>
                <w:sz w:val="20"/>
                <w:szCs w:val="20"/>
              </w:rPr>
            </w:pPr>
            <w:r w:rsidRPr="00D0012A">
              <w:rPr>
                <w:rFonts w:cs="Times New Roman"/>
                <w:sz w:val="20"/>
                <w:szCs w:val="20"/>
              </w:rPr>
              <w:t>1001 </w:t>
            </w:r>
          </w:p>
        </w:tc>
        <w:tc>
          <w:tcPr>
            <w:tcW w:w="1021" w:type="dxa"/>
            <w:tcBorders>
              <w:top w:val="single" w:sz="6" w:space="0" w:color="666666"/>
              <w:left w:val="nil"/>
              <w:bottom w:val="single" w:sz="6" w:space="0" w:color="666666"/>
              <w:right w:val="nil"/>
            </w:tcBorders>
            <w:shd w:val="clear" w:color="auto" w:fill="auto"/>
            <w:hideMark/>
          </w:tcPr>
          <w:p w14:paraId="1BF2C934" w14:textId="77777777" w:rsidR="00B94CD6" w:rsidRPr="00D0012A" w:rsidRDefault="00B94CD6" w:rsidP="00957078">
            <w:pPr>
              <w:jc w:val="right"/>
              <w:rPr>
                <w:rFonts w:cs="Times New Roman"/>
                <w:sz w:val="20"/>
                <w:szCs w:val="20"/>
              </w:rPr>
            </w:pPr>
            <w:r w:rsidRPr="00D0012A">
              <w:rPr>
                <w:rFonts w:cs="Times New Roman"/>
                <w:sz w:val="20"/>
                <w:szCs w:val="20"/>
              </w:rPr>
              <w:t>3337 </w:t>
            </w:r>
          </w:p>
        </w:tc>
        <w:tc>
          <w:tcPr>
            <w:tcW w:w="1021" w:type="dxa"/>
            <w:tcBorders>
              <w:top w:val="single" w:sz="6" w:space="0" w:color="666666"/>
              <w:left w:val="nil"/>
              <w:bottom w:val="single" w:sz="6" w:space="0" w:color="666666"/>
              <w:right w:val="nil"/>
            </w:tcBorders>
            <w:shd w:val="clear" w:color="auto" w:fill="auto"/>
            <w:hideMark/>
          </w:tcPr>
          <w:p w14:paraId="4C1DA0D0" w14:textId="77777777" w:rsidR="00B94CD6" w:rsidRPr="00D0012A" w:rsidRDefault="00B94CD6" w:rsidP="00957078">
            <w:pPr>
              <w:jc w:val="right"/>
              <w:rPr>
                <w:rFonts w:cs="Times New Roman"/>
                <w:sz w:val="20"/>
                <w:szCs w:val="20"/>
              </w:rPr>
            </w:pPr>
            <w:r w:rsidRPr="00D0012A">
              <w:rPr>
                <w:rFonts w:cs="Times New Roman"/>
                <w:sz w:val="20"/>
                <w:szCs w:val="20"/>
              </w:rPr>
              <w:t>6629 </w:t>
            </w:r>
          </w:p>
        </w:tc>
      </w:tr>
      <w:tr w:rsidR="00B94CD6" w:rsidRPr="00D0012A" w14:paraId="27BC7917" w14:textId="77777777" w:rsidTr="00672E4C">
        <w:tc>
          <w:tcPr>
            <w:tcW w:w="1560" w:type="dxa"/>
            <w:tcBorders>
              <w:top w:val="single" w:sz="6" w:space="0" w:color="666666"/>
              <w:left w:val="nil"/>
              <w:bottom w:val="single" w:sz="6" w:space="0" w:color="666666"/>
              <w:right w:val="nil"/>
            </w:tcBorders>
            <w:shd w:val="clear" w:color="auto" w:fill="CCCCCC"/>
            <w:hideMark/>
          </w:tcPr>
          <w:p w14:paraId="0637A6B7" w14:textId="77777777" w:rsidR="00B94CD6" w:rsidRPr="00D0012A" w:rsidRDefault="00B94CD6" w:rsidP="00B94CD6">
            <w:pPr>
              <w:rPr>
                <w:rFonts w:cs="Times New Roman"/>
                <w:b/>
                <w:bCs/>
                <w:sz w:val="20"/>
                <w:szCs w:val="20"/>
              </w:rPr>
            </w:pPr>
            <w:r w:rsidRPr="00D0012A">
              <w:rPr>
                <w:rFonts w:cs="Times New Roman"/>
                <w:b/>
                <w:bCs/>
                <w:sz w:val="20"/>
                <w:szCs w:val="20"/>
              </w:rPr>
              <w:t>2021 </w:t>
            </w:r>
          </w:p>
        </w:tc>
        <w:tc>
          <w:tcPr>
            <w:tcW w:w="1020" w:type="dxa"/>
            <w:tcBorders>
              <w:top w:val="single" w:sz="6" w:space="0" w:color="666666"/>
              <w:left w:val="nil"/>
              <w:bottom w:val="single" w:sz="6" w:space="0" w:color="666666"/>
              <w:right w:val="nil"/>
            </w:tcBorders>
            <w:shd w:val="clear" w:color="auto" w:fill="CCCCCC"/>
            <w:hideMark/>
          </w:tcPr>
          <w:p w14:paraId="20035C20" w14:textId="77777777" w:rsidR="00B94CD6" w:rsidRPr="00D0012A" w:rsidRDefault="00B94CD6" w:rsidP="00957078">
            <w:pPr>
              <w:jc w:val="right"/>
              <w:rPr>
                <w:rFonts w:cs="Times New Roman"/>
                <w:sz w:val="20"/>
                <w:szCs w:val="20"/>
              </w:rPr>
            </w:pPr>
            <w:r w:rsidRPr="00D0012A">
              <w:rPr>
                <w:rFonts w:cs="Times New Roman"/>
                <w:sz w:val="20"/>
                <w:szCs w:val="20"/>
              </w:rPr>
              <w:t>1226 </w:t>
            </w:r>
          </w:p>
        </w:tc>
        <w:tc>
          <w:tcPr>
            <w:tcW w:w="1021" w:type="dxa"/>
            <w:tcBorders>
              <w:top w:val="single" w:sz="6" w:space="0" w:color="666666"/>
              <w:left w:val="nil"/>
              <w:bottom w:val="single" w:sz="6" w:space="0" w:color="666666"/>
              <w:right w:val="nil"/>
            </w:tcBorders>
            <w:shd w:val="clear" w:color="auto" w:fill="CCCCCC"/>
            <w:hideMark/>
          </w:tcPr>
          <w:p w14:paraId="3BF20075" w14:textId="77777777" w:rsidR="00B94CD6" w:rsidRPr="00D0012A" w:rsidRDefault="00B94CD6" w:rsidP="00957078">
            <w:pPr>
              <w:jc w:val="right"/>
              <w:rPr>
                <w:rFonts w:cs="Times New Roman"/>
                <w:sz w:val="20"/>
                <w:szCs w:val="20"/>
              </w:rPr>
            </w:pPr>
            <w:r w:rsidRPr="00D0012A">
              <w:rPr>
                <w:rFonts w:cs="Times New Roman"/>
                <w:sz w:val="20"/>
                <w:szCs w:val="20"/>
              </w:rPr>
              <w:t>1176 </w:t>
            </w:r>
          </w:p>
        </w:tc>
        <w:tc>
          <w:tcPr>
            <w:tcW w:w="1020" w:type="dxa"/>
            <w:tcBorders>
              <w:top w:val="single" w:sz="6" w:space="0" w:color="666666"/>
              <w:left w:val="nil"/>
              <w:bottom w:val="single" w:sz="6" w:space="0" w:color="666666"/>
              <w:right w:val="nil"/>
            </w:tcBorders>
            <w:shd w:val="clear" w:color="auto" w:fill="CCCCCC"/>
            <w:hideMark/>
          </w:tcPr>
          <w:p w14:paraId="4E085142" w14:textId="77777777" w:rsidR="00B94CD6" w:rsidRPr="00D0012A" w:rsidRDefault="00B94CD6" w:rsidP="00957078">
            <w:pPr>
              <w:jc w:val="right"/>
              <w:rPr>
                <w:rFonts w:cs="Times New Roman"/>
                <w:sz w:val="20"/>
                <w:szCs w:val="20"/>
              </w:rPr>
            </w:pPr>
            <w:r w:rsidRPr="00D0012A">
              <w:rPr>
                <w:rFonts w:cs="Times New Roman"/>
                <w:sz w:val="20"/>
                <w:szCs w:val="20"/>
              </w:rPr>
              <w:t>1417 </w:t>
            </w:r>
          </w:p>
        </w:tc>
        <w:tc>
          <w:tcPr>
            <w:tcW w:w="1021" w:type="dxa"/>
            <w:tcBorders>
              <w:top w:val="single" w:sz="6" w:space="0" w:color="666666"/>
              <w:left w:val="nil"/>
              <w:bottom w:val="single" w:sz="6" w:space="0" w:color="666666"/>
              <w:right w:val="nil"/>
            </w:tcBorders>
            <w:shd w:val="clear" w:color="auto" w:fill="CCCCCC"/>
            <w:hideMark/>
          </w:tcPr>
          <w:p w14:paraId="30223921" w14:textId="77777777" w:rsidR="00B94CD6" w:rsidRPr="00D0012A" w:rsidRDefault="00B94CD6" w:rsidP="00957078">
            <w:pPr>
              <w:jc w:val="right"/>
              <w:rPr>
                <w:rFonts w:cs="Times New Roman"/>
                <w:sz w:val="20"/>
                <w:szCs w:val="20"/>
              </w:rPr>
            </w:pPr>
            <w:r w:rsidRPr="00D0012A">
              <w:rPr>
                <w:rFonts w:cs="Times New Roman"/>
                <w:sz w:val="20"/>
                <w:szCs w:val="20"/>
              </w:rPr>
              <w:t>3910 </w:t>
            </w:r>
          </w:p>
        </w:tc>
        <w:tc>
          <w:tcPr>
            <w:tcW w:w="1021" w:type="dxa"/>
            <w:tcBorders>
              <w:top w:val="single" w:sz="6" w:space="0" w:color="666666"/>
              <w:left w:val="nil"/>
              <w:bottom w:val="single" w:sz="6" w:space="0" w:color="666666"/>
              <w:right w:val="nil"/>
            </w:tcBorders>
            <w:shd w:val="clear" w:color="auto" w:fill="CCCCCC"/>
            <w:hideMark/>
          </w:tcPr>
          <w:p w14:paraId="2BF66CE6" w14:textId="77777777" w:rsidR="00B94CD6" w:rsidRPr="00D0012A" w:rsidRDefault="00B94CD6" w:rsidP="00957078">
            <w:pPr>
              <w:jc w:val="right"/>
              <w:rPr>
                <w:rFonts w:cs="Times New Roman"/>
                <w:sz w:val="20"/>
                <w:szCs w:val="20"/>
              </w:rPr>
            </w:pPr>
            <w:r w:rsidRPr="00D0012A">
              <w:rPr>
                <w:rFonts w:cs="Times New Roman"/>
                <w:sz w:val="20"/>
                <w:szCs w:val="20"/>
              </w:rPr>
              <w:t>7729 </w:t>
            </w:r>
          </w:p>
        </w:tc>
      </w:tr>
      <w:tr w:rsidR="00B94CD6" w:rsidRPr="00D0012A" w14:paraId="393E33BC" w14:textId="77777777" w:rsidTr="00672E4C">
        <w:tc>
          <w:tcPr>
            <w:tcW w:w="1560" w:type="dxa"/>
            <w:tcBorders>
              <w:top w:val="single" w:sz="6" w:space="0" w:color="666666"/>
              <w:left w:val="nil"/>
              <w:bottom w:val="single" w:sz="6" w:space="0" w:color="666666"/>
              <w:right w:val="nil"/>
            </w:tcBorders>
            <w:shd w:val="clear" w:color="auto" w:fill="auto"/>
            <w:hideMark/>
          </w:tcPr>
          <w:p w14:paraId="047E306A" w14:textId="77777777" w:rsidR="00B94CD6" w:rsidRPr="00D0012A" w:rsidRDefault="00B94CD6" w:rsidP="00B94CD6">
            <w:pPr>
              <w:rPr>
                <w:rFonts w:cs="Times New Roman"/>
                <w:b/>
                <w:bCs/>
                <w:sz w:val="20"/>
                <w:szCs w:val="20"/>
              </w:rPr>
            </w:pPr>
            <w:r w:rsidRPr="00D0012A">
              <w:rPr>
                <w:rFonts w:cs="Times New Roman"/>
                <w:b/>
                <w:bCs/>
                <w:sz w:val="20"/>
                <w:szCs w:val="20"/>
              </w:rPr>
              <w:t>Child/adolescent paracetamol </w:t>
            </w:r>
          </w:p>
        </w:tc>
        <w:tc>
          <w:tcPr>
            <w:tcW w:w="1020" w:type="dxa"/>
            <w:tcBorders>
              <w:top w:val="single" w:sz="6" w:space="0" w:color="666666"/>
              <w:left w:val="nil"/>
              <w:bottom w:val="single" w:sz="6" w:space="0" w:color="666666"/>
              <w:right w:val="nil"/>
            </w:tcBorders>
            <w:shd w:val="clear" w:color="auto" w:fill="auto"/>
            <w:hideMark/>
          </w:tcPr>
          <w:p w14:paraId="781409CD"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33C8FFA0" w14:textId="77777777" w:rsidR="00B94CD6" w:rsidRPr="00D0012A" w:rsidRDefault="00B94CD6" w:rsidP="00B94CD6">
            <w:pPr>
              <w:rPr>
                <w:rFonts w:cs="Times New Roman"/>
                <w:sz w:val="20"/>
                <w:szCs w:val="20"/>
              </w:rPr>
            </w:pPr>
            <w:r w:rsidRPr="00D0012A">
              <w:rPr>
                <w:rFonts w:cs="Times New Roman"/>
                <w:sz w:val="20"/>
                <w:szCs w:val="20"/>
              </w:rPr>
              <w:t> </w:t>
            </w:r>
          </w:p>
        </w:tc>
        <w:tc>
          <w:tcPr>
            <w:tcW w:w="1020" w:type="dxa"/>
            <w:tcBorders>
              <w:top w:val="single" w:sz="6" w:space="0" w:color="666666"/>
              <w:left w:val="nil"/>
              <w:bottom w:val="single" w:sz="6" w:space="0" w:color="666666"/>
              <w:right w:val="nil"/>
            </w:tcBorders>
            <w:shd w:val="clear" w:color="auto" w:fill="auto"/>
            <w:hideMark/>
          </w:tcPr>
          <w:p w14:paraId="4103643B"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3A2913BC" w14:textId="77777777" w:rsidR="00B94CD6" w:rsidRPr="00D0012A" w:rsidRDefault="00B94CD6" w:rsidP="00B94CD6">
            <w:pPr>
              <w:rPr>
                <w:rFonts w:cs="Times New Roman"/>
                <w:sz w:val="20"/>
                <w:szCs w:val="20"/>
              </w:rPr>
            </w:pPr>
            <w:r w:rsidRPr="00D0012A">
              <w:rPr>
                <w:rFonts w:cs="Times New Roman"/>
                <w:sz w:val="20"/>
                <w:szCs w:val="20"/>
              </w:rPr>
              <w:t> </w:t>
            </w:r>
          </w:p>
        </w:tc>
        <w:tc>
          <w:tcPr>
            <w:tcW w:w="1021" w:type="dxa"/>
            <w:tcBorders>
              <w:top w:val="single" w:sz="6" w:space="0" w:color="666666"/>
              <w:left w:val="nil"/>
              <w:bottom w:val="single" w:sz="6" w:space="0" w:color="666666"/>
              <w:right w:val="nil"/>
            </w:tcBorders>
            <w:shd w:val="clear" w:color="auto" w:fill="auto"/>
            <w:hideMark/>
          </w:tcPr>
          <w:p w14:paraId="54E6E724" w14:textId="77777777" w:rsidR="00B94CD6" w:rsidRPr="00D0012A" w:rsidRDefault="00B94CD6" w:rsidP="00B94CD6">
            <w:pPr>
              <w:rPr>
                <w:rFonts w:cs="Times New Roman"/>
                <w:sz w:val="20"/>
                <w:szCs w:val="20"/>
              </w:rPr>
            </w:pPr>
            <w:r w:rsidRPr="00D0012A">
              <w:rPr>
                <w:rFonts w:cs="Times New Roman"/>
                <w:sz w:val="20"/>
                <w:szCs w:val="20"/>
              </w:rPr>
              <w:t> </w:t>
            </w:r>
          </w:p>
        </w:tc>
      </w:tr>
      <w:tr w:rsidR="00B94CD6" w:rsidRPr="00D0012A" w14:paraId="3FD0AF8E" w14:textId="77777777" w:rsidTr="00672E4C">
        <w:tc>
          <w:tcPr>
            <w:tcW w:w="1560" w:type="dxa"/>
            <w:tcBorders>
              <w:top w:val="single" w:sz="6" w:space="0" w:color="666666"/>
              <w:left w:val="nil"/>
              <w:bottom w:val="single" w:sz="6" w:space="0" w:color="666666"/>
              <w:right w:val="nil"/>
            </w:tcBorders>
            <w:shd w:val="clear" w:color="auto" w:fill="CCCCCC"/>
            <w:hideMark/>
          </w:tcPr>
          <w:p w14:paraId="22537D1A" w14:textId="77777777" w:rsidR="00B94CD6" w:rsidRPr="00D0012A" w:rsidRDefault="00B94CD6" w:rsidP="00B94CD6">
            <w:pPr>
              <w:rPr>
                <w:rFonts w:cs="Times New Roman"/>
                <w:b/>
                <w:bCs/>
                <w:sz w:val="20"/>
                <w:szCs w:val="20"/>
              </w:rPr>
            </w:pPr>
            <w:r w:rsidRPr="00D0012A">
              <w:rPr>
                <w:rFonts w:cs="Times New Roman"/>
                <w:b/>
                <w:bCs/>
                <w:sz w:val="20"/>
                <w:szCs w:val="20"/>
              </w:rPr>
              <w:t>2017 </w:t>
            </w:r>
          </w:p>
        </w:tc>
        <w:tc>
          <w:tcPr>
            <w:tcW w:w="1020" w:type="dxa"/>
            <w:tcBorders>
              <w:top w:val="single" w:sz="6" w:space="0" w:color="666666"/>
              <w:left w:val="nil"/>
              <w:bottom w:val="single" w:sz="6" w:space="0" w:color="666666"/>
              <w:right w:val="nil"/>
            </w:tcBorders>
            <w:shd w:val="clear" w:color="auto" w:fill="CCCCCC"/>
            <w:hideMark/>
          </w:tcPr>
          <w:p w14:paraId="77F3250F" w14:textId="77777777" w:rsidR="00B94CD6" w:rsidRPr="00D0012A" w:rsidRDefault="00B94CD6" w:rsidP="00957078">
            <w:pPr>
              <w:jc w:val="right"/>
              <w:rPr>
                <w:rFonts w:cs="Times New Roman"/>
                <w:sz w:val="20"/>
                <w:szCs w:val="20"/>
              </w:rPr>
            </w:pPr>
            <w:r w:rsidRPr="00D0012A">
              <w:rPr>
                <w:rFonts w:cs="Times New Roman"/>
                <w:sz w:val="20"/>
                <w:szCs w:val="20"/>
              </w:rPr>
              <w:t>590 </w:t>
            </w:r>
          </w:p>
        </w:tc>
        <w:tc>
          <w:tcPr>
            <w:tcW w:w="1021" w:type="dxa"/>
            <w:tcBorders>
              <w:top w:val="single" w:sz="6" w:space="0" w:color="666666"/>
              <w:left w:val="nil"/>
              <w:bottom w:val="single" w:sz="6" w:space="0" w:color="666666"/>
              <w:right w:val="nil"/>
            </w:tcBorders>
            <w:shd w:val="clear" w:color="auto" w:fill="CCCCCC"/>
            <w:hideMark/>
          </w:tcPr>
          <w:p w14:paraId="45E1AFC1" w14:textId="77777777" w:rsidR="00B94CD6" w:rsidRPr="00D0012A" w:rsidRDefault="00B94CD6" w:rsidP="00957078">
            <w:pPr>
              <w:jc w:val="right"/>
              <w:rPr>
                <w:rFonts w:cs="Times New Roman"/>
                <w:sz w:val="20"/>
                <w:szCs w:val="20"/>
              </w:rPr>
            </w:pPr>
            <w:r w:rsidRPr="00D0012A">
              <w:rPr>
                <w:rFonts w:cs="Times New Roman"/>
                <w:sz w:val="20"/>
                <w:szCs w:val="20"/>
              </w:rPr>
              <w:t>695 </w:t>
            </w:r>
          </w:p>
        </w:tc>
        <w:tc>
          <w:tcPr>
            <w:tcW w:w="1020" w:type="dxa"/>
            <w:tcBorders>
              <w:top w:val="single" w:sz="6" w:space="0" w:color="666666"/>
              <w:left w:val="nil"/>
              <w:bottom w:val="single" w:sz="6" w:space="0" w:color="666666"/>
              <w:right w:val="nil"/>
            </w:tcBorders>
            <w:shd w:val="clear" w:color="auto" w:fill="CCCCCC"/>
            <w:hideMark/>
          </w:tcPr>
          <w:p w14:paraId="7E2049F7" w14:textId="77777777" w:rsidR="00B94CD6" w:rsidRPr="00D0012A" w:rsidRDefault="00B94CD6" w:rsidP="00957078">
            <w:pPr>
              <w:jc w:val="right"/>
              <w:rPr>
                <w:rFonts w:cs="Times New Roman"/>
                <w:sz w:val="20"/>
                <w:szCs w:val="20"/>
              </w:rPr>
            </w:pPr>
            <w:r w:rsidRPr="00D0012A">
              <w:rPr>
                <w:rFonts w:cs="Times New Roman"/>
                <w:sz w:val="20"/>
                <w:szCs w:val="20"/>
              </w:rPr>
              <w:t>573 </w:t>
            </w:r>
          </w:p>
        </w:tc>
        <w:tc>
          <w:tcPr>
            <w:tcW w:w="1021" w:type="dxa"/>
            <w:tcBorders>
              <w:top w:val="single" w:sz="6" w:space="0" w:color="666666"/>
              <w:left w:val="nil"/>
              <w:bottom w:val="single" w:sz="6" w:space="0" w:color="666666"/>
              <w:right w:val="nil"/>
            </w:tcBorders>
            <w:shd w:val="clear" w:color="auto" w:fill="CCCCCC"/>
            <w:hideMark/>
          </w:tcPr>
          <w:p w14:paraId="37C2742E" w14:textId="77777777" w:rsidR="00B94CD6" w:rsidRPr="00D0012A" w:rsidRDefault="00B94CD6" w:rsidP="00957078">
            <w:pPr>
              <w:jc w:val="right"/>
              <w:rPr>
                <w:rFonts w:cs="Times New Roman"/>
                <w:sz w:val="20"/>
                <w:szCs w:val="20"/>
              </w:rPr>
            </w:pPr>
            <w:r w:rsidRPr="00D0012A">
              <w:rPr>
                <w:rFonts w:cs="Times New Roman"/>
                <w:sz w:val="20"/>
                <w:szCs w:val="20"/>
              </w:rPr>
              <w:t>1638 </w:t>
            </w:r>
          </w:p>
        </w:tc>
        <w:tc>
          <w:tcPr>
            <w:tcW w:w="1021" w:type="dxa"/>
            <w:tcBorders>
              <w:top w:val="single" w:sz="6" w:space="0" w:color="666666"/>
              <w:left w:val="nil"/>
              <w:bottom w:val="single" w:sz="6" w:space="0" w:color="666666"/>
              <w:right w:val="nil"/>
            </w:tcBorders>
            <w:shd w:val="clear" w:color="auto" w:fill="CCCCCC"/>
            <w:hideMark/>
          </w:tcPr>
          <w:p w14:paraId="39EFCE78" w14:textId="77777777" w:rsidR="00B94CD6" w:rsidRPr="00D0012A" w:rsidRDefault="00B94CD6" w:rsidP="00957078">
            <w:pPr>
              <w:jc w:val="right"/>
              <w:rPr>
                <w:rFonts w:cs="Times New Roman"/>
                <w:sz w:val="20"/>
                <w:szCs w:val="20"/>
              </w:rPr>
            </w:pPr>
            <w:r w:rsidRPr="00D0012A">
              <w:rPr>
                <w:rFonts w:cs="Times New Roman"/>
                <w:sz w:val="20"/>
                <w:szCs w:val="20"/>
              </w:rPr>
              <w:t>3496 </w:t>
            </w:r>
          </w:p>
        </w:tc>
      </w:tr>
      <w:tr w:rsidR="00B94CD6" w:rsidRPr="00D0012A" w14:paraId="19D3A549" w14:textId="77777777" w:rsidTr="00672E4C">
        <w:tc>
          <w:tcPr>
            <w:tcW w:w="1560" w:type="dxa"/>
            <w:tcBorders>
              <w:top w:val="single" w:sz="6" w:space="0" w:color="666666"/>
              <w:left w:val="nil"/>
              <w:bottom w:val="single" w:sz="6" w:space="0" w:color="666666"/>
              <w:right w:val="nil"/>
            </w:tcBorders>
            <w:shd w:val="clear" w:color="auto" w:fill="auto"/>
            <w:hideMark/>
          </w:tcPr>
          <w:p w14:paraId="43EBABE2" w14:textId="77777777" w:rsidR="00B94CD6" w:rsidRPr="00D0012A" w:rsidRDefault="00B94CD6" w:rsidP="00B94CD6">
            <w:pPr>
              <w:rPr>
                <w:rFonts w:cs="Times New Roman"/>
                <w:b/>
                <w:bCs/>
                <w:sz w:val="20"/>
                <w:szCs w:val="20"/>
              </w:rPr>
            </w:pPr>
            <w:r w:rsidRPr="00D0012A">
              <w:rPr>
                <w:rFonts w:cs="Times New Roman"/>
                <w:b/>
                <w:bCs/>
                <w:sz w:val="20"/>
                <w:szCs w:val="20"/>
              </w:rPr>
              <w:t>2018 </w:t>
            </w:r>
          </w:p>
        </w:tc>
        <w:tc>
          <w:tcPr>
            <w:tcW w:w="1020" w:type="dxa"/>
            <w:tcBorders>
              <w:top w:val="single" w:sz="6" w:space="0" w:color="666666"/>
              <w:left w:val="nil"/>
              <w:bottom w:val="single" w:sz="6" w:space="0" w:color="666666"/>
              <w:right w:val="nil"/>
            </w:tcBorders>
            <w:shd w:val="clear" w:color="auto" w:fill="auto"/>
            <w:hideMark/>
          </w:tcPr>
          <w:p w14:paraId="432DDA03" w14:textId="77777777" w:rsidR="00B94CD6" w:rsidRPr="00D0012A" w:rsidRDefault="00B94CD6" w:rsidP="00957078">
            <w:pPr>
              <w:jc w:val="right"/>
              <w:rPr>
                <w:rFonts w:cs="Times New Roman"/>
                <w:sz w:val="20"/>
                <w:szCs w:val="20"/>
              </w:rPr>
            </w:pPr>
            <w:r w:rsidRPr="00D0012A">
              <w:rPr>
                <w:rFonts w:cs="Times New Roman"/>
                <w:sz w:val="20"/>
                <w:szCs w:val="20"/>
              </w:rPr>
              <w:t>455 </w:t>
            </w:r>
          </w:p>
        </w:tc>
        <w:tc>
          <w:tcPr>
            <w:tcW w:w="1021" w:type="dxa"/>
            <w:tcBorders>
              <w:top w:val="single" w:sz="6" w:space="0" w:color="666666"/>
              <w:left w:val="nil"/>
              <w:bottom w:val="single" w:sz="6" w:space="0" w:color="666666"/>
              <w:right w:val="nil"/>
            </w:tcBorders>
            <w:shd w:val="clear" w:color="auto" w:fill="auto"/>
            <w:hideMark/>
          </w:tcPr>
          <w:p w14:paraId="511187EB" w14:textId="77777777" w:rsidR="00B94CD6" w:rsidRPr="00D0012A" w:rsidRDefault="00B94CD6" w:rsidP="00957078">
            <w:pPr>
              <w:jc w:val="right"/>
              <w:rPr>
                <w:rFonts w:cs="Times New Roman"/>
                <w:sz w:val="20"/>
                <w:szCs w:val="20"/>
              </w:rPr>
            </w:pPr>
            <w:r w:rsidRPr="00D0012A">
              <w:rPr>
                <w:rFonts w:cs="Times New Roman"/>
                <w:sz w:val="20"/>
                <w:szCs w:val="20"/>
              </w:rPr>
              <w:t>548 </w:t>
            </w:r>
          </w:p>
        </w:tc>
        <w:tc>
          <w:tcPr>
            <w:tcW w:w="1020" w:type="dxa"/>
            <w:tcBorders>
              <w:top w:val="single" w:sz="6" w:space="0" w:color="666666"/>
              <w:left w:val="nil"/>
              <w:bottom w:val="single" w:sz="6" w:space="0" w:color="666666"/>
              <w:right w:val="nil"/>
            </w:tcBorders>
            <w:shd w:val="clear" w:color="auto" w:fill="auto"/>
            <w:hideMark/>
          </w:tcPr>
          <w:p w14:paraId="2898329E" w14:textId="77777777" w:rsidR="00B94CD6" w:rsidRPr="00D0012A" w:rsidRDefault="00B94CD6" w:rsidP="00957078">
            <w:pPr>
              <w:jc w:val="right"/>
              <w:rPr>
                <w:rFonts w:cs="Times New Roman"/>
                <w:sz w:val="20"/>
                <w:szCs w:val="20"/>
              </w:rPr>
            </w:pPr>
            <w:r w:rsidRPr="00D0012A">
              <w:rPr>
                <w:rFonts w:cs="Times New Roman"/>
                <w:sz w:val="20"/>
                <w:szCs w:val="20"/>
              </w:rPr>
              <w:t>537 </w:t>
            </w:r>
          </w:p>
        </w:tc>
        <w:tc>
          <w:tcPr>
            <w:tcW w:w="1021" w:type="dxa"/>
            <w:tcBorders>
              <w:top w:val="single" w:sz="6" w:space="0" w:color="666666"/>
              <w:left w:val="nil"/>
              <w:bottom w:val="single" w:sz="6" w:space="0" w:color="666666"/>
              <w:right w:val="nil"/>
            </w:tcBorders>
            <w:shd w:val="clear" w:color="auto" w:fill="auto"/>
            <w:hideMark/>
          </w:tcPr>
          <w:p w14:paraId="71DA8E9E" w14:textId="77777777" w:rsidR="00B94CD6" w:rsidRPr="00D0012A" w:rsidRDefault="00B94CD6" w:rsidP="00957078">
            <w:pPr>
              <w:jc w:val="right"/>
              <w:rPr>
                <w:rFonts w:cs="Times New Roman"/>
                <w:sz w:val="20"/>
                <w:szCs w:val="20"/>
              </w:rPr>
            </w:pPr>
            <w:r w:rsidRPr="00D0012A">
              <w:rPr>
                <w:rFonts w:cs="Times New Roman"/>
                <w:sz w:val="20"/>
                <w:szCs w:val="20"/>
              </w:rPr>
              <w:t>1563 </w:t>
            </w:r>
          </w:p>
        </w:tc>
        <w:tc>
          <w:tcPr>
            <w:tcW w:w="1021" w:type="dxa"/>
            <w:tcBorders>
              <w:top w:val="single" w:sz="6" w:space="0" w:color="666666"/>
              <w:left w:val="nil"/>
              <w:bottom w:val="single" w:sz="6" w:space="0" w:color="666666"/>
              <w:right w:val="nil"/>
            </w:tcBorders>
            <w:shd w:val="clear" w:color="auto" w:fill="auto"/>
            <w:hideMark/>
          </w:tcPr>
          <w:p w14:paraId="689E3E94" w14:textId="77777777" w:rsidR="00B94CD6" w:rsidRPr="00D0012A" w:rsidRDefault="00B94CD6" w:rsidP="00957078">
            <w:pPr>
              <w:jc w:val="right"/>
              <w:rPr>
                <w:rFonts w:cs="Times New Roman"/>
                <w:sz w:val="20"/>
                <w:szCs w:val="20"/>
              </w:rPr>
            </w:pPr>
            <w:r w:rsidRPr="00D0012A">
              <w:rPr>
                <w:rFonts w:cs="Times New Roman"/>
                <w:sz w:val="20"/>
                <w:szCs w:val="20"/>
              </w:rPr>
              <w:t>3103 </w:t>
            </w:r>
          </w:p>
        </w:tc>
      </w:tr>
      <w:tr w:rsidR="00B94CD6" w:rsidRPr="00D0012A" w14:paraId="08D713D3" w14:textId="77777777" w:rsidTr="00672E4C">
        <w:tc>
          <w:tcPr>
            <w:tcW w:w="1560" w:type="dxa"/>
            <w:tcBorders>
              <w:top w:val="single" w:sz="6" w:space="0" w:color="666666"/>
              <w:left w:val="nil"/>
              <w:bottom w:val="single" w:sz="6" w:space="0" w:color="666666"/>
              <w:right w:val="nil"/>
            </w:tcBorders>
            <w:shd w:val="clear" w:color="auto" w:fill="CCCCCC"/>
            <w:hideMark/>
          </w:tcPr>
          <w:p w14:paraId="67789C1D" w14:textId="77777777" w:rsidR="00B94CD6" w:rsidRPr="00D0012A" w:rsidRDefault="00B94CD6" w:rsidP="00B94CD6">
            <w:pPr>
              <w:rPr>
                <w:rFonts w:cs="Times New Roman"/>
                <w:b/>
                <w:bCs/>
                <w:sz w:val="20"/>
                <w:szCs w:val="20"/>
              </w:rPr>
            </w:pPr>
            <w:r w:rsidRPr="00D0012A">
              <w:rPr>
                <w:rFonts w:cs="Times New Roman"/>
                <w:b/>
                <w:bCs/>
                <w:sz w:val="20"/>
                <w:szCs w:val="20"/>
              </w:rPr>
              <w:t>2019 </w:t>
            </w:r>
          </w:p>
        </w:tc>
        <w:tc>
          <w:tcPr>
            <w:tcW w:w="1020" w:type="dxa"/>
            <w:tcBorders>
              <w:top w:val="single" w:sz="6" w:space="0" w:color="666666"/>
              <w:left w:val="nil"/>
              <w:bottom w:val="single" w:sz="6" w:space="0" w:color="666666"/>
              <w:right w:val="nil"/>
            </w:tcBorders>
            <w:shd w:val="clear" w:color="auto" w:fill="CCCCCC"/>
            <w:hideMark/>
          </w:tcPr>
          <w:p w14:paraId="1909E006" w14:textId="77777777" w:rsidR="00B94CD6" w:rsidRPr="00D0012A" w:rsidRDefault="00B94CD6" w:rsidP="00957078">
            <w:pPr>
              <w:jc w:val="right"/>
              <w:rPr>
                <w:rFonts w:cs="Times New Roman"/>
                <w:sz w:val="20"/>
                <w:szCs w:val="20"/>
              </w:rPr>
            </w:pPr>
            <w:r w:rsidRPr="00D0012A">
              <w:rPr>
                <w:rFonts w:cs="Times New Roman"/>
                <w:sz w:val="20"/>
                <w:szCs w:val="20"/>
              </w:rPr>
              <w:t>497 </w:t>
            </w:r>
          </w:p>
        </w:tc>
        <w:tc>
          <w:tcPr>
            <w:tcW w:w="1021" w:type="dxa"/>
            <w:tcBorders>
              <w:top w:val="single" w:sz="6" w:space="0" w:color="666666"/>
              <w:left w:val="nil"/>
              <w:bottom w:val="single" w:sz="6" w:space="0" w:color="666666"/>
              <w:right w:val="nil"/>
            </w:tcBorders>
            <w:shd w:val="clear" w:color="auto" w:fill="CCCCCC"/>
            <w:hideMark/>
          </w:tcPr>
          <w:p w14:paraId="2AE417B4" w14:textId="77777777" w:rsidR="00B94CD6" w:rsidRPr="00D0012A" w:rsidRDefault="00B94CD6" w:rsidP="00957078">
            <w:pPr>
              <w:jc w:val="right"/>
              <w:rPr>
                <w:rFonts w:cs="Times New Roman"/>
                <w:sz w:val="20"/>
                <w:szCs w:val="20"/>
              </w:rPr>
            </w:pPr>
            <w:r w:rsidRPr="00D0012A">
              <w:rPr>
                <w:rFonts w:cs="Times New Roman"/>
                <w:sz w:val="20"/>
                <w:szCs w:val="20"/>
              </w:rPr>
              <w:t>645 </w:t>
            </w:r>
          </w:p>
        </w:tc>
        <w:tc>
          <w:tcPr>
            <w:tcW w:w="1020" w:type="dxa"/>
            <w:tcBorders>
              <w:top w:val="single" w:sz="6" w:space="0" w:color="666666"/>
              <w:left w:val="nil"/>
              <w:bottom w:val="single" w:sz="6" w:space="0" w:color="666666"/>
              <w:right w:val="nil"/>
            </w:tcBorders>
            <w:shd w:val="clear" w:color="auto" w:fill="CCCCCC"/>
            <w:hideMark/>
          </w:tcPr>
          <w:p w14:paraId="0B6E1FD9" w14:textId="77777777" w:rsidR="00B94CD6" w:rsidRPr="00D0012A" w:rsidRDefault="00B94CD6" w:rsidP="00957078">
            <w:pPr>
              <w:jc w:val="right"/>
              <w:rPr>
                <w:rFonts w:cs="Times New Roman"/>
                <w:sz w:val="20"/>
                <w:szCs w:val="20"/>
              </w:rPr>
            </w:pPr>
            <w:r w:rsidRPr="00D0012A">
              <w:rPr>
                <w:rFonts w:cs="Times New Roman"/>
                <w:sz w:val="20"/>
                <w:szCs w:val="20"/>
              </w:rPr>
              <w:t>604 </w:t>
            </w:r>
          </w:p>
        </w:tc>
        <w:tc>
          <w:tcPr>
            <w:tcW w:w="1021" w:type="dxa"/>
            <w:tcBorders>
              <w:top w:val="single" w:sz="6" w:space="0" w:color="666666"/>
              <w:left w:val="nil"/>
              <w:bottom w:val="single" w:sz="6" w:space="0" w:color="666666"/>
              <w:right w:val="nil"/>
            </w:tcBorders>
            <w:shd w:val="clear" w:color="auto" w:fill="CCCCCC"/>
            <w:hideMark/>
          </w:tcPr>
          <w:p w14:paraId="1AC877F0" w14:textId="77777777" w:rsidR="00B94CD6" w:rsidRPr="00D0012A" w:rsidRDefault="00B94CD6" w:rsidP="00957078">
            <w:pPr>
              <w:jc w:val="right"/>
              <w:rPr>
                <w:rFonts w:cs="Times New Roman"/>
                <w:sz w:val="20"/>
                <w:szCs w:val="20"/>
              </w:rPr>
            </w:pPr>
            <w:r w:rsidRPr="00D0012A">
              <w:rPr>
                <w:rFonts w:cs="Times New Roman"/>
                <w:sz w:val="20"/>
                <w:szCs w:val="20"/>
              </w:rPr>
              <w:t>1739 </w:t>
            </w:r>
          </w:p>
        </w:tc>
        <w:tc>
          <w:tcPr>
            <w:tcW w:w="1021" w:type="dxa"/>
            <w:tcBorders>
              <w:top w:val="single" w:sz="6" w:space="0" w:color="666666"/>
              <w:left w:val="nil"/>
              <w:bottom w:val="single" w:sz="6" w:space="0" w:color="666666"/>
              <w:right w:val="nil"/>
            </w:tcBorders>
            <w:shd w:val="clear" w:color="auto" w:fill="CCCCCC"/>
            <w:hideMark/>
          </w:tcPr>
          <w:p w14:paraId="17ADFD32" w14:textId="77777777" w:rsidR="00B94CD6" w:rsidRPr="00D0012A" w:rsidRDefault="00B94CD6" w:rsidP="00957078">
            <w:pPr>
              <w:jc w:val="right"/>
              <w:rPr>
                <w:rFonts w:cs="Times New Roman"/>
                <w:sz w:val="20"/>
                <w:szCs w:val="20"/>
              </w:rPr>
            </w:pPr>
            <w:r w:rsidRPr="00D0012A">
              <w:rPr>
                <w:rFonts w:cs="Times New Roman"/>
                <w:sz w:val="20"/>
                <w:szCs w:val="20"/>
              </w:rPr>
              <w:t>3485 </w:t>
            </w:r>
          </w:p>
        </w:tc>
      </w:tr>
      <w:tr w:rsidR="00B94CD6" w:rsidRPr="00D0012A" w14:paraId="5F87D10F" w14:textId="77777777" w:rsidTr="00672E4C">
        <w:tc>
          <w:tcPr>
            <w:tcW w:w="1560" w:type="dxa"/>
            <w:tcBorders>
              <w:top w:val="single" w:sz="6" w:space="0" w:color="666666"/>
              <w:left w:val="nil"/>
              <w:bottom w:val="single" w:sz="6" w:space="0" w:color="666666"/>
              <w:right w:val="nil"/>
            </w:tcBorders>
            <w:shd w:val="clear" w:color="auto" w:fill="auto"/>
            <w:hideMark/>
          </w:tcPr>
          <w:p w14:paraId="3E204305" w14:textId="77777777" w:rsidR="00B94CD6" w:rsidRPr="00D0012A" w:rsidRDefault="00B94CD6" w:rsidP="00B94CD6">
            <w:pPr>
              <w:rPr>
                <w:rFonts w:cs="Times New Roman"/>
                <w:b/>
                <w:bCs/>
                <w:sz w:val="20"/>
                <w:szCs w:val="20"/>
              </w:rPr>
            </w:pPr>
            <w:r w:rsidRPr="00D0012A">
              <w:rPr>
                <w:rFonts w:cs="Times New Roman"/>
                <w:b/>
                <w:bCs/>
                <w:sz w:val="20"/>
                <w:szCs w:val="20"/>
              </w:rPr>
              <w:t>2020 </w:t>
            </w:r>
          </w:p>
        </w:tc>
        <w:tc>
          <w:tcPr>
            <w:tcW w:w="1020" w:type="dxa"/>
            <w:tcBorders>
              <w:top w:val="single" w:sz="6" w:space="0" w:color="666666"/>
              <w:left w:val="nil"/>
              <w:bottom w:val="single" w:sz="6" w:space="0" w:color="666666"/>
              <w:right w:val="nil"/>
            </w:tcBorders>
            <w:shd w:val="clear" w:color="auto" w:fill="auto"/>
            <w:hideMark/>
          </w:tcPr>
          <w:p w14:paraId="76B7E796" w14:textId="77777777" w:rsidR="00B94CD6" w:rsidRPr="00D0012A" w:rsidRDefault="00B94CD6" w:rsidP="00957078">
            <w:pPr>
              <w:jc w:val="right"/>
              <w:rPr>
                <w:rFonts w:cs="Times New Roman"/>
                <w:sz w:val="20"/>
                <w:szCs w:val="20"/>
              </w:rPr>
            </w:pPr>
            <w:r w:rsidRPr="00D0012A">
              <w:rPr>
                <w:rFonts w:cs="Times New Roman"/>
                <w:sz w:val="20"/>
                <w:szCs w:val="20"/>
              </w:rPr>
              <w:t>613 </w:t>
            </w:r>
          </w:p>
        </w:tc>
        <w:tc>
          <w:tcPr>
            <w:tcW w:w="1021" w:type="dxa"/>
            <w:tcBorders>
              <w:top w:val="single" w:sz="6" w:space="0" w:color="666666"/>
              <w:left w:val="nil"/>
              <w:bottom w:val="single" w:sz="6" w:space="0" w:color="666666"/>
              <w:right w:val="nil"/>
            </w:tcBorders>
            <w:shd w:val="clear" w:color="auto" w:fill="auto"/>
            <w:hideMark/>
          </w:tcPr>
          <w:p w14:paraId="083C5E5B" w14:textId="77777777" w:rsidR="00B94CD6" w:rsidRPr="00D0012A" w:rsidRDefault="00B94CD6" w:rsidP="00957078">
            <w:pPr>
              <w:jc w:val="right"/>
              <w:rPr>
                <w:rFonts w:cs="Times New Roman"/>
                <w:sz w:val="20"/>
                <w:szCs w:val="20"/>
              </w:rPr>
            </w:pPr>
            <w:r w:rsidRPr="00D0012A">
              <w:rPr>
                <w:rFonts w:cs="Times New Roman"/>
                <w:sz w:val="20"/>
                <w:szCs w:val="20"/>
              </w:rPr>
              <w:t>732 </w:t>
            </w:r>
          </w:p>
        </w:tc>
        <w:tc>
          <w:tcPr>
            <w:tcW w:w="1020" w:type="dxa"/>
            <w:tcBorders>
              <w:top w:val="single" w:sz="6" w:space="0" w:color="666666"/>
              <w:left w:val="nil"/>
              <w:bottom w:val="single" w:sz="6" w:space="0" w:color="666666"/>
              <w:right w:val="nil"/>
            </w:tcBorders>
            <w:shd w:val="clear" w:color="auto" w:fill="auto"/>
            <w:hideMark/>
          </w:tcPr>
          <w:p w14:paraId="0EFC7C17" w14:textId="77777777" w:rsidR="00B94CD6" w:rsidRPr="00D0012A" w:rsidRDefault="00B94CD6" w:rsidP="00957078">
            <w:pPr>
              <w:jc w:val="right"/>
              <w:rPr>
                <w:rFonts w:cs="Times New Roman"/>
                <w:sz w:val="20"/>
                <w:szCs w:val="20"/>
              </w:rPr>
            </w:pPr>
            <w:r w:rsidRPr="00D0012A">
              <w:rPr>
                <w:rFonts w:cs="Times New Roman"/>
                <w:sz w:val="20"/>
                <w:szCs w:val="20"/>
              </w:rPr>
              <w:t>515 </w:t>
            </w:r>
          </w:p>
        </w:tc>
        <w:tc>
          <w:tcPr>
            <w:tcW w:w="1021" w:type="dxa"/>
            <w:tcBorders>
              <w:top w:val="single" w:sz="6" w:space="0" w:color="666666"/>
              <w:left w:val="nil"/>
              <w:bottom w:val="single" w:sz="6" w:space="0" w:color="666666"/>
              <w:right w:val="nil"/>
            </w:tcBorders>
            <w:shd w:val="clear" w:color="auto" w:fill="auto"/>
            <w:hideMark/>
          </w:tcPr>
          <w:p w14:paraId="07312639" w14:textId="77777777" w:rsidR="00B94CD6" w:rsidRPr="00D0012A" w:rsidRDefault="00B94CD6" w:rsidP="00957078">
            <w:pPr>
              <w:jc w:val="right"/>
              <w:rPr>
                <w:rFonts w:cs="Times New Roman"/>
                <w:sz w:val="20"/>
                <w:szCs w:val="20"/>
              </w:rPr>
            </w:pPr>
            <w:r w:rsidRPr="00D0012A">
              <w:rPr>
                <w:rFonts w:cs="Times New Roman"/>
                <w:sz w:val="20"/>
                <w:szCs w:val="20"/>
              </w:rPr>
              <w:t>1979 </w:t>
            </w:r>
          </w:p>
        </w:tc>
        <w:tc>
          <w:tcPr>
            <w:tcW w:w="1021" w:type="dxa"/>
            <w:tcBorders>
              <w:top w:val="single" w:sz="6" w:space="0" w:color="666666"/>
              <w:left w:val="nil"/>
              <w:bottom w:val="single" w:sz="6" w:space="0" w:color="666666"/>
              <w:right w:val="nil"/>
            </w:tcBorders>
            <w:shd w:val="clear" w:color="auto" w:fill="auto"/>
            <w:hideMark/>
          </w:tcPr>
          <w:p w14:paraId="0393FE1A" w14:textId="77777777" w:rsidR="00B94CD6" w:rsidRPr="00D0012A" w:rsidRDefault="00B94CD6" w:rsidP="00957078">
            <w:pPr>
              <w:jc w:val="right"/>
              <w:rPr>
                <w:rFonts w:cs="Times New Roman"/>
                <w:sz w:val="20"/>
                <w:szCs w:val="20"/>
              </w:rPr>
            </w:pPr>
            <w:r w:rsidRPr="00D0012A">
              <w:rPr>
                <w:rFonts w:cs="Times New Roman"/>
                <w:sz w:val="20"/>
                <w:szCs w:val="20"/>
              </w:rPr>
              <w:t>3839 </w:t>
            </w:r>
          </w:p>
        </w:tc>
      </w:tr>
      <w:tr w:rsidR="00B94CD6" w:rsidRPr="00D0012A" w14:paraId="218F33DD" w14:textId="77777777" w:rsidTr="00672E4C">
        <w:tc>
          <w:tcPr>
            <w:tcW w:w="1560" w:type="dxa"/>
            <w:tcBorders>
              <w:top w:val="single" w:sz="6" w:space="0" w:color="666666"/>
              <w:left w:val="nil"/>
              <w:bottom w:val="single" w:sz="6" w:space="0" w:color="666666"/>
              <w:right w:val="nil"/>
            </w:tcBorders>
            <w:shd w:val="clear" w:color="auto" w:fill="CCCCCC"/>
            <w:hideMark/>
          </w:tcPr>
          <w:p w14:paraId="786C0D54" w14:textId="77777777" w:rsidR="00B94CD6" w:rsidRPr="00D0012A" w:rsidRDefault="00B94CD6" w:rsidP="00B94CD6">
            <w:pPr>
              <w:rPr>
                <w:rFonts w:cs="Times New Roman"/>
                <w:b/>
                <w:bCs/>
                <w:sz w:val="20"/>
                <w:szCs w:val="20"/>
              </w:rPr>
            </w:pPr>
            <w:r w:rsidRPr="00D0012A">
              <w:rPr>
                <w:rFonts w:cs="Times New Roman"/>
                <w:b/>
                <w:bCs/>
                <w:sz w:val="20"/>
                <w:szCs w:val="20"/>
              </w:rPr>
              <w:t>2021 </w:t>
            </w:r>
          </w:p>
        </w:tc>
        <w:tc>
          <w:tcPr>
            <w:tcW w:w="1020" w:type="dxa"/>
            <w:tcBorders>
              <w:top w:val="single" w:sz="6" w:space="0" w:color="666666"/>
              <w:left w:val="nil"/>
              <w:bottom w:val="single" w:sz="6" w:space="0" w:color="666666"/>
              <w:right w:val="nil"/>
            </w:tcBorders>
            <w:shd w:val="clear" w:color="auto" w:fill="CCCCCC"/>
            <w:hideMark/>
          </w:tcPr>
          <w:p w14:paraId="64484A65" w14:textId="77777777" w:rsidR="00B94CD6" w:rsidRPr="00D0012A" w:rsidRDefault="00B94CD6" w:rsidP="00957078">
            <w:pPr>
              <w:jc w:val="right"/>
              <w:rPr>
                <w:rFonts w:cs="Times New Roman"/>
                <w:sz w:val="20"/>
                <w:szCs w:val="20"/>
              </w:rPr>
            </w:pPr>
            <w:r w:rsidRPr="00D0012A">
              <w:rPr>
                <w:rFonts w:cs="Times New Roman"/>
                <w:sz w:val="20"/>
                <w:szCs w:val="20"/>
              </w:rPr>
              <w:t>750 </w:t>
            </w:r>
          </w:p>
        </w:tc>
        <w:tc>
          <w:tcPr>
            <w:tcW w:w="1021" w:type="dxa"/>
            <w:tcBorders>
              <w:top w:val="single" w:sz="6" w:space="0" w:color="666666"/>
              <w:left w:val="nil"/>
              <w:bottom w:val="single" w:sz="6" w:space="0" w:color="666666"/>
              <w:right w:val="nil"/>
            </w:tcBorders>
            <w:shd w:val="clear" w:color="auto" w:fill="CCCCCC"/>
            <w:hideMark/>
          </w:tcPr>
          <w:p w14:paraId="445B00B3" w14:textId="77777777" w:rsidR="00B94CD6" w:rsidRPr="00D0012A" w:rsidRDefault="00B94CD6" w:rsidP="00957078">
            <w:pPr>
              <w:jc w:val="right"/>
              <w:rPr>
                <w:rFonts w:cs="Times New Roman"/>
                <w:sz w:val="20"/>
                <w:szCs w:val="20"/>
              </w:rPr>
            </w:pPr>
            <w:r w:rsidRPr="00D0012A">
              <w:rPr>
                <w:rFonts w:cs="Times New Roman"/>
                <w:sz w:val="20"/>
                <w:szCs w:val="20"/>
              </w:rPr>
              <w:t>848 </w:t>
            </w:r>
          </w:p>
        </w:tc>
        <w:tc>
          <w:tcPr>
            <w:tcW w:w="1020" w:type="dxa"/>
            <w:tcBorders>
              <w:top w:val="single" w:sz="6" w:space="0" w:color="666666"/>
              <w:left w:val="nil"/>
              <w:bottom w:val="single" w:sz="6" w:space="0" w:color="666666"/>
              <w:right w:val="nil"/>
            </w:tcBorders>
            <w:shd w:val="clear" w:color="auto" w:fill="CCCCCC"/>
            <w:hideMark/>
          </w:tcPr>
          <w:p w14:paraId="72369E1A" w14:textId="77777777" w:rsidR="00B94CD6" w:rsidRPr="00D0012A" w:rsidRDefault="00B94CD6" w:rsidP="00957078">
            <w:pPr>
              <w:jc w:val="right"/>
              <w:rPr>
                <w:rFonts w:cs="Times New Roman"/>
                <w:sz w:val="20"/>
                <w:szCs w:val="20"/>
              </w:rPr>
            </w:pPr>
            <w:r w:rsidRPr="00D0012A">
              <w:rPr>
                <w:rFonts w:cs="Times New Roman"/>
                <w:sz w:val="20"/>
                <w:szCs w:val="20"/>
              </w:rPr>
              <w:t>857 </w:t>
            </w:r>
          </w:p>
        </w:tc>
        <w:tc>
          <w:tcPr>
            <w:tcW w:w="1021" w:type="dxa"/>
            <w:tcBorders>
              <w:top w:val="single" w:sz="6" w:space="0" w:color="666666"/>
              <w:left w:val="nil"/>
              <w:bottom w:val="single" w:sz="6" w:space="0" w:color="666666"/>
              <w:right w:val="nil"/>
            </w:tcBorders>
            <w:shd w:val="clear" w:color="auto" w:fill="CCCCCC"/>
            <w:hideMark/>
          </w:tcPr>
          <w:p w14:paraId="345C4BCC" w14:textId="77777777" w:rsidR="00B94CD6" w:rsidRPr="00D0012A" w:rsidRDefault="00B94CD6" w:rsidP="00957078">
            <w:pPr>
              <w:jc w:val="right"/>
              <w:rPr>
                <w:rFonts w:cs="Times New Roman"/>
                <w:sz w:val="20"/>
                <w:szCs w:val="20"/>
              </w:rPr>
            </w:pPr>
            <w:r w:rsidRPr="00D0012A">
              <w:rPr>
                <w:rFonts w:cs="Times New Roman"/>
                <w:sz w:val="20"/>
                <w:szCs w:val="20"/>
              </w:rPr>
              <w:t>2584 </w:t>
            </w:r>
          </w:p>
        </w:tc>
        <w:tc>
          <w:tcPr>
            <w:tcW w:w="1021" w:type="dxa"/>
            <w:tcBorders>
              <w:top w:val="single" w:sz="6" w:space="0" w:color="666666"/>
              <w:left w:val="nil"/>
              <w:bottom w:val="single" w:sz="6" w:space="0" w:color="666666"/>
              <w:right w:val="nil"/>
            </w:tcBorders>
            <w:shd w:val="clear" w:color="auto" w:fill="CCCCCC"/>
            <w:hideMark/>
          </w:tcPr>
          <w:p w14:paraId="53D4B0CB" w14:textId="77777777" w:rsidR="00B94CD6" w:rsidRPr="00D0012A" w:rsidRDefault="00B94CD6" w:rsidP="00957078">
            <w:pPr>
              <w:jc w:val="right"/>
              <w:rPr>
                <w:rFonts w:cs="Times New Roman"/>
                <w:sz w:val="20"/>
                <w:szCs w:val="20"/>
              </w:rPr>
            </w:pPr>
            <w:r w:rsidRPr="00D0012A">
              <w:rPr>
                <w:rFonts w:cs="Times New Roman"/>
                <w:sz w:val="20"/>
                <w:szCs w:val="20"/>
              </w:rPr>
              <w:t>5039 </w:t>
            </w:r>
          </w:p>
        </w:tc>
      </w:tr>
    </w:tbl>
    <w:p w14:paraId="0DC57024" w14:textId="3402CE52" w:rsidR="00B94CD6" w:rsidRPr="00B94CD6" w:rsidRDefault="00B94CD6" w:rsidP="002C1651">
      <w:pPr>
        <w:pStyle w:val="Tablenote"/>
      </w:pPr>
      <w:r w:rsidRPr="00B94CD6">
        <w:t> </w:t>
      </w:r>
      <w:r w:rsidR="0043069D">
        <w:t xml:space="preserve">Note Intentional </w:t>
      </w:r>
      <w:r w:rsidR="006256F8">
        <w:t>paracetamol exposures refers to deliberate self-poisonings only</w:t>
      </w:r>
    </w:p>
    <w:p w14:paraId="784D22FA" w14:textId="77777777" w:rsidR="00F777E9" w:rsidRDefault="00F777E9">
      <w:pPr>
        <w:rPr>
          <w:rStyle w:val="BookTitle"/>
          <w:rFonts w:asciiTheme="majorHAnsi" w:eastAsiaTheme="majorEastAsia" w:hAnsiTheme="majorHAnsi" w:cstheme="majorBidi"/>
          <w:b w:val="0"/>
          <w:bCs w:val="0"/>
          <w:i w:val="0"/>
          <w:iCs w:val="0"/>
          <w:noProof/>
          <w:color w:val="2F5496" w:themeColor="accent1" w:themeShade="BF"/>
          <w:spacing w:val="0"/>
          <w:sz w:val="26"/>
          <w:szCs w:val="26"/>
        </w:rPr>
      </w:pPr>
      <w:r>
        <w:rPr>
          <w:rStyle w:val="BookTitle"/>
          <w:b w:val="0"/>
          <w:bCs w:val="0"/>
          <w:i w:val="0"/>
          <w:iCs w:val="0"/>
          <w:spacing w:val="0"/>
        </w:rPr>
        <w:br w:type="page"/>
      </w:r>
    </w:p>
    <w:p w14:paraId="55DA1AA2" w14:textId="3710C829" w:rsidR="00A57D80" w:rsidRDefault="00382C13" w:rsidP="00D739AE">
      <w:pPr>
        <w:pStyle w:val="Heading2"/>
        <w:rPr>
          <w:rStyle w:val="BookTitle"/>
          <w:rFonts w:ascii="Times New Roman" w:eastAsiaTheme="minorHAnsi" w:hAnsi="Times New Roman" w:cstheme="minorBidi"/>
          <w:b w:val="0"/>
          <w:i w:val="0"/>
          <w:noProof w:val="0"/>
          <w:color w:val="auto"/>
          <w:spacing w:val="0"/>
          <w:sz w:val="24"/>
          <w:szCs w:val="22"/>
        </w:rPr>
      </w:pPr>
      <w:bookmarkStart w:id="182" w:name="_Toc112843961"/>
      <w:r w:rsidRPr="00092E60">
        <w:rPr>
          <w:rStyle w:val="BookTitle"/>
          <w:b w:val="0"/>
          <w:bCs w:val="0"/>
          <w:i w:val="0"/>
          <w:iCs w:val="0"/>
          <w:spacing w:val="0"/>
        </w:rPr>
        <w:t>Appendix E</w:t>
      </w:r>
      <w:r w:rsidR="001B5D11">
        <w:rPr>
          <w:rStyle w:val="BookTitle"/>
          <w:b w:val="0"/>
          <w:bCs w:val="0"/>
          <w:i w:val="0"/>
          <w:iCs w:val="0"/>
          <w:spacing w:val="0"/>
        </w:rPr>
        <w:t>:</w:t>
      </w:r>
      <w:r w:rsidRPr="00092E60">
        <w:rPr>
          <w:rStyle w:val="BookTitle"/>
          <w:b w:val="0"/>
          <w:bCs w:val="0"/>
          <w:i w:val="0"/>
          <w:iCs w:val="0"/>
          <w:spacing w:val="0"/>
        </w:rPr>
        <w:t xml:space="preserve"> Supplementary data on Scheduling overseas and international comparison</w:t>
      </w:r>
      <w:r w:rsidR="00A57D80">
        <w:rPr>
          <w:rStyle w:val="BookTitle"/>
          <w:b w:val="0"/>
          <w:bCs w:val="0"/>
          <w:i w:val="0"/>
          <w:iCs w:val="0"/>
          <w:spacing w:val="0"/>
        </w:rPr>
        <w:t>s</w:t>
      </w:r>
      <w:bookmarkEnd w:id="182"/>
    </w:p>
    <w:p w14:paraId="25E69CF1" w14:textId="1247B527" w:rsidR="00DA557F" w:rsidRPr="00DF4225" w:rsidRDefault="00DA557F" w:rsidP="00DF4225">
      <w:pPr>
        <w:rPr>
          <w:rStyle w:val="BookTitle"/>
          <w:rFonts w:asciiTheme="majorHAnsi" w:hAnsiTheme="majorHAnsi" w:cstheme="majorHAnsi"/>
          <w:b w:val="0"/>
          <w:bCs w:val="0"/>
          <w:i w:val="0"/>
          <w:iCs w:val="0"/>
          <w:color w:val="2F5496" w:themeColor="accent1" w:themeShade="BF"/>
          <w:sz w:val="28"/>
          <w:szCs w:val="24"/>
        </w:rPr>
      </w:pPr>
      <w:r w:rsidRPr="00DF4225">
        <w:rPr>
          <w:rStyle w:val="BookTitle"/>
          <w:rFonts w:asciiTheme="majorHAnsi" w:hAnsiTheme="majorHAnsi" w:cstheme="majorHAnsi"/>
          <w:b w:val="0"/>
          <w:bCs w:val="0"/>
          <w:i w:val="0"/>
          <w:iCs w:val="0"/>
          <w:color w:val="2F5496" w:themeColor="accent1" w:themeShade="BF"/>
          <w:sz w:val="28"/>
          <w:szCs w:val="24"/>
        </w:rPr>
        <w:t>Methodology for scheduling comparison</w:t>
      </w:r>
    </w:p>
    <w:p w14:paraId="1B1F965B" w14:textId="77777777" w:rsidR="00DA557F" w:rsidRDefault="00DA557F" w:rsidP="00DA557F">
      <w:r>
        <w:t xml:space="preserve">The categorisation of paracetamol in each overseas jurisdiction was determined by the TGA in one of two ways. </w:t>
      </w:r>
    </w:p>
    <w:p w14:paraId="25D7DB81" w14:textId="77777777" w:rsidR="00DA557F" w:rsidRDefault="00DA557F" w:rsidP="00DA557F">
      <w:pPr>
        <w:pStyle w:val="ListParagraph"/>
        <w:numPr>
          <w:ilvl w:val="0"/>
          <w:numId w:val="89"/>
        </w:numPr>
      </w:pPr>
      <w:r>
        <w:t>Reference to a substance-based categorisation legislative instrument (akin to the Poisons Standard in Australia) or other document, if one could be located; or</w:t>
      </w:r>
    </w:p>
    <w:p w14:paraId="650CB16A" w14:textId="77777777" w:rsidR="00DA557F" w:rsidRDefault="00DA557F" w:rsidP="00DA557F">
      <w:pPr>
        <w:pStyle w:val="ListParagraph"/>
        <w:numPr>
          <w:ilvl w:val="0"/>
          <w:numId w:val="89"/>
        </w:numPr>
      </w:pPr>
      <w:r>
        <w:t xml:space="preserve">If no instrument could be located, by inferring the categorisation thresholds for paracetamol based on an assessment of individual paracetamol product market authorisations (for example, for the UK). </w:t>
      </w:r>
    </w:p>
    <w:p w14:paraId="32FF0946" w14:textId="77777777" w:rsidR="00DA557F" w:rsidRDefault="00DA557F" w:rsidP="00DA557F">
      <w:r>
        <w:t xml:space="preserve">To make a comparison between the foreign categorisation and the scheduling in Australia of paracetamol, either a ‘forward’ or ‘reverse’ mapping approach was taken. The forward approach started with identifying an overseas jurisdiction’s access category for particular paracetamol preparations, and then mapping each of those to one or more Schedules in the Australian Poisons Standard. The reverse approach started with paracetamol preparations in a given Schedule of the Australian Poisons Standard, and then determining in which foreign jurisdiction category or categories they are placed. The steps in the process are detailed in the following table. </w:t>
      </w:r>
    </w:p>
    <w:tbl>
      <w:tblPr>
        <w:tblW w:w="0" w:type="dxa"/>
        <w:tblBorders>
          <w:top w:val="single" w:sz="6" w:space="0" w:color="auto"/>
          <w:bottom w:val="single" w:sz="6" w:space="0" w:color="auto"/>
          <w:insideH w:val="single" w:sz="6" w:space="0" w:color="auto"/>
        </w:tblBorders>
        <w:tblCellMar>
          <w:left w:w="0" w:type="dxa"/>
          <w:right w:w="0" w:type="dxa"/>
        </w:tblCellMar>
        <w:tblLook w:val="04A0" w:firstRow="1" w:lastRow="0" w:firstColumn="1" w:lastColumn="0" w:noHBand="0" w:noVBand="1"/>
      </w:tblPr>
      <w:tblGrid>
        <w:gridCol w:w="1830"/>
        <w:gridCol w:w="1830"/>
        <w:gridCol w:w="5325"/>
      </w:tblGrid>
      <w:tr w:rsidR="00DA557F" w:rsidRPr="00A85B9E" w14:paraId="084CE811" w14:textId="77777777" w:rsidTr="00D73AC5">
        <w:tc>
          <w:tcPr>
            <w:tcW w:w="1830" w:type="dxa"/>
            <w:shd w:val="clear" w:color="auto" w:fill="595959" w:themeFill="text1" w:themeFillTint="A6"/>
            <w:hideMark/>
          </w:tcPr>
          <w:p w14:paraId="7D138D21" w14:textId="77777777" w:rsidR="00DA557F" w:rsidRPr="00E40DB5" w:rsidRDefault="00DA557F" w:rsidP="00D73AC5">
            <w:pPr>
              <w:spacing w:after="0" w:line="240" w:lineRule="auto"/>
              <w:textAlignment w:val="baseline"/>
              <w:rPr>
                <w:rFonts w:eastAsia="Times New Roman" w:cs="Times New Roman"/>
                <w:b/>
                <w:color w:val="FFFFFF" w:themeColor="background1"/>
                <w:szCs w:val="24"/>
                <w:lang w:eastAsia="en-AU"/>
              </w:rPr>
            </w:pPr>
            <w:r w:rsidRPr="00E40DB5">
              <w:rPr>
                <w:rFonts w:eastAsia="Times New Roman" w:cs="Times New Roman"/>
                <w:b/>
                <w:color w:val="FFFFFF" w:themeColor="background1"/>
                <w:szCs w:val="24"/>
                <w:u w:val="single"/>
                <w:lang w:eastAsia="en-AU"/>
              </w:rPr>
              <w:t>Approach</w:t>
            </w:r>
            <w:r w:rsidRPr="00E40DB5">
              <w:rPr>
                <w:rFonts w:eastAsia="Times New Roman" w:cs="Times New Roman"/>
                <w:b/>
                <w:color w:val="FFFFFF" w:themeColor="background1"/>
                <w:szCs w:val="24"/>
                <w:lang w:eastAsia="en-AU"/>
              </w:rPr>
              <w:t> </w:t>
            </w:r>
          </w:p>
        </w:tc>
        <w:tc>
          <w:tcPr>
            <w:tcW w:w="1830" w:type="dxa"/>
            <w:shd w:val="clear" w:color="auto" w:fill="595959" w:themeFill="text1" w:themeFillTint="A6"/>
            <w:hideMark/>
          </w:tcPr>
          <w:p w14:paraId="721A2EDC" w14:textId="77777777" w:rsidR="00DA557F" w:rsidRPr="00E40DB5" w:rsidRDefault="00DA557F" w:rsidP="00D73AC5">
            <w:pPr>
              <w:spacing w:after="0" w:line="240" w:lineRule="auto"/>
              <w:textAlignment w:val="baseline"/>
              <w:rPr>
                <w:rFonts w:eastAsia="Times New Roman" w:cs="Times New Roman"/>
                <w:b/>
                <w:color w:val="FFFFFF" w:themeColor="background1"/>
                <w:szCs w:val="24"/>
                <w:lang w:eastAsia="en-AU"/>
              </w:rPr>
            </w:pPr>
            <w:r>
              <w:rPr>
                <w:rFonts w:eastAsia="Times New Roman" w:cs="Times New Roman"/>
                <w:b/>
                <w:color w:val="FFFFFF" w:themeColor="background1"/>
                <w:szCs w:val="24"/>
                <w:u w:val="single"/>
                <w:lang w:eastAsia="en-AU"/>
              </w:rPr>
              <w:t xml:space="preserve">Foreign </w:t>
            </w:r>
            <w:r w:rsidRPr="00E40DB5">
              <w:rPr>
                <w:rFonts w:eastAsia="Times New Roman" w:cs="Times New Roman"/>
                <w:b/>
                <w:color w:val="FFFFFF" w:themeColor="background1"/>
                <w:szCs w:val="24"/>
                <w:u w:val="single"/>
                <w:lang w:eastAsia="en-AU"/>
              </w:rPr>
              <w:t>Source</w:t>
            </w:r>
            <w:r w:rsidRPr="00E40DB5">
              <w:rPr>
                <w:rFonts w:eastAsia="Times New Roman" w:cs="Times New Roman"/>
                <w:b/>
                <w:color w:val="FFFFFF" w:themeColor="background1"/>
                <w:szCs w:val="24"/>
                <w:lang w:eastAsia="en-AU"/>
              </w:rPr>
              <w:t> </w:t>
            </w:r>
          </w:p>
        </w:tc>
        <w:tc>
          <w:tcPr>
            <w:tcW w:w="5325" w:type="dxa"/>
            <w:shd w:val="clear" w:color="auto" w:fill="595959" w:themeFill="text1" w:themeFillTint="A6"/>
            <w:hideMark/>
          </w:tcPr>
          <w:p w14:paraId="7184A222" w14:textId="77777777" w:rsidR="00DA557F" w:rsidRPr="00E40DB5" w:rsidRDefault="00DA557F" w:rsidP="00D73AC5">
            <w:pPr>
              <w:spacing w:after="0" w:line="240" w:lineRule="auto"/>
              <w:textAlignment w:val="baseline"/>
              <w:rPr>
                <w:rFonts w:eastAsia="Times New Roman" w:cs="Times New Roman"/>
                <w:b/>
                <w:color w:val="FFFFFF" w:themeColor="background1"/>
                <w:szCs w:val="24"/>
                <w:lang w:eastAsia="en-AU"/>
              </w:rPr>
            </w:pPr>
            <w:r w:rsidRPr="00E40DB5">
              <w:rPr>
                <w:rFonts w:eastAsia="Times New Roman" w:cs="Times New Roman"/>
                <w:b/>
                <w:color w:val="FFFFFF" w:themeColor="background1"/>
                <w:szCs w:val="24"/>
                <w:u w:val="single"/>
                <w:lang w:eastAsia="en-AU"/>
              </w:rPr>
              <w:t>Process</w:t>
            </w:r>
            <w:r w:rsidRPr="00E40DB5">
              <w:rPr>
                <w:rFonts w:eastAsia="Times New Roman" w:cs="Times New Roman"/>
                <w:b/>
                <w:color w:val="FFFFFF" w:themeColor="background1"/>
                <w:szCs w:val="24"/>
                <w:lang w:eastAsia="en-AU"/>
              </w:rPr>
              <w:t> </w:t>
            </w:r>
          </w:p>
        </w:tc>
      </w:tr>
      <w:tr w:rsidR="00D17926" w:rsidRPr="00D17926" w14:paraId="67F10AEE" w14:textId="77777777" w:rsidTr="00D73AC5">
        <w:tc>
          <w:tcPr>
            <w:tcW w:w="1830" w:type="dxa"/>
            <w:shd w:val="clear" w:color="auto" w:fill="auto"/>
            <w:hideMark/>
          </w:tcPr>
          <w:p w14:paraId="096F9571"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Forward  </w:t>
            </w:r>
          </w:p>
        </w:tc>
        <w:tc>
          <w:tcPr>
            <w:tcW w:w="1830" w:type="dxa"/>
            <w:shd w:val="clear" w:color="auto" w:fill="auto"/>
            <w:hideMark/>
          </w:tcPr>
          <w:p w14:paraId="18C4CB8C"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Instrument </w:t>
            </w:r>
          </w:p>
        </w:tc>
        <w:tc>
          <w:tcPr>
            <w:tcW w:w="5325" w:type="dxa"/>
            <w:shd w:val="clear" w:color="auto" w:fill="auto"/>
            <w:hideMark/>
          </w:tcPr>
          <w:p w14:paraId="50C175E0" w14:textId="77777777" w:rsidR="00DA557F" w:rsidRPr="00D17926" w:rsidRDefault="00DA557F" w:rsidP="00D73AC5">
            <w:pPr>
              <w:pStyle w:val="ListParagraph"/>
              <w:numPr>
                <w:ilvl w:val="0"/>
                <w:numId w:val="71"/>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Particular paracetamol preparations are identified in the foreign jurisdiction’s instrument, along with its corresponding category (‘schedule’). </w:t>
            </w:r>
          </w:p>
          <w:p w14:paraId="28D3FF2C" w14:textId="77777777" w:rsidR="00DA557F" w:rsidRPr="00D17926" w:rsidRDefault="00DA557F" w:rsidP="00D73AC5">
            <w:pPr>
              <w:pStyle w:val="ListParagraph"/>
              <w:numPr>
                <w:ilvl w:val="0"/>
                <w:numId w:val="71"/>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Poisons Standard was then searched to find in what schedule(s) each of those preparations would fall. </w:t>
            </w:r>
          </w:p>
        </w:tc>
      </w:tr>
      <w:tr w:rsidR="00DA557F" w:rsidRPr="00A85B9E" w14:paraId="468ED5DD" w14:textId="77777777" w:rsidTr="00D73AC5">
        <w:tc>
          <w:tcPr>
            <w:tcW w:w="1830" w:type="dxa"/>
            <w:shd w:val="clear" w:color="auto" w:fill="auto"/>
            <w:hideMark/>
          </w:tcPr>
          <w:p w14:paraId="253D4566"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Forward  </w:t>
            </w:r>
          </w:p>
        </w:tc>
        <w:tc>
          <w:tcPr>
            <w:tcW w:w="1830" w:type="dxa"/>
            <w:shd w:val="clear" w:color="auto" w:fill="auto"/>
            <w:hideMark/>
          </w:tcPr>
          <w:p w14:paraId="3A9C13FA"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Individual product market authorisations </w:t>
            </w:r>
          </w:p>
        </w:tc>
        <w:tc>
          <w:tcPr>
            <w:tcW w:w="5325" w:type="dxa"/>
            <w:shd w:val="clear" w:color="auto" w:fill="auto"/>
            <w:hideMark/>
          </w:tcPr>
          <w:p w14:paraId="10B720F6" w14:textId="77777777" w:rsidR="00DA557F" w:rsidRPr="00D17926" w:rsidRDefault="00DA557F" w:rsidP="00D73AC5">
            <w:pPr>
              <w:pStyle w:val="ListParagraph"/>
              <w:numPr>
                <w:ilvl w:val="0"/>
                <w:numId w:val="73"/>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Individual medicinal product market authorisations in the oversees jurisdiction were retrieved for different paracetamol preparations. </w:t>
            </w:r>
          </w:p>
          <w:p w14:paraId="5C782740" w14:textId="77777777" w:rsidR="00DA557F" w:rsidRPr="00D17926" w:rsidRDefault="00DA557F" w:rsidP="00D73AC5">
            <w:pPr>
              <w:pStyle w:val="ListParagraph"/>
              <w:numPr>
                <w:ilvl w:val="0"/>
                <w:numId w:val="73"/>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access categories of those products were noted from the market authorisations. </w:t>
            </w:r>
          </w:p>
          <w:p w14:paraId="0886B0B3" w14:textId="77777777" w:rsidR="00DA557F" w:rsidRPr="00D17926" w:rsidRDefault="00DA557F" w:rsidP="00D73AC5">
            <w:pPr>
              <w:pStyle w:val="ListParagraph"/>
              <w:numPr>
                <w:ilvl w:val="0"/>
                <w:numId w:val="73"/>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trend for what types of paracetamol preparations are assigned to which foreign access categories was determined. </w:t>
            </w:r>
          </w:p>
          <w:p w14:paraId="32356C77" w14:textId="77777777" w:rsidR="00DA557F" w:rsidRPr="00D17926" w:rsidRDefault="00DA557F" w:rsidP="00D73AC5">
            <w:pPr>
              <w:pStyle w:val="ListParagraph"/>
              <w:numPr>
                <w:ilvl w:val="0"/>
                <w:numId w:val="73"/>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Poisons Standard was then searched to determine in which schedule(s) those different preparations fall. </w:t>
            </w:r>
          </w:p>
        </w:tc>
      </w:tr>
      <w:tr w:rsidR="00DA557F" w:rsidRPr="00A85B9E" w14:paraId="1DC8D1B4" w14:textId="77777777" w:rsidTr="00D73AC5">
        <w:tc>
          <w:tcPr>
            <w:tcW w:w="1830" w:type="dxa"/>
            <w:shd w:val="clear" w:color="auto" w:fill="auto"/>
            <w:hideMark/>
          </w:tcPr>
          <w:p w14:paraId="70AF67CF"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Reverse  </w:t>
            </w:r>
          </w:p>
        </w:tc>
        <w:tc>
          <w:tcPr>
            <w:tcW w:w="1830" w:type="dxa"/>
            <w:shd w:val="clear" w:color="auto" w:fill="auto"/>
            <w:hideMark/>
          </w:tcPr>
          <w:p w14:paraId="142E58F4" w14:textId="77777777" w:rsidR="00DA557F" w:rsidRPr="00D17926" w:rsidRDefault="00DA557F" w:rsidP="00D73AC5">
            <w:p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Individual product market authorisations </w:t>
            </w:r>
          </w:p>
        </w:tc>
        <w:tc>
          <w:tcPr>
            <w:tcW w:w="5325" w:type="dxa"/>
            <w:shd w:val="clear" w:color="auto" w:fill="auto"/>
            <w:hideMark/>
          </w:tcPr>
          <w:p w14:paraId="511739B8" w14:textId="77777777" w:rsidR="00DA557F" w:rsidRPr="00D17926" w:rsidRDefault="00DA557F" w:rsidP="00D73AC5">
            <w:pPr>
              <w:pStyle w:val="ListParagraph"/>
              <w:numPr>
                <w:ilvl w:val="0"/>
                <w:numId w:val="75"/>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Poisons Standard was searched to identify each distinct paracetamol preparation with a given scheduling status. </w:t>
            </w:r>
          </w:p>
          <w:p w14:paraId="030E20B6" w14:textId="77777777" w:rsidR="00DA557F" w:rsidRPr="00D17926" w:rsidRDefault="00DA557F" w:rsidP="00D73AC5">
            <w:pPr>
              <w:pStyle w:val="ListParagraph"/>
              <w:numPr>
                <w:ilvl w:val="0"/>
                <w:numId w:val="75"/>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For each of these, a corresponding product was identified in the foreign jurisdiction’s database of medicinal product marketing authorisations. </w:t>
            </w:r>
          </w:p>
          <w:p w14:paraId="5009A9ED" w14:textId="77777777" w:rsidR="00DA557F" w:rsidRPr="00D17926" w:rsidRDefault="00DA557F" w:rsidP="00D73AC5">
            <w:pPr>
              <w:pStyle w:val="ListParagraph"/>
              <w:numPr>
                <w:ilvl w:val="0"/>
                <w:numId w:val="75"/>
              </w:numPr>
              <w:spacing w:after="0" w:line="240" w:lineRule="auto"/>
              <w:textAlignment w:val="baseline"/>
              <w:rPr>
                <w:rFonts w:eastAsia="Times New Roman" w:cs="Times New Roman"/>
                <w:szCs w:val="24"/>
                <w:lang w:eastAsia="en-AU"/>
              </w:rPr>
            </w:pPr>
            <w:r w:rsidRPr="00D17926">
              <w:rPr>
                <w:rFonts w:eastAsia="Times New Roman" w:cs="Times New Roman"/>
                <w:szCs w:val="24"/>
                <w:lang w:eastAsia="en-AU"/>
              </w:rPr>
              <w:t>The categorisation of that product (‘schedule’) was identified based on its marketing authorisation. </w:t>
            </w:r>
          </w:p>
        </w:tc>
      </w:tr>
    </w:tbl>
    <w:p w14:paraId="5DCFFDAE" w14:textId="3DE4FFC8" w:rsidR="00C63419" w:rsidRPr="00DF4225" w:rsidRDefault="00C63419" w:rsidP="00DF4225">
      <w:pPr>
        <w:rPr>
          <w:rStyle w:val="BookTitle"/>
          <w:rFonts w:asciiTheme="majorHAnsi" w:hAnsiTheme="majorHAnsi" w:cstheme="majorHAnsi"/>
          <w:b w:val="0"/>
          <w:bCs w:val="0"/>
          <w:i w:val="0"/>
          <w:iCs w:val="0"/>
          <w:color w:val="2F5496" w:themeColor="accent1" w:themeShade="BF"/>
          <w:sz w:val="28"/>
          <w:szCs w:val="24"/>
        </w:rPr>
      </w:pPr>
      <w:r w:rsidRPr="00DF4225">
        <w:rPr>
          <w:rStyle w:val="BookTitle"/>
          <w:rFonts w:asciiTheme="majorHAnsi" w:hAnsiTheme="majorHAnsi" w:cstheme="majorHAnsi"/>
          <w:b w:val="0"/>
          <w:bCs w:val="0"/>
          <w:i w:val="0"/>
          <w:iCs w:val="0"/>
          <w:color w:val="2F5496" w:themeColor="accent1" w:themeShade="BF"/>
          <w:sz w:val="28"/>
          <w:szCs w:val="24"/>
        </w:rPr>
        <w:t>Notes on data underlying</w:t>
      </w:r>
      <w:r w:rsidR="00577757" w:rsidRPr="00DF4225">
        <w:rPr>
          <w:rStyle w:val="BookTitle"/>
          <w:rFonts w:asciiTheme="majorHAnsi" w:hAnsiTheme="majorHAnsi" w:cstheme="majorHAnsi"/>
          <w:b w:val="0"/>
          <w:bCs w:val="0"/>
          <w:i w:val="0"/>
          <w:iCs w:val="0"/>
          <w:color w:val="2F5496" w:themeColor="accent1" w:themeShade="BF"/>
          <w:sz w:val="28"/>
          <w:szCs w:val="24"/>
        </w:rPr>
        <w:t xml:space="preserve"> </w:t>
      </w:r>
      <w:r w:rsidR="00577757" w:rsidRPr="00DF4225">
        <w:rPr>
          <w:rStyle w:val="BookTitle"/>
          <w:rFonts w:asciiTheme="majorHAnsi" w:hAnsiTheme="majorHAnsi" w:cstheme="majorHAnsi"/>
          <w:b w:val="0"/>
          <w:bCs w:val="0"/>
          <w:i w:val="0"/>
          <w:iCs w:val="0"/>
          <w:color w:val="2F5496" w:themeColor="accent1" w:themeShade="BF"/>
          <w:sz w:val="28"/>
          <w:szCs w:val="24"/>
        </w:rPr>
        <w:fldChar w:fldCharType="begin"/>
      </w:r>
      <w:r w:rsidR="00577757" w:rsidRPr="00DF4225">
        <w:rPr>
          <w:rStyle w:val="BookTitle"/>
          <w:rFonts w:asciiTheme="majorHAnsi" w:hAnsiTheme="majorHAnsi" w:cstheme="majorHAnsi"/>
          <w:b w:val="0"/>
          <w:bCs w:val="0"/>
          <w:i w:val="0"/>
          <w:iCs w:val="0"/>
          <w:color w:val="2F5496" w:themeColor="accent1" w:themeShade="BF"/>
          <w:sz w:val="28"/>
          <w:szCs w:val="24"/>
        </w:rPr>
        <w:instrText xml:space="preserve"> REF _Ref112078555 \h </w:instrText>
      </w:r>
      <w:r w:rsidR="00157F5D" w:rsidRPr="00DF4225">
        <w:rPr>
          <w:rStyle w:val="BookTitle"/>
          <w:rFonts w:asciiTheme="majorHAnsi" w:hAnsiTheme="majorHAnsi" w:cstheme="majorHAnsi"/>
          <w:b w:val="0"/>
          <w:bCs w:val="0"/>
          <w:i w:val="0"/>
          <w:iCs w:val="0"/>
          <w:color w:val="2F5496" w:themeColor="accent1" w:themeShade="BF"/>
          <w:sz w:val="28"/>
          <w:szCs w:val="24"/>
        </w:rPr>
        <w:instrText xml:space="preserve"> \* MERGEFORMAT </w:instrText>
      </w:r>
      <w:r w:rsidR="00577757" w:rsidRPr="00DF4225">
        <w:rPr>
          <w:rStyle w:val="BookTitle"/>
          <w:rFonts w:asciiTheme="majorHAnsi" w:hAnsiTheme="majorHAnsi" w:cstheme="majorHAnsi"/>
          <w:b w:val="0"/>
          <w:bCs w:val="0"/>
          <w:i w:val="0"/>
          <w:iCs w:val="0"/>
          <w:color w:val="2F5496" w:themeColor="accent1" w:themeShade="BF"/>
          <w:sz w:val="28"/>
          <w:szCs w:val="24"/>
        </w:rPr>
      </w:r>
      <w:r w:rsidR="00577757" w:rsidRPr="00DF4225">
        <w:rPr>
          <w:rStyle w:val="BookTitle"/>
          <w:rFonts w:asciiTheme="majorHAnsi" w:hAnsiTheme="majorHAnsi" w:cstheme="majorHAnsi"/>
          <w:b w:val="0"/>
          <w:bCs w:val="0"/>
          <w:i w:val="0"/>
          <w:iCs w:val="0"/>
          <w:color w:val="2F5496" w:themeColor="accent1" w:themeShade="BF"/>
          <w:sz w:val="28"/>
          <w:szCs w:val="24"/>
        </w:rPr>
        <w:fldChar w:fldCharType="separate"/>
      </w:r>
      <w:r w:rsidR="0091734E" w:rsidRPr="0091734E">
        <w:rPr>
          <w:rStyle w:val="BookTitle"/>
          <w:rFonts w:asciiTheme="majorHAnsi" w:hAnsiTheme="majorHAnsi" w:cstheme="majorHAnsi"/>
          <w:b w:val="0"/>
          <w:bCs w:val="0"/>
          <w:i w:val="0"/>
          <w:iCs w:val="0"/>
          <w:color w:val="2F5496" w:themeColor="accent1" w:themeShade="BF"/>
          <w:sz w:val="28"/>
          <w:szCs w:val="24"/>
        </w:rPr>
        <w:t>Figure 39</w:t>
      </w:r>
      <w:r w:rsidR="00577757" w:rsidRPr="00DF4225">
        <w:rPr>
          <w:rStyle w:val="BookTitle"/>
          <w:rFonts w:asciiTheme="majorHAnsi" w:hAnsiTheme="majorHAnsi" w:cstheme="majorHAnsi"/>
          <w:b w:val="0"/>
          <w:bCs w:val="0"/>
          <w:i w:val="0"/>
          <w:iCs w:val="0"/>
          <w:color w:val="2F5496" w:themeColor="accent1" w:themeShade="BF"/>
          <w:sz w:val="28"/>
          <w:szCs w:val="24"/>
        </w:rPr>
        <w:fldChar w:fldCharType="end"/>
      </w:r>
      <w:r w:rsidR="00577757" w:rsidRPr="00DF4225">
        <w:rPr>
          <w:rStyle w:val="BookTitle"/>
          <w:rFonts w:asciiTheme="majorHAnsi" w:hAnsiTheme="majorHAnsi" w:cstheme="majorHAnsi"/>
          <w:b w:val="0"/>
          <w:bCs w:val="0"/>
          <w:i w:val="0"/>
          <w:iCs w:val="0"/>
          <w:color w:val="2F5496" w:themeColor="accent1" w:themeShade="BF"/>
          <w:sz w:val="28"/>
          <w:szCs w:val="24"/>
        </w:rPr>
        <w:t xml:space="preserve"> </w:t>
      </w:r>
      <w:r w:rsidRPr="00DF4225">
        <w:rPr>
          <w:rStyle w:val="BookTitle"/>
          <w:rFonts w:asciiTheme="majorHAnsi" w:hAnsiTheme="majorHAnsi" w:cstheme="majorHAnsi"/>
          <w:b w:val="0"/>
          <w:bCs w:val="0"/>
          <w:i w:val="0"/>
          <w:iCs w:val="0"/>
          <w:color w:val="2F5496" w:themeColor="accent1" w:themeShade="BF"/>
          <w:sz w:val="28"/>
          <w:szCs w:val="24"/>
        </w:rPr>
        <w:t>on scheduling </w:t>
      </w:r>
    </w:p>
    <w:p w14:paraId="0F43E02B" w14:textId="77777777" w:rsidR="00C63419" w:rsidRPr="00C63419" w:rsidRDefault="00C63419" w:rsidP="00C63419">
      <w:r w:rsidRPr="00C63419">
        <w:t>Canada: </w:t>
      </w:r>
    </w:p>
    <w:p w14:paraId="39FB90F0" w14:textId="77777777" w:rsidR="00C63419" w:rsidRPr="00C63419" w:rsidRDefault="00C63419" w:rsidP="00C63419">
      <w:pPr>
        <w:numPr>
          <w:ilvl w:val="0"/>
          <w:numId w:val="128"/>
        </w:numPr>
      </w:pPr>
      <w:r w:rsidRPr="00C63419">
        <w:t>IR tabs/caps – no pack size limits were found </w:t>
      </w:r>
    </w:p>
    <w:p w14:paraId="02F40D53" w14:textId="77777777" w:rsidR="00C63419" w:rsidRPr="00C63419" w:rsidRDefault="00C63419" w:rsidP="00C63419">
      <w:r w:rsidRPr="00C63419">
        <w:t>Ireland: </w:t>
      </w:r>
    </w:p>
    <w:p w14:paraId="67AFDD3A" w14:textId="77777777" w:rsidR="00C63419" w:rsidRPr="00C63419" w:rsidRDefault="00C63419" w:rsidP="00C63419">
      <w:pPr>
        <w:numPr>
          <w:ilvl w:val="0"/>
          <w:numId w:val="129"/>
        </w:numPr>
      </w:pPr>
      <w:r w:rsidRPr="00C63419">
        <w:t>500 mg =&lt; 12 tabs = General sale  </w:t>
      </w:r>
    </w:p>
    <w:p w14:paraId="60C6DD20" w14:textId="77777777" w:rsidR="00C63419" w:rsidRPr="00C63419" w:rsidRDefault="00C63419" w:rsidP="00C63419">
      <w:pPr>
        <w:numPr>
          <w:ilvl w:val="0"/>
          <w:numId w:val="129"/>
        </w:numPr>
      </w:pPr>
      <w:r w:rsidRPr="00C63419">
        <w:t>500 mg =&lt; 24 tabs = Pharmacy only  </w:t>
      </w:r>
    </w:p>
    <w:p w14:paraId="481E0A69" w14:textId="77777777" w:rsidR="00C63419" w:rsidRPr="00C63419" w:rsidRDefault="00C63419" w:rsidP="00C63419">
      <w:pPr>
        <w:numPr>
          <w:ilvl w:val="0"/>
          <w:numId w:val="129"/>
        </w:numPr>
      </w:pPr>
      <w:r w:rsidRPr="00C63419">
        <w:t>500 mg &gt; 24 tabs = Prescription Only </w:t>
      </w:r>
    </w:p>
    <w:p w14:paraId="43824CAA" w14:textId="77777777" w:rsidR="00C63419" w:rsidRPr="00C63419" w:rsidRDefault="00C63419" w:rsidP="00C63419">
      <w:pPr>
        <w:numPr>
          <w:ilvl w:val="0"/>
          <w:numId w:val="130"/>
        </w:numPr>
      </w:pPr>
      <w:r w:rsidRPr="00C63419">
        <w:rPr>
          <w:u w:val="single"/>
        </w:rPr>
        <w:t>No equivalent S2/S3 categorisation</w:t>
      </w:r>
      <w:r w:rsidRPr="00C63419">
        <w:t xml:space="preserve"> – the </w:t>
      </w:r>
      <w:r w:rsidRPr="00C63419">
        <w:rPr>
          <w:i/>
          <w:iCs/>
        </w:rPr>
        <w:t>pharmacy only</w:t>
      </w:r>
      <w:r w:rsidRPr="00C63419">
        <w:t xml:space="preserve"> sits in between S2 and S3 where it is more restrictive than S2 but less restrictive than S3 </w:t>
      </w:r>
    </w:p>
    <w:p w14:paraId="78C3EC86" w14:textId="77777777" w:rsidR="00C63419" w:rsidRPr="00C63419" w:rsidRDefault="00C63419" w:rsidP="00C63419">
      <w:r w:rsidRPr="00C63419">
        <w:t>Singapore: </w:t>
      </w:r>
    </w:p>
    <w:p w14:paraId="0F55B78F" w14:textId="77777777" w:rsidR="00C63419" w:rsidRPr="00C63419" w:rsidRDefault="00C63419" w:rsidP="00C63419">
      <w:pPr>
        <w:numPr>
          <w:ilvl w:val="0"/>
          <w:numId w:val="131"/>
        </w:numPr>
      </w:pPr>
      <w:r w:rsidRPr="00C63419">
        <w:t>500 mg or MR – no pack size limits were found </w:t>
      </w:r>
    </w:p>
    <w:p w14:paraId="666FAB8F" w14:textId="77777777" w:rsidR="00C63419" w:rsidRPr="00C63419" w:rsidRDefault="00C63419" w:rsidP="00C63419">
      <w:pPr>
        <w:numPr>
          <w:ilvl w:val="0"/>
          <w:numId w:val="131"/>
        </w:numPr>
      </w:pPr>
      <w:r w:rsidRPr="00C63419">
        <w:t>The database does not provide information on pack size in order to determine what pack sizes fall into the respective schedule in the Poisons Standard. </w:t>
      </w:r>
    </w:p>
    <w:p w14:paraId="65157925" w14:textId="77777777" w:rsidR="00C63419" w:rsidRPr="00C63419" w:rsidRDefault="00C63419" w:rsidP="00C63419">
      <w:pPr>
        <w:numPr>
          <w:ilvl w:val="0"/>
          <w:numId w:val="131"/>
        </w:numPr>
      </w:pPr>
      <w:r w:rsidRPr="00C63419">
        <w:rPr>
          <w:u w:val="single"/>
        </w:rPr>
        <w:t xml:space="preserve">No equivalent S2/S3 </w:t>
      </w:r>
      <w:r w:rsidRPr="00C63419">
        <w:t xml:space="preserve">– </w:t>
      </w:r>
      <w:r w:rsidRPr="00C63419">
        <w:rPr>
          <w:i/>
          <w:iCs/>
        </w:rPr>
        <w:t xml:space="preserve">Pharmacy Only Medicine </w:t>
      </w:r>
      <w:r w:rsidRPr="00C63419">
        <w:t>classification states, “sold from any pharmacy by or under supervision of a pharmacist”.  </w:t>
      </w:r>
    </w:p>
    <w:p w14:paraId="03D56560" w14:textId="77777777" w:rsidR="00C63419" w:rsidRPr="00C63419" w:rsidRDefault="00C63419" w:rsidP="00C63419">
      <w:r w:rsidRPr="00C63419">
        <w:t>UK:  </w:t>
      </w:r>
    </w:p>
    <w:p w14:paraId="2C9EBAB0" w14:textId="77777777" w:rsidR="00C63419" w:rsidRPr="00C63419" w:rsidRDefault="00C63419" w:rsidP="00C63419">
      <w:pPr>
        <w:numPr>
          <w:ilvl w:val="0"/>
          <w:numId w:val="132"/>
        </w:numPr>
      </w:pPr>
      <w:r w:rsidRPr="00C63419">
        <w:t>Can purchase up to 100 non-effervescent tabs from pharmacies which in practice is a maximum of 96 (3 x 32). </w:t>
      </w:r>
    </w:p>
    <w:p w14:paraId="606CCF39" w14:textId="77777777" w:rsidR="00C63419" w:rsidRPr="00C63419" w:rsidRDefault="00C63419" w:rsidP="00C63419">
      <w:pPr>
        <w:numPr>
          <w:ilvl w:val="0"/>
          <w:numId w:val="132"/>
        </w:numPr>
      </w:pPr>
      <w:r w:rsidRPr="00C63419">
        <w:t>A pack size of between 16 to 20 tablets would be unscheduled in Australia, however a pack size above 16 would make is a pharmacy medicine in the UK. </w:t>
      </w:r>
    </w:p>
    <w:p w14:paraId="49569D04" w14:textId="77777777" w:rsidR="00C63419" w:rsidRPr="00C63419" w:rsidRDefault="00C63419" w:rsidP="00C63419">
      <w:r w:rsidRPr="00C63419">
        <w:t>USA: </w:t>
      </w:r>
    </w:p>
    <w:p w14:paraId="1AD27E18" w14:textId="77777777" w:rsidR="00C63419" w:rsidRPr="00C63419" w:rsidRDefault="00C63419" w:rsidP="00C63419">
      <w:pPr>
        <w:numPr>
          <w:ilvl w:val="0"/>
          <w:numId w:val="133"/>
        </w:numPr>
      </w:pPr>
      <w:r w:rsidRPr="00C63419">
        <w:t>IR / MR – no pack size limits were found </w:t>
      </w:r>
    </w:p>
    <w:p w14:paraId="64677FC3" w14:textId="77777777" w:rsidR="00577757" w:rsidRDefault="00C63419" w:rsidP="00C63419">
      <w:pPr>
        <w:sectPr w:rsidR="00577757" w:rsidSect="00D51C9A">
          <w:headerReference w:type="default" r:id="rId157"/>
          <w:pgSz w:w="11906" w:h="16838"/>
          <w:pgMar w:top="1440" w:right="1440" w:bottom="1440" w:left="1440" w:header="709" w:footer="709" w:gutter="0"/>
          <w:cols w:space="708"/>
          <w:docGrid w:linePitch="360"/>
        </w:sectPr>
      </w:pPr>
      <w:r w:rsidRPr="00C63419">
        <w:t> </w:t>
      </w:r>
    </w:p>
    <w:p w14:paraId="125CC5EF" w14:textId="77777777" w:rsidR="00C63419" w:rsidRPr="00DF4225" w:rsidRDefault="00C63419" w:rsidP="00DF4225">
      <w:pPr>
        <w:rPr>
          <w:rStyle w:val="BookTitle"/>
          <w:rFonts w:asciiTheme="majorHAnsi" w:hAnsiTheme="majorHAnsi" w:cstheme="majorHAnsi"/>
          <w:b w:val="0"/>
          <w:bCs w:val="0"/>
          <w:i w:val="0"/>
          <w:iCs w:val="0"/>
          <w:color w:val="2F5496" w:themeColor="accent1" w:themeShade="BF"/>
          <w:sz w:val="28"/>
          <w:szCs w:val="24"/>
        </w:rPr>
      </w:pPr>
      <w:r w:rsidRPr="00DF4225">
        <w:rPr>
          <w:rStyle w:val="BookTitle"/>
          <w:rFonts w:asciiTheme="majorHAnsi" w:hAnsiTheme="majorHAnsi" w:cstheme="majorHAnsi"/>
          <w:b w:val="0"/>
          <w:bCs w:val="0"/>
          <w:i w:val="0"/>
          <w:iCs w:val="0"/>
          <w:color w:val="2F5496" w:themeColor="accent1" w:themeShade="BF"/>
          <w:sz w:val="28"/>
          <w:szCs w:val="24"/>
        </w:rPr>
        <w:t>Comparison of equivalent scheduling status in oversees jurisdictions. </w:t>
      </w:r>
    </w:p>
    <w:tbl>
      <w:tblPr>
        <w:tblW w:w="13957"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32"/>
        <w:gridCol w:w="2447"/>
        <w:gridCol w:w="1851"/>
        <w:gridCol w:w="2064"/>
        <w:gridCol w:w="2038"/>
        <w:gridCol w:w="2166"/>
        <w:gridCol w:w="1759"/>
      </w:tblGrid>
      <w:tr w:rsidR="00C63419" w:rsidRPr="00C63419" w14:paraId="30471F47" w14:textId="77777777" w:rsidTr="008450B5">
        <w:trPr>
          <w:trHeight w:val="263"/>
        </w:trPr>
        <w:tc>
          <w:tcPr>
            <w:tcW w:w="1632" w:type="dxa"/>
            <w:tcBorders>
              <w:top w:val="single" w:sz="6" w:space="0" w:color="auto"/>
              <w:left w:val="single" w:sz="6" w:space="0" w:color="auto"/>
              <w:bottom w:val="single" w:sz="6" w:space="0" w:color="auto"/>
              <w:right w:val="nil"/>
            </w:tcBorders>
            <w:shd w:val="clear" w:color="auto" w:fill="002060"/>
            <w:vAlign w:val="bottom"/>
            <w:hideMark/>
          </w:tcPr>
          <w:p w14:paraId="0C2225CA" w14:textId="77777777" w:rsidR="00C63419" w:rsidRPr="00C63419" w:rsidRDefault="00C63419" w:rsidP="00C63419">
            <w:pPr>
              <w:rPr>
                <w:sz w:val="18"/>
                <w:szCs w:val="18"/>
              </w:rPr>
            </w:pPr>
            <w:r w:rsidRPr="00C63419">
              <w:rPr>
                <w:b/>
                <w:bCs/>
                <w:sz w:val="18"/>
                <w:szCs w:val="18"/>
              </w:rPr>
              <w:t> </w:t>
            </w:r>
            <w:r w:rsidRPr="00C63419">
              <w:rPr>
                <w:sz w:val="18"/>
                <w:szCs w:val="18"/>
              </w:rPr>
              <w:t> </w:t>
            </w:r>
          </w:p>
        </w:tc>
        <w:tc>
          <w:tcPr>
            <w:tcW w:w="12325" w:type="dxa"/>
            <w:gridSpan w:val="6"/>
            <w:tcBorders>
              <w:top w:val="single" w:sz="6" w:space="0" w:color="auto"/>
              <w:left w:val="nil"/>
              <w:bottom w:val="single" w:sz="6" w:space="0" w:color="auto"/>
              <w:right w:val="single" w:sz="6" w:space="0" w:color="000000"/>
            </w:tcBorders>
            <w:shd w:val="clear" w:color="auto" w:fill="002060"/>
            <w:vAlign w:val="bottom"/>
            <w:hideMark/>
          </w:tcPr>
          <w:p w14:paraId="15106032" w14:textId="2CFF7DC8" w:rsidR="00C63419" w:rsidRPr="00C63419" w:rsidRDefault="00C63419" w:rsidP="008450B5">
            <w:pPr>
              <w:spacing w:after="0"/>
              <w:jc w:val="center"/>
              <w:rPr>
                <w:sz w:val="18"/>
                <w:szCs w:val="18"/>
              </w:rPr>
            </w:pPr>
            <w:r w:rsidRPr="00C63419">
              <w:rPr>
                <w:b/>
                <w:bCs/>
                <w:sz w:val="18"/>
                <w:szCs w:val="18"/>
              </w:rPr>
              <w:t>Equivalent Status (if applicable) in oversees jurisdictions</w:t>
            </w:r>
          </w:p>
        </w:tc>
      </w:tr>
      <w:tr w:rsidR="008450B5" w:rsidRPr="008450B5" w14:paraId="1EF04A83" w14:textId="77777777" w:rsidTr="008450B5">
        <w:trPr>
          <w:trHeight w:val="425"/>
        </w:trPr>
        <w:tc>
          <w:tcPr>
            <w:tcW w:w="1632" w:type="dxa"/>
            <w:tcBorders>
              <w:top w:val="nil"/>
              <w:left w:val="single" w:sz="6" w:space="0" w:color="auto"/>
              <w:bottom w:val="single" w:sz="6" w:space="0" w:color="auto"/>
              <w:right w:val="single" w:sz="6" w:space="0" w:color="auto"/>
            </w:tcBorders>
            <w:shd w:val="clear" w:color="auto" w:fill="A6A6A6"/>
            <w:vAlign w:val="bottom"/>
            <w:hideMark/>
          </w:tcPr>
          <w:p w14:paraId="3387BAB7" w14:textId="77777777" w:rsidR="00C63419" w:rsidRPr="00C63419" w:rsidRDefault="00C63419" w:rsidP="008450B5">
            <w:pPr>
              <w:spacing w:after="0"/>
              <w:rPr>
                <w:sz w:val="18"/>
                <w:szCs w:val="18"/>
              </w:rPr>
            </w:pPr>
            <w:r w:rsidRPr="00C63419">
              <w:rPr>
                <w:b/>
                <w:bCs/>
                <w:sz w:val="18"/>
                <w:szCs w:val="18"/>
              </w:rPr>
              <w:t>Australian Scheduling Status</w:t>
            </w:r>
            <w:r w:rsidRPr="00C63419">
              <w:rPr>
                <w:sz w:val="18"/>
                <w:szCs w:val="18"/>
              </w:rPr>
              <w:t> </w:t>
            </w:r>
          </w:p>
        </w:tc>
        <w:tc>
          <w:tcPr>
            <w:tcW w:w="2447" w:type="dxa"/>
            <w:tcBorders>
              <w:top w:val="nil"/>
              <w:left w:val="nil"/>
              <w:bottom w:val="single" w:sz="6" w:space="0" w:color="auto"/>
              <w:right w:val="single" w:sz="6" w:space="0" w:color="auto"/>
            </w:tcBorders>
            <w:shd w:val="clear" w:color="auto" w:fill="D9D9D9"/>
            <w:vAlign w:val="center"/>
            <w:hideMark/>
          </w:tcPr>
          <w:p w14:paraId="7912C2BD" w14:textId="77777777" w:rsidR="00C63419" w:rsidRPr="00C63419" w:rsidRDefault="00C63419" w:rsidP="008450B5">
            <w:pPr>
              <w:spacing w:after="0"/>
              <w:rPr>
                <w:sz w:val="18"/>
                <w:szCs w:val="18"/>
              </w:rPr>
            </w:pPr>
            <w:r w:rsidRPr="00C63419">
              <w:rPr>
                <w:sz w:val="18"/>
                <w:szCs w:val="18"/>
              </w:rPr>
              <w:t>Canada </w:t>
            </w:r>
          </w:p>
        </w:tc>
        <w:tc>
          <w:tcPr>
            <w:tcW w:w="1851" w:type="dxa"/>
            <w:tcBorders>
              <w:top w:val="nil"/>
              <w:left w:val="nil"/>
              <w:bottom w:val="single" w:sz="6" w:space="0" w:color="auto"/>
              <w:right w:val="single" w:sz="6" w:space="0" w:color="auto"/>
            </w:tcBorders>
            <w:shd w:val="clear" w:color="auto" w:fill="D9D9D9"/>
            <w:vAlign w:val="center"/>
            <w:hideMark/>
          </w:tcPr>
          <w:p w14:paraId="5FC5B8B5" w14:textId="77777777" w:rsidR="00C63419" w:rsidRPr="00C63419" w:rsidRDefault="00C63419" w:rsidP="008450B5">
            <w:pPr>
              <w:spacing w:after="0"/>
              <w:rPr>
                <w:sz w:val="18"/>
                <w:szCs w:val="18"/>
              </w:rPr>
            </w:pPr>
            <w:r w:rsidRPr="00C63419">
              <w:rPr>
                <w:sz w:val="18"/>
                <w:szCs w:val="18"/>
              </w:rPr>
              <w:t>Ireland </w:t>
            </w:r>
          </w:p>
        </w:tc>
        <w:tc>
          <w:tcPr>
            <w:tcW w:w="2064" w:type="dxa"/>
            <w:tcBorders>
              <w:top w:val="nil"/>
              <w:left w:val="nil"/>
              <w:bottom w:val="single" w:sz="6" w:space="0" w:color="auto"/>
              <w:right w:val="single" w:sz="6" w:space="0" w:color="auto"/>
            </w:tcBorders>
            <w:shd w:val="clear" w:color="auto" w:fill="D9D9D9"/>
            <w:vAlign w:val="center"/>
            <w:hideMark/>
          </w:tcPr>
          <w:p w14:paraId="3F4BCEE5" w14:textId="77777777" w:rsidR="00C63419" w:rsidRPr="00C63419" w:rsidRDefault="00C63419" w:rsidP="008450B5">
            <w:pPr>
              <w:spacing w:after="0"/>
              <w:rPr>
                <w:sz w:val="18"/>
                <w:szCs w:val="18"/>
              </w:rPr>
            </w:pPr>
            <w:r w:rsidRPr="00C63419">
              <w:rPr>
                <w:sz w:val="18"/>
                <w:szCs w:val="18"/>
              </w:rPr>
              <w:t>New Zealand </w:t>
            </w:r>
          </w:p>
        </w:tc>
        <w:tc>
          <w:tcPr>
            <w:tcW w:w="2038" w:type="dxa"/>
            <w:tcBorders>
              <w:top w:val="nil"/>
              <w:left w:val="nil"/>
              <w:bottom w:val="single" w:sz="6" w:space="0" w:color="auto"/>
              <w:right w:val="single" w:sz="6" w:space="0" w:color="auto"/>
            </w:tcBorders>
            <w:shd w:val="clear" w:color="auto" w:fill="D9D9D9"/>
            <w:vAlign w:val="center"/>
            <w:hideMark/>
          </w:tcPr>
          <w:p w14:paraId="5A4D0A8C" w14:textId="77777777" w:rsidR="00C63419" w:rsidRPr="00C63419" w:rsidRDefault="00C63419" w:rsidP="008450B5">
            <w:pPr>
              <w:spacing w:after="0"/>
              <w:rPr>
                <w:sz w:val="18"/>
                <w:szCs w:val="18"/>
              </w:rPr>
            </w:pPr>
            <w:r w:rsidRPr="00C63419">
              <w:rPr>
                <w:sz w:val="18"/>
                <w:szCs w:val="18"/>
              </w:rPr>
              <w:t>Singapore </w:t>
            </w:r>
          </w:p>
        </w:tc>
        <w:tc>
          <w:tcPr>
            <w:tcW w:w="2166" w:type="dxa"/>
            <w:tcBorders>
              <w:top w:val="nil"/>
              <w:left w:val="nil"/>
              <w:bottom w:val="single" w:sz="6" w:space="0" w:color="auto"/>
              <w:right w:val="single" w:sz="6" w:space="0" w:color="auto"/>
            </w:tcBorders>
            <w:shd w:val="clear" w:color="auto" w:fill="D9D9D9"/>
            <w:vAlign w:val="center"/>
            <w:hideMark/>
          </w:tcPr>
          <w:p w14:paraId="589A7127" w14:textId="77777777" w:rsidR="00C63419" w:rsidRPr="00C63419" w:rsidRDefault="00C63419" w:rsidP="008450B5">
            <w:pPr>
              <w:spacing w:after="0"/>
              <w:rPr>
                <w:sz w:val="18"/>
                <w:szCs w:val="18"/>
              </w:rPr>
            </w:pPr>
            <w:r w:rsidRPr="00C63419">
              <w:rPr>
                <w:sz w:val="18"/>
                <w:szCs w:val="18"/>
              </w:rPr>
              <w:t>UK </w:t>
            </w:r>
          </w:p>
        </w:tc>
        <w:tc>
          <w:tcPr>
            <w:tcW w:w="1759" w:type="dxa"/>
            <w:tcBorders>
              <w:top w:val="nil"/>
              <w:left w:val="nil"/>
              <w:bottom w:val="single" w:sz="6" w:space="0" w:color="auto"/>
              <w:right w:val="single" w:sz="6" w:space="0" w:color="auto"/>
            </w:tcBorders>
            <w:shd w:val="clear" w:color="auto" w:fill="D9D9D9"/>
            <w:vAlign w:val="center"/>
            <w:hideMark/>
          </w:tcPr>
          <w:p w14:paraId="37F3CC45" w14:textId="77777777" w:rsidR="00C63419" w:rsidRPr="00C63419" w:rsidRDefault="00C63419" w:rsidP="008450B5">
            <w:pPr>
              <w:spacing w:after="0"/>
              <w:rPr>
                <w:sz w:val="18"/>
                <w:szCs w:val="18"/>
              </w:rPr>
            </w:pPr>
            <w:r w:rsidRPr="00C63419">
              <w:rPr>
                <w:sz w:val="18"/>
                <w:szCs w:val="18"/>
              </w:rPr>
              <w:t>USA </w:t>
            </w:r>
          </w:p>
        </w:tc>
      </w:tr>
      <w:tr w:rsidR="008450B5" w:rsidRPr="00C63419" w14:paraId="6D1A28CC" w14:textId="77777777" w:rsidTr="008450B5">
        <w:trPr>
          <w:trHeight w:val="300"/>
        </w:trPr>
        <w:tc>
          <w:tcPr>
            <w:tcW w:w="1632" w:type="dxa"/>
            <w:vMerge w:val="restart"/>
            <w:tcBorders>
              <w:top w:val="nil"/>
              <w:left w:val="single" w:sz="6" w:space="0" w:color="auto"/>
              <w:bottom w:val="single" w:sz="6" w:space="0" w:color="auto"/>
              <w:right w:val="single" w:sz="6" w:space="0" w:color="auto"/>
            </w:tcBorders>
            <w:shd w:val="clear" w:color="auto" w:fill="A6A6A6"/>
            <w:vAlign w:val="center"/>
            <w:hideMark/>
          </w:tcPr>
          <w:p w14:paraId="03673618" w14:textId="77777777" w:rsidR="00C63419" w:rsidRPr="00C63419" w:rsidRDefault="00C63419" w:rsidP="00C63419">
            <w:pPr>
              <w:rPr>
                <w:sz w:val="18"/>
                <w:szCs w:val="18"/>
              </w:rPr>
            </w:pPr>
            <w:r w:rsidRPr="00C63419">
              <w:rPr>
                <w:b/>
                <w:bCs/>
                <w:sz w:val="18"/>
                <w:szCs w:val="18"/>
              </w:rPr>
              <w:t>Unscheduled</w:t>
            </w:r>
            <w:r w:rsidRPr="00C63419">
              <w:rPr>
                <w:sz w:val="18"/>
                <w:szCs w:val="18"/>
              </w:rPr>
              <w:t> </w:t>
            </w:r>
          </w:p>
        </w:tc>
        <w:tc>
          <w:tcPr>
            <w:tcW w:w="2447" w:type="dxa"/>
            <w:tcBorders>
              <w:top w:val="nil"/>
              <w:left w:val="nil"/>
              <w:bottom w:val="single" w:sz="6" w:space="0" w:color="auto"/>
              <w:right w:val="single" w:sz="6" w:space="0" w:color="auto"/>
            </w:tcBorders>
            <w:shd w:val="clear" w:color="auto" w:fill="auto"/>
            <w:vAlign w:val="center"/>
            <w:hideMark/>
          </w:tcPr>
          <w:p w14:paraId="2992FA88" w14:textId="77777777" w:rsidR="00C63419" w:rsidRPr="00C63419" w:rsidRDefault="00C63419" w:rsidP="008450B5">
            <w:pPr>
              <w:spacing w:after="0"/>
              <w:rPr>
                <w:sz w:val="18"/>
                <w:szCs w:val="18"/>
              </w:rPr>
            </w:pPr>
            <w:r w:rsidRPr="00C63419">
              <w:rPr>
                <w:b/>
                <w:bCs/>
                <w:sz w:val="18"/>
                <w:szCs w:val="18"/>
              </w:rPr>
              <w:t>Unscheduled</w:t>
            </w:r>
            <w:r w:rsidRPr="00C63419">
              <w:rPr>
                <w:sz w:val="18"/>
                <w:szCs w:val="18"/>
              </w:rPr>
              <w:t> </w:t>
            </w:r>
          </w:p>
        </w:tc>
        <w:tc>
          <w:tcPr>
            <w:tcW w:w="1851" w:type="dxa"/>
            <w:tcBorders>
              <w:top w:val="nil"/>
              <w:left w:val="nil"/>
              <w:bottom w:val="single" w:sz="6" w:space="0" w:color="auto"/>
              <w:right w:val="single" w:sz="6" w:space="0" w:color="auto"/>
            </w:tcBorders>
            <w:shd w:val="clear" w:color="auto" w:fill="auto"/>
            <w:vAlign w:val="center"/>
            <w:hideMark/>
          </w:tcPr>
          <w:p w14:paraId="06A1F5A6" w14:textId="77777777" w:rsidR="00C63419" w:rsidRPr="00C63419" w:rsidRDefault="00C63419" w:rsidP="008450B5">
            <w:pPr>
              <w:spacing w:after="0"/>
              <w:rPr>
                <w:sz w:val="18"/>
                <w:szCs w:val="18"/>
              </w:rPr>
            </w:pPr>
            <w:r w:rsidRPr="00C63419">
              <w:rPr>
                <w:b/>
                <w:bCs/>
                <w:sz w:val="18"/>
                <w:szCs w:val="18"/>
              </w:rPr>
              <w:t>General Sale</w:t>
            </w:r>
            <w:r w:rsidRPr="00C63419">
              <w:rPr>
                <w:sz w:val="18"/>
                <w:szCs w:val="18"/>
              </w:rPr>
              <w:t> </w:t>
            </w:r>
          </w:p>
        </w:tc>
        <w:tc>
          <w:tcPr>
            <w:tcW w:w="2064" w:type="dxa"/>
            <w:tcBorders>
              <w:top w:val="nil"/>
              <w:left w:val="nil"/>
              <w:bottom w:val="single" w:sz="6" w:space="0" w:color="auto"/>
              <w:right w:val="single" w:sz="6" w:space="0" w:color="auto"/>
            </w:tcBorders>
            <w:shd w:val="clear" w:color="auto" w:fill="auto"/>
            <w:vAlign w:val="center"/>
            <w:hideMark/>
          </w:tcPr>
          <w:p w14:paraId="0E59844D" w14:textId="77777777" w:rsidR="00C63419" w:rsidRPr="00C63419" w:rsidRDefault="00C63419" w:rsidP="008450B5">
            <w:pPr>
              <w:spacing w:after="0"/>
              <w:rPr>
                <w:sz w:val="18"/>
                <w:szCs w:val="18"/>
              </w:rPr>
            </w:pPr>
            <w:r w:rsidRPr="00C63419">
              <w:rPr>
                <w:b/>
                <w:bCs/>
                <w:sz w:val="18"/>
                <w:szCs w:val="18"/>
              </w:rPr>
              <w:t>General Sale</w:t>
            </w:r>
            <w:r w:rsidRPr="00C63419">
              <w:rPr>
                <w:sz w:val="18"/>
                <w:szCs w:val="18"/>
              </w:rPr>
              <w:t> </w:t>
            </w:r>
          </w:p>
        </w:tc>
        <w:tc>
          <w:tcPr>
            <w:tcW w:w="2038" w:type="dxa"/>
            <w:tcBorders>
              <w:top w:val="nil"/>
              <w:left w:val="nil"/>
              <w:bottom w:val="single" w:sz="6" w:space="0" w:color="auto"/>
              <w:right w:val="single" w:sz="6" w:space="0" w:color="auto"/>
            </w:tcBorders>
            <w:shd w:val="clear" w:color="auto" w:fill="auto"/>
            <w:vAlign w:val="center"/>
            <w:hideMark/>
          </w:tcPr>
          <w:p w14:paraId="1B352AC8" w14:textId="77777777" w:rsidR="00C63419" w:rsidRPr="00C63419" w:rsidRDefault="00C63419" w:rsidP="008450B5">
            <w:pPr>
              <w:spacing w:after="0"/>
              <w:rPr>
                <w:sz w:val="18"/>
                <w:szCs w:val="18"/>
              </w:rPr>
            </w:pPr>
            <w:r w:rsidRPr="00C63419">
              <w:rPr>
                <w:b/>
                <w:bCs/>
                <w:sz w:val="18"/>
                <w:szCs w:val="18"/>
              </w:rPr>
              <w:t>General Sales List</w:t>
            </w:r>
            <w:r w:rsidRPr="00C63419">
              <w:rPr>
                <w:sz w:val="18"/>
                <w:szCs w:val="18"/>
              </w:rPr>
              <w:t> </w:t>
            </w:r>
          </w:p>
        </w:tc>
        <w:tc>
          <w:tcPr>
            <w:tcW w:w="2166" w:type="dxa"/>
            <w:tcBorders>
              <w:top w:val="nil"/>
              <w:left w:val="nil"/>
              <w:bottom w:val="single" w:sz="6" w:space="0" w:color="auto"/>
              <w:right w:val="single" w:sz="6" w:space="0" w:color="auto"/>
            </w:tcBorders>
            <w:shd w:val="clear" w:color="auto" w:fill="auto"/>
            <w:vAlign w:val="center"/>
            <w:hideMark/>
          </w:tcPr>
          <w:p w14:paraId="61B705F5" w14:textId="77777777" w:rsidR="00C63419" w:rsidRPr="00C63419" w:rsidRDefault="00C63419" w:rsidP="008450B5">
            <w:pPr>
              <w:spacing w:after="0"/>
              <w:rPr>
                <w:sz w:val="18"/>
                <w:szCs w:val="18"/>
              </w:rPr>
            </w:pPr>
            <w:r w:rsidRPr="00C63419">
              <w:rPr>
                <w:b/>
                <w:bCs/>
                <w:sz w:val="18"/>
                <w:szCs w:val="18"/>
              </w:rPr>
              <w:t>General Sales List^ </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456C76E6" w14:textId="77777777" w:rsidR="00C63419" w:rsidRPr="00C63419" w:rsidRDefault="00C63419" w:rsidP="008450B5">
            <w:pPr>
              <w:spacing w:after="0"/>
              <w:rPr>
                <w:sz w:val="18"/>
                <w:szCs w:val="18"/>
              </w:rPr>
            </w:pPr>
            <w:r w:rsidRPr="00C63419">
              <w:rPr>
                <w:b/>
                <w:bCs/>
                <w:sz w:val="18"/>
                <w:szCs w:val="18"/>
              </w:rPr>
              <w:t>Over-the-counter</w:t>
            </w:r>
            <w:r w:rsidRPr="00C63419">
              <w:rPr>
                <w:sz w:val="18"/>
                <w:szCs w:val="18"/>
              </w:rPr>
              <w:t> </w:t>
            </w:r>
          </w:p>
        </w:tc>
      </w:tr>
      <w:tr w:rsidR="008450B5" w:rsidRPr="00C63419" w14:paraId="6ED74D31" w14:textId="77777777" w:rsidTr="008450B5">
        <w:trPr>
          <w:trHeight w:val="1529"/>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1F9C12BF" w14:textId="77777777" w:rsidR="00C63419" w:rsidRPr="00C63419" w:rsidRDefault="00C63419" w:rsidP="00C63419">
            <w:pPr>
              <w:rPr>
                <w:sz w:val="18"/>
                <w:szCs w:val="18"/>
              </w:rPr>
            </w:pPr>
          </w:p>
        </w:tc>
        <w:tc>
          <w:tcPr>
            <w:tcW w:w="2447" w:type="dxa"/>
            <w:tcBorders>
              <w:top w:val="nil"/>
              <w:left w:val="nil"/>
              <w:bottom w:val="single" w:sz="6" w:space="0" w:color="auto"/>
              <w:right w:val="single" w:sz="6" w:space="0" w:color="auto"/>
            </w:tcBorders>
            <w:shd w:val="clear" w:color="auto" w:fill="auto"/>
            <w:vAlign w:val="center"/>
            <w:hideMark/>
          </w:tcPr>
          <w:p w14:paraId="4187EDF2" w14:textId="77777777" w:rsidR="00C63419" w:rsidRPr="00C63419" w:rsidRDefault="00C63419" w:rsidP="00C63419">
            <w:pPr>
              <w:rPr>
                <w:sz w:val="18"/>
                <w:szCs w:val="18"/>
              </w:rPr>
            </w:pPr>
            <w:r w:rsidRPr="00C63419">
              <w:rPr>
                <w:i/>
                <w:iCs/>
                <w:sz w:val="18"/>
                <w:szCs w:val="18"/>
              </w:rPr>
              <w:t>Can be sold without professional supervision.</w:t>
            </w:r>
            <w:r w:rsidRPr="00C63419">
              <w:rPr>
                <w:sz w:val="18"/>
                <w:szCs w:val="18"/>
              </w:rPr>
              <w:t> </w:t>
            </w:r>
          </w:p>
        </w:tc>
        <w:tc>
          <w:tcPr>
            <w:tcW w:w="1851" w:type="dxa"/>
            <w:tcBorders>
              <w:top w:val="nil"/>
              <w:left w:val="nil"/>
              <w:bottom w:val="single" w:sz="6" w:space="0" w:color="auto"/>
              <w:right w:val="single" w:sz="6" w:space="0" w:color="auto"/>
            </w:tcBorders>
            <w:shd w:val="clear" w:color="auto" w:fill="auto"/>
            <w:vAlign w:val="center"/>
            <w:hideMark/>
          </w:tcPr>
          <w:p w14:paraId="16C03E79" w14:textId="77777777" w:rsidR="00C63419" w:rsidRPr="00C63419" w:rsidRDefault="00C63419" w:rsidP="00C63419">
            <w:pPr>
              <w:rPr>
                <w:sz w:val="18"/>
                <w:szCs w:val="18"/>
              </w:rPr>
            </w:pPr>
            <w:r w:rsidRPr="00C63419">
              <w:rPr>
                <w:i/>
                <w:iCs/>
                <w:sz w:val="18"/>
                <w:szCs w:val="18"/>
              </w:rPr>
              <w:t>Can, with reasonable safety, be sold without the supervision of a pharmacist.</w:t>
            </w:r>
            <w:r w:rsidRPr="00C63419">
              <w:rPr>
                <w:sz w:val="18"/>
                <w:szCs w:val="18"/>
              </w:rPr>
              <w:t> </w:t>
            </w:r>
          </w:p>
        </w:tc>
        <w:tc>
          <w:tcPr>
            <w:tcW w:w="2064" w:type="dxa"/>
            <w:tcBorders>
              <w:top w:val="nil"/>
              <w:left w:val="nil"/>
              <w:bottom w:val="single" w:sz="6" w:space="0" w:color="auto"/>
              <w:right w:val="single" w:sz="6" w:space="0" w:color="auto"/>
            </w:tcBorders>
            <w:shd w:val="clear" w:color="auto" w:fill="auto"/>
            <w:vAlign w:val="center"/>
            <w:hideMark/>
          </w:tcPr>
          <w:p w14:paraId="68296E76" w14:textId="77777777" w:rsidR="00C63419" w:rsidRPr="00C63419" w:rsidRDefault="00C63419" w:rsidP="00C63419">
            <w:pPr>
              <w:rPr>
                <w:sz w:val="18"/>
                <w:szCs w:val="18"/>
              </w:rPr>
            </w:pPr>
            <w:r w:rsidRPr="00C63419">
              <w:rPr>
                <w:i/>
                <w:iCs/>
                <w:sz w:val="18"/>
                <w:szCs w:val="18"/>
              </w:rPr>
              <w:t>Freely available from both pharmacies and other retail outlets</w:t>
            </w:r>
            <w:r w:rsidRPr="00C63419">
              <w:rPr>
                <w:sz w:val="18"/>
                <w:szCs w:val="18"/>
              </w:rPr>
              <w:t> </w:t>
            </w:r>
          </w:p>
        </w:tc>
        <w:tc>
          <w:tcPr>
            <w:tcW w:w="2038" w:type="dxa"/>
            <w:tcBorders>
              <w:top w:val="nil"/>
              <w:left w:val="nil"/>
              <w:bottom w:val="single" w:sz="6" w:space="0" w:color="auto"/>
              <w:right w:val="single" w:sz="6" w:space="0" w:color="auto"/>
            </w:tcBorders>
            <w:shd w:val="clear" w:color="auto" w:fill="auto"/>
            <w:vAlign w:val="center"/>
            <w:hideMark/>
          </w:tcPr>
          <w:p w14:paraId="187FA226" w14:textId="77777777" w:rsidR="00C63419" w:rsidRPr="00C63419" w:rsidRDefault="00C63419" w:rsidP="00C63419">
            <w:pPr>
              <w:rPr>
                <w:sz w:val="18"/>
                <w:szCs w:val="18"/>
              </w:rPr>
            </w:pPr>
            <w:r w:rsidRPr="00C63419">
              <w:rPr>
                <w:i/>
                <w:iCs/>
                <w:sz w:val="18"/>
                <w:szCs w:val="18"/>
              </w:rPr>
              <w:t>Sold or supplied to the public without restriction.</w:t>
            </w:r>
            <w:r w:rsidRPr="00C63419">
              <w:rPr>
                <w:sz w:val="18"/>
                <w:szCs w:val="18"/>
              </w:rPr>
              <w:t> </w:t>
            </w:r>
          </w:p>
        </w:tc>
        <w:tc>
          <w:tcPr>
            <w:tcW w:w="2166" w:type="dxa"/>
            <w:tcBorders>
              <w:top w:val="nil"/>
              <w:left w:val="nil"/>
              <w:bottom w:val="single" w:sz="6" w:space="0" w:color="auto"/>
              <w:right w:val="single" w:sz="6" w:space="0" w:color="auto"/>
            </w:tcBorders>
            <w:shd w:val="clear" w:color="auto" w:fill="auto"/>
            <w:vAlign w:val="center"/>
            <w:hideMark/>
          </w:tcPr>
          <w:p w14:paraId="737C5A40" w14:textId="77777777" w:rsidR="00C63419" w:rsidRPr="00C63419" w:rsidRDefault="00C63419" w:rsidP="00C63419">
            <w:pPr>
              <w:rPr>
                <w:sz w:val="18"/>
                <w:szCs w:val="18"/>
              </w:rPr>
            </w:pPr>
            <w:r w:rsidRPr="00C63419">
              <w:rPr>
                <w:i/>
                <w:iCs/>
                <w:sz w:val="18"/>
                <w:szCs w:val="18"/>
              </w:rPr>
              <w:t>Available as self-selection items for sale in registered pharmacies. Can also be sold in other retail outlets that can 'close so as to exclude the public'.</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049F5046" w14:textId="77777777" w:rsidR="00C63419" w:rsidRPr="00C63419" w:rsidRDefault="00C63419" w:rsidP="00C63419">
            <w:pPr>
              <w:rPr>
                <w:sz w:val="18"/>
                <w:szCs w:val="18"/>
              </w:rPr>
            </w:pPr>
            <w:r w:rsidRPr="00C63419">
              <w:rPr>
                <w:i/>
                <w:iCs/>
                <w:sz w:val="18"/>
                <w:szCs w:val="18"/>
              </w:rPr>
              <w:t>No further clarification of any restrictions to this category was found.</w:t>
            </w:r>
            <w:r w:rsidRPr="00C63419">
              <w:rPr>
                <w:sz w:val="18"/>
                <w:szCs w:val="18"/>
              </w:rPr>
              <w:t> </w:t>
            </w:r>
          </w:p>
        </w:tc>
      </w:tr>
      <w:tr w:rsidR="008450B5" w:rsidRPr="00C63419" w14:paraId="38EF87A9" w14:textId="77777777" w:rsidTr="008450B5">
        <w:trPr>
          <w:trHeight w:val="290"/>
        </w:trPr>
        <w:tc>
          <w:tcPr>
            <w:tcW w:w="1632" w:type="dxa"/>
            <w:vMerge w:val="restart"/>
            <w:tcBorders>
              <w:top w:val="nil"/>
              <w:left w:val="single" w:sz="6" w:space="0" w:color="auto"/>
              <w:bottom w:val="single" w:sz="6" w:space="0" w:color="auto"/>
              <w:right w:val="single" w:sz="6" w:space="0" w:color="auto"/>
            </w:tcBorders>
            <w:shd w:val="clear" w:color="auto" w:fill="A6A6A6"/>
            <w:vAlign w:val="center"/>
            <w:hideMark/>
          </w:tcPr>
          <w:p w14:paraId="54B940BE" w14:textId="77777777" w:rsidR="00C63419" w:rsidRPr="00C63419" w:rsidRDefault="00C63419" w:rsidP="00C63419">
            <w:pPr>
              <w:rPr>
                <w:sz w:val="18"/>
                <w:szCs w:val="18"/>
              </w:rPr>
            </w:pPr>
            <w:r w:rsidRPr="00C63419">
              <w:rPr>
                <w:b/>
                <w:bCs/>
                <w:sz w:val="18"/>
                <w:szCs w:val="18"/>
              </w:rPr>
              <w:t>Schedule 2</w:t>
            </w:r>
            <w:r w:rsidRPr="00C63419">
              <w:rPr>
                <w:sz w:val="18"/>
                <w:szCs w:val="18"/>
              </w:rPr>
              <w:t> </w:t>
            </w:r>
          </w:p>
        </w:tc>
        <w:tc>
          <w:tcPr>
            <w:tcW w:w="2447" w:type="dxa"/>
            <w:tcBorders>
              <w:top w:val="nil"/>
              <w:left w:val="nil"/>
              <w:bottom w:val="single" w:sz="6" w:space="0" w:color="auto"/>
              <w:right w:val="single" w:sz="6" w:space="0" w:color="auto"/>
            </w:tcBorders>
            <w:shd w:val="clear" w:color="auto" w:fill="auto"/>
            <w:vAlign w:val="center"/>
            <w:hideMark/>
          </w:tcPr>
          <w:p w14:paraId="61F5A13F" w14:textId="77777777" w:rsidR="00C63419" w:rsidRPr="00C63419" w:rsidRDefault="00C63419" w:rsidP="00C63419">
            <w:pPr>
              <w:rPr>
                <w:sz w:val="18"/>
                <w:szCs w:val="18"/>
              </w:rPr>
            </w:pPr>
            <w:r w:rsidRPr="00C63419">
              <w:rPr>
                <w:b/>
                <w:bCs/>
                <w:sz w:val="18"/>
                <w:szCs w:val="18"/>
              </w:rPr>
              <w:t>Schedule 3</w:t>
            </w:r>
            <w:r w:rsidRPr="00C63419">
              <w:rPr>
                <w:sz w:val="18"/>
                <w:szCs w:val="18"/>
              </w:rPr>
              <w:t> </w:t>
            </w:r>
          </w:p>
        </w:tc>
        <w:tc>
          <w:tcPr>
            <w:tcW w:w="1851" w:type="dxa"/>
            <w:tcBorders>
              <w:top w:val="nil"/>
              <w:left w:val="nil"/>
              <w:bottom w:val="single" w:sz="6" w:space="0" w:color="auto"/>
              <w:right w:val="single" w:sz="6" w:space="0" w:color="auto"/>
            </w:tcBorders>
            <w:shd w:val="clear" w:color="auto" w:fill="auto"/>
            <w:vAlign w:val="center"/>
            <w:hideMark/>
          </w:tcPr>
          <w:p w14:paraId="2737E121" w14:textId="77777777" w:rsidR="00C63419" w:rsidRPr="00C63419" w:rsidRDefault="00C63419" w:rsidP="00C63419">
            <w:pPr>
              <w:rPr>
                <w:sz w:val="18"/>
                <w:szCs w:val="18"/>
              </w:rPr>
            </w:pPr>
            <w:r w:rsidRPr="00C63419">
              <w:rPr>
                <w:sz w:val="18"/>
                <w:szCs w:val="18"/>
              </w:rPr>
              <w:t> </w:t>
            </w:r>
          </w:p>
        </w:tc>
        <w:tc>
          <w:tcPr>
            <w:tcW w:w="2064" w:type="dxa"/>
            <w:tcBorders>
              <w:top w:val="nil"/>
              <w:left w:val="nil"/>
              <w:bottom w:val="single" w:sz="6" w:space="0" w:color="auto"/>
              <w:right w:val="single" w:sz="6" w:space="0" w:color="auto"/>
            </w:tcBorders>
            <w:shd w:val="clear" w:color="auto" w:fill="auto"/>
            <w:vAlign w:val="center"/>
            <w:hideMark/>
          </w:tcPr>
          <w:p w14:paraId="25C47067" w14:textId="77777777" w:rsidR="00C63419" w:rsidRPr="00C63419" w:rsidRDefault="00C63419" w:rsidP="00C63419">
            <w:pPr>
              <w:rPr>
                <w:sz w:val="18"/>
                <w:szCs w:val="18"/>
              </w:rPr>
            </w:pPr>
            <w:r w:rsidRPr="00C63419">
              <w:rPr>
                <w:b/>
                <w:bCs/>
                <w:sz w:val="18"/>
                <w:szCs w:val="18"/>
              </w:rPr>
              <w:t>Pharmacy Only</w:t>
            </w:r>
            <w:r w:rsidRPr="00C63419">
              <w:rPr>
                <w:sz w:val="18"/>
                <w:szCs w:val="18"/>
              </w:rPr>
              <w:t> </w:t>
            </w:r>
          </w:p>
        </w:tc>
        <w:tc>
          <w:tcPr>
            <w:tcW w:w="2038" w:type="dxa"/>
            <w:vMerge w:val="restart"/>
            <w:tcBorders>
              <w:top w:val="nil"/>
              <w:left w:val="nil"/>
              <w:bottom w:val="single" w:sz="6" w:space="0" w:color="auto"/>
              <w:right w:val="single" w:sz="6" w:space="0" w:color="auto"/>
            </w:tcBorders>
            <w:shd w:val="clear" w:color="auto" w:fill="auto"/>
            <w:vAlign w:val="center"/>
            <w:hideMark/>
          </w:tcPr>
          <w:p w14:paraId="7C18E8D8" w14:textId="77777777" w:rsidR="00C63419" w:rsidRPr="00C63419" w:rsidRDefault="00C63419" w:rsidP="00C63419">
            <w:pPr>
              <w:rPr>
                <w:sz w:val="18"/>
                <w:szCs w:val="18"/>
              </w:rPr>
            </w:pPr>
            <w:r w:rsidRPr="00C63419">
              <w:rPr>
                <w:b/>
                <w:bCs/>
                <w:sz w:val="18"/>
                <w:szCs w:val="18"/>
              </w:rPr>
              <w:t>Pharmacy Only Medicine*</w:t>
            </w:r>
            <w:r w:rsidRPr="00C63419">
              <w:rPr>
                <w:sz w:val="18"/>
                <w:szCs w:val="18"/>
              </w:rPr>
              <w:t> </w:t>
            </w:r>
          </w:p>
          <w:p w14:paraId="62A9A6F8" w14:textId="77777777" w:rsidR="00C63419" w:rsidRPr="00C63419" w:rsidRDefault="00C63419" w:rsidP="00C63419">
            <w:pPr>
              <w:rPr>
                <w:sz w:val="18"/>
                <w:szCs w:val="18"/>
              </w:rPr>
            </w:pPr>
            <w:r w:rsidRPr="00C63419">
              <w:rPr>
                <w:i/>
                <w:iCs/>
                <w:sz w:val="18"/>
                <w:szCs w:val="18"/>
              </w:rPr>
              <w:t>Sold from any pharmacy by or under the supervision of a pharmacist</w:t>
            </w:r>
            <w:r w:rsidRPr="00C63419">
              <w:rPr>
                <w:sz w:val="18"/>
                <w:szCs w:val="18"/>
              </w:rPr>
              <w:t> </w:t>
            </w:r>
          </w:p>
        </w:tc>
        <w:tc>
          <w:tcPr>
            <w:tcW w:w="2166" w:type="dxa"/>
            <w:tcBorders>
              <w:top w:val="nil"/>
              <w:left w:val="nil"/>
              <w:bottom w:val="single" w:sz="6" w:space="0" w:color="auto"/>
              <w:right w:val="single" w:sz="6" w:space="0" w:color="auto"/>
            </w:tcBorders>
            <w:shd w:val="clear" w:color="auto" w:fill="auto"/>
            <w:vAlign w:val="center"/>
            <w:hideMark/>
          </w:tcPr>
          <w:p w14:paraId="217765B7" w14:textId="77777777" w:rsidR="00C63419" w:rsidRPr="00C63419" w:rsidRDefault="00C63419" w:rsidP="00C63419">
            <w:pPr>
              <w:rPr>
                <w:sz w:val="18"/>
                <w:szCs w:val="18"/>
              </w:rPr>
            </w:pPr>
            <w:r w:rsidRPr="00C63419">
              <w:rPr>
                <w:sz w:val="18"/>
                <w:szCs w:val="18"/>
              </w:rPr>
              <w:t>n/a </w:t>
            </w:r>
          </w:p>
        </w:tc>
        <w:tc>
          <w:tcPr>
            <w:tcW w:w="1759" w:type="dxa"/>
            <w:tcBorders>
              <w:top w:val="nil"/>
              <w:left w:val="nil"/>
              <w:bottom w:val="single" w:sz="6" w:space="0" w:color="auto"/>
              <w:right w:val="single" w:sz="6" w:space="0" w:color="auto"/>
            </w:tcBorders>
            <w:shd w:val="clear" w:color="auto" w:fill="auto"/>
            <w:vAlign w:val="center"/>
            <w:hideMark/>
          </w:tcPr>
          <w:p w14:paraId="7C85ED5A" w14:textId="77777777" w:rsidR="00C63419" w:rsidRPr="00C63419" w:rsidRDefault="00C63419" w:rsidP="00C63419">
            <w:pPr>
              <w:rPr>
                <w:sz w:val="18"/>
                <w:szCs w:val="18"/>
              </w:rPr>
            </w:pPr>
            <w:r w:rsidRPr="00C63419">
              <w:rPr>
                <w:sz w:val="18"/>
                <w:szCs w:val="18"/>
              </w:rPr>
              <w:t>n/a </w:t>
            </w:r>
          </w:p>
        </w:tc>
      </w:tr>
      <w:tr w:rsidR="008450B5" w:rsidRPr="00C63419" w14:paraId="57FCC80F" w14:textId="77777777" w:rsidTr="008450B5">
        <w:trPr>
          <w:trHeight w:val="1019"/>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83442DF" w14:textId="77777777" w:rsidR="00C63419" w:rsidRPr="00C63419" w:rsidRDefault="00C63419" w:rsidP="00C63419">
            <w:pPr>
              <w:rPr>
                <w:sz w:val="18"/>
                <w:szCs w:val="18"/>
              </w:rPr>
            </w:pPr>
          </w:p>
        </w:tc>
        <w:tc>
          <w:tcPr>
            <w:tcW w:w="2447" w:type="dxa"/>
            <w:tcBorders>
              <w:top w:val="nil"/>
              <w:left w:val="nil"/>
              <w:bottom w:val="single" w:sz="6" w:space="0" w:color="auto"/>
              <w:right w:val="single" w:sz="6" w:space="0" w:color="auto"/>
            </w:tcBorders>
            <w:shd w:val="clear" w:color="auto" w:fill="auto"/>
            <w:vAlign w:val="center"/>
            <w:hideMark/>
          </w:tcPr>
          <w:p w14:paraId="67F6551A" w14:textId="77777777" w:rsidR="00C63419" w:rsidRPr="00C63419" w:rsidRDefault="00C63419" w:rsidP="00C63419">
            <w:pPr>
              <w:rPr>
                <w:sz w:val="18"/>
                <w:szCs w:val="18"/>
              </w:rPr>
            </w:pPr>
            <w:r w:rsidRPr="00C63419">
              <w:rPr>
                <w:i/>
                <w:iCs/>
                <w:sz w:val="18"/>
                <w:szCs w:val="18"/>
              </w:rPr>
              <w:t>Sold from the self-selection area of the pharmacy which is operated under the direct supervision of the pharmacist.</w:t>
            </w:r>
            <w:r w:rsidRPr="00C63419">
              <w:rPr>
                <w:sz w:val="18"/>
                <w:szCs w:val="18"/>
              </w:rPr>
              <w:t> </w:t>
            </w:r>
          </w:p>
        </w:tc>
        <w:tc>
          <w:tcPr>
            <w:tcW w:w="1851" w:type="dxa"/>
            <w:vMerge w:val="restart"/>
            <w:tcBorders>
              <w:top w:val="nil"/>
              <w:left w:val="nil"/>
              <w:bottom w:val="single" w:sz="6" w:space="0" w:color="auto"/>
              <w:right w:val="single" w:sz="6" w:space="0" w:color="auto"/>
            </w:tcBorders>
            <w:shd w:val="clear" w:color="auto" w:fill="auto"/>
            <w:vAlign w:val="center"/>
            <w:hideMark/>
          </w:tcPr>
          <w:p w14:paraId="702BBC74" w14:textId="77777777" w:rsidR="00C63419" w:rsidRPr="00C63419" w:rsidRDefault="00C63419" w:rsidP="00C63419">
            <w:pPr>
              <w:rPr>
                <w:sz w:val="18"/>
                <w:szCs w:val="18"/>
              </w:rPr>
            </w:pPr>
            <w:r w:rsidRPr="00C63419">
              <w:rPr>
                <w:b/>
                <w:bCs/>
                <w:sz w:val="18"/>
                <w:szCs w:val="18"/>
              </w:rPr>
              <w:t>Pharmacy-Only*</w:t>
            </w:r>
            <w:r w:rsidRPr="00C63419">
              <w:rPr>
                <w:sz w:val="18"/>
                <w:szCs w:val="18"/>
              </w:rPr>
              <w:t> </w:t>
            </w:r>
          </w:p>
          <w:p w14:paraId="58E9B190" w14:textId="77777777" w:rsidR="00C63419" w:rsidRPr="00C63419" w:rsidRDefault="00C63419" w:rsidP="00C63419">
            <w:pPr>
              <w:rPr>
                <w:sz w:val="18"/>
                <w:szCs w:val="18"/>
              </w:rPr>
            </w:pPr>
            <w:r w:rsidRPr="00C63419">
              <w:rPr>
                <w:i/>
                <w:iCs/>
                <w:sz w:val="18"/>
                <w:szCs w:val="18"/>
              </w:rPr>
              <w:t>Available only under the supervision of a pharmacist.</w:t>
            </w:r>
            <w:r w:rsidRPr="00C63419">
              <w:rPr>
                <w:sz w:val="18"/>
                <w:szCs w:val="18"/>
              </w:rPr>
              <w:t> </w:t>
            </w:r>
          </w:p>
        </w:tc>
        <w:tc>
          <w:tcPr>
            <w:tcW w:w="2064" w:type="dxa"/>
            <w:tcBorders>
              <w:top w:val="nil"/>
              <w:left w:val="nil"/>
              <w:bottom w:val="single" w:sz="6" w:space="0" w:color="auto"/>
              <w:right w:val="single" w:sz="6" w:space="0" w:color="auto"/>
            </w:tcBorders>
            <w:shd w:val="clear" w:color="auto" w:fill="auto"/>
            <w:vAlign w:val="center"/>
            <w:hideMark/>
          </w:tcPr>
          <w:p w14:paraId="184DD23B" w14:textId="77777777" w:rsidR="00C63419" w:rsidRPr="00C63419" w:rsidRDefault="00C63419" w:rsidP="00C63419">
            <w:pPr>
              <w:rPr>
                <w:sz w:val="18"/>
                <w:szCs w:val="18"/>
              </w:rPr>
            </w:pPr>
            <w:r w:rsidRPr="00C63419">
              <w:rPr>
                <w:i/>
                <w:iCs/>
                <w:sz w:val="18"/>
                <w:szCs w:val="18"/>
              </w:rPr>
              <w:t>Can be sold in licensed pharmacies and sales can be made by any salesperson.</w:t>
            </w:r>
            <w:r w:rsidRPr="00C63419">
              <w:rPr>
                <w:sz w:val="18"/>
                <w:szCs w:val="18"/>
              </w:rPr>
              <w:t> </w:t>
            </w:r>
          </w:p>
        </w:tc>
        <w:tc>
          <w:tcPr>
            <w:tcW w:w="0" w:type="auto"/>
            <w:vMerge/>
            <w:tcBorders>
              <w:top w:val="nil"/>
              <w:left w:val="nil"/>
              <w:bottom w:val="single" w:sz="6" w:space="0" w:color="auto"/>
              <w:right w:val="single" w:sz="6" w:space="0" w:color="auto"/>
            </w:tcBorders>
            <w:shd w:val="clear" w:color="auto" w:fill="auto"/>
            <w:vAlign w:val="center"/>
            <w:hideMark/>
          </w:tcPr>
          <w:p w14:paraId="7C86F101" w14:textId="77777777" w:rsidR="00C63419" w:rsidRPr="00C63419" w:rsidRDefault="00C63419" w:rsidP="00C63419">
            <w:pPr>
              <w:rPr>
                <w:sz w:val="18"/>
                <w:szCs w:val="18"/>
              </w:rPr>
            </w:pPr>
          </w:p>
        </w:tc>
        <w:tc>
          <w:tcPr>
            <w:tcW w:w="2166" w:type="dxa"/>
            <w:tcBorders>
              <w:top w:val="nil"/>
              <w:left w:val="nil"/>
              <w:bottom w:val="single" w:sz="6" w:space="0" w:color="auto"/>
              <w:right w:val="single" w:sz="6" w:space="0" w:color="auto"/>
            </w:tcBorders>
            <w:shd w:val="clear" w:color="auto" w:fill="auto"/>
            <w:vAlign w:val="center"/>
            <w:hideMark/>
          </w:tcPr>
          <w:p w14:paraId="5FD8AFD1" w14:textId="77777777" w:rsidR="00C63419" w:rsidRPr="00C63419" w:rsidRDefault="00C63419" w:rsidP="00C63419">
            <w:pPr>
              <w:rPr>
                <w:sz w:val="18"/>
                <w:szCs w:val="18"/>
              </w:rPr>
            </w:pPr>
            <w:r w:rsidRPr="00C63419">
              <w:rPr>
                <w:i/>
                <w:iCs/>
                <w:sz w:val="18"/>
                <w:szCs w:val="18"/>
              </w:rPr>
              <w:t>n/a</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16DDD9E4" w14:textId="77777777" w:rsidR="00C63419" w:rsidRPr="00C63419" w:rsidRDefault="00C63419" w:rsidP="00C63419">
            <w:pPr>
              <w:rPr>
                <w:sz w:val="18"/>
                <w:szCs w:val="18"/>
              </w:rPr>
            </w:pPr>
            <w:r w:rsidRPr="00C63419">
              <w:rPr>
                <w:sz w:val="18"/>
                <w:szCs w:val="18"/>
              </w:rPr>
              <w:t>n/a </w:t>
            </w:r>
          </w:p>
        </w:tc>
      </w:tr>
      <w:tr w:rsidR="008450B5" w:rsidRPr="00C63419" w14:paraId="1FE3FE7B" w14:textId="77777777" w:rsidTr="008450B5">
        <w:trPr>
          <w:trHeight w:val="382"/>
        </w:trPr>
        <w:tc>
          <w:tcPr>
            <w:tcW w:w="1632" w:type="dxa"/>
            <w:vMerge w:val="restart"/>
            <w:tcBorders>
              <w:top w:val="nil"/>
              <w:left w:val="single" w:sz="6" w:space="0" w:color="auto"/>
              <w:bottom w:val="single" w:sz="6" w:space="0" w:color="auto"/>
              <w:right w:val="single" w:sz="6" w:space="0" w:color="auto"/>
            </w:tcBorders>
            <w:shd w:val="clear" w:color="auto" w:fill="A6A6A6"/>
            <w:vAlign w:val="center"/>
            <w:hideMark/>
          </w:tcPr>
          <w:p w14:paraId="1793C530" w14:textId="77777777" w:rsidR="00C63419" w:rsidRPr="00C63419" w:rsidRDefault="00C63419" w:rsidP="00C63419">
            <w:pPr>
              <w:rPr>
                <w:sz w:val="18"/>
                <w:szCs w:val="18"/>
              </w:rPr>
            </w:pPr>
            <w:r w:rsidRPr="00C63419">
              <w:rPr>
                <w:b/>
                <w:bCs/>
                <w:sz w:val="18"/>
                <w:szCs w:val="18"/>
              </w:rPr>
              <w:t>Schedule 3</w:t>
            </w:r>
            <w:r w:rsidRPr="00C63419">
              <w:rPr>
                <w:sz w:val="18"/>
                <w:szCs w:val="18"/>
              </w:rPr>
              <w:t> </w:t>
            </w:r>
          </w:p>
        </w:tc>
        <w:tc>
          <w:tcPr>
            <w:tcW w:w="2447" w:type="dxa"/>
            <w:tcBorders>
              <w:top w:val="nil"/>
              <w:left w:val="nil"/>
              <w:bottom w:val="single" w:sz="6" w:space="0" w:color="auto"/>
              <w:right w:val="single" w:sz="6" w:space="0" w:color="auto"/>
            </w:tcBorders>
            <w:shd w:val="clear" w:color="auto" w:fill="auto"/>
            <w:vAlign w:val="center"/>
            <w:hideMark/>
          </w:tcPr>
          <w:p w14:paraId="1B007ED5" w14:textId="77777777" w:rsidR="00C63419" w:rsidRPr="00C63419" w:rsidRDefault="00C63419" w:rsidP="008450B5">
            <w:pPr>
              <w:spacing w:after="0"/>
              <w:rPr>
                <w:sz w:val="18"/>
                <w:szCs w:val="18"/>
              </w:rPr>
            </w:pPr>
            <w:r w:rsidRPr="00C63419">
              <w:rPr>
                <w:b/>
                <w:bCs/>
                <w:sz w:val="18"/>
                <w:szCs w:val="18"/>
              </w:rPr>
              <w:t>Schedule 2</w:t>
            </w:r>
            <w:r w:rsidRPr="00C63419">
              <w:rPr>
                <w:sz w:val="18"/>
                <w:szCs w:val="18"/>
              </w:rPr>
              <w:t> </w:t>
            </w:r>
          </w:p>
        </w:tc>
        <w:tc>
          <w:tcPr>
            <w:tcW w:w="0" w:type="auto"/>
            <w:vMerge/>
            <w:tcBorders>
              <w:top w:val="nil"/>
              <w:left w:val="nil"/>
              <w:bottom w:val="single" w:sz="6" w:space="0" w:color="auto"/>
              <w:right w:val="single" w:sz="6" w:space="0" w:color="auto"/>
            </w:tcBorders>
            <w:shd w:val="clear" w:color="auto" w:fill="auto"/>
            <w:vAlign w:val="center"/>
            <w:hideMark/>
          </w:tcPr>
          <w:p w14:paraId="7D0E7449" w14:textId="77777777" w:rsidR="00C63419" w:rsidRPr="00C63419" w:rsidRDefault="00C63419" w:rsidP="00C63419">
            <w:pPr>
              <w:rPr>
                <w:sz w:val="18"/>
                <w:szCs w:val="18"/>
              </w:rPr>
            </w:pPr>
          </w:p>
        </w:tc>
        <w:tc>
          <w:tcPr>
            <w:tcW w:w="2064" w:type="dxa"/>
            <w:tcBorders>
              <w:top w:val="nil"/>
              <w:left w:val="nil"/>
              <w:bottom w:val="single" w:sz="6" w:space="0" w:color="auto"/>
              <w:right w:val="single" w:sz="6" w:space="0" w:color="auto"/>
            </w:tcBorders>
            <w:shd w:val="clear" w:color="auto" w:fill="auto"/>
            <w:vAlign w:val="center"/>
            <w:hideMark/>
          </w:tcPr>
          <w:p w14:paraId="2E901C97" w14:textId="77777777" w:rsidR="00C63419" w:rsidRPr="00C63419" w:rsidRDefault="00C63419" w:rsidP="008450B5">
            <w:pPr>
              <w:spacing w:after="0"/>
              <w:rPr>
                <w:sz w:val="18"/>
                <w:szCs w:val="18"/>
              </w:rPr>
            </w:pPr>
            <w:r w:rsidRPr="00C63419">
              <w:rPr>
                <w:b/>
                <w:bCs/>
                <w:sz w:val="18"/>
                <w:szCs w:val="18"/>
              </w:rPr>
              <w:t>Restricted</w:t>
            </w:r>
            <w:r w:rsidRPr="00C63419">
              <w:rPr>
                <w:sz w:val="18"/>
                <w:szCs w:val="18"/>
              </w:rPr>
              <w:t> </w:t>
            </w:r>
          </w:p>
        </w:tc>
        <w:tc>
          <w:tcPr>
            <w:tcW w:w="0" w:type="auto"/>
            <w:vMerge/>
            <w:tcBorders>
              <w:top w:val="nil"/>
              <w:left w:val="nil"/>
              <w:bottom w:val="single" w:sz="6" w:space="0" w:color="auto"/>
              <w:right w:val="single" w:sz="6" w:space="0" w:color="auto"/>
            </w:tcBorders>
            <w:shd w:val="clear" w:color="auto" w:fill="auto"/>
            <w:vAlign w:val="center"/>
            <w:hideMark/>
          </w:tcPr>
          <w:p w14:paraId="69A5A14C" w14:textId="77777777" w:rsidR="00C63419" w:rsidRPr="00C63419" w:rsidRDefault="00C63419" w:rsidP="00C63419">
            <w:pPr>
              <w:rPr>
                <w:sz w:val="18"/>
                <w:szCs w:val="18"/>
              </w:rPr>
            </w:pPr>
          </w:p>
        </w:tc>
        <w:tc>
          <w:tcPr>
            <w:tcW w:w="2166" w:type="dxa"/>
            <w:tcBorders>
              <w:top w:val="nil"/>
              <w:left w:val="nil"/>
              <w:bottom w:val="single" w:sz="6" w:space="0" w:color="auto"/>
              <w:right w:val="single" w:sz="6" w:space="0" w:color="auto"/>
            </w:tcBorders>
            <w:shd w:val="clear" w:color="auto" w:fill="auto"/>
            <w:vAlign w:val="center"/>
            <w:hideMark/>
          </w:tcPr>
          <w:p w14:paraId="1229D5A7" w14:textId="17A4CCE6" w:rsidR="00C63419" w:rsidRPr="000340E4" w:rsidRDefault="00C63419" w:rsidP="008450B5">
            <w:pPr>
              <w:spacing w:after="0"/>
              <w:rPr>
                <w:sz w:val="18"/>
                <w:szCs w:val="18"/>
              </w:rPr>
            </w:pPr>
            <w:r w:rsidRPr="000340E4">
              <w:rPr>
                <w:b/>
                <w:bCs/>
                <w:sz w:val="18"/>
                <w:szCs w:val="18"/>
              </w:rPr>
              <w:t>P</w:t>
            </w:r>
            <w:r w:rsidR="002558DC">
              <w:rPr>
                <w:b/>
                <w:bCs/>
                <w:sz w:val="18"/>
                <w:szCs w:val="18"/>
              </w:rPr>
              <w:t>harmacy</w:t>
            </w:r>
            <w:r w:rsidRPr="000340E4">
              <w:rPr>
                <w:b/>
                <w:bCs/>
                <w:sz w:val="18"/>
                <w:szCs w:val="18"/>
              </w:rPr>
              <w:t xml:space="preserve"> M</w:t>
            </w:r>
            <w:r w:rsidR="002558DC">
              <w:rPr>
                <w:b/>
                <w:bCs/>
                <w:sz w:val="18"/>
                <w:szCs w:val="18"/>
              </w:rPr>
              <w:t>edicine</w:t>
            </w:r>
            <w:r w:rsidRPr="000340E4">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69F61080" w14:textId="77777777" w:rsidR="00C63419" w:rsidRPr="00C63419" w:rsidRDefault="00C63419" w:rsidP="00C63419">
            <w:pPr>
              <w:rPr>
                <w:sz w:val="18"/>
                <w:szCs w:val="18"/>
              </w:rPr>
            </w:pPr>
            <w:r w:rsidRPr="00C63419">
              <w:rPr>
                <w:sz w:val="18"/>
                <w:szCs w:val="18"/>
              </w:rPr>
              <w:t>n/a </w:t>
            </w:r>
          </w:p>
        </w:tc>
      </w:tr>
      <w:tr w:rsidR="008450B5" w:rsidRPr="00C63419" w14:paraId="7173F99A" w14:textId="77777777" w:rsidTr="008450B5">
        <w:trPr>
          <w:trHeight w:val="1170"/>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08A67174" w14:textId="77777777" w:rsidR="00C63419" w:rsidRPr="00C63419" w:rsidRDefault="00C63419" w:rsidP="00C63419">
            <w:pPr>
              <w:rPr>
                <w:sz w:val="18"/>
                <w:szCs w:val="18"/>
              </w:rPr>
            </w:pPr>
          </w:p>
        </w:tc>
        <w:tc>
          <w:tcPr>
            <w:tcW w:w="2447" w:type="dxa"/>
            <w:tcBorders>
              <w:top w:val="nil"/>
              <w:left w:val="nil"/>
              <w:bottom w:val="single" w:sz="6" w:space="0" w:color="auto"/>
              <w:right w:val="single" w:sz="6" w:space="0" w:color="auto"/>
            </w:tcBorders>
            <w:shd w:val="clear" w:color="auto" w:fill="auto"/>
            <w:vAlign w:val="center"/>
            <w:hideMark/>
          </w:tcPr>
          <w:p w14:paraId="745B2E87" w14:textId="77777777" w:rsidR="00C63419" w:rsidRPr="00C63419" w:rsidRDefault="00C63419" w:rsidP="00C63419">
            <w:pPr>
              <w:rPr>
                <w:sz w:val="18"/>
                <w:szCs w:val="18"/>
              </w:rPr>
            </w:pPr>
            <w:r w:rsidRPr="00C63419">
              <w:rPr>
                <w:i/>
                <w:iCs/>
                <w:sz w:val="18"/>
                <w:szCs w:val="18"/>
              </w:rPr>
              <w:t>Require professional intervention from the pharmacist at the point of sale and possible referral to a practitioner.</w:t>
            </w:r>
            <w:r w:rsidRPr="00C63419">
              <w:rPr>
                <w:sz w:val="18"/>
                <w:szCs w:val="18"/>
              </w:rPr>
              <w:t> </w:t>
            </w:r>
          </w:p>
        </w:tc>
        <w:tc>
          <w:tcPr>
            <w:tcW w:w="0" w:type="auto"/>
            <w:vMerge/>
            <w:tcBorders>
              <w:top w:val="nil"/>
              <w:left w:val="nil"/>
              <w:bottom w:val="single" w:sz="6" w:space="0" w:color="auto"/>
              <w:right w:val="single" w:sz="6" w:space="0" w:color="auto"/>
            </w:tcBorders>
            <w:shd w:val="clear" w:color="auto" w:fill="auto"/>
            <w:vAlign w:val="center"/>
            <w:hideMark/>
          </w:tcPr>
          <w:p w14:paraId="6914E481" w14:textId="77777777" w:rsidR="00C63419" w:rsidRPr="00C63419" w:rsidRDefault="00C63419" w:rsidP="00C63419">
            <w:pPr>
              <w:rPr>
                <w:sz w:val="18"/>
                <w:szCs w:val="18"/>
              </w:rPr>
            </w:pPr>
          </w:p>
        </w:tc>
        <w:tc>
          <w:tcPr>
            <w:tcW w:w="2064" w:type="dxa"/>
            <w:tcBorders>
              <w:top w:val="nil"/>
              <w:left w:val="nil"/>
              <w:bottom w:val="single" w:sz="6" w:space="0" w:color="auto"/>
              <w:right w:val="single" w:sz="6" w:space="0" w:color="auto"/>
            </w:tcBorders>
            <w:shd w:val="clear" w:color="auto" w:fill="auto"/>
            <w:vAlign w:val="center"/>
            <w:hideMark/>
          </w:tcPr>
          <w:p w14:paraId="618F259E" w14:textId="77777777" w:rsidR="00C63419" w:rsidRPr="00C63419" w:rsidRDefault="00C63419" w:rsidP="00C63419">
            <w:pPr>
              <w:rPr>
                <w:sz w:val="18"/>
                <w:szCs w:val="18"/>
              </w:rPr>
            </w:pPr>
            <w:r w:rsidRPr="00C63419">
              <w:rPr>
                <w:i/>
                <w:iCs/>
                <w:sz w:val="18"/>
                <w:szCs w:val="18"/>
              </w:rPr>
              <w:t>Is not available for self-selection from pharmacy shelves, and the sale must be made by a pharmacist.</w:t>
            </w:r>
            <w:r w:rsidRPr="00C63419">
              <w:rPr>
                <w:sz w:val="18"/>
                <w:szCs w:val="18"/>
              </w:rPr>
              <w:t> </w:t>
            </w:r>
          </w:p>
        </w:tc>
        <w:tc>
          <w:tcPr>
            <w:tcW w:w="0" w:type="auto"/>
            <w:vMerge/>
            <w:tcBorders>
              <w:top w:val="nil"/>
              <w:left w:val="nil"/>
              <w:bottom w:val="single" w:sz="6" w:space="0" w:color="auto"/>
              <w:right w:val="single" w:sz="6" w:space="0" w:color="auto"/>
            </w:tcBorders>
            <w:shd w:val="clear" w:color="auto" w:fill="auto"/>
            <w:vAlign w:val="center"/>
            <w:hideMark/>
          </w:tcPr>
          <w:p w14:paraId="4BA308CC" w14:textId="77777777" w:rsidR="00C63419" w:rsidRPr="00C63419" w:rsidRDefault="00C63419" w:rsidP="00C63419">
            <w:pPr>
              <w:rPr>
                <w:sz w:val="18"/>
                <w:szCs w:val="18"/>
              </w:rPr>
            </w:pPr>
          </w:p>
        </w:tc>
        <w:tc>
          <w:tcPr>
            <w:tcW w:w="2166" w:type="dxa"/>
            <w:tcBorders>
              <w:top w:val="nil"/>
              <w:left w:val="nil"/>
              <w:bottom w:val="single" w:sz="6" w:space="0" w:color="auto"/>
              <w:right w:val="single" w:sz="6" w:space="0" w:color="auto"/>
            </w:tcBorders>
            <w:shd w:val="clear" w:color="auto" w:fill="auto"/>
            <w:vAlign w:val="center"/>
            <w:hideMark/>
          </w:tcPr>
          <w:p w14:paraId="48955140" w14:textId="77777777" w:rsidR="00C63419" w:rsidRPr="00C63419" w:rsidRDefault="00C63419" w:rsidP="00C63419">
            <w:pPr>
              <w:rPr>
                <w:sz w:val="18"/>
                <w:szCs w:val="18"/>
              </w:rPr>
            </w:pPr>
            <w:r w:rsidRPr="00C63419">
              <w:rPr>
                <w:i/>
                <w:iCs/>
                <w:sz w:val="18"/>
                <w:szCs w:val="18"/>
              </w:rPr>
              <w:t>Can be sold from a registered pharmacy premises by a pharmacist or a person acting under the supervision of a pharmacist.</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235AE79B" w14:textId="77777777" w:rsidR="00C63419" w:rsidRPr="00C63419" w:rsidRDefault="00C63419" w:rsidP="00C63419">
            <w:pPr>
              <w:rPr>
                <w:sz w:val="18"/>
                <w:szCs w:val="18"/>
              </w:rPr>
            </w:pPr>
            <w:r w:rsidRPr="00C63419">
              <w:rPr>
                <w:sz w:val="18"/>
                <w:szCs w:val="18"/>
              </w:rPr>
              <w:t>n/a </w:t>
            </w:r>
          </w:p>
        </w:tc>
      </w:tr>
      <w:tr w:rsidR="008450B5" w:rsidRPr="00C63419" w14:paraId="6AA1DE48" w14:textId="77777777" w:rsidTr="008450B5">
        <w:trPr>
          <w:trHeight w:val="300"/>
        </w:trPr>
        <w:tc>
          <w:tcPr>
            <w:tcW w:w="1632" w:type="dxa"/>
            <w:vMerge w:val="restart"/>
            <w:tcBorders>
              <w:top w:val="nil"/>
              <w:left w:val="single" w:sz="6" w:space="0" w:color="auto"/>
              <w:bottom w:val="single" w:sz="6" w:space="0" w:color="auto"/>
              <w:right w:val="single" w:sz="6" w:space="0" w:color="auto"/>
            </w:tcBorders>
            <w:shd w:val="clear" w:color="auto" w:fill="A6A6A6"/>
            <w:vAlign w:val="center"/>
            <w:hideMark/>
          </w:tcPr>
          <w:p w14:paraId="093B700D" w14:textId="77777777" w:rsidR="00C63419" w:rsidRPr="00C63419" w:rsidRDefault="00C63419" w:rsidP="00C63419">
            <w:pPr>
              <w:rPr>
                <w:sz w:val="18"/>
                <w:szCs w:val="18"/>
              </w:rPr>
            </w:pPr>
            <w:r w:rsidRPr="00C63419">
              <w:rPr>
                <w:b/>
                <w:bCs/>
                <w:sz w:val="18"/>
                <w:szCs w:val="18"/>
              </w:rPr>
              <w:t>Schedule 4</w:t>
            </w:r>
            <w:r w:rsidRPr="00C63419">
              <w:rPr>
                <w:sz w:val="18"/>
                <w:szCs w:val="18"/>
              </w:rPr>
              <w:t> </w:t>
            </w:r>
          </w:p>
        </w:tc>
        <w:tc>
          <w:tcPr>
            <w:tcW w:w="2447" w:type="dxa"/>
            <w:tcBorders>
              <w:top w:val="nil"/>
              <w:left w:val="nil"/>
              <w:bottom w:val="single" w:sz="6" w:space="0" w:color="auto"/>
              <w:right w:val="single" w:sz="6" w:space="0" w:color="auto"/>
            </w:tcBorders>
            <w:shd w:val="clear" w:color="auto" w:fill="auto"/>
            <w:vAlign w:val="center"/>
            <w:hideMark/>
          </w:tcPr>
          <w:p w14:paraId="484653CD" w14:textId="77777777" w:rsidR="00C63419" w:rsidRPr="00C63419" w:rsidRDefault="00C63419" w:rsidP="008450B5">
            <w:pPr>
              <w:spacing w:after="0"/>
              <w:rPr>
                <w:sz w:val="18"/>
                <w:szCs w:val="18"/>
              </w:rPr>
            </w:pPr>
            <w:r w:rsidRPr="00C63419">
              <w:rPr>
                <w:b/>
                <w:bCs/>
                <w:sz w:val="18"/>
                <w:szCs w:val="18"/>
              </w:rPr>
              <w:t>Schedule 1</w:t>
            </w:r>
            <w:r w:rsidRPr="00C63419">
              <w:rPr>
                <w:sz w:val="18"/>
                <w:szCs w:val="18"/>
              </w:rPr>
              <w:t> </w:t>
            </w:r>
          </w:p>
        </w:tc>
        <w:tc>
          <w:tcPr>
            <w:tcW w:w="1851" w:type="dxa"/>
            <w:tcBorders>
              <w:top w:val="nil"/>
              <w:left w:val="nil"/>
              <w:bottom w:val="single" w:sz="6" w:space="0" w:color="auto"/>
              <w:right w:val="single" w:sz="6" w:space="0" w:color="auto"/>
            </w:tcBorders>
            <w:shd w:val="clear" w:color="auto" w:fill="auto"/>
            <w:vAlign w:val="center"/>
            <w:hideMark/>
          </w:tcPr>
          <w:p w14:paraId="4D09B856" w14:textId="77777777" w:rsidR="00C63419" w:rsidRPr="00C63419" w:rsidRDefault="00C63419" w:rsidP="008450B5">
            <w:pPr>
              <w:spacing w:after="0"/>
              <w:rPr>
                <w:sz w:val="18"/>
                <w:szCs w:val="18"/>
              </w:rPr>
            </w:pPr>
            <w:r w:rsidRPr="00C63419">
              <w:rPr>
                <w:b/>
                <w:bCs/>
                <w:sz w:val="18"/>
                <w:szCs w:val="18"/>
              </w:rPr>
              <w:t>Prescription</w:t>
            </w:r>
            <w:r w:rsidRPr="00C63419">
              <w:rPr>
                <w:sz w:val="18"/>
                <w:szCs w:val="18"/>
              </w:rPr>
              <w:t> </w:t>
            </w:r>
          </w:p>
        </w:tc>
        <w:tc>
          <w:tcPr>
            <w:tcW w:w="2064" w:type="dxa"/>
            <w:tcBorders>
              <w:top w:val="nil"/>
              <w:left w:val="nil"/>
              <w:bottom w:val="single" w:sz="6" w:space="0" w:color="auto"/>
              <w:right w:val="single" w:sz="6" w:space="0" w:color="auto"/>
            </w:tcBorders>
            <w:shd w:val="clear" w:color="auto" w:fill="auto"/>
            <w:vAlign w:val="center"/>
            <w:hideMark/>
          </w:tcPr>
          <w:p w14:paraId="08F1A56B" w14:textId="77777777" w:rsidR="00C63419" w:rsidRPr="00C63419" w:rsidRDefault="00C63419" w:rsidP="008450B5">
            <w:pPr>
              <w:spacing w:after="0"/>
              <w:rPr>
                <w:sz w:val="18"/>
                <w:szCs w:val="18"/>
              </w:rPr>
            </w:pPr>
            <w:r w:rsidRPr="00C63419">
              <w:rPr>
                <w:b/>
                <w:bCs/>
                <w:sz w:val="18"/>
                <w:szCs w:val="18"/>
              </w:rPr>
              <w:t>Prescription</w:t>
            </w:r>
            <w:r w:rsidRPr="00C63419">
              <w:rPr>
                <w:sz w:val="18"/>
                <w:szCs w:val="18"/>
              </w:rPr>
              <w:t> </w:t>
            </w:r>
          </w:p>
        </w:tc>
        <w:tc>
          <w:tcPr>
            <w:tcW w:w="2038" w:type="dxa"/>
            <w:tcBorders>
              <w:top w:val="nil"/>
              <w:left w:val="nil"/>
              <w:bottom w:val="single" w:sz="6" w:space="0" w:color="auto"/>
              <w:right w:val="single" w:sz="6" w:space="0" w:color="auto"/>
            </w:tcBorders>
            <w:shd w:val="clear" w:color="auto" w:fill="auto"/>
            <w:vAlign w:val="center"/>
            <w:hideMark/>
          </w:tcPr>
          <w:p w14:paraId="3963BC1C" w14:textId="77777777" w:rsidR="00C63419" w:rsidRPr="00C63419" w:rsidRDefault="00C63419" w:rsidP="008450B5">
            <w:pPr>
              <w:spacing w:after="0"/>
              <w:rPr>
                <w:sz w:val="18"/>
                <w:szCs w:val="18"/>
              </w:rPr>
            </w:pPr>
            <w:r w:rsidRPr="00C63419">
              <w:rPr>
                <w:b/>
                <w:bCs/>
                <w:sz w:val="18"/>
                <w:szCs w:val="18"/>
              </w:rPr>
              <w:t>Prescription Only Medicine</w:t>
            </w:r>
            <w:r w:rsidRPr="00C63419">
              <w:rPr>
                <w:sz w:val="18"/>
                <w:szCs w:val="18"/>
              </w:rPr>
              <w:t> </w:t>
            </w:r>
          </w:p>
        </w:tc>
        <w:tc>
          <w:tcPr>
            <w:tcW w:w="2166" w:type="dxa"/>
            <w:tcBorders>
              <w:top w:val="nil"/>
              <w:left w:val="nil"/>
              <w:bottom w:val="single" w:sz="6" w:space="0" w:color="auto"/>
              <w:right w:val="single" w:sz="6" w:space="0" w:color="auto"/>
            </w:tcBorders>
            <w:shd w:val="clear" w:color="auto" w:fill="auto"/>
            <w:vAlign w:val="center"/>
            <w:hideMark/>
          </w:tcPr>
          <w:p w14:paraId="42344787" w14:textId="77777777" w:rsidR="00C63419" w:rsidRPr="00C63419" w:rsidRDefault="00C63419" w:rsidP="008450B5">
            <w:pPr>
              <w:spacing w:after="0"/>
              <w:rPr>
                <w:sz w:val="18"/>
                <w:szCs w:val="18"/>
              </w:rPr>
            </w:pPr>
            <w:r w:rsidRPr="00C63419">
              <w:rPr>
                <w:b/>
                <w:bCs/>
                <w:sz w:val="18"/>
                <w:szCs w:val="18"/>
              </w:rPr>
              <w:t>Prescription Only Medicine</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6AA8D936" w14:textId="77777777" w:rsidR="00C63419" w:rsidRPr="00C63419" w:rsidRDefault="00C63419" w:rsidP="008450B5">
            <w:pPr>
              <w:spacing w:after="0"/>
              <w:rPr>
                <w:sz w:val="18"/>
                <w:szCs w:val="18"/>
              </w:rPr>
            </w:pPr>
            <w:r w:rsidRPr="00C63419">
              <w:rPr>
                <w:b/>
                <w:bCs/>
                <w:sz w:val="18"/>
                <w:szCs w:val="18"/>
              </w:rPr>
              <w:t>Prescription Only</w:t>
            </w:r>
            <w:r w:rsidRPr="00C63419">
              <w:rPr>
                <w:sz w:val="18"/>
                <w:szCs w:val="18"/>
              </w:rPr>
              <w:t> </w:t>
            </w:r>
          </w:p>
        </w:tc>
      </w:tr>
      <w:tr w:rsidR="008450B5" w:rsidRPr="00C63419" w14:paraId="710C8837" w14:textId="77777777" w:rsidTr="008450B5">
        <w:trPr>
          <w:trHeight w:val="863"/>
        </w:trPr>
        <w:tc>
          <w:tcPr>
            <w:tcW w:w="0" w:type="auto"/>
            <w:vMerge/>
            <w:tcBorders>
              <w:top w:val="nil"/>
              <w:left w:val="single" w:sz="6" w:space="0" w:color="auto"/>
              <w:bottom w:val="single" w:sz="6" w:space="0" w:color="auto"/>
              <w:right w:val="single" w:sz="6" w:space="0" w:color="auto"/>
            </w:tcBorders>
            <w:shd w:val="clear" w:color="auto" w:fill="auto"/>
            <w:vAlign w:val="center"/>
            <w:hideMark/>
          </w:tcPr>
          <w:p w14:paraId="5ED95F0C" w14:textId="77777777" w:rsidR="00C63419" w:rsidRPr="00C63419" w:rsidRDefault="00C63419" w:rsidP="00C63419">
            <w:pPr>
              <w:rPr>
                <w:sz w:val="18"/>
                <w:szCs w:val="18"/>
              </w:rPr>
            </w:pPr>
          </w:p>
        </w:tc>
        <w:tc>
          <w:tcPr>
            <w:tcW w:w="2447" w:type="dxa"/>
            <w:tcBorders>
              <w:top w:val="nil"/>
              <w:left w:val="nil"/>
              <w:bottom w:val="single" w:sz="6" w:space="0" w:color="auto"/>
              <w:right w:val="single" w:sz="6" w:space="0" w:color="auto"/>
            </w:tcBorders>
            <w:shd w:val="clear" w:color="auto" w:fill="auto"/>
            <w:vAlign w:val="center"/>
            <w:hideMark/>
          </w:tcPr>
          <w:p w14:paraId="542048F8" w14:textId="77777777" w:rsidR="00C63419" w:rsidRPr="00C63419" w:rsidRDefault="00C63419" w:rsidP="00C63419">
            <w:pPr>
              <w:rPr>
                <w:sz w:val="18"/>
                <w:szCs w:val="18"/>
              </w:rPr>
            </w:pPr>
            <w:r w:rsidRPr="00C63419">
              <w:rPr>
                <w:i/>
                <w:iCs/>
                <w:sz w:val="18"/>
                <w:szCs w:val="18"/>
              </w:rPr>
              <w:t>Require a prescription for sale.</w:t>
            </w:r>
            <w:r w:rsidRPr="00C63419">
              <w:rPr>
                <w:sz w:val="18"/>
                <w:szCs w:val="18"/>
              </w:rPr>
              <w:t> </w:t>
            </w:r>
          </w:p>
        </w:tc>
        <w:tc>
          <w:tcPr>
            <w:tcW w:w="1851" w:type="dxa"/>
            <w:tcBorders>
              <w:top w:val="nil"/>
              <w:left w:val="nil"/>
              <w:bottom w:val="single" w:sz="6" w:space="0" w:color="auto"/>
              <w:right w:val="single" w:sz="6" w:space="0" w:color="auto"/>
            </w:tcBorders>
            <w:shd w:val="clear" w:color="auto" w:fill="auto"/>
            <w:vAlign w:val="center"/>
            <w:hideMark/>
          </w:tcPr>
          <w:p w14:paraId="759C245D" w14:textId="77777777" w:rsidR="00C63419" w:rsidRPr="00C63419" w:rsidRDefault="00C63419" w:rsidP="00C63419">
            <w:pPr>
              <w:rPr>
                <w:sz w:val="18"/>
                <w:szCs w:val="18"/>
              </w:rPr>
            </w:pPr>
            <w:r w:rsidRPr="00C63419">
              <w:rPr>
                <w:sz w:val="18"/>
                <w:szCs w:val="18"/>
              </w:rPr>
              <w:t>n/a </w:t>
            </w:r>
          </w:p>
        </w:tc>
        <w:tc>
          <w:tcPr>
            <w:tcW w:w="2064" w:type="dxa"/>
            <w:tcBorders>
              <w:top w:val="nil"/>
              <w:left w:val="nil"/>
              <w:bottom w:val="single" w:sz="6" w:space="0" w:color="auto"/>
              <w:right w:val="single" w:sz="6" w:space="0" w:color="auto"/>
            </w:tcBorders>
            <w:shd w:val="clear" w:color="auto" w:fill="auto"/>
            <w:vAlign w:val="center"/>
            <w:hideMark/>
          </w:tcPr>
          <w:p w14:paraId="022BEE90" w14:textId="77777777" w:rsidR="00C63419" w:rsidRPr="00C63419" w:rsidRDefault="00C63419" w:rsidP="00C63419">
            <w:pPr>
              <w:rPr>
                <w:sz w:val="18"/>
                <w:szCs w:val="18"/>
              </w:rPr>
            </w:pPr>
            <w:r w:rsidRPr="00C63419">
              <w:rPr>
                <w:i/>
                <w:iCs/>
                <w:sz w:val="18"/>
                <w:szCs w:val="18"/>
              </w:rPr>
              <w:t>Available on prescription only and cannot be purchased without a valid prescription.</w:t>
            </w:r>
            <w:r w:rsidRPr="00C63419">
              <w:rPr>
                <w:sz w:val="18"/>
                <w:szCs w:val="18"/>
              </w:rPr>
              <w:t> </w:t>
            </w:r>
          </w:p>
        </w:tc>
        <w:tc>
          <w:tcPr>
            <w:tcW w:w="2038" w:type="dxa"/>
            <w:tcBorders>
              <w:top w:val="nil"/>
              <w:left w:val="nil"/>
              <w:bottom w:val="single" w:sz="6" w:space="0" w:color="auto"/>
              <w:right w:val="single" w:sz="6" w:space="0" w:color="auto"/>
            </w:tcBorders>
            <w:shd w:val="clear" w:color="auto" w:fill="auto"/>
            <w:vAlign w:val="center"/>
            <w:hideMark/>
          </w:tcPr>
          <w:p w14:paraId="6A6BB7A4" w14:textId="77777777" w:rsidR="00C63419" w:rsidRPr="00C63419" w:rsidRDefault="00C63419" w:rsidP="00C63419">
            <w:pPr>
              <w:rPr>
                <w:sz w:val="18"/>
                <w:szCs w:val="18"/>
              </w:rPr>
            </w:pPr>
            <w:r w:rsidRPr="00C63419">
              <w:rPr>
                <w:sz w:val="18"/>
                <w:szCs w:val="18"/>
              </w:rPr>
              <w:t>Sold or supplied to public on prescription only. </w:t>
            </w:r>
          </w:p>
        </w:tc>
        <w:tc>
          <w:tcPr>
            <w:tcW w:w="2166" w:type="dxa"/>
            <w:tcBorders>
              <w:top w:val="nil"/>
              <w:left w:val="nil"/>
              <w:bottom w:val="single" w:sz="6" w:space="0" w:color="auto"/>
              <w:right w:val="single" w:sz="6" w:space="0" w:color="auto"/>
            </w:tcBorders>
            <w:shd w:val="clear" w:color="auto" w:fill="auto"/>
            <w:vAlign w:val="center"/>
            <w:hideMark/>
          </w:tcPr>
          <w:p w14:paraId="41710AA9" w14:textId="77777777" w:rsidR="00C63419" w:rsidRPr="00C63419" w:rsidRDefault="00C63419" w:rsidP="00C63419">
            <w:pPr>
              <w:rPr>
                <w:sz w:val="18"/>
                <w:szCs w:val="18"/>
              </w:rPr>
            </w:pPr>
            <w:r w:rsidRPr="00C63419">
              <w:rPr>
                <w:i/>
                <w:iCs/>
                <w:sz w:val="18"/>
                <w:szCs w:val="18"/>
              </w:rPr>
              <w:t>Legally available only with a valid prescription from a prescriber.</w:t>
            </w:r>
            <w:r w:rsidRPr="00C63419">
              <w:rPr>
                <w:sz w:val="18"/>
                <w:szCs w:val="18"/>
              </w:rPr>
              <w:t> </w:t>
            </w:r>
          </w:p>
        </w:tc>
        <w:tc>
          <w:tcPr>
            <w:tcW w:w="1759" w:type="dxa"/>
            <w:tcBorders>
              <w:top w:val="nil"/>
              <w:left w:val="nil"/>
              <w:bottom w:val="single" w:sz="6" w:space="0" w:color="auto"/>
              <w:right w:val="single" w:sz="6" w:space="0" w:color="auto"/>
            </w:tcBorders>
            <w:shd w:val="clear" w:color="auto" w:fill="auto"/>
            <w:vAlign w:val="center"/>
            <w:hideMark/>
          </w:tcPr>
          <w:p w14:paraId="28B2DE72" w14:textId="77777777" w:rsidR="00C63419" w:rsidRPr="00C63419" w:rsidRDefault="00C63419" w:rsidP="00C63419">
            <w:pPr>
              <w:rPr>
                <w:sz w:val="18"/>
                <w:szCs w:val="18"/>
              </w:rPr>
            </w:pPr>
            <w:r w:rsidRPr="00C63419">
              <w:rPr>
                <w:sz w:val="18"/>
                <w:szCs w:val="18"/>
              </w:rPr>
              <w:t>n/a </w:t>
            </w:r>
          </w:p>
        </w:tc>
      </w:tr>
      <w:tr w:rsidR="00C63419" w:rsidRPr="00C63419" w14:paraId="5AF4ED8F" w14:textId="77777777" w:rsidTr="008450B5">
        <w:trPr>
          <w:trHeight w:val="300"/>
        </w:trPr>
        <w:tc>
          <w:tcPr>
            <w:tcW w:w="10032" w:type="dxa"/>
            <w:gridSpan w:val="5"/>
            <w:tcBorders>
              <w:top w:val="nil"/>
              <w:left w:val="nil"/>
              <w:bottom w:val="nil"/>
              <w:right w:val="nil"/>
            </w:tcBorders>
            <w:shd w:val="clear" w:color="auto" w:fill="auto"/>
            <w:vAlign w:val="bottom"/>
            <w:hideMark/>
          </w:tcPr>
          <w:p w14:paraId="08D286CB" w14:textId="0E6BB0A8" w:rsidR="00C63419" w:rsidRPr="00C63419" w:rsidRDefault="00C63419" w:rsidP="00C63419">
            <w:pPr>
              <w:rPr>
                <w:sz w:val="18"/>
                <w:szCs w:val="18"/>
              </w:rPr>
            </w:pPr>
            <w:r w:rsidRPr="00C63419">
              <w:rPr>
                <w:sz w:val="18"/>
                <w:szCs w:val="18"/>
              </w:rPr>
              <w:t>*No exact equivalent however, allows for supply by or under supervision of a pharmacist hence placed across Australian S2 and S3. </w:t>
            </w:r>
            <w:r w:rsidR="008450B5">
              <w:rPr>
                <w:sz w:val="18"/>
                <w:szCs w:val="18"/>
              </w:rPr>
              <w:br/>
            </w:r>
            <w:r w:rsidR="008450B5" w:rsidRPr="00C63419">
              <w:rPr>
                <w:sz w:val="18"/>
                <w:szCs w:val="18"/>
              </w:rPr>
              <w:t>^No exact equivalent however, available from pharmacy and non-pharmacy outlets without restriction.</w:t>
            </w:r>
          </w:p>
        </w:tc>
        <w:tc>
          <w:tcPr>
            <w:tcW w:w="2166" w:type="dxa"/>
            <w:tcBorders>
              <w:top w:val="nil"/>
              <w:left w:val="nil"/>
              <w:bottom w:val="nil"/>
              <w:right w:val="nil"/>
            </w:tcBorders>
            <w:shd w:val="clear" w:color="auto" w:fill="auto"/>
            <w:vAlign w:val="bottom"/>
            <w:hideMark/>
          </w:tcPr>
          <w:p w14:paraId="0F89C0F0" w14:textId="77777777" w:rsidR="00C63419" w:rsidRPr="00C63419" w:rsidRDefault="00C63419" w:rsidP="00C63419">
            <w:pPr>
              <w:rPr>
                <w:sz w:val="18"/>
                <w:szCs w:val="18"/>
              </w:rPr>
            </w:pPr>
            <w:r w:rsidRPr="00C63419">
              <w:rPr>
                <w:sz w:val="18"/>
                <w:szCs w:val="18"/>
              </w:rPr>
              <w:t> </w:t>
            </w:r>
          </w:p>
        </w:tc>
        <w:tc>
          <w:tcPr>
            <w:tcW w:w="1759" w:type="dxa"/>
            <w:tcBorders>
              <w:top w:val="nil"/>
              <w:left w:val="nil"/>
              <w:bottom w:val="nil"/>
              <w:right w:val="nil"/>
            </w:tcBorders>
            <w:shd w:val="clear" w:color="auto" w:fill="auto"/>
            <w:vAlign w:val="bottom"/>
            <w:hideMark/>
          </w:tcPr>
          <w:p w14:paraId="32BB6A97" w14:textId="77777777" w:rsidR="00C63419" w:rsidRPr="00C63419" w:rsidRDefault="00C63419" w:rsidP="00C63419">
            <w:pPr>
              <w:rPr>
                <w:sz w:val="18"/>
                <w:szCs w:val="18"/>
              </w:rPr>
            </w:pPr>
            <w:r w:rsidRPr="00C63419">
              <w:rPr>
                <w:sz w:val="18"/>
                <w:szCs w:val="18"/>
              </w:rPr>
              <w:t> </w:t>
            </w:r>
          </w:p>
        </w:tc>
      </w:tr>
    </w:tbl>
    <w:p w14:paraId="62E868E1" w14:textId="09F5446B" w:rsidR="00577757" w:rsidRDefault="00C63419" w:rsidP="00C63419">
      <w:pPr>
        <w:sectPr w:rsidR="00577757" w:rsidSect="00577757">
          <w:headerReference w:type="default" r:id="rId158"/>
          <w:footerReference w:type="default" r:id="rId159"/>
          <w:pgSz w:w="16838" w:h="11906" w:orient="landscape"/>
          <w:pgMar w:top="1440" w:right="1440" w:bottom="1440" w:left="1440" w:header="709" w:footer="709" w:gutter="0"/>
          <w:cols w:space="708"/>
          <w:docGrid w:linePitch="360"/>
        </w:sectPr>
      </w:pPr>
      <w:r w:rsidRPr="00C63419">
        <w:t>  </w:t>
      </w:r>
    </w:p>
    <w:p w14:paraId="59C876A1" w14:textId="77777777" w:rsidR="00C63419" w:rsidRPr="00DF4225" w:rsidRDefault="00C63419" w:rsidP="00DF4225">
      <w:pPr>
        <w:rPr>
          <w:rStyle w:val="BookTitle"/>
          <w:rFonts w:asciiTheme="majorHAnsi" w:hAnsiTheme="majorHAnsi" w:cstheme="majorHAnsi"/>
          <w:b w:val="0"/>
          <w:bCs w:val="0"/>
          <w:i w:val="0"/>
          <w:iCs w:val="0"/>
          <w:color w:val="2F5496" w:themeColor="accent1" w:themeShade="BF"/>
          <w:sz w:val="28"/>
          <w:szCs w:val="24"/>
        </w:rPr>
      </w:pPr>
      <w:r w:rsidRPr="00DF4225">
        <w:rPr>
          <w:rStyle w:val="BookTitle"/>
          <w:rFonts w:asciiTheme="majorHAnsi" w:hAnsiTheme="majorHAnsi" w:cstheme="majorHAnsi"/>
          <w:b w:val="0"/>
          <w:bCs w:val="0"/>
          <w:i w:val="0"/>
          <w:iCs w:val="0"/>
          <w:color w:val="2F5496" w:themeColor="accent1" w:themeShade="BF"/>
          <w:sz w:val="28"/>
          <w:szCs w:val="24"/>
        </w:rPr>
        <w:t>Selected Tables/Figures (source data) from publications referenced under international comparisons  </w:t>
      </w:r>
    </w:p>
    <w:p w14:paraId="7A7BD33B" w14:textId="77777777" w:rsidR="00C63419" w:rsidRPr="00577757" w:rsidRDefault="00C63419" w:rsidP="00577757">
      <w:pPr>
        <w:rPr>
          <w:b/>
          <w:bCs/>
        </w:rPr>
      </w:pPr>
      <w:r w:rsidRPr="00577757">
        <w:rPr>
          <w:b/>
          <w:bCs/>
        </w:rPr>
        <w:t>Pack size restrictions and non-pharmacy sale restrictions in European countries in 2015/2016.(1) </w:t>
      </w:r>
    </w:p>
    <w:p w14:paraId="7B6368FA" w14:textId="473CA890" w:rsidR="00C63419" w:rsidRDefault="00C63419" w:rsidP="00C63419">
      <w:r w:rsidRPr="00C63419">
        <w:rPr>
          <w:noProof/>
        </w:rPr>
        <w:drawing>
          <wp:inline distT="0" distB="0" distL="0" distR="0" wp14:anchorId="40A7C8D3" wp14:editId="078DF535">
            <wp:extent cx="5731510" cy="4886325"/>
            <wp:effectExtent l="0" t="0" r="2540" b="9525"/>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4886325"/>
                    </a:xfrm>
                    <a:prstGeom prst="rect">
                      <a:avLst/>
                    </a:prstGeom>
                    <a:noFill/>
                    <a:ln>
                      <a:noFill/>
                    </a:ln>
                  </pic:spPr>
                </pic:pic>
              </a:graphicData>
            </a:graphic>
          </wp:inline>
        </w:drawing>
      </w:r>
      <w:r w:rsidRPr="00C63419">
        <w:t> </w:t>
      </w:r>
    </w:p>
    <w:p w14:paraId="7D1B66DD" w14:textId="20B25C81" w:rsidR="00577757" w:rsidRPr="00C63419" w:rsidRDefault="00577757" w:rsidP="00577757">
      <w:pPr>
        <w:keepNext/>
        <w:rPr>
          <w:b/>
          <w:bCs/>
        </w:rPr>
      </w:pPr>
      <w:r w:rsidRPr="00577757">
        <w:rPr>
          <w:b/>
          <w:bCs/>
        </w:rPr>
        <w:t>US PIC paracetamol (acetaminophen) data from Gummin 2021(2).</w:t>
      </w:r>
    </w:p>
    <w:p w14:paraId="2FBF4A6A" w14:textId="2E3F235E" w:rsidR="00C63419" w:rsidRPr="00C63419" w:rsidRDefault="00C63419" w:rsidP="00F00B65">
      <w:r w:rsidRPr="00C63419">
        <w:rPr>
          <w:noProof/>
        </w:rPr>
        <w:drawing>
          <wp:inline distT="0" distB="0" distL="0" distR="0" wp14:anchorId="7FD012ED" wp14:editId="6A1A64FC">
            <wp:extent cx="5731510" cy="215265"/>
            <wp:effectExtent l="0" t="0" r="254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731510" cy="215265"/>
                    </a:xfrm>
                    <a:prstGeom prst="rect">
                      <a:avLst/>
                    </a:prstGeom>
                    <a:noFill/>
                    <a:ln>
                      <a:noFill/>
                    </a:ln>
                  </pic:spPr>
                </pic:pic>
              </a:graphicData>
            </a:graphic>
          </wp:inline>
        </w:drawing>
      </w:r>
      <w:r w:rsidRPr="00C63419">
        <w:rPr>
          <w:noProof/>
        </w:rPr>
        <w:drawing>
          <wp:inline distT="0" distB="0" distL="0" distR="0" wp14:anchorId="6C730ADA" wp14:editId="4969E9A9">
            <wp:extent cx="5731510" cy="2087245"/>
            <wp:effectExtent l="0" t="0" r="254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31510" cy="2087245"/>
                    </a:xfrm>
                    <a:prstGeom prst="rect">
                      <a:avLst/>
                    </a:prstGeom>
                    <a:noFill/>
                    <a:ln>
                      <a:noFill/>
                    </a:ln>
                  </pic:spPr>
                </pic:pic>
              </a:graphicData>
            </a:graphic>
          </wp:inline>
        </w:drawing>
      </w:r>
    </w:p>
    <w:p w14:paraId="58968745" w14:textId="77777777" w:rsidR="00C63419" w:rsidRPr="00C63419" w:rsidRDefault="00C63419" w:rsidP="00C63419">
      <w:r w:rsidRPr="00C63419">
        <w:t> </w:t>
      </w:r>
    </w:p>
    <w:p w14:paraId="4BAE2F6E" w14:textId="77777777" w:rsidR="00C63419" w:rsidRPr="00C63419" w:rsidRDefault="00C63419" w:rsidP="00577757">
      <w:pPr>
        <w:keepNext/>
        <w:rPr>
          <w:b/>
          <w:bCs/>
        </w:rPr>
      </w:pPr>
      <w:r w:rsidRPr="00C63419">
        <w:rPr>
          <w:b/>
          <w:bCs/>
        </w:rPr>
        <w:t>Longitudinal trends in the same data from the US are shown from Hopkins and demonstrate a rise in children/adolescents roughly corresponding to the timing of the rise in Australia(3) </w:t>
      </w:r>
    </w:p>
    <w:p w14:paraId="745E5CE2" w14:textId="7448DD2E" w:rsidR="00C63419" w:rsidRPr="00C63419" w:rsidRDefault="00C63419" w:rsidP="00C63419">
      <w:r w:rsidRPr="00C63419">
        <w:rPr>
          <w:noProof/>
        </w:rPr>
        <w:drawing>
          <wp:inline distT="0" distB="0" distL="0" distR="0" wp14:anchorId="147437AC" wp14:editId="0A518430">
            <wp:extent cx="5731510" cy="3818890"/>
            <wp:effectExtent l="0" t="0" r="254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731510" cy="3818890"/>
                    </a:xfrm>
                    <a:prstGeom prst="rect">
                      <a:avLst/>
                    </a:prstGeom>
                    <a:noFill/>
                    <a:ln>
                      <a:noFill/>
                    </a:ln>
                  </pic:spPr>
                </pic:pic>
              </a:graphicData>
            </a:graphic>
          </wp:inline>
        </w:drawing>
      </w:r>
      <w:r w:rsidRPr="00C63419">
        <w:t> </w:t>
      </w:r>
    </w:p>
    <w:p w14:paraId="1B8B6A4B" w14:textId="732A1676" w:rsidR="00C63419" w:rsidRPr="00C63419" w:rsidRDefault="00C63419" w:rsidP="00577757">
      <w:pPr>
        <w:keepNext/>
        <w:rPr>
          <w:b/>
          <w:bCs/>
        </w:rPr>
      </w:pPr>
      <w:r w:rsidRPr="00C63419">
        <w:rPr>
          <w:b/>
          <w:bCs/>
          <w:lang w:val="en-US"/>
        </w:rPr>
        <w:t>Edinburgh &amp; Newcastle toxicology treatment centre outcomes for paracetamol overdose.(4)</w:t>
      </w:r>
      <w:r w:rsidRPr="00C63419">
        <w:rPr>
          <w:b/>
          <w:bCs/>
        </w:rPr>
        <w:t> </w:t>
      </w:r>
    </w:p>
    <w:p w14:paraId="4E797F3C" w14:textId="15520A1D" w:rsidR="00C63419" w:rsidRPr="00C63419" w:rsidRDefault="00C63419" w:rsidP="00C63419">
      <w:r w:rsidRPr="00C63419">
        <w:rPr>
          <w:noProof/>
        </w:rPr>
        <w:drawing>
          <wp:inline distT="0" distB="0" distL="0" distR="0" wp14:anchorId="4988794E" wp14:editId="4DF6EF95">
            <wp:extent cx="5731510" cy="1602740"/>
            <wp:effectExtent l="0" t="0" r="254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31510" cy="1602740"/>
                    </a:xfrm>
                    <a:prstGeom prst="rect">
                      <a:avLst/>
                    </a:prstGeom>
                    <a:noFill/>
                    <a:ln>
                      <a:noFill/>
                    </a:ln>
                  </pic:spPr>
                </pic:pic>
              </a:graphicData>
            </a:graphic>
          </wp:inline>
        </w:drawing>
      </w:r>
      <w:r w:rsidRPr="00C63419">
        <w:t> </w:t>
      </w:r>
    </w:p>
    <w:p w14:paraId="2612FF49" w14:textId="77777777" w:rsidR="00C63419" w:rsidRPr="00C63419" w:rsidRDefault="00C63419" w:rsidP="00C63419">
      <w:r w:rsidRPr="00C63419">
        <w:t> </w:t>
      </w:r>
    </w:p>
    <w:p w14:paraId="41D848DE" w14:textId="77777777" w:rsidR="00C63419" w:rsidRPr="00C63419" w:rsidRDefault="00C63419" w:rsidP="00C63419">
      <w:r w:rsidRPr="00C63419">
        <w:t> </w:t>
      </w:r>
    </w:p>
    <w:p w14:paraId="21705314" w14:textId="6302AF84" w:rsidR="00C63419" w:rsidRPr="00C63419" w:rsidRDefault="00C63419" w:rsidP="00C63419">
      <w:r w:rsidRPr="00C63419">
        <w:rPr>
          <w:b/>
          <w:bCs/>
          <w:lang w:val="en-US"/>
        </w:rPr>
        <w:t>Australian toxicology treatment centre overall outcomes for paracetamol overdose.(5) </w:t>
      </w:r>
      <w:r w:rsidRPr="00C63419">
        <w:rPr>
          <w:lang w:val="en-US"/>
        </w:rPr>
        <w:t xml:space="preserve"> </w:t>
      </w:r>
      <w:r w:rsidRPr="00C63419">
        <w:rPr>
          <w:noProof/>
        </w:rPr>
        <w:drawing>
          <wp:inline distT="0" distB="0" distL="0" distR="0" wp14:anchorId="13A28B8B" wp14:editId="31068AAC">
            <wp:extent cx="5257800" cy="27813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57800" cy="2781300"/>
                    </a:xfrm>
                    <a:prstGeom prst="rect">
                      <a:avLst/>
                    </a:prstGeom>
                    <a:noFill/>
                    <a:ln>
                      <a:noFill/>
                    </a:ln>
                  </pic:spPr>
                </pic:pic>
              </a:graphicData>
            </a:graphic>
          </wp:inline>
        </w:drawing>
      </w:r>
      <w:r w:rsidRPr="00C63419">
        <w:t> </w:t>
      </w:r>
    </w:p>
    <w:p w14:paraId="538BE62E" w14:textId="6B1A791D" w:rsidR="00C63419" w:rsidRPr="00C63419" w:rsidRDefault="00C63419" w:rsidP="00C63419">
      <w:r w:rsidRPr="00C63419">
        <w:t> </w:t>
      </w:r>
    </w:p>
    <w:p w14:paraId="390A5B9C" w14:textId="77777777" w:rsidR="00C63419" w:rsidRPr="00C63419" w:rsidRDefault="00C63419" w:rsidP="00C63419">
      <w:r w:rsidRPr="00C63419">
        <w:rPr>
          <w:lang w:val="en-US"/>
        </w:rPr>
        <w:t>1.</w:t>
      </w:r>
      <w:r w:rsidRPr="00C63419">
        <w:t xml:space="preserve"> </w:t>
      </w:r>
      <w:r w:rsidRPr="00C63419">
        <w:rPr>
          <w:lang w:val="en-US"/>
        </w:rPr>
        <w:t>Morthorst BR, Erlangsen A, Nordentoft M, Hawton K, Hoegberg LCG, Dalhoff KP. Availability of Paracetamol Sold Over the Counter in Europe: A Descriptive Cross-Sectional International Survey of Pack Size Restriction. Basic Clin Pharmacol Toxicol. 2018;122(6):643-9.</w:t>
      </w:r>
      <w:r w:rsidRPr="00C63419">
        <w:t> </w:t>
      </w:r>
    </w:p>
    <w:p w14:paraId="5D6954E6" w14:textId="77777777" w:rsidR="00C63419" w:rsidRPr="00C63419" w:rsidRDefault="00C63419" w:rsidP="00C63419">
      <w:r w:rsidRPr="00C63419">
        <w:rPr>
          <w:lang w:val="en-US"/>
        </w:rPr>
        <w:t>2.</w:t>
      </w:r>
      <w:r w:rsidRPr="00C63419">
        <w:t xml:space="preserve"> </w:t>
      </w:r>
      <w:r w:rsidRPr="00C63419">
        <w:rPr>
          <w:lang w:val="en-US"/>
        </w:rPr>
        <w:t>Gummin DD, Mowry JB, Beuhler MC, Spyker DA, Bronstein AC, Rivers LJ, et al. 2020 Annual Report of the American Association of Poison Control Centers' National Poison Data System (NPDS): 38th Annual Report. Clin Toxicol (Phila). 2021;59(12):1282-501.</w:t>
      </w:r>
      <w:r w:rsidRPr="00C63419">
        <w:t> </w:t>
      </w:r>
    </w:p>
    <w:p w14:paraId="2CEAE49B" w14:textId="77777777" w:rsidR="00C63419" w:rsidRPr="00C63419" w:rsidRDefault="00C63419" w:rsidP="00C63419">
      <w:r w:rsidRPr="00C63419">
        <w:rPr>
          <w:lang w:val="en-US"/>
        </w:rPr>
        <w:t>3.</w:t>
      </w:r>
      <w:r w:rsidRPr="00C63419">
        <w:t xml:space="preserve"> </w:t>
      </w:r>
      <w:r w:rsidRPr="00C63419">
        <w:rPr>
          <w:lang w:val="en-US"/>
        </w:rPr>
        <w:t>Hopkins AG, Spiller HA, Kistamgari S, Zhu M, Michaels NL, Funk AR, et al. Suicide-related over-the-counter analgesic exposures reported to United States poison control centers, 2000-2018. Pharmacoepidemiol Drug Saf. 2020;29(9):1011-21.</w:t>
      </w:r>
      <w:r w:rsidRPr="00C63419">
        <w:t> </w:t>
      </w:r>
    </w:p>
    <w:p w14:paraId="4A50DB1C" w14:textId="77777777" w:rsidR="00C63419" w:rsidRPr="00C63419" w:rsidRDefault="00C63419" w:rsidP="00C63419">
      <w:r w:rsidRPr="00C63419">
        <w:rPr>
          <w:lang w:val="en-US"/>
        </w:rPr>
        <w:t>4.</w:t>
      </w:r>
      <w:r w:rsidRPr="00C63419">
        <w:t xml:space="preserve"> </w:t>
      </w:r>
      <w:r w:rsidRPr="00C63419">
        <w:rPr>
          <w:lang w:val="en-US"/>
        </w:rPr>
        <w:t>Pettie JM, Caparrotta TM, Hunter RW, Morrison EE, Wood DM, Dargan PI, et al. Safety and Efficacy of the SNAP 12-hour Acetylcysteine Regimen for the Treatment of Paracetamol Overdose. EClinicalMedicine. 2019;11:11-7.</w:t>
      </w:r>
      <w:r w:rsidRPr="00C63419">
        <w:t> </w:t>
      </w:r>
    </w:p>
    <w:p w14:paraId="1AF2A1FB" w14:textId="77777777" w:rsidR="00C63419" w:rsidRPr="00C63419" w:rsidRDefault="00C63419" w:rsidP="00C63419">
      <w:r w:rsidRPr="00C63419">
        <w:rPr>
          <w:lang w:val="en-US"/>
        </w:rPr>
        <w:t>5.</w:t>
      </w:r>
      <w:r w:rsidRPr="00C63419">
        <w:t xml:space="preserve"> </w:t>
      </w:r>
      <w:r w:rsidRPr="00C63419">
        <w:rPr>
          <w:lang w:val="en-US"/>
        </w:rPr>
        <w:t>Wong A, Isbister G, McNulty R, Isoardi K, Harris K, Chiew A, et al. Efficacy of a two bag acetylcysteine regimen to treat paracetamol overdose (2NAC study). EClinicalMedicine. 2020;20:100288.</w:t>
      </w:r>
      <w:r w:rsidRPr="00C63419">
        <w:t> </w:t>
      </w:r>
    </w:p>
    <w:p w14:paraId="3C21A063" w14:textId="693CE7BB" w:rsidR="00DA557F" w:rsidRDefault="00DA557F" w:rsidP="00DA557F"/>
    <w:p w14:paraId="3E520961" w14:textId="77777777" w:rsidR="00F777E9" w:rsidRDefault="00F777E9">
      <w:pPr>
        <w:rPr>
          <w:rStyle w:val="BookTitle"/>
          <w:rFonts w:asciiTheme="majorHAnsi" w:eastAsiaTheme="majorEastAsia" w:hAnsiTheme="majorHAnsi" w:cstheme="majorBidi"/>
          <w:b w:val="0"/>
          <w:bCs w:val="0"/>
          <w:i w:val="0"/>
          <w:iCs w:val="0"/>
          <w:noProof/>
          <w:color w:val="2F5496" w:themeColor="accent1" w:themeShade="BF"/>
          <w:spacing w:val="0"/>
          <w:sz w:val="26"/>
          <w:szCs w:val="26"/>
        </w:rPr>
      </w:pPr>
      <w:r>
        <w:rPr>
          <w:rStyle w:val="BookTitle"/>
          <w:b w:val="0"/>
          <w:bCs w:val="0"/>
          <w:i w:val="0"/>
          <w:iCs w:val="0"/>
          <w:spacing w:val="0"/>
        </w:rPr>
        <w:br w:type="page"/>
      </w:r>
    </w:p>
    <w:p w14:paraId="45AD9ACA" w14:textId="1B7B95A0" w:rsidR="00382C13" w:rsidRDefault="00A57D80" w:rsidP="004C4EBB">
      <w:pPr>
        <w:pStyle w:val="Heading2"/>
        <w:rPr>
          <w:rStyle w:val="BookTitle"/>
          <w:rFonts w:ascii="Times New Roman" w:eastAsiaTheme="minorHAnsi" w:hAnsi="Times New Roman" w:cstheme="minorBidi"/>
          <w:b w:val="0"/>
          <w:i w:val="0"/>
          <w:noProof w:val="0"/>
          <w:color w:val="auto"/>
          <w:spacing w:val="0"/>
          <w:sz w:val="24"/>
          <w:szCs w:val="22"/>
        </w:rPr>
      </w:pPr>
      <w:bookmarkStart w:id="183" w:name="_Toc112843962"/>
      <w:r>
        <w:rPr>
          <w:rStyle w:val="BookTitle"/>
          <w:b w:val="0"/>
          <w:bCs w:val="0"/>
          <w:i w:val="0"/>
          <w:iCs w:val="0"/>
          <w:spacing w:val="0"/>
        </w:rPr>
        <w:t>Appendix F</w:t>
      </w:r>
      <w:r w:rsidR="001B5D11">
        <w:rPr>
          <w:rStyle w:val="BookTitle"/>
          <w:b w:val="0"/>
          <w:bCs w:val="0"/>
          <w:i w:val="0"/>
          <w:iCs w:val="0"/>
          <w:spacing w:val="0"/>
        </w:rPr>
        <w:t>:</w:t>
      </w:r>
      <w:r>
        <w:rPr>
          <w:rStyle w:val="BookTitle"/>
          <w:b w:val="0"/>
          <w:bCs w:val="0"/>
          <w:i w:val="0"/>
          <w:iCs w:val="0"/>
          <w:spacing w:val="0"/>
        </w:rPr>
        <w:t xml:space="preserve"> Literature review methodology</w:t>
      </w:r>
      <w:bookmarkEnd w:id="183"/>
      <w:r w:rsidR="00382C13" w:rsidRPr="00425A0D">
        <w:rPr>
          <w:rStyle w:val="BookTitle"/>
          <w:b w:val="0"/>
          <w:bCs w:val="0"/>
          <w:i w:val="0"/>
          <w:iCs w:val="0"/>
          <w:color w:val="1F3763" w:themeColor="accent1" w:themeShade="7F"/>
          <w:spacing w:val="0"/>
          <w:sz w:val="24"/>
          <w:szCs w:val="24"/>
        </w:rPr>
        <w:t xml:space="preserve"> </w:t>
      </w:r>
    </w:p>
    <w:p w14:paraId="28887989" w14:textId="77777777" w:rsidR="00D147AF" w:rsidRPr="00DF4225" w:rsidRDefault="00D147AF" w:rsidP="00DF4225">
      <w:pPr>
        <w:rPr>
          <w:rStyle w:val="BookTitle"/>
          <w:rFonts w:asciiTheme="majorHAnsi" w:hAnsiTheme="majorHAnsi" w:cstheme="majorHAnsi"/>
          <w:b w:val="0"/>
          <w:bCs w:val="0"/>
          <w:i w:val="0"/>
          <w:iCs w:val="0"/>
          <w:color w:val="2F5496" w:themeColor="accent1" w:themeShade="BF"/>
          <w:sz w:val="28"/>
          <w:szCs w:val="24"/>
        </w:rPr>
      </w:pPr>
      <w:r w:rsidRPr="00DF4225">
        <w:rPr>
          <w:rStyle w:val="BookTitle"/>
          <w:rFonts w:asciiTheme="majorHAnsi" w:hAnsiTheme="majorHAnsi" w:cstheme="majorHAnsi"/>
          <w:b w:val="0"/>
          <w:bCs w:val="0"/>
          <w:i w:val="0"/>
          <w:iCs w:val="0"/>
          <w:color w:val="2F5496" w:themeColor="accent1" w:themeShade="BF"/>
          <w:sz w:val="28"/>
          <w:szCs w:val="24"/>
        </w:rPr>
        <w:t>Methods </w:t>
      </w:r>
    </w:p>
    <w:p w14:paraId="16AB46E0" w14:textId="77777777" w:rsidR="00D147AF" w:rsidRPr="00D147AF" w:rsidRDefault="00D147AF" w:rsidP="004C4EBB">
      <w:pPr>
        <w:pStyle w:val="Heading4"/>
      </w:pPr>
      <w:r w:rsidRPr="00D147AF">
        <w:rPr>
          <w:lang w:val="en-GB"/>
        </w:rPr>
        <w:t>Search terms and strategy</w:t>
      </w:r>
      <w:r w:rsidRPr="00D147AF">
        <w:t> </w:t>
      </w:r>
    </w:p>
    <w:p w14:paraId="55EDDC51" w14:textId="1682FA1B" w:rsidR="00D147AF" w:rsidRPr="00D147AF" w:rsidRDefault="00D147AF" w:rsidP="00D147AF">
      <w:r w:rsidRPr="00D147AF">
        <w:rPr>
          <w:lang w:val="en-GB"/>
        </w:rPr>
        <w:t>A series of search terms were devised and combined, as outlined below, to identify the literature most relevant to the research questions presented above. The databases searched using this strategy included Medline, Embase, PsycInfo, and Cinahl (nursing and allied health).</w:t>
      </w:r>
      <w:r w:rsidRPr="00D147AF">
        <w:t> </w:t>
      </w:r>
    </w:p>
    <w:p w14:paraId="212A0211" w14:textId="77777777" w:rsidR="00D147AF" w:rsidRPr="00D147AF" w:rsidRDefault="00D147AF" w:rsidP="00D147AF">
      <w:pPr>
        <w:numPr>
          <w:ilvl w:val="0"/>
          <w:numId w:val="90"/>
        </w:numPr>
      </w:pPr>
      <w:r w:rsidRPr="00D147AF">
        <w:rPr>
          <w:lang w:val="en-GB"/>
        </w:rPr>
        <w:t>exp paracetamol/</w:t>
      </w:r>
      <w:r w:rsidRPr="00D147AF">
        <w:t> </w:t>
      </w:r>
    </w:p>
    <w:p w14:paraId="639E1C91" w14:textId="77777777" w:rsidR="00D147AF" w:rsidRPr="00D147AF" w:rsidRDefault="00D147AF" w:rsidP="00D147AF">
      <w:pPr>
        <w:numPr>
          <w:ilvl w:val="0"/>
          <w:numId w:val="91"/>
        </w:numPr>
      </w:pPr>
      <w:r w:rsidRPr="00D147AF">
        <w:rPr>
          <w:lang w:val="en-GB"/>
        </w:rPr>
        <w:t>exp Acetaminophen/</w:t>
      </w:r>
      <w:r w:rsidRPr="00D147AF">
        <w:t> </w:t>
      </w:r>
    </w:p>
    <w:p w14:paraId="43BAD113" w14:textId="77777777" w:rsidR="00D147AF" w:rsidRPr="00D147AF" w:rsidRDefault="00D147AF" w:rsidP="00D147AF">
      <w:pPr>
        <w:numPr>
          <w:ilvl w:val="0"/>
          <w:numId w:val="92"/>
        </w:numPr>
      </w:pPr>
      <w:r w:rsidRPr="00D147AF">
        <w:rPr>
          <w:lang w:val="en-GB"/>
        </w:rPr>
        <w:t>(paracetamol or acetaminophen).ti,ab.</w:t>
      </w:r>
      <w:r w:rsidRPr="00D147AF">
        <w:t> </w:t>
      </w:r>
    </w:p>
    <w:p w14:paraId="70F39D0B" w14:textId="77777777" w:rsidR="00D147AF" w:rsidRPr="00D147AF" w:rsidRDefault="00D147AF" w:rsidP="00D147AF">
      <w:pPr>
        <w:numPr>
          <w:ilvl w:val="0"/>
          <w:numId w:val="93"/>
        </w:numPr>
      </w:pPr>
      <w:r w:rsidRPr="00D147AF">
        <w:rPr>
          <w:lang w:val="en-GB"/>
        </w:rPr>
        <w:t>1 or 2 or 3</w:t>
      </w:r>
      <w:r w:rsidRPr="00D147AF">
        <w:t> </w:t>
      </w:r>
    </w:p>
    <w:p w14:paraId="4CDC925A" w14:textId="77777777" w:rsidR="00D147AF" w:rsidRPr="00D147AF" w:rsidRDefault="00D147AF" w:rsidP="00D147AF">
      <w:pPr>
        <w:numPr>
          <w:ilvl w:val="0"/>
          <w:numId w:val="94"/>
        </w:numPr>
      </w:pPr>
      <w:r w:rsidRPr="00D147AF">
        <w:rPr>
          <w:lang w:val="en-GB"/>
        </w:rPr>
        <w:t>exp ibuprofen/ or Ibuprofen.mp. or Promethazine.mp. or exp promethazine/ or exp doxylamine/ or Doxylamine.mp. or Naproxen.mp. or exp naproxen/ or Aspirin.mp. or exp acetylsalicylic acid/</w:t>
      </w:r>
      <w:r w:rsidRPr="00D147AF">
        <w:t> </w:t>
      </w:r>
    </w:p>
    <w:p w14:paraId="44E75B24" w14:textId="77777777" w:rsidR="00D147AF" w:rsidRPr="00D147AF" w:rsidRDefault="00D147AF" w:rsidP="00D147AF">
      <w:pPr>
        <w:numPr>
          <w:ilvl w:val="0"/>
          <w:numId w:val="95"/>
        </w:numPr>
      </w:pPr>
      <w:r w:rsidRPr="00D147AF">
        <w:rPr>
          <w:lang w:val="en-GB"/>
        </w:rPr>
        <w:t>exp analgesic agent/ or exp Analgesics/ or analgesic*.ti,ab.</w:t>
      </w:r>
      <w:r w:rsidRPr="00D147AF">
        <w:t> </w:t>
      </w:r>
    </w:p>
    <w:p w14:paraId="7AA042C0" w14:textId="77777777" w:rsidR="00D147AF" w:rsidRPr="00D147AF" w:rsidRDefault="00D147AF" w:rsidP="00D147AF">
      <w:pPr>
        <w:numPr>
          <w:ilvl w:val="0"/>
          <w:numId w:val="96"/>
        </w:numPr>
      </w:pPr>
      <w:r w:rsidRPr="00D147AF">
        <w:rPr>
          <w:lang w:val="en-GB"/>
        </w:rPr>
        <w:t>exp non prescription drug/ or exp Nonprescription Drugs/ or "over the counter".ti,ab. or OTC.ti,ab. or "non prescription".ti,ab. or nonprescription.ti,ab.</w:t>
      </w:r>
      <w:r w:rsidRPr="00D147AF">
        <w:t> </w:t>
      </w:r>
    </w:p>
    <w:p w14:paraId="712DB54F" w14:textId="77777777" w:rsidR="00D147AF" w:rsidRPr="00D147AF" w:rsidRDefault="00D147AF" w:rsidP="00D147AF">
      <w:pPr>
        <w:numPr>
          <w:ilvl w:val="0"/>
          <w:numId w:val="97"/>
        </w:numPr>
      </w:pPr>
      <w:r w:rsidRPr="00D147AF">
        <w:rPr>
          <w:lang w:val="en-GB"/>
        </w:rPr>
        <w:t>6 and 7</w:t>
      </w:r>
      <w:r w:rsidRPr="00D147AF">
        <w:t> </w:t>
      </w:r>
    </w:p>
    <w:p w14:paraId="019197C1" w14:textId="77777777" w:rsidR="00D147AF" w:rsidRPr="00D147AF" w:rsidRDefault="00D147AF" w:rsidP="00D147AF">
      <w:pPr>
        <w:numPr>
          <w:ilvl w:val="0"/>
          <w:numId w:val="98"/>
        </w:numPr>
      </w:pPr>
      <w:r w:rsidRPr="00D147AF">
        <w:rPr>
          <w:lang w:val="en-GB"/>
        </w:rPr>
        <w:t>5 or 8</w:t>
      </w:r>
      <w:r w:rsidRPr="00D147AF">
        <w:t> </w:t>
      </w:r>
    </w:p>
    <w:p w14:paraId="49778AEC" w14:textId="77777777" w:rsidR="00D147AF" w:rsidRPr="00D147AF" w:rsidRDefault="00D147AF" w:rsidP="00D147AF">
      <w:pPr>
        <w:numPr>
          <w:ilvl w:val="0"/>
          <w:numId w:val="99"/>
        </w:numPr>
      </w:pPr>
      <w:r w:rsidRPr="00D147AF">
        <w:rPr>
          <w:lang w:val="en-GB"/>
        </w:rPr>
        <w:t>exp *Pharmaceutical Preparations/ or (Pharmaceutical adj2 (drug* or substanc* or preparation*)).ti,ab.</w:t>
      </w:r>
      <w:r w:rsidRPr="00D147AF">
        <w:t> </w:t>
      </w:r>
    </w:p>
    <w:p w14:paraId="0A196857" w14:textId="77777777" w:rsidR="00D147AF" w:rsidRPr="00D147AF" w:rsidRDefault="00D147AF" w:rsidP="00D147AF">
      <w:pPr>
        <w:numPr>
          <w:ilvl w:val="0"/>
          <w:numId w:val="100"/>
        </w:numPr>
      </w:pPr>
      <w:r w:rsidRPr="00D147AF">
        <w:rPr>
          <w:lang w:val="en-GB"/>
        </w:rPr>
        <w:t>4 or 9 or 10</w:t>
      </w:r>
      <w:r w:rsidRPr="00D147AF">
        <w:t> </w:t>
      </w:r>
    </w:p>
    <w:p w14:paraId="0BC48011" w14:textId="77777777" w:rsidR="00D147AF" w:rsidRPr="00D147AF" w:rsidRDefault="00D147AF" w:rsidP="00D147AF">
      <w:pPr>
        <w:numPr>
          <w:ilvl w:val="0"/>
          <w:numId w:val="101"/>
        </w:numPr>
      </w:pPr>
      <w:r w:rsidRPr="00D147AF">
        <w:rPr>
          <w:lang w:val="en-GB"/>
        </w:rPr>
        <w:t>exp suicide/ or exp suicide attempt/ or exp Suicide, Attempted/ or exp suicidal ideation/ or exp self poisoning/ or exp Self-Injurious Behavior/</w:t>
      </w:r>
      <w:r w:rsidRPr="00D147AF">
        <w:t> </w:t>
      </w:r>
    </w:p>
    <w:p w14:paraId="0C71B0F8" w14:textId="77777777" w:rsidR="00D147AF" w:rsidRPr="00D147AF" w:rsidRDefault="00D147AF" w:rsidP="00D147AF">
      <w:pPr>
        <w:numPr>
          <w:ilvl w:val="0"/>
          <w:numId w:val="102"/>
        </w:numPr>
      </w:pPr>
      <w:r w:rsidRPr="00D147AF">
        <w:rPr>
          <w:lang w:val="en-GB"/>
        </w:rPr>
        <w:t>(suicid* or "self poison*" or (Intention* adj2 (overdos* or poison*)) or (deliberat* adj2 (overdos* or poison*))).ti,ab.</w:t>
      </w:r>
      <w:r w:rsidRPr="00D147AF">
        <w:t> </w:t>
      </w:r>
    </w:p>
    <w:p w14:paraId="009ED4B1" w14:textId="77777777" w:rsidR="00D147AF" w:rsidRPr="00D147AF" w:rsidRDefault="00D147AF" w:rsidP="00D147AF">
      <w:pPr>
        <w:numPr>
          <w:ilvl w:val="0"/>
          <w:numId w:val="103"/>
        </w:numPr>
      </w:pPr>
      <w:r w:rsidRPr="00D147AF">
        <w:rPr>
          <w:lang w:val="en-GB"/>
        </w:rPr>
        <w:t>12 or 13</w:t>
      </w:r>
      <w:r w:rsidRPr="00D147AF">
        <w:t> </w:t>
      </w:r>
    </w:p>
    <w:p w14:paraId="68523F6C" w14:textId="77777777" w:rsidR="00D147AF" w:rsidRPr="00D147AF" w:rsidRDefault="00D147AF" w:rsidP="00D147AF">
      <w:pPr>
        <w:numPr>
          <w:ilvl w:val="0"/>
          <w:numId w:val="104"/>
        </w:numPr>
      </w:pPr>
      <w:r w:rsidRPr="00D147AF">
        <w:rPr>
          <w:lang w:val="en-GB"/>
        </w:rPr>
        <w:t>exp epidemiology/ or exp incidence/ or exp prevalence/ or exp trend study/ or exp disease burden/ or exp longitudinal study/ or exp drug classification/ or exp Longitudinal Studies/ or exp "Cost of Illness"/</w:t>
      </w:r>
      <w:r w:rsidRPr="00D147AF">
        <w:t> </w:t>
      </w:r>
    </w:p>
    <w:p w14:paraId="36580A1F" w14:textId="77777777" w:rsidR="00D147AF" w:rsidRPr="00D147AF" w:rsidRDefault="00D147AF" w:rsidP="00D147AF">
      <w:pPr>
        <w:numPr>
          <w:ilvl w:val="0"/>
          <w:numId w:val="105"/>
        </w:numPr>
      </w:pPr>
      <w:r w:rsidRPr="00D147AF">
        <w:rPr>
          <w:lang w:val="en-GB"/>
        </w:rPr>
        <w:t>(predictor* or trend* or epidemiology or incidence or prevalence or characteristic*).ti,ab.</w:t>
      </w:r>
      <w:r w:rsidRPr="00D147AF">
        <w:t> </w:t>
      </w:r>
    </w:p>
    <w:p w14:paraId="6A891E2D" w14:textId="77777777" w:rsidR="00D147AF" w:rsidRPr="00D147AF" w:rsidRDefault="00D147AF" w:rsidP="00D147AF">
      <w:pPr>
        <w:numPr>
          <w:ilvl w:val="0"/>
          <w:numId w:val="106"/>
        </w:numPr>
      </w:pPr>
      <w:r w:rsidRPr="00D147AF">
        <w:rPr>
          <w:lang w:val="en-GB"/>
        </w:rPr>
        <w:t>15 or 16</w:t>
      </w:r>
      <w:r w:rsidRPr="00D147AF">
        <w:t> </w:t>
      </w:r>
    </w:p>
    <w:p w14:paraId="2957992A" w14:textId="77777777" w:rsidR="00D147AF" w:rsidRPr="00D147AF" w:rsidRDefault="00D147AF" w:rsidP="00D147AF">
      <w:pPr>
        <w:numPr>
          <w:ilvl w:val="0"/>
          <w:numId w:val="107"/>
        </w:numPr>
      </w:pPr>
      <w:r w:rsidRPr="00D147AF">
        <w:rPr>
          <w:lang w:val="en-GB"/>
        </w:rPr>
        <w:t>exp Choice Behavior/ or exp Decision Making/ or exp motivation/</w:t>
      </w:r>
      <w:r w:rsidRPr="00D147AF">
        <w:t> </w:t>
      </w:r>
    </w:p>
    <w:p w14:paraId="209B9A8E" w14:textId="77777777" w:rsidR="00D147AF" w:rsidRPr="00D147AF" w:rsidRDefault="00D147AF" w:rsidP="00D147AF">
      <w:pPr>
        <w:numPr>
          <w:ilvl w:val="0"/>
          <w:numId w:val="108"/>
        </w:numPr>
      </w:pPr>
      <w:r w:rsidRPr="00D147AF">
        <w:rPr>
          <w:lang w:val="en-GB"/>
        </w:rPr>
        <w:t>(planning or planned or opportunism or intent* or intentional* or Premeditate* or opportunistic or Opportunity or Impulsiv*).ti,ab.</w:t>
      </w:r>
      <w:r w:rsidRPr="00D147AF">
        <w:t> </w:t>
      </w:r>
    </w:p>
    <w:p w14:paraId="0C84F934" w14:textId="77777777" w:rsidR="00D147AF" w:rsidRPr="00D147AF" w:rsidRDefault="00D147AF" w:rsidP="00D147AF">
      <w:pPr>
        <w:numPr>
          <w:ilvl w:val="0"/>
          <w:numId w:val="109"/>
        </w:numPr>
      </w:pPr>
      <w:r w:rsidRPr="00D147AF">
        <w:rPr>
          <w:lang w:val="en-GB"/>
        </w:rPr>
        <w:t>18 or 19</w:t>
      </w:r>
      <w:r w:rsidRPr="00D147AF">
        <w:t> </w:t>
      </w:r>
    </w:p>
    <w:p w14:paraId="6458FB88" w14:textId="77777777" w:rsidR="00D147AF" w:rsidRPr="00D147AF" w:rsidRDefault="00D147AF" w:rsidP="00D147AF">
      <w:pPr>
        <w:numPr>
          <w:ilvl w:val="0"/>
          <w:numId w:val="110"/>
        </w:numPr>
      </w:pPr>
      <w:r w:rsidRPr="00D147AF">
        <w:rPr>
          <w:lang w:val="en-GB"/>
        </w:rPr>
        <w:t>((Packet* or pack or package* or packaging) adj3 (dimension or dimensions or size or concentration or volume or design or number or quantity or restrict* or limit* or availability or access or accessibility or chang* or regulat* or prohibit* or tablet*)).ti,ab.</w:t>
      </w:r>
      <w:r w:rsidRPr="00D147AF">
        <w:t> </w:t>
      </w:r>
    </w:p>
    <w:p w14:paraId="44B680B9" w14:textId="77777777" w:rsidR="00D147AF" w:rsidRPr="00D147AF" w:rsidRDefault="00D147AF" w:rsidP="00D147AF">
      <w:pPr>
        <w:numPr>
          <w:ilvl w:val="0"/>
          <w:numId w:val="111"/>
        </w:numPr>
      </w:pPr>
      <w:r w:rsidRPr="00D147AF">
        <w:rPr>
          <w:lang w:val="en-GB"/>
        </w:rPr>
        <w:t>(restrict* or limit* or availab* or access* or regulat* or prohibit* or ban or banned or banning or bans or schedul* or upschedul* or reschedul* or substitut*).ti,ab.</w:t>
      </w:r>
      <w:r w:rsidRPr="00D147AF">
        <w:t> </w:t>
      </w:r>
    </w:p>
    <w:p w14:paraId="28751DC3" w14:textId="77777777" w:rsidR="00D147AF" w:rsidRPr="00D147AF" w:rsidRDefault="00D147AF" w:rsidP="00D147AF">
      <w:pPr>
        <w:numPr>
          <w:ilvl w:val="0"/>
          <w:numId w:val="112"/>
        </w:numPr>
      </w:pPr>
      <w:r w:rsidRPr="00D147AF">
        <w:rPr>
          <w:lang w:val="en-GB"/>
        </w:rPr>
        <w:t>21 or 22</w:t>
      </w:r>
      <w:r w:rsidRPr="00D147AF">
        <w:t> </w:t>
      </w:r>
    </w:p>
    <w:p w14:paraId="3003928A" w14:textId="77777777" w:rsidR="00D147AF" w:rsidRPr="00D147AF" w:rsidRDefault="00D147AF" w:rsidP="00D147AF">
      <w:pPr>
        <w:numPr>
          <w:ilvl w:val="0"/>
          <w:numId w:val="113"/>
        </w:numPr>
      </w:pPr>
      <w:r w:rsidRPr="00D147AF">
        <w:rPr>
          <w:lang w:val="en-GB"/>
        </w:rPr>
        <w:t>17 or 20 or 23</w:t>
      </w:r>
      <w:r w:rsidRPr="00D147AF">
        <w:t> </w:t>
      </w:r>
    </w:p>
    <w:p w14:paraId="141983AA" w14:textId="77777777" w:rsidR="00D147AF" w:rsidRPr="00D147AF" w:rsidRDefault="00D147AF" w:rsidP="00D147AF">
      <w:pPr>
        <w:numPr>
          <w:ilvl w:val="0"/>
          <w:numId w:val="114"/>
        </w:numPr>
      </w:pPr>
      <w:r w:rsidRPr="00D147AF">
        <w:rPr>
          <w:lang w:val="en-GB"/>
        </w:rPr>
        <w:t>exp Australia/ or exp Austria/ or exp Belgium/ or exp Bulgaria/ or exp Canada/ or exp Croatia/ or exp Cyprus/ or exp Czech Republic/ or exp Denmark/ or exp Estonia/ or exp Finland/ or exp France/ or exp Germany/ or exp Greece/ or exp Hungary/ or exp Iceland/ or exp Ireland/ or exp Italy/ or exp Latvia/ or exp Lithuania/ or exp Luxembourg/ or exp Malta/ or exp Netherlands/ or exp New Zealand/ or exp Norway/ or exp Poland/ or exp Portugal/ or exp Romania/ or exp Slovakia/ or exp Slovenia/ or exp Spain/ or exp Sweden/ or exp Switzerland/ or exp United Kingdom/ or exp United States/</w:t>
      </w:r>
      <w:r w:rsidRPr="00D147AF">
        <w:t> </w:t>
      </w:r>
    </w:p>
    <w:p w14:paraId="31DCC7D5" w14:textId="77777777" w:rsidR="00D147AF" w:rsidRPr="00D147AF" w:rsidRDefault="00D147AF" w:rsidP="00D147AF">
      <w:pPr>
        <w:numPr>
          <w:ilvl w:val="0"/>
          <w:numId w:val="115"/>
        </w:numPr>
      </w:pPr>
      <w:r w:rsidRPr="00D147AF">
        <w:rPr>
          <w:lang w:val="en-GB"/>
        </w:rPr>
        <w:t>(Australia* or Austria or Belgium or Bulgaria or Canada or Croatia or Cyprus or Czech Republic or Denmark or Estonia or Finland or France or Germany or Greece or Hungary or Iceland or Ireland or Italy or Latvia or Lithuania or Luxembourg or Malta or Netherlands or "New Zealand" or Norway or Poland or Portugal or Romania or Slovakia or Slovenia or Spain or Sweden or Switzerland or "United Kingdom" or UK or "United states" or USA).af.</w:t>
      </w:r>
      <w:r w:rsidRPr="00D147AF">
        <w:t> </w:t>
      </w:r>
    </w:p>
    <w:p w14:paraId="7DEAFD42" w14:textId="77777777" w:rsidR="00D147AF" w:rsidRPr="00D147AF" w:rsidRDefault="00D147AF" w:rsidP="00D147AF">
      <w:pPr>
        <w:numPr>
          <w:ilvl w:val="0"/>
          <w:numId w:val="116"/>
        </w:numPr>
      </w:pPr>
      <w:r w:rsidRPr="00D147AF">
        <w:rPr>
          <w:lang w:val="en-GB"/>
        </w:rPr>
        <w:t>25 or 26</w:t>
      </w:r>
      <w:r w:rsidRPr="00D147AF">
        <w:t> </w:t>
      </w:r>
    </w:p>
    <w:p w14:paraId="3B02C6BC" w14:textId="77777777" w:rsidR="00D147AF" w:rsidRPr="00D147AF" w:rsidRDefault="00D147AF" w:rsidP="00D147AF">
      <w:pPr>
        <w:numPr>
          <w:ilvl w:val="0"/>
          <w:numId w:val="117"/>
        </w:numPr>
      </w:pPr>
      <w:r w:rsidRPr="00D147AF">
        <w:rPr>
          <w:lang w:val="en-GB"/>
        </w:rPr>
        <w:t>11 and 14 and 24 and 27</w:t>
      </w:r>
      <w:r w:rsidRPr="00D147AF">
        <w:t> </w:t>
      </w:r>
    </w:p>
    <w:p w14:paraId="748EFA94" w14:textId="77777777" w:rsidR="00D147AF" w:rsidRPr="00D147AF" w:rsidRDefault="00D147AF" w:rsidP="00D147AF">
      <w:pPr>
        <w:numPr>
          <w:ilvl w:val="0"/>
          <w:numId w:val="118"/>
        </w:numPr>
      </w:pPr>
      <w:r w:rsidRPr="00D147AF">
        <w:rPr>
          <w:lang w:val="en-GB"/>
        </w:rPr>
        <w:t>remove duplicates from 28</w:t>
      </w:r>
      <w:r w:rsidRPr="00D147AF">
        <w:t> </w:t>
      </w:r>
    </w:p>
    <w:p w14:paraId="2C2FE944" w14:textId="77777777" w:rsidR="00D147AF" w:rsidRPr="00D147AF" w:rsidRDefault="00D147AF" w:rsidP="00D147AF">
      <w:pPr>
        <w:numPr>
          <w:ilvl w:val="0"/>
          <w:numId w:val="119"/>
        </w:numPr>
      </w:pPr>
      <w:r w:rsidRPr="00D147AF">
        <w:rPr>
          <w:lang w:val="en-GB"/>
        </w:rPr>
        <w:t>limit 29 to English language</w:t>
      </w:r>
      <w:r w:rsidRPr="00D147AF">
        <w:t> </w:t>
      </w:r>
    </w:p>
    <w:p w14:paraId="442F49B9" w14:textId="77777777" w:rsidR="00D147AF" w:rsidRPr="00D147AF" w:rsidRDefault="00D147AF" w:rsidP="004C4EBB">
      <w:pPr>
        <w:pStyle w:val="Heading4"/>
      </w:pPr>
      <w:r w:rsidRPr="00D147AF">
        <w:rPr>
          <w:lang w:val="en-GB"/>
        </w:rPr>
        <w:t>Inclusion and exclusion criteria</w:t>
      </w:r>
      <w:r w:rsidRPr="00D147AF">
        <w:t> </w:t>
      </w:r>
    </w:p>
    <w:p w14:paraId="652C0E01" w14:textId="77777777" w:rsidR="00D147AF" w:rsidRPr="00D147AF" w:rsidRDefault="00D147AF" w:rsidP="00D147AF">
      <w:r w:rsidRPr="00D147AF">
        <w:rPr>
          <w:lang w:val="en-GB"/>
        </w:rPr>
        <w:t>The inclusion and exclusion criteria differed for each of the two research questions.</w:t>
      </w:r>
      <w:r w:rsidRPr="00D147AF">
        <w:t> </w:t>
      </w:r>
    </w:p>
    <w:p w14:paraId="6622275C" w14:textId="77777777" w:rsidR="00D147AF" w:rsidRPr="00D147AF" w:rsidRDefault="00D147AF" w:rsidP="00E47248">
      <w:pPr>
        <w:pStyle w:val="Heading5"/>
      </w:pPr>
      <w:r w:rsidRPr="00D147AF">
        <w:rPr>
          <w:lang w:val="en-GB"/>
        </w:rPr>
        <w:t>Question 1. Characteristics and behaviours of people engaging in self-harm via paracetamol or other non-opioid analgesics</w:t>
      </w:r>
      <w:r w:rsidRPr="00D147AF">
        <w:t> </w:t>
      </w:r>
    </w:p>
    <w:p w14:paraId="474CDCF2" w14:textId="77777777" w:rsidR="00D147AF" w:rsidRPr="00D147AF" w:rsidRDefault="00D147AF" w:rsidP="00D147AF">
      <w:r w:rsidRPr="00D147AF">
        <w:rPr>
          <w:lang w:val="en-GB"/>
        </w:rPr>
        <w:t>Studies were considered for inclusion in the first research question of the review if they: </w:t>
      </w:r>
      <w:r w:rsidRPr="00D147AF">
        <w:t> </w:t>
      </w:r>
    </w:p>
    <w:p w14:paraId="6AC518A9" w14:textId="77777777" w:rsidR="00D147AF" w:rsidRPr="00D147AF" w:rsidRDefault="00D147AF" w:rsidP="00D147AF">
      <w:pPr>
        <w:numPr>
          <w:ilvl w:val="0"/>
          <w:numId w:val="120"/>
        </w:numPr>
      </w:pPr>
      <w:r w:rsidRPr="00D147AF">
        <w:rPr>
          <w:lang w:val="en-GB"/>
        </w:rPr>
        <w:t>Examined participant characteristics, motivations, or behaviours associated with self-poisoning via paracetamol. Studies that did not purely assess paracetamol, but rather assessed all self-poisoning drugs, were included if the information provided on characteristics, motivations, and/or behaviours was broken down by drug type, and included information available for paracetamol or a medication category containing paracetamol (e.g., over-the-counter analgesics);</w:t>
      </w:r>
      <w:r w:rsidRPr="00D147AF">
        <w:t> </w:t>
      </w:r>
    </w:p>
    <w:p w14:paraId="2650090D" w14:textId="77777777" w:rsidR="00D147AF" w:rsidRPr="00D147AF" w:rsidRDefault="00D147AF" w:rsidP="00D147AF">
      <w:pPr>
        <w:numPr>
          <w:ilvl w:val="0"/>
          <w:numId w:val="121"/>
        </w:numPr>
      </w:pPr>
      <w:r w:rsidRPr="00D147AF">
        <w:rPr>
          <w:lang w:val="en-GB"/>
        </w:rPr>
        <w:t>Were conducted in a country of interest (Australia, Austria, Belgium, Bulgaria, Canada, Croatia, Cyprus, Czech Republic, Denmark, Estonia, Finland, France, Germany, Greece, Hungary, Iceland, Ireland, Italy, Latvia, Lithuania, Luxembourg, Malta, Netherlands, New Zealand, Norway, Poland, Portugal, Romania, Slovakia, Slovenia, Spain, Sweden, Switzerland, United Kingdom (UK), United States of America (USA)). These countries were selected as they are predominantly high-income Western countries that are somewhat comparable to Australia;</w:t>
      </w:r>
      <w:r w:rsidRPr="00D147AF">
        <w:t> </w:t>
      </w:r>
    </w:p>
    <w:p w14:paraId="677802B9" w14:textId="77777777" w:rsidR="00D147AF" w:rsidRPr="00D147AF" w:rsidRDefault="00D147AF" w:rsidP="00D147AF">
      <w:pPr>
        <w:numPr>
          <w:ilvl w:val="0"/>
          <w:numId w:val="122"/>
        </w:numPr>
      </w:pPr>
      <w:r w:rsidRPr="00D147AF">
        <w:rPr>
          <w:lang w:val="en-GB"/>
        </w:rPr>
        <w:t>Reported on primary data; and </w:t>
      </w:r>
      <w:r w:rsidRPr="00D147AF">
        <w:t> </w:t>
      </w:r>
    </w:p>
    <w:p w14:paraId="580BC095" w14:textId="3076F809" w:rsidR="00D147AF" w:rsidRPr="00D147AF" w:rsidRDefault="00D147AF" w:rsidP="00D147AF">
      <w:pPr>
        <w:numPr>
          <w:ilvl w:val="0"/>
          <w:numId w:val="123"/>
        </w:numPr>
      </w:pPr>
      <w:r w:rsidRPr="00D147AF">
        <w:rPr>
          <w:lang w:val="en-GB"/>
        </w:rPr>
        <w:t>Were published in an English language peer-reviewed journal from 1990 onwards. </w:t>
      </w:r>
      <w:r w:rsidRPr="00D147AF">
        <w:t> </w:t>
      </w:r>
    </w:p>
    <w:p w14:paraId="42051934" w14:textId="5A6A894E" w:rsidR="00D147AF" w:rsidRPr="00D147AF" w:rsidRDefault="00D147AF" w:rsidP="00D147AF">
      <w:r w:rsidRPr="00D147AF">
        <w:rPr>
          <w:lang w:val="en-GB"/>
        </w:rPr>
        <w:t xml:space="preserve">No limits were placed on study design. For this question in the review, we focused specifically on </w:t>
      </w:r>
      <w:r w:rsidRPr="00D147AF">
        <w:rPr>
          <w:u w:val="single"/>
          <w:lang w:val="en-GB"/>
        </w:rPr>
        <w:t>intentional</w:t>
      </w:r>
      <w:r w:rsidRPr="00D147AF">
        <w:rPr>
          <w:lang w:val="en-GB"/>
        </w:rPr>
        <w:t xml:space="preserve"> self-harm, therefore studies that did not differentiate between participant characteristics, motivations and behaviour for intentional versus non-intentional self-poisoning were excluded.  </w:t>
      </w:r>
      <w:r w:rsidRPr="00D147AF">
        <w:t> </w:t>
      </w:r>
    </w:p>
    <w:p w14:paraId="58A4B023" w14:textId="77777777" w:rsidR="00D147AF" w:rsidRPr="00D147AF" w:rsidRDefault="00D147AF" w:rsidP="00E47248">
      <w:pPr>
        <w:pStyle w:val="Heading5"/>
      </w:pPr>
      <w:r w:rsidRPr="00D147AF">
        <w:rPr>
          <w:lang w:val="en-GB"/>
        </w:rPr>
        <w:t>Question 2. The effect of restricting paracetamol or other medications on method substitution</w:t>
      </w:r>
      <w:r w:rsidRPr="00D147AF">
        <w:t> </w:t>
      </w:r>
    </w:p>
    <w:p w14:paraId="22997DB2" w14:textId="55FDD61B" w:rsidR="00D147AF" w:rsidRPr="00D147AF" w:rsidRDefault="00D147AF" w:rsidP="00D147AF">
      <w:r w:rsidRPr="00D147AF">
        <w:rPr>
          <w:lang w:val="en-GB"/>
        </w:rPr>
        <w:t>Studies were considered for inclusion in the second research question of the review if they: </w:t>
      </w:r>
      <w:r w:rsidRPr="00D147AF">
        <w:t> </w:t>
      </w:r>
    </w:p>
    <w:p w14:paraId="7577DA4C" w14:textId="77777777" w:rsidR="00D147AF" w:rsidRPr="00D147AF" w:rsidRDefault="00D147AF" w:rsidP="00D147AF">
      <w:pPr>
        <w:numPr>
          <w:ilvl w:val="0"/>
          <w:numId w:val="124"/>
        </w:numPr>
      </w:pPr>
      <w:r w:rsidRPr="00D147AF">
        <w:rPr>
          <w:lang w:val="en-GB"/>
        </w:rPr>
        <w:t>Examined the effect of restricting access to paracetamol or other medications on the use of the restricted medication or other methods in contributing to injury, hospitalisation or death. Outcomes could include prescription rates, number of tablets consumed, number of self-poisonings, number of hospitalisations or injuries (e.g., liver injury), number of calls to poisons information centres, and/or number of deaths due to suicide and/or accidental overdose;</w:t>
      </w:r>
      <w:r w:rsidRPr="00D147AF">
        <w:t> </w:t>
      </w:r>
    </w:p>
    <w:p w14:paraId="11FE7E23" w14:textId="77777777" w:rsidR="00D147AF" w:rsidRPr="00D147AF" w:rsidRDefault="00D147AF" w:rsidP="00D147AF">
      <w:pPr>
        <w:numPr>
          <w:ilvl w:val="0"/>
          <w:numId w:val="125"/>
        </w:numPr>
      </w:pPr>
      <w:r w:rsidRPr="00D147AF">
        <w:rPr>
          <w:lang w:val="en-GB"/>
        </w:rPr>
        <w:t>Included the restriction of a medication of interest, including paracetamol, ibuprofen, promethazine, naproxen, aspirin, quetiapine, sertraline, fluoxetine, oxycodone, escitalopram, diazepam, pregabalin, co-proxamol, and codeine. These medications were selected as they are most commonly ingested in deliberate self-poisoning cases as identified by the New South Wales (NSW) Poisons Information Centre (PIC);</w:t>
      </w:r>
      <w:r w:rsidRPr="00D147AF">
        <w:t> </w:t>
      </w:r>
    </w:p>
    <w:p w14:paraId="6B39C72D" w14:textId="77777777" w:rsidR="00D147AF" w:rsidRPr="00D147AF" w:rsidRDefault="00D147AF" w:rsidP="00D147AF">
      <w:pPr>
        <w:numPr>
          <w:ilvl w:val="0"/>
          <w:numId w:val="126"/>
        </w:numPr>
      </w:pPr>
      <w:r w:rsidRPr="00D147AF">
        <w:rPr>
          <w:lang w:val="en-GB"/>
        </w:rPr>
        <w:t>Were conducted in a country of interest (Australia, Austria, Belgium, Bulgaria, Canada, Croatia, Cyprus, Czech Republic, Denmark, Estonia, Finland, France, Germany, Greece, Hungary, Iceland, Ireland, Italy, Latvia, Lithuania, Luxembourg, Malta, Netherlands, New Zealand, Norway, Poland, Portugal, Romania, Slovakia, Slovenia, Spain, Sweden, Switzerland, United Kingdom (UK), United States of America (USA)); and </w:t>
      </w:r>
      <w:r w:rsidRPr="00D147AF">
        <w:t> </w:t>
      </w:r>
    </w:p>
    <w:p w14:paraId="229AE79C" w14:textId="77777777" w:rsidR="00D147AF" w:rsidRPr="00D147AF" w:rsidRDefault="00D147AF" w:rsidP="00D147AF">
      <w:pPr>
        <w:numPr>
          <w:ilvl w:val="0"/>
          <w:numId w:val="127"/>
        </w:numPr>
      </w:pPr>
      <w:r w:rsidRPr="00D147AF">
        <w:rPr>
          <w:lang w:val="en-GB"/>
        </w:rPr>
        <w:t>Were published in an English language peer-reviewed journal.</w:t>
      </w:r>
      <w:r w:rsidRPr="00D147AF">
        <w:t> </w:t>
      </w:r>
    </w:p>
    <w:p w14:paraId="2BB412A1" w14:textId="77777777" w:rsidR="00D147AF" w:rsidRPr="00D147AF" w:rsidRDefault="00D147AF" w:rsidP="00D147AF">
      <w:r w:rsidRPr="00D147AF">
        <w:rPr>
          <w:lang w:val="en-GB"/>
        </w:rPr>
        <w:t> </w:t>
      </w:r>
      <w:r w:rsidRPr="00D147AF">
        <w:t> </w:t>
      </w:r>
    </w:p>
    <w:p w14:paraId="363B84DA" w14:textId="77777777" w:rsidR="00D147AF" w:rsidRPr="00D147AF" w:rsidRDefault="00D147AF" w:rsidP="00D147AF">
      <w:r w:rsidRPr="00D147AF">
        <w:rPr>
          <w:lang w:val="en-GB"/>
        </w:rPr>
        <w:t>No limits were placed on study design or publication year. Studies were excluded if there was no explicit assessment of the effect of the restriction on method substitution. Studies were permitted to report on outcomes for both intentional and unintentional poisonings or all poisonings. This allowed a broader number of studies to be considered, given the limited research conducted in this area, and the relevance of both intentional and non-intentional poisoning outcomes to be considered for method substitution.    </w:t>
      </w:r>
      <w:r w:rsidRPr="00D147AF">
        <w:t> </w:t>
      </w:r>
    </w:p>
    <w:p w14:paraId="3DDA5C10" w14:textId="77777777" w:rsidR="00D147AF" w:rsidRPr="00D147AF" w:rsidRDefault="00D147AF" w:rsidP="00E47248">
      <w:pPr>
        <w:pStyle w:val="Heading4"/>
      </w:pPr>
      <w:r w:rsidRPr="00D147AF">
        <w:rPr>
          <w:lang w:val="en-GB"/>
        </w:rPr>
        <w:t>Screening and data extraction process</w:t>
      </w:r>
      <w:r w:rsidRPr="00D147AF">
        <w:t> </w:t>
      </w:r>
    </w:p>
    <w:p w14:paraId="1C0F06DD" w14:textId="2616B7DE" w:rsidR="00D147AF" w:rsidRPr="00D147AF" w:rsidRDefault="00D147AF" w:rsidP="00D147AF">
      <w:r w:rsidRPr="00D147AF">
        <w:rPr>
          <w:lang w:val="en-GB"/>
        </w:rPr>
        <w:t>Figure 40 presents a PRISMA flow-diagram for the review process. A total of 2,408 abstracts were identified and independently screened for inclusion by one reviewer. A second reviewer independently double-screened 20% of the abstracts (Interrater Reliability results revealed 91% agreement). This screening process resulted in 241 abstracts being identified for full-text review. Full-text articles were collected for all but one abstract and reviewed for inclusion by two reviewers. This process resulted in 81 included studies for which relevant data was then extracted.  </w:t>
      </w:r>
      <w:r w:rsidRPr="00D147AF">
        <w:t> </w:t>
      </w:r>
    </w:p>
    <w:p w14:paraId="0786FB45" w14:textId="4EDF709B" w:rsidR="00D147AF" w:rsidRDefault="00D147AF" w:rsidP="00D147AF">
      <w:r w:rsidRPr="00D147AF">
        <w:rPr>
          <w:lang w:val="en-GB"/>
        </w:rPr>
        <w:t>For each included study relevant to research question one, data was extracted on: first author name, year of publication, country/setting, study type, sample size, participant age, population and medication(s) assessed and key findings. For studies associated with research question two, information was also extracted about the type of restriction assessed (e.g., pack size reduction, medication withdrawal, up-scheduling). Data extraction was performed using Covidence software.</w:t>
      </w:r>
      <w:r w:rsidRPr="00D147AF">
        <w:t> </w:t>
      </w:r>
      <w:r w:rsidRPr="00D147AF">
        <w:br/>
        <w:t> </w:t>
      </w:r>
    </w:p>
    <w:p w14:paraId="70124FEE" w14:textId="77777777" w:rsidR="00F17200" w:rsidRDefault="00343860" w:rsidP="00F17200">
      <w:r>
        <w:rPr>
          <w:noProof/>
        </w:rPr>
        <w:drawing>
          <wp:inline distT="0" distB="0" distL="0" distR="0" wp14:anchorId="5B2AB66C" wp14:editId="198302AC">
            <wp:extent cx="5731510" cy="4925178"/>
            <wp:effectExtent l="0" t="0" r="2540" b="889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6">
                      <a:extLst>
                        <a:ext uri="{28A0092B-C50C-407E-A947-70E740481C1C}">
                          <a14:useLocalDpi xmlns:a14="http://schemas.microsoft.com/office/drawing/2010/main" val="0"/>
                        </a:ext>
                      </a:extLst>
                    </a:blip>
                    <a:srcRect t="13935"/>
                    <a:stretch/>
                  </pic:blipFill>
                  <pic:spPr bwMode="auto">
                    <a:xfrm>
                      <a:off x="0" y="0"/>
                      <a:ext cx="5731510" cy="4925178"/>
                    </a:xfrm>
                    <a:prstGeom prst="rect">
                      <a:avLst/>
                    </a:prstGeom>
                    <a:noFill/>
                    <a:ln>
                      <a:noFill/>
                    </a:ln>
                    <a:extLst>
                      <a:ext uri="{53640926-AAD7-44D8-BBD7-CCE9431645EC}">
                        <a14:shadowObscured xmlns:a14="http://schemas.microsoft.com/office/drawing/2010/main"/>
                      </a:ext>
                    </a:extLst>
                  </pic:spPr>
                </pic:pic>
              </a:graphicData>
            </a:graphic>
          </wp:inline>
        </w:drawing>
      </w:r>
    </w:p>
    <w:p w14:paraId="2D2283D1" w14:textId="1AD979B3" w:rsidR="007E0E28" w:rsidRDefault="007E0E28" w:rsidP="00F17200">
      <w:pPr>
        <w:pStyle w:val="FigureCaption"/>
      </w:pPr>
      <w:bookmarkStart w:id="184" w:name="_Toc114560001"/>
      <w:r w:rsidRPr="0091560A">
        <w:t xml:space="preserve">Figure </w:t>
      </w:r>
      <w:r>
        <w:fldChar w:fldCharType="begin"/>
      </w:r>
      <w:r>
        <w:instrText>SEQ Figure \* ARABIC</w:instrText>
      </w:r>
      <w:r>
        <w:fldChar w:fldCharType="separate"/>
      </w:r>
      <w:r w:rsidR="0091734E">
        <w:rPr>
          <w:noProof/>
        </w:rPr>
        <w:t>40</w:t>
      </w:r>
      <w:r>
        <w:fldChar w:fldCharType="end"/>
      </w:r>
      <w:r w:rsidRPr="0091560A">
        <w:rPr>
          <w:noProof/>
        </w:rPr>
        <w:t xml:space="preserve">. </w:t>
      </w:r>
      <w:r>
        <w:t>PRISMA flow diagram for study selection process</w:t>
      </w:r>
      <w:bookmarkEnd w:id="184"/>
      <w:r>
        <w:t xml:space="preserve"> </w:t>
      </w:r>
    </w:p>
    <w:p w14:paraId="4FBAAD3E" w14:textId="2027AB17" w:rsidR="00343860" w:rsidRPr="00D147AF" w:rsidRDefault="00343860" w:rsidP="00D147AF"/>
    <w:p w14:paraId="15073C88" w14:textId="4407F47F" w:rsidR="00A57D80" w:rsidRPr="00425A0D" w:rsidRDefault="00A57D80" w:rsidP="00425A0D"/>
    <w:p w14:paraId="05F943CC" w14:textId="72FA8CD2" w:rsidR="00382C13" w:rsidRPr="00382C13" w:rsidRDefault="00382C13" w:rsidP="00382C13"/>
    <w:sectPr w:rsidR="00382C13" w:rsidRPr="00382C13" w:rsidSect="00D51C9A">
      <w:headerReference w:type="default" r:id="rId167"/>
      <w:footerReference w:type="default" r:id="rId16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6CD6D9" w14:textId="77777777" w:rsidR="00EF2340" w:rsidRDefault="00EF2340" w:rsidP="00D34543">
      <w:pPr>
        <w:spacing w:after="0" w:line="240" w:lineRule="auto"/>
      </w:pPr>
      <w:r>
        <w:separator/>
      </w:r>
    </w:p>
  </w:endnote>
  <w:endnote w:type="continuationSeparator" w:id="0">
    <w:p w14:paraId="294C1317" w14:textId="77777777" w:rsidR="00EF2340" w:rsidRDefault="00EF2340" w:rsidP="00D34543">
      <w:pPr>
        <w:spacing w:after="0" w:line="240" w:lineRule="auto"/>
      </w:pPr>
      <w:r>
        <w:continuationSeparator/>
      </w:r>
    </w:p>
  </w:endnote>
  <w:endnote w:type="continuationNotice" w:id="1">
    <w:p w14:paraId="1B4CA1E7" w14:textId="77777777" w:rsidR="00EF2340" w:rsidRDefault="00EF23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7"/>
        <w:szCs w:val="17"/>
      </w:rPr>
      <w:id w:val="-7138095"/>
      <w:docPartObj>
        <w:docPartGallery w:val="Page Numbers (Bottom of Page)"/>
        <w:docPartUnique/>
      </w:docPartObj>
    </w:sdtPr>
    <w:sdtEndPr>
      <w:rPr>
        <w:rFonts w:asciiTheme="minorHAnsi" w:hAnsiTheme="minorHAnsi" w:cstheme="minorHAnsi"/>
        <w:sz w:val="20"/>
        <w:szCs w:val="20"/>
      </w:rPr>
    </w:sdtEndPr>
    <w:sdtContent>
      <w:sdt>
        <w:sdtPr>
          <w:rPr>
            <w:sz w:val="17"/>
            <w:szCs w:val="17"/>
          </w:rPr>
          <w:id w:val="-124239892"/>
          <w:docPartObj>
            <w:docPartGallery w:val="Page Numbers (Top of Page)"/>
            <w:docPartUnique/>
          </w:docPartObj>
        </w:sdtPr>
        <w:sdtEndPr>
          <w:rPr>
            <w:rFonts w:asciiTheme="minorHAnsi" w:hAnsiTheme="minorHAnsi" w:cstheme="minorHAnsi"/>
            <w:sz w:val="20"/>
            <w:szCs w:val="20"/>
          </w:rPr>
        </w:sdtEndPr>
        <w:sdtContent>
          <w:p w14:paraId="143FE2A8" w14:textId="77777777" w:rsidR="00D10E81" w:rsidRPr="00327849" w:rsidRDefault="00D10E81" w:rsidP="0038312B">
            <w:pPr>
              <w:pStyle w:val="Footer"/>
              <w:pBdr>
                <w:top w:val="single" w:sz="4" w:space="1" w:color="auto"/>
              </w:pBdr>
              <w:jc w:val="right"/>
              <w:rPr>
                <w:rFonts w:asciiTheme="minorHAnsi" w:hAnsiTheme="minorHAnsi" w:cstheme="minorHAnsi"/>
                <w:sz w:val="20"/>
                <w:szCs w:val="20"/>
              </w:rPr>
            </w:pPr>
            <w:r w:rsidRPr="00327849">
              <w:rPr>
                <w:rFonts w:asciiTheme="minorHAnsi" w:hAnsiTheme="minorHAnsi" w:cstheme="minorHAnsi"/>
                <w:sz w:val="20"/>
                <w:szCs w:val="20"/>
              </w:rPr>
              <w:t xml:space="preserve">Page </w:t>
            </w:r>
            <w:r w:rsidRPr="00327849">
              <w:rPr>
                <w:rFonts w:asciiTheme="minorHAnsi" w:hAnsiTheme="minorHAnsi" w:cstheme="minorHAnsi"/>
                <w:sz w:val="20"/>
                <w:szCs w:val="20"/>
              </w:rPr>
              <w:fldChar w:fldCharType="begin"/>
            </w:r>
            <w:r w:rsidRPr="00327849">
              <w:rPr>
                <w:rFonts w:asciiTheme="minorHAnsi" w:hAnsiTheme="minorHAnsi" w:cstheme="minorHAnsi"/>
                <w:sz w:val="20"/>
                <w:szCs w:val="20"/>
              </w:rPr>
              <w:instrText xml:space="preserve"> PAGE  \* Arabic  \* MERGEFORMAT </w:instrText>
            </w:r>
            <w:r w:rsidRPr="00327849">
              <w:rPr>
                <w:rFonts w:asciiTheme="minorHAnsi" w:hAnsiTheme="minorHAnsi" w:cstheme="minorHAnsi"/>
                <w:sz w:val="20"/>
                <w:szCs w:val="20"/>
              </w:rPr>
              <w:fldChar w:fldCharType="separate"/>
            </w:r>
            <w:r w:rsidRPr="00327849">
              <w:rPr>
                <w:rFonts w:asciiTheme="minorHAnsi" w:hAnsiTheme="minorHAnsi" w:cstheme="minorHAnsi"/>
                <w:noProof/>
                <w:sz w:val="20"/>
                <w:szCs w:val="20"/>
              </w:rPr>
              <w:t>0</w:t>
            </w:r>
            <w:r w:rsidRPr="00327849">
              <w:rPr>
                <w:rFonts w:asciiTheme="minorHAnsi" w:hAnsiTheme="minorHAnsi" w:cstheme="minorHAnsi"/>
                <w:sz w:val="20"/>
                <w:szCs w:val="20"/>
              </w:rPr>
              <w:fldChar w:fldCharType="end"/>
            </w:r>
            <w:r w:rsidRPr="00327849">
              <w:rPr>
                <w:rFonts w:asciiTheme="minorHAnsi" w:hAnsiTheme="minorHAnsi" w:cstheme="minorHAnsi"/>
                <w:sz w:val="20"/>
                <w:szCs w:val="20"/>
              </w:rPr>
              <w:t xml:space="preserve"> of </w:t>
            </w:r>
            <w:r w:rsidRPr="00327849">
              <w:rPr>
                <w:rFonts w:asciiTheme="minorHAnsi" w:hAnsiTheme="minorHAnsi" w:cstheme="minorHAnsi"/>
                <w:b/>
                <w:sz w:val="20"/>
                <w:szCs w:val="20"/>
              </w:rPr>
              <w:fldChar w:fldCharType="begin"/>
            </w:r>
            <w:r w:rsidRPr="00327849">
              <w:rPr>
                <w:rFonts w:asciiTheme="minorHAnsi" w:hAnsiTheme="minorHAnsi" w:cstheme="minorHAnsi"/>
                <w:b/>
                <w:sz w:val="20"/>
                <w:szCs w:val="20"/>
              </w:rPr>
              <w:instrText xml:space="preserve"> NUMPAGES  </w:instrText>
            </w:r>
            <w:r w:rsidRPr="00327849">
              <w:rPr>
                <w:rFonts w:asciiTheme="minorHAnsi" w:hAnsiTheme="minorHAnsi" w:cstheme="minorHAnsi"/>
                <w:b/>
                <w:sz w:val="20"/>
                <w:szCs w:val="20"/>
              </w:rPr>
              <w:fldChar w:fldCharType="separate"/>
            </w:r>
            <w:r w:rsidRPr="00327849">
              <w:rPr>
                <w:rFonts w:asciiTheme="minorHAnsi" w:hAnsiTheme="minorHAnsi" w:cstheme="minorHAnsi"/>
                <w:b/>
                <w:sz w:val="20"/>
                <w:szCs w:val="20"/>
              </w:rPr>
              <w:t>2</w:t>
            </w:r>
            <w:r w:rsidRPr="00327849">
              <w:rPr>
                <w:rFonts w:asciiTheme="minorHAnsi" w:hAnsiTheme="minorHAnsi" w:cstheme="minorHAnsi"/>
                <w:b/>
                <w:sz w:val="20"/>
                <w:szCs w:val="20"/>
              </w:rPr>
              <w:fldChar w:fldCharType="end"/>
            </w:r>
          </w:p>
        </w:sdtContent>
      </w:sdt>
    </w:sdtContent>
  </w:sdt>
  <w:p w14:paraId="71E707FE" w14:textId="77777777" w:rsidR="00D10E81" w:rsidRDefault="00D10E8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szCs w:val="20"/>
      </w:rPr>
      <w:id w:val="-1568571174"/>
      <w:docPartObj>
        <w:docPartGallery w:val="Page Numbers (Bottom of Page)"/>
        <w:docPartUnique/>
      </w:docPartObj>
    </w:sdtPr>
    <w:sdtEndPr>
      <w:rPr>
        <w:sz w:val="20"/>
        <w:szCs w:val="18"/>
      </w:rPr>
    </w:sdtEndPr>
    <w:sdtContent>
      <w:sdt>
        <w:sdtPr>
          <w:rPr>
            <w:rFonts w:asciiTheme="minorHAnsi" w:hAnsiTheme="minorHAnsi"/>
            <w:sz w:val="22"/>
            <w:szCs w:val="20"/>
          </w:rPr>
          <w:id w:val="-1768302288"/>
          <w:docPartObj>
            <w:docPartGallery w:val="Page Numbers (Top of Page)"/>
            <w:docPartUnique/>
          </w:docPartObj>
        </w:sdtPr>
        <w:sdtEndPr>
          <w:rPr>
            <w:sz w:val="20"/>
            <w:szCs w:val="18"/>
          </w:rPr>
        </w:sdtEndPr>
        <w:sdtContent>
          <w:p w14:paraId="36ACAE62" w14:textId="77777777" w:rsidR="00D10E81" w:rsidRDefault="00D10E81">
            <w:pPr>
              <w:pStyle w:val="Footer"/>
              <w:pBdr>
                <w:bottom w:val="single" w:sz="12" w:space="1" w:color="auto"/>
              </w:pBdr>
              <w:jc w:val="right"/>
              <w:rPr>
                <w:rFonts w:asciiTheme="minorHAnsi" w:hAnsiTheme="minorHAnsi"/>
                <w:sz w:val="22"/>
                <w:szCs w:val="20"/>
              </w:rPr>
            </w:pPr>
          </w:p>
          <w:p w14:paraId="19AAC523" w14:textId="77777777" w:rsidR="00D10E81" w:rsidRPr="00A139B2" w:rsidRDefault="00D10E81">
            <w:pPr>
              <w:pStyle w:val="Footer"/>
              <w:jc w:val="right"/>
              <w:rPr>
                <w:rFonts w:asciiTheme="minorHAnsi" w:hAnsiTheme="minorHAnsi"/>
                <w:sz w:val="20"/>
                <w:szCs w:val="18"/>
              </w:rPr>
            </w:pPr>
            <w:r w:rsidRPr="00A139B2">
              <w:rPr>
                <w:rFonts w:asciiTheme="minorHAnsi" w:hAnsiTheme="minorHAnsi"/>
                <w:sz w:val="20"/>
                <w:szCs w:val="18"/>
              </w:rPr>
              <w:t xml:space="preserve">Page </w:t>
            </w:r>
            <w:r w:rsidRPr="00A139B2">
              <w:rPr>
                <w:rFonts w:asciiTheme="minorHAnsi" w:hAnsiTheme="minorHAnsi"/>
                <w:b/>
                <w:sz w:val="20"/>
                <w:szCs w:val="20"/>
              </w:rPr>
              <w:fldChar w:fldCharType="begin"/>
            </w:r>
            <w:r w:rsidRPr="00A139B2">
              <w:rPr>
                <w:rFonts w:asciiTheme="minorHAnsi" w:hAnsiTheme="minorHAnsi"/>
                <w:b/>
                <w:sz w:val="20"/>
                <w:szCs w:val="18"/>
              </w:rPr>
              <w:instrText xml:space="preserve"> PAGE </w:instrText>
            </w:r>
            <w:r w:rsidRPr="00A139B2">
              <w:rPr>
                <w:rFonts w:asciiTheme="minorHAnsi" w:hAnsiTheme="minorHAnsi"/>
                <w:b/>
                <w:sz w:val="20"/>
                <w:szCs w:val="20"/>
              </w:rPr>
              <w:fldChar w:fldCharType="separate"/>
            </w:r>
            <w:r w:rsidRPr="00A139B2">
              <w:rPr>
                <w:rFonts w:asciiTheme="minorHAnsi" w:hAnsiTheme="minorHAnsi"/>
                <w:b/>
                <w:sz w:val="20"/>
                <w:szCs w:val="18"/>
              </w:rPr>
              <w:t>2</w:t>
            </w:r>
            <w:r w:rsidRPr="00A139B2">
              <w:rPr>
                <w:rFonts w:asciiTheme="minorHAnsi" w:hAnsiTheme="minorHAnsi"/>
                <w:b/>
                <w:sz w:val="20"/>
                <w:szCs w:val="20"/>
              </w:rPr>
              <w:fldChar w:fldCharType="end"/>
            </w:r>
            <w:r w:rsidRPr="00A139B2">
              <w:rPr>
                <w:rFonts w:asciiTheme="minorHAnsi" w:hAnsiTheme="minorHAnsi"/>
                <w:sz w:val="20"/>
                <w:szCs w:val="18"/>
              </w:rPr>
              <w:t xml:space="preserve"> of </w:t>
            </w:r>
            <w:r w:rsidRPr="00A139B2">
              <w:rPr>
                <w:rFonts w:asciiTheme="minorHAnsi" w:hAnsiTheme="minorHAnsi"/>
                <w:b/>
                <w:sz w:val="20"/>
                <w:szCs w:val="20"/>
              </w:rPr>
              <w:fldChar w:fldCharType="begin"/>
            </w:r>
            <w:r w:rsidRPr="00A139B2">
              <w:rPr>
                <w:rFonts w:asciiTheme="minorHAnsi" w:hAnsiTheme="minorHAnsi"/>
                <w:b/>
                <w:sz w:val="20"/>
                <w:szCs w:val="18"/>
              </w:rPr>
              <w:instrText xml:space="preserve"> NUMPAGES  </w:instrText>
            </w:r>
            <w:r w:rsidRPr="00A139B2">
              <w:rPr>
                <w:rFonts w:asciiTheme="minorHAnsi" w:hAnsiTheme="minorHAnsi"/>
                <w:b/>
                <w:sz w:val="20"/>
                <w:szCs w:val="20"/>
              </w:rPr>
              <w:fldChar w:fldCharType="separate"/>
            </w:r>
            <w:r w:rsidRPr="00A139B2">
              <w:rPr>
                <w:rFonts w:asciiTheme="minorHAnsi" w:hAnsiTheme="minorHAnsi"/>
                <w:b/>
                <w:sz w:val="20"/>
                <w:szCs w:val="18"/>
              </w:rPr>
              <w:t>2</w:t>
            </w:r>
            <w:r w:rsidRPr="00A139B2">
              <w:rPr>
                <w:rFonts w:asciiTheme="minorHAnsi" w:hAnsiTheme="minorHAnsi"/>
                <w:b/>
                <w:sz w:val="20"/>
                <w:szCs w:val="20"/>
              </w:rPr>
              <w:fldChar w:fldCharType="end"/>
            </w:r>
          </w:p>
        </w:sdtContent>
      </w:sdt>
    </w:sdtContent>
  </w:sdt>
  <w:p w14:paraId="475999E5" w14:textId="77777777" w:rsidR="00D10E81" w:rsidRDefault="00D10E8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sz w:val="22"/>
        <w:szCs w:val="20"/>
      </w:rPr>
      <w:id w:val="-2096469696"/>
      <w:docPartObj>
        <w:docPartGallery w:val="Page Numbers (Bottom of Page)"/>
        <w:docPartUnique/>
      </w:docPartObj>
    </w:sdtPr>
    <w:sdtEndPr>
      <w:rPr>
        <w:sz w:val="20"/>
        <w:szCs w:val="18"/>
      </w:rPr>
    </w:sdtEndPr>
    <w:sdtContent>
      <w:sdt>
        <w:sdtPr>
          <w:rPr>
            <w:rFonts w:asciiTheme="minorHAnsi" w:hAnsiTheme="minorHAnsi"/>
            <w:sz w:val="22"/>
            <w:szCs w:val="20"/>
          </w:rPr>
          <w:id w:val="522057196"/>
          <w:docPartObj>
            <w:docPartGallery w:val="Page Numbers (Top of Page)"/>
            <w:docPartUnique/>
          </w:docPartObj>
        </w:sdtPr>
        <w:sdtEndPr>
          <w:rPr>
            <w:sz w:val="20"/>
            <w:szCs w:val="18"/>
          </w:rPr>
        </w:sdtEndPr>
        <w:sdtContent>
          <w:p w14:paraId="60B8B965" w14:textId="77777777" w:rsidR="00D10E81" w:rsidRDefault="00D10E81">
            <w:pPr>
              <w:pStyle w:val="Footer"/>
              <w:pBdr>
                <w:bottom w:val="single" w:sz="12" w:space="1" w:color="auto"/>
              </w:pBdr>
              <w:jc w:val="right"/>
              <w:rPr>
                <w:rFonts w:asciiTheme="minorHAnsi" w:hAnsiTheme="minorHAnsi"/>
                <w:sz w:val="22"/>
                <w:szCs w:val="20"/>
              </w:rPr>
            </w:pPr>
          </w:p>
          <w:p w14:paraId="29AD4803" w14:textId="77777777" w:rsidR="00D10E81" w:rsidRPr="00A139B2" w:rsidRDefault="00D10E81">
            <w:pPr>
              <w:pStyle w:val="Footer"/>
              <w:jc w:val="right"/>
              <w:rPr>
                <w:rFonts w:asciiTheme="minorHAnsi" w:hAnsiTheme="minorHAnsi"/>
                <w:sz w:val="20"/>
                <w:szCs w:val="18"/>
              </w:rPr>
            </w:pPr>
            <w:r w:rsidRPr="00A139B2">
              <w:rPr>
                <w:rFonts w:asciiTheme="minorHAnsi" w:hAnsiTheme="minorHAnsi"/>
                <w:sz w:val="20"/>
                <w:szCs w:val="18"/>
              </w:rPr>
              <w:t xml:space="preserve">Page </w:t>
            </w:r>
            <w:r w:rsidRPr="00A139B2">
              <w:rPr>
                <w:rFonts w:asciiTheme="minorHAnsi" w:hAnsiTheme="minorHAnsi"/>
                <w:b/>
                <w:sz w:val="20"/>
                <w:szCs w:val="20"/>
              </w:rPr>
              <w:fldChar w:fldCharType="begin"/>
            </w:r>
            <w:r w:rsidRPr="00A139B2">
              <w:rPr>
                <w:rFonts w:asciiTheme="minorHAnsi" w:hAnsiTheme="minorHAnsi"/>
                <w:b/>
                <w:sz w:val="20"/>
                <w:szCs w:val="18"/>
              </w:rPr>
              <w:instrText xml:space="preserve"> PAGE </w:instrText>
            </w:r>
            <w:r w:rsidRPr="00A139B2">
              <w:rPr>
                <w:rFonts w:asciiTheme="minorHAnsi" w:hAnsiTheme="minorHAnsi"/>
                <w:b/>
                <w:sz w:val="20"/>
                <w:szCs w:val="20"/>
              </w:rPr>
              <w:fldChar w:fldCharType="separate"/>
            </w:r>
            <w:r w:rsidRPr="00A139B2">
              <w:rPr>
                <w:rFonts w:asciiTheme="minorHAnsi" w:hAnsiTheme="minorHAnsi"/>
                <w:b/>
                <w:sz w:val="20"/>
                <w:szCs w:val="18"/>
              </w:rPr>
              <w:t>2</w:t>
            </w:r>
            <w:r w:rsidRPr="00A139B2">
              <w:rPr>
                <w:rFonts w:asciiTheme="minorHAnsi" w:hAnsiTheme="minorHAnsi"/>
                <w:b/>
                <w:sz w:val="20"/>
                <w:szCs w:val="20"/>
              </w:rPr>
              <w:fldChar w:fldCharType="end"/>
            </w:r>
            <w:r w:rsidRPr="00A139B2">
              <w:rPr>
                <w:rFonts w:asciiTheme="minorHAnsi" w:hAnsiTheme="minorHAnsi"/>
                <w:sz w:val="20"/>
                <w:szCs w:val="18"/>
              </w:rPr>
              <w:t xml:space="preserve"> of </w:t>
            </w:r>
            <w:r w:rsidRPr="00A139B2">
              <w:rPr>
                <w:rFonts w:asciiTheme="minorHAnsi" w:hAnsiTheme="minorHAnsi"/>
                <w:b/>
                <w:sz w:val="20"/>
                <w:szCs w:val="20"/>
              </w:rPr>
              <w:fldChar w:fldCharType="begin"/>
            </w:r>
            <w:r w:rsidRPr="00A139B2">
              <w:rPr>
                <w:rFonts w:asciiTheme="minorHAnsi" w:hAnsiTheme="minorHAnsi"/>
                <w:b/>
                <w:sz w:val="20"/>
                <w:szCs w:val="18"/>
              </w:rPr>
              <w:instrText xml:space="preserve"> NUMPAGES  </w:instrText>
            </w:r>
            <w:r w:rsidRPr="00A139B2">
              <w:rPr>
                <w:rFonts w:asciiTheme="minorHAnsi" w:hAnsiTheme="minorHAnsi"/>
                <w:b/>
                <w:sz w:val="20"/>
                <w:szCs w:val="20"/>
              </w:rPr>
              <w:fldChar w:fldCharType="separate"/>
            </w:r>
            <w:r w:rsidRPr="00A139B2">
              <w:rPr>
                <w:rFonts w:asciiTheme="minorHAnsi" w:hAnsiTheme="minorHAnsi"/>
                <w:b/>
                <w:sz w:val="20"/>
                <w:szCs w:val="18"/>
              </w:rPr>
              <w:t>2</w:t>
            </w:r>
            <w:r w:rsidRPr="00A139B2">
              <w:rPr>
                <w:rFonts w:asciiTheme="minorHAnsi" w:hAnsiTheme="minorHAnsi"/>
                <w:b/>
                <w:sz w:val="20"/>
                <w:szCs w:val="20"/>
              </w:rPr>
              <w:fldChar w:fldCharType="end"/>
            </w:r>
          </w:p>
        </w:sdtContent>
      </w:sdt>
    </w:sdtContent>
  </w:sdt>
  <w:p w14:paraId="77B05947" w14:textId="77777777" w:rsidR="00D10E81" w:rsidRDefault="00D10E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D88DE9" w14:textId="77777777" w:rsidR="00D10E81" w:rsidRDefault="00D10E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7"/>
        <w:szCs w:val="17"/>
      </w:rPr>
      <w:id w:val="507564115"/>
      <w:docPartObj>
        <w:docPartGallery w:val="Page Numbers (Bottom of Page)"/>
        <w:docPartUnique/>
      </w:docPartObj>
    </w:sdtPr>
    <w:sdtEndPr>
      <w:rPr>
        <w:rFonts w:asciiTheme="minorHAnsi" w:hAnsiTheme="minorHAnsi" w:cstheme="minorHAnsi"/>
        <w:sz w:val="20"/>
        <w:szCs w:val="20"/>
      </w:rPr>
    </w:sdtEndPr>
    <w:sdtContent>
      <w:sdt>
        <w:sdtPr>
          <w:rPr>
            <w:sz w:val="17"/>
            <w:szCs w:val="17"/>
          </w:rPr>
          <w:id w:val="1568081010"/>
          <w:docPartObj>
            <w:docPartGallery w:val="Page Numbers (Top of Page)"/>
            <w:docPartUnique/>
          </w:docPartObj>
        </w:sdtPr>
        <w:sdtEndPr>
          <w:rPr>
            <w:rFonts w:asciiTheme="minorHAnsi" w:hAnsiTheme="minorHAnsi" w:cstheme="minorHAnsi"/>
            <w:sz w:val="20"/>
            <w:szCs w:val="20"/>
          </w:rPr>
        </w:sdtEndPr>
        <w:sdtContent>
          <w:p w14:paraId="64F05670" w14:textId="77777777" w:rsidR="00D10E81" w:rsidRPr="00EB3036" w:rsidRDefault="00D10E81" w:rsidP="0038312B">
            <w:pPr>
              <w:pStyle w:val="Footer"/>
              <w:pBdr>
                <w:top w:val="single" w:sz="4" w:space="1" w:color="auto"/>
              </w:pBdr>
              <w:jc w:val="right"/>
              <w:rPr>
                <w:rFonts w:asciiTheme="minorHAnsi" w:hAnsiTheme="minorHAnsi" w:cstheme="minorHAnsi"/>
                <w:sz w:val="20"/>
                <w:szCs w:val="20"/>
              </w:rPr>
            </w:pPr>
            <w:r w:rsidRPr="00EB3036">
              <w:rPr>
                <w:rFonts w:asciiTheme="minorHAnsi" w:hAnsiTheme="minorHAnsi" w:cstheme="minorHAnsi"/>
                <w:sz w:val="20"/>
                <w:szCs w:val="20"/>
              </w:rPr>
              <w:t xml:space="preserve">Page </w:t>
            </w:r>
            <w:r w:rsidRPr="00EB3036">
              <w:rPr>
                <w:rFonts w:asciiTheme="minorHAnsi" w:hAnsiTheme="minorHAnsi" w:cstheme="minorHAnsi"/>
                <w:b/>
                <w:sz w:val="20"/>
                <w:szCs w:val="20"/>
              </w:rPr>
              <w:fldChar w:fldCharType="begin"/>
            </w:r>
            <w:r w:rsidRPr="00EB3036">
              <w:rPr>
                <w:rFonts w:asciiTheme="minorHAnsi" w:hAnsiTheme="minorHAnsi" w:cstheme="minorHAnsi"/>
                <w:b/>
                <w:sz w:val="20"/>
                <w:szCs w:val="20"/>
              </w:rPr>
              <w:instrText xml:space="preserve"> PAGE </w:instrText>
            </w:r>
            <w:r w:rsidRPr="00EB3036">
              <w:rPr>
                <w:rFonts w:asciiTheme="minorHAnsi" w:hAnsiTheme="minorHAnsi" w:cstheme="minorHAnsi"/>
                <w:b/>
                <w:sz w:val="20"/>
                <w:szCs w:val="20"/>
              </w:rPr>
              <w:fldChar w:fldCharType="separate"/>
            </w:r>
            <w:r w:rsidRPr="00EB3036">
              <w:rPr>
                <w:rFonts w:asciiTheme="minorHAnsi" w:hAnsiTheme="minorHAnsi" w:cstheme="minorHAnsi"/>
                <w:b/>
                <w:sz w:val="20"/>
                <w:szCs w:val="20"/>
              </w:rPr>
              <w:t>2</w:t>
            </w:r>
            <w:r w:rsidRPr="00EB3036">
              <w:rPr>
                <w:rFonts w:asciiTheme="minorHAnsi" w:hAnsiTheme="minorHAnsi" w:cstheme="minorHAnsi"/>
                <w:b/>
                <w:sz w:val="20"/>
                <w:szCs w:val="20"/>
              </w:rPr>
              <w:fldChar w:fldCharType="end"/>
            </w:r>
            <w:r w:rsidRPr="00EB3036">
              <w:rPr>
                <w:rFonts w:asciiTheme="minorHAnsi" w:hAnsiTheme="minorHAnsi" w:cstheme="minorHAnsi"/>
                <w:sz w:val="20"/>
                <w:szCs w:val="20"/>
              </w:rPr>
              <w:t xml:space="preserve"> of </w:t>
            </w:r>
            <w:r w:rsidRPr="00EB3036">
              <w:rPr>
                <w:rFonts w:asciiTheme="minorHAnsi" w:hAnsiTheme="minorHAnsi" w:cstheme="minorHAnsi"/>
                <w:b/>
                <w:sz w:val="20"/>
                <w:szCs w:val="20"/>
              </w:rPr>
              <w:fldChar w:fldCharType="begin"/>
            </w:r>
            <w:r w:rsidRPr="00EB3036">
              <w:rPr>
                <w:rFonts w:asciiTheme="minorHAnsi" w:hAnsiTheme="minorHAnsi" w:cstheme="minorHAnsi"/>
                <w:b/>
                <w:sz w:val="20"/>
                <w:szCs w:val="20"/>
              </w:rPr>
              <w:instrText xml:space="preserve"> NUMPAGES  </w:instrText>
            </w:r>
            <w:r w:rsidRPr="00EB3036">
              <w:rPr>
                <w:rFonts w:asciiTheme="minorHAnsi" w:hAnsiTheme="minorHAnsi" w:cstheme="minorHAnsi"/>
                <w:b/>
                <w:sz w:val="20"/>
                <w:szCs w:val="20"/>
              </w:rPr>
              <w:fldChar w:fldCharType="separate"/>
            </w:r>
            <w:r w:rsidRPr="00EB3036">
              <w:rPr>
                <w:rFonts w:asciiTheme="minorHAnsi" w:hAnsiTheme="minorHAnsi" w:cstheme="minorHAnsi"/>
                <w:b/>
                <w:sz w:val="20"/>
                <w:szCs w:val="20"/>
              </w:rPr>
              <w:t>2</w:t>
            </w:r>
            <w:r w:rsidRPr="00EB3036">
              <w:rPr>
                <w:rFonts w:asciiTheme="minorHAnsi" w:hAnsiTheme="minorHAnsi" w:cstheme="minorHAnsi"/>
                <w:b/>
                <w:sz w:val="20"/>
                <w:szCs w:val="20"/>
              </w:rPr>
              <w:fldChar w:fldCharType="end"/>
            </w:r>
          </w:p>
        </w:sdtContent>
      </w:sdt>
    </w:sdtContent>
  </w:sdt>
  <w:p w14:paraId="7330FC40" w14:textId="77777777" w:rsidR="00D10E81" w:rsidRDefault="00D10E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7"/>
        <w:szCs w:val="17"/>
      </w:rPr>
      <w:id w:val="-43290910"/>
      <w:docPartObj>
        <w:docPartGallery w:val="Page Numbers (Bottom of Page)"/>
        <w:docPartUnique/>
      </w:docPartObj>
    </w:sdtPr>
    <w:sdtEndPr>
      <w:rPr>
        <w:rFonts w:asciiTheme="minorHAnsi" w:hAnsiTheme="minorHAnsi" w:cstheme="minorHAnsi"/>
        <w:sz w:val="20"/>
        <w:szCs w:val="20"/>
      </w:rPr>
    </w:sdtEndPr>
    <w:sdtContent>
      <w:sdt>
        <w:sdtPr>
          <w:rPr>
            <w:sz w:val="17"/>
            <w:szCs w:val="17"/>
          </w:rPr>
          <w:id w:val="926075510"/>
          <w:docPartObj>
            <w:docPartGallery w:val="Page Numbers (Top of Page)"/>
            <w:docPartUnique/>
          </w:docPartObj>
        </w:sdtPr>
        <w:sdtEndPr>
          <w:rPr>
            <w:rFonts w:asciiTheme="minorHAnsi" w:hAnsiTheme="minorHAnsi" w:cstheme="minorHAnsi"/>
            <w:sz w:val="20"/>
            <w:szCs w:val="20"/>
          </w:rPr>
        </w:sdtEndPr>
        <w:sdtContent>
          <w:p w14:paraId="4006839E" w14:textId="77777777" w:rsidR="00D10E81" w:rsidRPr="00EB3036" w:rsidRDefault="00D10E81" w:rsidP="0038312B">
            <w:pPr>
              <w:pStyle w:val="Footer"/>
              <w:pBdr>
                <w:top w:val="single" w:sz="4" w:space="1" w:color="auto"/>
              </w:pBdr>
              <w:jc w:val="right"/>
              <w:rPr>
                <w:rFonts w:asciiTheme="minorHAnsi" w:hAnsiTheme="minorHAnsi" w:cstheme="minorHAnsi"/>
                <w:sz w:val="20"/>
                <w:szCs w:val="20"/>
              </w:rPr>
            </w:pPr>
            <w:r w:rsidRPr="00EB3036">
              <w:rPr>
                <w:rFonts w:asciiTheme="minorHAnsi" w:hAnsiTheme="minorHAnsi" w:cstheme="minorHAnsi"/>
                <w:sz w:val="20"/>
                <w:szCs w:val="20"/>
              </w:rPr>
              <w:t xml:space="preserve">Page </w:t>
            </w:r>
            <w:r w:rsidRPr="00EB3036">
              <w:rPr>
                <w:rFonts w:asciiTheme="minorHAnsi" w:hAnsiTheme="minorHAnsi" w:cstheme="minorHAnsi"/>
                <w:b/>
                <w:sz w:val="20"/>
                <w:szCs w:val="20"/>
              </w:rPr>
              <w:fldChar w:fldCharType="begin"/>
            </w:r>
            <w:r w:rsidRPr="00EB3036">
              <w:rPr>
                <w:rFonts w:asciiTheme="minorHAnsi" w:hAnsiTheme="minorHAnsi" w:cstheme="minorHAnsi"/>
                <w:b/>
                <w:sz w:val="20"/>
                <w:szCs w:val="20"/>
              </w:rPr>
              <w:instrText xml:space="preserve"> PAGE </w:instrText>
            </w:r>
            <w:r w:rsidRPr="00EB3036">
              <w:rPr>
                <w:rFonts w:asciiTheme="minorHAnsi" w:hAnsiTheme="minorHAnsi" w:cstheme="minorHAnsi"/>
                <w:b/>
                <w:sz w:val="20"/>
                <w:szCs w:val="20"/>
              </w:rPr>
              <w:fldChar w:fldCharType="separate"/>
            </w:r>
            <w:r w:rsidRPr="00EB3036">
              <w:rPr>
                <w:rFonts w:asciiTheme="minorHAnsi" w:hAnsiTheme="minorHAnsi" w:cstheme="minorHAnsi"/>
                <w:b/>
                <w:sz w:val="20"/>
                <w:szCs w:val="20"/>
              </w:rPr>
              <w:t>2</w:t>
            </w:r>
            <w:r w:rsidRPr="00EB3036">
              <w:rPr>
                <w:rFonts w:asciiTheme="minorHAnsi" w:hAnsiTheme="minorHAnsi" w:cstheme="minorHAnsi"/>
                <w:b/>
                <w:sz w:val="20"/>
                <w:szCs w:val="20"/>
              </w:rPr>
              <w:fldChar w:fldCharType="end"/>
            </w:r>
            <w:r w:rsidRPr="00EB3036">
              <w:rPr>
                <w:rFonts w:asciiTheme="minorHAnsi" w:hAnsiTheme="minorHAnsi" w:cstheme="minorHAnsi"/>
                <w:sz w:val="20"/>
                <w:szCs w:val="20"/>
              </w:rPr>
              <w:t xml:space="preserve"> of </w:t>
            </w:r>
            <w:r w:rsidRPr="00EB3036">
              <w:rPr>
                <w:rFonts w:asciiTheme="minorHAnsi" w:hAnsiTheme="minorHAnsi" w:cstheme="minorHAnsi"/>
                <w:b/>
                <w:sz w:val="20"/>
                <w:szCs w:val="20"/>
              </w:rPr>
              <w:fldChar w:fldCharType="begin"/>
            </w:r>
            <w:r w:rsidRPr="00EB3036">
              <w:rPr>
                <w:rFonts w:asciiTheme="minorHAnsi" w:hAnsiTheme="minorHAnsi" w:cstheme="minorHAnsi"/>
                <w:b/>
                <w:sz w:val="20"/>
                <w:szCs w:val="20"/>
              </w:rPr>
              <w:instrText xml:space="preserve"> NUMPAGES  </w:instrText>
            </w:r>
            <w:r w:rsidRPr="00EB3036">
              <w:rPr>
                <w:rFonts w:asciiTheme="minorHAnsi" w:hAnsiTheme="minorHAnsi" w:cstheme="minorHAnsi"/>
                <w:b/>
                <w:sz w:val="20"/>
                <w:szCs w:val="20"/>
              </w:rPr>
              <w:fldChar w:fldCharType="separate"/>
            </w:r>
            <w:r w:rsidRPr="00EB3036">
              <w:rPr>
                <w:rFonts w:asciiTheme="minorHAnsi" w:hAnsiTheme="minorHAnsi" w:cstheme="minorHAnsi"/>
                <w:b/>
                <w:sz w:val="20"/>
                <w:szCs w:val="20"/>
              </w:rPr>
              <w:t>2</w:t>
            </w:r>
            <w:r w:rsidRPr="00EB3036">
              <w:rPr>
                <w:rFonts w:asciiTheme="minorHAnsi" w:hAnsiTheme="minorHAnsi" w:cstheme="minorHAnsi"/>
                <w:b/>
                <w:sz w:val="20"/>
                <w:szCs w:val="20"/>
              </w:rPr>
              <w:fldChar w:fldCharType="end"/>
            </w:r>
          </w:p>
        </w:sdtContent>
      </w:sdt>
    </w:sdtContent>
  </w:sdt>
  <w:p w14:paraId="54F41A91" w14:textId="77777777" w:rsidR="00D10E81" w:rsidRDefault="00D10E8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9E186" w14:textId="77777777" w:rsidR="00D10E81" w:rsidRDefault="00D10E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A00A8" w14:textId="77777777" w:rsidR="00D10E81" w:rsidRDefault="00D10E81">
    <w:pPr>
      <w:pStyle w:val="Footer"/>
      <w:pBdr>
        <w:bottom w:val="single" w:sz="12" w:space="1" w:color="auto"/>
      </w:pBdr>
      <w:jc w:val="right"/>
      <w:rPr>
        <w:rFonts w:asciiTheme="minorHAnsi" w:hAnsiTheme="minorHAnsi"/>
        <w:sz w:val="22"/>
        <w:szCs w:val="20"/>
      </w:rPr>
    </w:pPr>
  </w:p>
  <w:p w14:paraId="762B740C" w14:textId="77777777" w:rsidR="00D10E81" w:rsidRDefault="00D10E81">
    <w:pPr>
      <w:pStyle w:val="Footer"/>
      <w:pBdr>
        <w:bottom w:val="single" w:sz="12" w:space="1" w:color="auto"/>
      </w:pBdr>
      <w:jc w:val="right"/>
      <w:rPr>
        <w:rFonts w:asciiTheme="minorHAnsi" w:hAnsiTheme="minorHAnsi"/>
        <w:sz w:val="22"/>
        <w:szCs w:val="20"/>
      </w:rPr>
    </w:pPr>
  </w:p>
  <w:p w14:paraId="13F965A6" w14:textId="77777777" w:rsidR="00D10E81" w:rsidRDefault="00D10E81">
    <w:pPr>
      <w:pStyle w:val="Footer"/>
      <w:pBdr>
        <w:bottom w:val="single" w:sz="12" w:space="1" w:color="auto"/>
      </w:pBdr>
      <w:jc w:val="right"/>
      <w:rPr>
        <w:rFonts w:asciiTheme="minorHAnsi" w:hAnsiTheme="minorHAnsi"/>
        <w:sz w:val="22"/>
        <w:szCs w:val="20"/>
      </w:rPr>
    </w:pPr>
  </w:p>
  <w:sdt>
    <w:sdtPr>
      <w:rPr>
        <w:rFonts w:asciiTheme="minorHAnsi" w:hAnsiTheme="minorHAnsi"/>
        <w:sz w:val="22"/>
        <w:szCs w:val="20"/>
      </w:rPr>
      <w:id w:val="1707595481"/>
      <w:docPartObj>
        <w:docPartGallery w:val="Page Numbers (Bottom of Page)"/>
        <w:docPartUnique/>
      </w:docPartObj>
    </w:sdtPr>
    <w:sdtEndPr>
      <w:rPr>
        <w:sz w:val="20"/>
      </w:rPr>
    </w:sdtEndPr>
    <w:sdtContent>
      <w:sdt>
        <w:sdtPr>
          <w:rPr>
            <w:rFonts w:asciiTheme="minorHAnsi" w:hAnsiTheme="minorHAnsi"/>
            <w:sz w:val="22"/>
            <w:szCs w:val="20"/>
          </w:rPr>
          <w:id w:val="-1769616900"/>
          <w:docPartObj>
            <w:docPartGallery w:val="Page Numbers (Top of Page)"/>
            <w:docPartUnique/>
          </w:docPartObj>
        </w:sdtPr>
        <w:sdtEndPr>
          <w:rPr>
            <w:sz w:val="20"/>
          </w:rPr>
        </w:sdtEndPr>
        <w:sdtContent>
          <w:p w14:paraId="6F7A07F9" w14:textId="671003AC" w:rsidR="00D10E81" w:rsidRDefault="00D10E81">
            <w:pPr>
              <w:pStyle w:val="Footer"/>
              <w:pBdr>
                <w:bottom w:val="single" w:sz="12" w:space="1" w:color="auto"/>
              </w:pBdr>
              <w:jc w:val="right"/>
              <w:rPr>
                <w:rFonts w:asciiTheme="minorHAnsi" w:hAnsiTheme="minorHAnsi"/>
                <w:sz w:val="22"/>
                <w:szCs w:val="20"/>
              </w:rPr>
            </w:pPr>
          </w:p>
          <w:p w14:paraId="36B43AB8" w14:textId="06F7E788" w:rsidR="00D10E81" w:rsidRPr="00E704C6" w:rsidRDefault="00D10E81">
            <w:pPr>
              <w:pStyle w:val="Footer"/>
              <w:jc w:val="right"/>
              <w:rPr>
                <w:rFonts w:asciiTheme="minorHAnsi" w:hAnsiTheme="minorHAnsi"/>
                <w:sz w:val="20"/>
                <w:szCs w:val="20"/>
              </w:rPr>
            </w:pPr>
            <w:r w:rsidRPr="00E704C6">
              <w:rPr>
                <w:rFonts w:asciiTheme="minorHAnsi" w:hAnsiTheme="minorHAnsi"/>
                <w:sz w:val="20"/>
                <w:szCs w:val="20"/>
              </w:rPr>
              <w:t xml:space="preserve">Page </w:t>
            </w:r>
            <w:r w:rsidRPr="00E704C6">
              <w:rPr>
                <w:rFonts w:asciiTheme="minorHAnsi" w:hAnsiTheme="minorHAnsi"/>
                <w:sz w:val="20"/>
                <w:szCs w:val="20"/>
              </w:rPr>
              <w:fldChar w:fldCharType="begin"/>
            </w:r>
            <w:r w:rsidRPr="00E704C6">
              <w:rPr>
                <w:rFonts w:asciiTheme="minorHAnsi" w:hAnsiTheme="minorHAnsi"/>
                <w:sz w:val="20"/>
                <w:szCs w:val="20"/>
              </w:rPr>
              <w:instrText xml:space="preserve"> PAGE </w:instrText>
            </w:r>
            <w:r w:rsidRPr="00E704C6">
              <w:rPr>
                <w:rFonts w:asciiTheme="minorHAnsi" w:hAnsiTheme="minorHAnsi"/>
                <w:sz w:val="20"/>
                <w:szCs w:val="20"/>
              </w:rPr>
              <w:fldChar w:fldCharType="separate"/>
            </w:r>
            <w:r w:rsidRPr="00E704C6">
              <w:rPr>
                <w:rFonts w:asciiTheme="minorHAnsi" w:hAnsiTheme="minorHAnsi"/>
                <w:sz w:val="20"/>
                <w:szCs w:val="20"/>
              </w:rPr>
              <w:t>2</w:t>
            </w:r>
            <w:r w:rsidRPr="00E704C6">
              <w:rPr>
                <w:rFonts w:asciiTheme="minorHAnsi" w:hAnsiTheme="minorHAnsi"/>
                <w:sz w:val="20"/>
                <w:szCs w:val="20"/>
              </w:rPr>
              <w:fldChar w:fldCharType="end"/>
            </w:r>
            <w:r w:rsidRPr="00E704C6">
              <w:rPr>
                <w:rFonts w:asciiTheme="minorHAnsi" w:hAnsiTheme="minorHAnsi"/>
                <w:sz w:val="20"/>
                <w:szCs w:val="20"/>
              </w:rPr>
              <w:t xml:space="preserve"> of </w:t>
            </w:r>
            <w:r w:rsidRPr="00E704C6">
              <w:rPr>
                <w:rFonts w:asciiTheme="minorHAnsi" w:hAnsiTheme="minorHAnsi"/>
                <w:sz w:val="20"/>
                <w:szCs w:val="20"/>
              </w:rPr>
              <w:fldChar w:fldCharType="begin"/>
            </w:r>
            <w:r w:rsidRPr="00E704C6">
              <w:rPr>
                <w:rFonts w:asciiTheme="minorHAnsi" w:hAnsiTheme="minorHAnsi"/>
                <w:sz w:val="20"/>
                <w:szCs w:val="20"/>
              </w:rPr>
              <w:instrText xml:space="preserve"> NUMPAGES  </w:instrText>
            </w:r>
            <w:r w:rsidRPr="00E704C6">
              <w:rPr>
                <w:rFonts w:asciiTheme="minorHAnsi" w:hAnsiTheme="minorHAnsi"/>
                <w:sz w:val="20"/>
                <w:szCs w:val="20"/>
              </w:rPr>
              <w:fldChar w:fldCharType="separate"/>
            </w:r>
            <w:r w:rsidRPr="00E704C6">
              <w:rPr>
                <w:rFonts w:asciiTheme="minorHAnsi" w:hAnsiTheme="minorHAnsi"/>
                <w:sz w:val="20"/>
                <w:szCs w:val="20"/>
              </w:rPr>
              <w:t>2</w:t>
            </w:r>
            <w:r w:rsidRPr="00E704C6">
              <w:rPr>
                <w:rFonts w:asciiTheme="minorHAnsi" w:hAnsiTheme="minorHAnsi"/>
                <w:sz w:val="20"/>
                <w:szCs w:val="20"/>
              </w:rPr>
              <w:fldChar w:fldCharType="end"/>
            </w:r>
          </w:p>
        </w:sdtContent>
      </w:sdt>
    </w:sdtContent>
  </w:sdt>
  <w:p w14:paraId="0BEC6241" w14:textId="77777777" w:rsidR="00D10E81" w:rsidRDefault="00D10E8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7"/>
        <w:szCs w:val="17"/>
      </w:rPr>
      <w:id w:val="-1558852738"/>
      <w:docPartObj>
        <w:docPartGallery w:val="Page Numbers (Top of Page)"/>
        <w:docPartUnique/>
      </w:docPartObj>
    </w:sdtPr>
    <w:sdtEndPr>
      <w:rPr>
        <w:rFonts w:asciiTheme="minorHAnsi" w:hAnsiTheme="minorHAnsi" w:cstheme="minorHAnsi"/>
        <w:sz w:val="20"/>
        <w:szCs w:val="20"/>
      </w:rPr>
    </w:sdtEndPr>
    <w:sdtContent>
      <w:p w14:paraId="61F88ADD" w14:textId="77777777" w:rsidR="00D10E81" w:rsidRPr="00A139B2" w:rsidRDefault="00D10E81" w:rsidP="00855C8D">
        <w:pPr>
          <w:pStyle w:val="Footer"/>
          <w:pBdr>
            <w:top w:val="single" w:sz="4" w:space="1" w:color="auto"/>
          </w:pBdr>
          <w:jc w:val="right"/>
          <w:rPr>
            <w:rFonts w:asciiTheme="minorHAnsi" w:hAnsiTheme="minorHAnsi" w:cstheme="minorHAnsi"/>
            <w:sz w:val="20"/>
            <w:szCs w:val="20"/>
          </w:rPr>
        </w:pPr>
        <w:r w:rsidRPr="00A139B2">
          <w:rPr>
            <w:rFonts w:asciiTheme="minorHAnsi" w:hAnsiTheme="minorHAnsi" w:cstheme="minorHAnsi"/>
            <w:sz w:val="20"/>
            <w:szCs w:val="20"/>
          </w:rPr>
          <w:t xml:space="preserve">Page </w:t>
        </w:r>
        <w:r w:rsidRPr="00A139B2">
          <w:rPr>
            <w:rFonts w:asciiTheme="minorHAnsi" w:hAnsiTheme="minorHAnsi" w:cstheme="minorHAnsi"/>
            <w:b/>
            <w:sz w:val="20"/>
            <w:szCs w:val="20"/>
          </w:rPr>
          <w:fldChar w:fldCharType="begin"/>
        </w:r>
        <w:r w:rsidRPr="00A139B2">
          <w:rPr>
            <w:rFonts w:asciiTheme="minorHAnsi" w:hAnsiTheme="minorHAnsi" w:cstheme="minorHAnsi"/>
            <w:b/>
            <w:sz w:val="20"/>
            <w:szCs w:val="20"/>
          </w:rPr>
          <w:instrText xml:space="preserve"> PAGE </w:instrText>
        </w:r>
        <w:r w:rsidRPr="00A139B2">
          <w:rPr>
            <w:rFonts w:asciiTheme="minorHAnsi" w:hAnsiTheme="minorHAnsi" w:cstheme="minorHAnsi"/>
            <w:b/>
            <w:sz w:val="20"/>
            <w:szCs w:val="20"/>
          </w:rPr>
          <w:fldChar w:fldCharType="separate"/>
        </w:r>
        <w:r w:rsidRPr="00A139B2">
          <w:rPr>
            <w:rFonts w:asciiTheme="minorHAnsi" w:hAnsiTheme="minorHAnsi" w:cstheme="minorHAnsi"/>
            <w:b/>
            <w:sz w:val="20"/>
            <w:szCs w:val="20"/>
          </w:rPr>
          <w:t>74</w:t>
        </w:r>
        <w:r w:rsidRPr="00A139B2">
          <w:rPr>
            <w:rFonts w:asciiTheme="minorHAnsi" w:hAnsiTheme="minorHAnsi" w:cstheme="minorHAnsi"/>
            <w:b/>
            <w:sz w:val="20"/>
            <w:szCs w:val="20"/>
          </w:rPr>
          <w:fldChar w:fldCharType="end"/>
        </w:r>
        <w:r w:rsidRPr="00A139B2">
          <w:rPr>
            <w:rFonts w:asciiTheme="minorHAnsi" w:hAnsiTheme="minorHAnsi" w:cstheme="minorHAnsi"/>
            <w:sz w:val="20"/>
            <w:szCs w:val="20"/>
          </w:rPr>
          <w:t xml:space="preserve"> of </w:t>
        </w:r>
        <w:r w:rsidRPr="00A139B2">
          <w:rPr>
            <w:rFonts w:asciiTheme="minorHAnsi" w:hAnsiTheme="minorHAnsi" w:cstheme="minorHAnsi"/>
            <w:b/>
            <w:sz w:val="20"/>
            <w:szCs w:val="20"/>
          </w:rPr>
          <w:fldChar w:fldCharType="begin"/>
        </w:r>
        <w:r w:rsidRPr="00A139B2">
          <w:rPr>
            <w:rFonts w:asciiTheme="minorHAnsi" w:hAnsiTheme="minorHAnsi" w:cstheme="minorHAnsi"/>
            <w:b/>
            <w:sz w:val="20"/>
            <w:szCs w:val="20"/>
          </w:rPr>
          <w:instrText xml:space="preserve"> NUMPAGES  </w:instrText>
        </w:r>
        <w:r w:rsidRPr="00A139B2">
          <w:rPr>
            <w:rFonts w:asciiTheme="minorHAnsi" w:hAnsiTheme="minorHAnsi" w:cstheme="minorHAnsi"/>
            <w:b/>
            <w:sz w:val="20"/>
            <w:szCs w:val="20"/>
          </w:rPr>
          <w:fldChar w:fldCharType="separate"/>
        </w:r>
        <w:r w:rsidRPr="00A139B2">
          <w:rPr>
            <w:rFonts w:asciiTheme="minorHAnsi" w:hAnsiTheme="minorHAnsi" w:cstheme="minorHAnsi"/>
            <w:b/>
            <w:sz w:val="20"/>
            <w:szCs w:val="20"/>
          </w:rPr>
          <w:t>156</w:t>
        </w:r>
        <w:r w:rsidRPr="00A139B2">
          <w:rPr>
            <w:rFonts w:asciiTheme="minorHAnsi" w:hAnsiTheme="minorHAnsi" w:cstheme="minorHAnsi"/>
            <w:b/>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23639388"/>
      <w:docPartObj>
        <w:docPartGallery w:val="Page Numbers (Bottom of Page)"/>
        <w:docPartUnique/>
      </w:docPartObj>
    </w:sdtPr>
    <w:sdtEndPr>
      <w:rPr>
        <w:rFonts w:asciiTheme="minorHAnsi" w:hAnsiTheme="minorHAnsi" w:cstheme="minorHAnsi"/>
        <w:sz w:val="20"/>
        <w:szCs w:val="20"/>
      </w:rPr>
    </w:sdtEndPr>
    <w:sdtContent>
      <w:sdt>
        <w:sdtPr>
          <w:id w:val="695433571"/>
          <w:docPartObj>
            <w:docPartGallery w:val="Page Numbers (Top of Page)"/>
            <w:docPartUnique/>
          </w:docPartObj>
        </w:sdtPr>
        <w:sdtEndPr>
          <w:rPr>
            <w:rFonts w:asciiTheme="minorHAnsi" w:hAnsiTheme="minorHAnsi" w:cstheme="minorHAnsi"/>
            <w:sz w:val="20"/>
            <w:szCs w:val="20"/>
          </w:rPr>
        </w:sdtEndPr>
        <w:sdtContent>
          <w:p w14:paraId="7F9484C3" w14:textId="77777777" w:rsidR="00D10E81" w:rsidRPr="00684AFA" w:rsidRDefault="00D10E81" w:rsidP="0017022E">
            <w:pPr>
              <w:pStyle w:val="Footer"/>
              <w:pBdr>
                <w:top w:val="single" w:sz="4" w:space="1" w:color="auto"/>
              </w:pBdr>
              <w:jc w:val="right"/>
              <w:rPr>
                <w:rFonts w:asciiTheme="minorHAnsi" w:hAnsiTheme="minorHAnsi" w:cstheme="minorHAnsi"/>
                <w:sz w:val="20"/>
                <w:szCs w:val="20"/>
              </w:rPr>
            </w:pPr>
            <w:r w:rsidRPr="00684AFA">
              <w:rPr>
                <w:rFonts w:asciiTheme="minorHAnsi" w:hAnsiTheme="minorHAnsi" w:cstheme="minorHAnsi"/>
                <w:sz w:val="20"/>
                <w:szCs w:val="20"/>
              </w:rPr>
              <w:t xml:space="preserve">Page </w:t>
            </w:r>
            <w:r w:rsidRPr="00684AFA">
              <w:rPr>
                <w:rFonts w:asciiTheme="minorHAnsi" w:hAnsiTheme="minorHAnsi" w:cstheme="minorHAnsi"/>
                <w:b/>
                <w:sz w:val="20"/>
                <w:szCs w:val="20"/>
                <w:shd w:val="clear" w:color="auto" w:fill="E6E6E6"/>
              </w:rPr>
              <w:fldChar w:fldCharType="begin"/>
            </w:r>
            <w:r w:rsidRPr="00684AFA">
              <w:rPr>
                <w:rFonts w:asciiTheme="minorHAnsi" w:hAnsiTheme="minorHAnsi" w:cstheme="minorHAnsi"/>
                <w:b/>
                <w:bCs/>
                <w:sz w:val="20"/>
                <w:szCs w:val="20"/>
              </w:rPr>
              <w:instrText xml:space="preserve"> PAGE </w:instrText>
            </w:r>
            <w:r w:rsidRPr="00684AFA">
              <w:rPr>
                <w:rFonts w:asciiTheme="minorHAnsi" w:hAnsiTheme="minorHAnsi" w:cstheme="minorHAnsi"/>
                <w:b/>
                <w:sz w:val="20"/>
                <w:szCs w:val="20"/>
                <w:shd w:val="clear" w:color="auto" w:fill="E6E6E6"/>
              </w:rPr>
              <w:fldChar w:fldCharType="separate"/>
            </w:r>
            <w:r w:rsidRPr="00684AFA">
              <w:rPr>
                <w:rFonts w:asciiTheme="minorHAnsi" w:hAnsiTheme="minorHAnsi" w:cstheme="minorHAnsi"/>
                <w:b/>
                <w:bCs/>
                <w:noProof/>
                <w:sz w:val="20"/>
                <w:szCs w:val="20"/>
              </w:rPr>
              <w:t>1</w:t>
            </w:r>
            <w:r w:rsidRPr="00684AFA">
              <w:rPr>
                <w:rFonts w:asciiTheme="minorHAnsi" w:hAnsiTheme="minorHAnsi" w:cstheme="minorHAnsi"/>
                <w:b/>
                <w:sz w:val="20"/>
                <w:szCs w:val="20"/>
                <w:shd w:val="clear" w:color="auto" w:fill="E6E6E6"/>
              </w:rPr>
              <w:fldChar w:fldCharType="end"/>
            </w:r>
            <w:r w:rsidRPr="00684AFA">
              <w:rPr>
                <w:rFonts w:asciiTheme="minorHAnsi" w:hAnsiTheme="minorHAnsi" w:cstheme="minorHAnsi"/>
                <w:sz w:val="20"/>
                <w:szCs w:val="20"/>
              </w:rPr>
              <w:t xml:space="preserve"> of </w:t>
            </w:r>
            <w:r w:rsidRPr="00684AFA">
              <w:rPr>
                <w:rFonts w:asciiTheme="minorHAnsi" w:hAnsiTheme="minorHAnsi" w:cstheme="minorHAnsi"/>
                <w:b/>
                <w:sz w:val="20"/>
                <w:szCs w:val="20"/>
                <w:shd w:val="clear" w:color="auto" w:fill="E6E6E6"/>
              </w:rPr>
              <w:fldChar w:fldCharType="begin"/>
            </w:r>
            <w:r w:rsidRPr="00684AFA">
              <w:rPr>
                <w:rFonts w:asciiTheme="minorHAnsi" w:hAnsiTheme="minorHAnsi" w:cstheme="minorHAnsi"/>
                <w:b/>
                <w:bCs/>
                <w:sz w:val="20"/>
                <w:szCs w:val="20"/>
              </w:rPr>
              <w:instrText xml:space="preserve"> NUMPAGES  </w:instrText>
            </w:r>
            <w:r w:rsidRPr="00684AFA">
              <w:rPr>
                <w:rFonts w:asciiTheme="minorHAnsi" w:hAnsiTheme="minorHAnsi" w:cstheme="minorHAnsi"/>
                <w:b/>
                <w:sz w:val="20"/>
                <w:szCs w:val="20"/>
                <w:shd w:val="clear" w:color="auto" w:fill="E6E6E6"/>
              </w:rPr>
              <w:fldChar w:fldCharType="separate"/>
            </w:r>
            <w:r w:rsidRPr="00684AFA">
              <w:rPr>
                <w:rFonts w:asciiTheme="minorHAnsi" w:hAnsiTheme="minorHAnsi" w:cstheme="minorHAnsi"/>
                <w:b/>
                <w:bCs/>
                <w:noProof/>
                <w:sz w:val="20"/>
                <w:szCs w:val="20"/>
              </w:rPr>
              <w:t>1</w:t>
            </w:r>
            <w:r w:rsidRPr="00684AFA">
              <w:rPr>
                <w:rFonts w:asciiTheme="minorHAnsi" w:hAnsiTheme="minorHAnsi" w:cstheme="minorHAnsi"/>
                <w:b/>
                <w:sz w:val="20"/>
                <w:szCs w:val="20"/>
                <w:shd w:val="clear" w:color="auto" w:fill="E6E6E6"/>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3FD5E" w14:textId="77777777" w:rsidR="00D10E81" w:rsidRDefault="00D10E81" w:rsidP="0017022E">
    <w:pPr>
      <w:pStyle w:val="Footer"/>
      <w:jc w:val="right"/>
    </w:pPr>
    <w:r>
      <w:t xml:space="preserve">Page </w:t>
    </w:r>
    <w:r>
      <w:rPr>
        <w:b/>
        <w:color w:val="2B579A"/>
        <w:szCs w:val="24"/>
        <w:shd w:val="clear" w:color="auto" w:fill="E6E6E6"/>
      </w:rPr>
      <w:fldChar w:fldCharType="begin"/>
    </w:r>
    <w:r>
      <w:rPr>
        <w:b/>
        <w:bCs/>
      </w:rPr>
      <w:instrText xml:space="preserve"> PAGE </w:instrText>
    </w:r>
    <w:r>
      <w:rPr>
        <w:b/>
        <w:color w:val="2B579A"/>
        <w:szCs w:val="24"/>
        <w:shd w:val="clear" w:color="auto" w:fill="E6E6E6"/>
      </w:rPr>
      <w:fldChar w:fldCharType="separate"/>
    </w:r>
    <w:r>
      <w:rPr>
        <w:b/>
        <w:bCs/>
        <w:noProof/>
      </w:rPr>
      <w:t>1</w:t>
    </w:r>
    <w:r>
      <w:rPr>
        <w:b/>
        <w:color w:val="2B579A"/>
        <w:szCs w:val="24"/>
        <w:shd w:val="clear" w:color="auto" w:fill="E6E6E6"/>
      </w:rPr>
      <w:fldChar w:fldCharType="end"/>
    </w:r>
    <w:r>
      <w:t xml:space="preserve"> of </w:t>
    </w:r>
    <w:r>
      <w:rPr>
        <w:b/>
        <w:color w:val="2B579A"/>
        <w:szCs w:val="24"/>
        <w:shd w:val="clear" w:color="auto" w:fill="E6E6E6"/>
      </w:rPr>
      <w:fldChar w:fldCharType="begin"/>
    </w:r>
    <w:r>
      <w:rPr>
        <w:b/>
        <w:bCs/>
      </w:rPr>
      <w:instrText xml:space="preserve"> NUMPAGES  </w:instrText>
    </w:r>
    <w:r>
      <w:rPr>
        <w:b/>
        <w:color w:val="2B579A"/>
        <w:szCs w:val="24"/>
        <w:shd w:val="clear" w:color="auto" w:fill="E6E6E6"/>
      </w:rPr>
      <w:fldChar w:fldCharType="separate"/>
    </w:r>
    <w:r>
      <w:rPr>
        <w:b/>
        <w:bCs/>
        <w:noProof/>
      </w:rPr>
      <w:t>1</w:t>
    </w:r>
    <w:r>
      <w:rPr>
        <w:b/>
        <w:color w:val="2B579A"/>
        <w:szCs w:val="24"/>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D6021" w14:textId="77777777" w:rsidR="00EF2340" w:rsidRDefault="00EF2340" w:rsidP="00D34543">
      <w:pPr>
        <w:spacing w:after="0" w:line="240" w:lineRule="auto"/>
      </w:pPr>
      <w:r>
        <w:separator/>
      </w:r>
    </w:p>
  </w:footnote>
  <w:footnote w:type="continuationSeparator" w:id="0">
    <w:p w14:paraId="3AD63E5F" w14:textId="77777777" w:rsidR="00EF2340" w:rsidRDefault="00EF2340" w:rsidP="00D34543">
      <w:pPr>
        <w:spacing w:after="0" w:line="240" w:lineRule="auto"/>
      </w:pPr>
      <w:r>
        <w:continuationSeparator/>
      </w:r>
    </w:p>
  </w:footnote>
  <w:footnote w:type="continuationNotice" w:id="1">
    <w:p w14:paraId="158324CA" w14:textId="77777777" w:rsidR="00EF2340" w:rsidRDefault="00EF2340">
      <w:pPr>
        <w:spacing w:after="0" w:line="240" w:lineRule="auto"/>
      </w:pPr>
    </w:p>
  </w:footnote>
  <w:footnote w:id="2">
    <w:p w14:paraId="0B15A750" w14:textId="70C6297A" w:rsidR="00D10E81" w:rsidRDefault="00D10E81">
      <w:pPr>
        <w:pStyle w:val="FootnoteText"/>
      </w:pPr>
      <w:r>
        <w:rPr>
          <w:rStyle w:val="FootnoteReference"/>
        </w:rPr>
        <w:footnoteRef/>
      </w:r>
      <w:r>
        <w:t xml:space="preserve"> </w:t>
      </w:r>
      <w:r>
        <w:rPr>
          <w:lang w:val="en-US"/>
        </w:rPr>
        <w:t>Used in this chapter to refer to the categorisation according to the level of access control even if the mechanism is not called ‘scheduling’ in the foreign jurisdiction.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BFCD8" w14:textId="77777777" w:rsidR="00D10E81" w:rsidRDefault="00D10E81" w:rsidP="003F2194">
    <w:pPr>
      <w:pStyle w:val="Header"/>
      <w:tabs>
        <w:tab w:val="clear" w:pos="9026"/>
        <w:tab w:val="right" w:pos="13892"/>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0" behindDoc="0" locked="0" layoutInCell="1" allowOverlap="1" wp14:anchorId="4A36F317" wp14:editId="5437FD9F">
              <wp:simplePos x="0" y="0"/>
              <wp:positionH relativeFrom="column">
                <wp:posOffset>9525</wp:posOffset>
              </wp:positionH>
              <wp:positionV relativeFrom="paragraph">
                <wp:posOffset>198120</wp:posOffset>
              </wp:positionV>
              <wp:extent cx="5715000" cy="0"/>
              <wp:effectExtent l="0" t="0" r="0" b="0"/>
              <wp:wrapNone/>
              <wp:docPr id="19" name="Straight Connector 6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2DA08A90" id="Straight Connector 6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6pt" to="450.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B2067" w14:textId="589B0259" w:rsidR="00D10E81" w:rsidRDefault="00D10E81" w:rsidP="00855C8D">
    <w:pPr>
      <w:pStyle w:val="Header"/>
      <w:tabs>
        <w:tab w:val="clear" w:pos="9026"/>
        <w:tab w:val="right" w:pos="13892"/>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2F167E3A" w14:textId="77777777" w:rsidR="00D10E81" w:rsidRDefault="00D10E81" w:rsidP="11F138D4">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49" behindDoc="0" locked="0" layoutInCell="1" allowOverlap="1" wp14:anchorId="280A5DC1" wp14:editId="0566ACC8">
              <wp:simplePos x="0" y="0"/>
              <wp:positionH relativeFrom="column">
                <wp:posOffset>9525</wp:posOffset>
              </wp:positionH>
              <wp:positionV relativeFrom="paragraph">
                <wp:posOffset>42545</wp:posOffset>
              </wp:positionV>
              <wp:extent cx="8791575" cy="0"/>
              <wp:effectExtent l="0" t="0" r="0" b="0"/>
              <wp:wrapNone/>
              <wp:docPr id="15" name="Straight Connector 1"/>
              <wp:cNvGraphicFramePr/>
              <a:graphic xmlns:a="http://schemas.openxmlformats.org/drawingml/2006/main">
                <a:graphicData uri="http://schemas.microsoft.com/office/word/2010/wordprocessingShape">
                  <wps:wsp>
                    <wps:cNvCnPr/>
                    <wps:spPr>
                      <a:xfrm>
                        <a:off x="0" y="0"/>
                        <a:ext cx="87915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02E2C5F2" id="Straight Connector 1" o:spid="_x0000_s1026" style="position:absolute;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35pt" to="69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" strokecolor="black [3213]" strokeweight=".5pt">
              <v:stroke joinstyle="miter"/>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ACC10" w14:textId="77777777" w:rsidR="00D10E81" w:rsidRDefault="00D10E81" w:rsidP="00855C8D">
    <w:pPr>
      <w:pStyle w:val="Header"/>
      <w:tabs>
        <w:tab w:val="clear" w:pos="9026"/>
        <w:tab w:val="right" w:pos="13892"/>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74733A4E" w14:textId="77777777" w:rsidR="00D10E81" w:rsidRDefault="00D10E81" w:rsidP="11F138D4">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51" behindDoc="0" locked="0" layoutInCell="1" allowOverlap="1" wp14:anchorId="0390C0E5" wp14:editId="5FDA53A2">
              <wp:simplePos x="0" y="0"/>
              <wp:positionH relativeFrom="column">
                <wp:posOffset>6019</wp:posOffset>
              </wp:positionH>
              <wp:positionV relativeFrom="paragraph">
                <wp:posOffset>38901</wp:posOffset>
              </wp:positionV>
              <wp:extent cx="5772647" cy="0"/>
              <wp:effectExtent l="0" t="0" r="0" b="0"/>
              <wp:wrapNone/>
              <wp:docPr id="17" name="Straight Connector 1"/>
              <wp:cNvGraphicFramePr/>
              <a:graphic xmlns:a="http://schemas.openxmlformats.org/drawingml/2006/main">
                <a:graphicData uri="http://schemas.microsoft.com/office/word/2010/wordprocessingShape">
                  <wps:wsp>
                    <wps:cNvCnPr/>
                    <wps:spPr>
                      <a:xfrm>
                        <a:off x="0" y="0"/>
                        <a:ext cx="577264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1FD2F05D" id="Straight Connector 1" o:spid="_x0000_s1026" style="position:absolute;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05pt" to="45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" strokecolor="black [3213]" strokeweight=".5pt">
              <v:stroke joinstyle="miter"/>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72284" w14:textId="77777777" w:rsidR="00D10E81" w:rsidRDefault="00D10E81" w:rsidP="00855C8D">
    <w:pPr>
      <w:pStyle w:val="Header"/>
      <w:tabs>
        <w:tab w:val="clear" w:pos="9026"/>
        <w:tab w:val="right" w:pos="13892"/>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391418FE" w14:textId="77777777" w:rsidR="00D10E81" w:rsidRDefault="00D10E81" w:rsidP="11F138D4">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50" behindDoc="0" locked="0" layoutInCell="1" allowOverlap="1" wp14:anchorId="6421E4B7" wp14:editId="362B8CAC">
              <wp:simplePos x="0" y="0"/>
              <wp:positionH relativeFrom="column">
                <wp:posOffset>9525</wp:posOffset>
              </wp:positionH>
              <wp:positionV relativeFrom="paragraph">
                <wp:posOffset>42545</wp:posOffset>
              </wp:positionV>
              <wp:extent cx="5724525" cy="0"/>
              <wp:effectExtent l="0" t="0" r="0" b="0"/>
              <wp:wrapNone/>
              <wp:docPr id="16" name="Straight Connector 1"/>
              <wp:cNvGraphicFramePr/>
              <a:graphic xmlns:a="http://schemas.openxmlformats.org/drawingml/2006/main">
                <a:graphicData uri="http://schemas.microsoft.com/office/word/2010/wordprocessingShape">
                  <wps:wsp>
                    <wps:cNvCnPr/>
                    <wps:spPr>
                      <a:xfrm>
                        <a:off x="0" y="0"/>
                        <a:ext cx="57245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594AA1D0" id="Straight Connector 1"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35pt" to="45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" strokecolor="black [3213]" strokeweight=".5pt">
              <v:stroke joinstyle="miter"/>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2D693" w14:textId="58C88752" w:rsidR="00D10E81" w:rsidRDefault="00D10E81" w:rsidP="008450B5">
    <w:pPr>
      <w:pStyle w:val="Header"/>
      <w:tabs>
        <w:tab w:val="clear" w:pos="9026"/>
        <w:tab w:val="right" w:pos="13892"/>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795E8F0E" w14:textId="1FFC47E2" w:rsidR="00D10E81" w:rsidRDefault="00D10E81" w:rsidP="11F138D4">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44" behindDoc="0" locked="0" layoutInCell="1" allowOverlap="1" wp14:anchorId="3BA2FB21" wp14:editId="732CE256">
              <wp:simplePos x="0" y="0"/>
              <wp:positionH relativeFrom="column">
                <wp:posOffset>9525</wp:posOffset>
              </wp:positionH>
              <wp:positionV relativeFrom="paragraph">
                <wp:posOffset>42545</wp:posOffset>
              </wp:positionV>
              <wp:extent cx="8801100" cy="0"/>
              <wp:effectExtent l="0" t="0" r="0" b="0"/>
              <wp:wrapNone/>
              <wp:docPr id="10" name="Straight Connector 2"/>
              <wp:cNvGraphicFramePr/>
              <a:graphic xmlns:a="http://schemas.openxmlformats.org/drawingml/2006/main">
                <a:graphicData uri="http://schemas.microsoft.com/office/word/2010/wordprocessingShape">
                  <wps:wsp>
                    <wps:cNvCnPr/>
                    <wps:spPr>
                      <a:xfrm>
                        <a:off x="0" y="0"/>
                        <a:ext cx="8801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A7E6DC3" id="Straight Connector 2"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35pt" to="69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" strokecolor="black [3213]" strokeweight=".5pt">
              <v:stroke joinstyle="miter"/>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009D4D" w14:textId="77777777" w:rsidR="00D10E81" w:rsidRDefault="00D10E81" w:rsidP="00586740">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43" behindDoc="0" locked="0" layoutInCell="1" allowOverlap="1" wp14:anchorId="4649C551" wp14:editId="1723984F">
              <wp:simplePos x="0" y="0"/>
              <wp:positionH relativeFrom="column">
                <wp:posOffset>9525</wp:posOffset>
              </wp:positionH>
              <wp:positionV relativeFrom="paragraph">
                <wp:posOffset>198120</wp:posOffset>
              </wp:positionV>
              <wp:extent cx="5781675" cy="0"/>
              <wp:effectExtent l="0" t="0" r="0" b="0"/>
              <wp:wrapNone/>
              <wp:docPr id="9" name="Straight Connector 10"/>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45595F11" id="Straight Connector 10"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6pt" to="4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5D9F6099" w14:textId="77777777" w:rsidR="00D10E81" w:rsidRDefault="00D10E81" w:rsidP="11F138D4">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3536C" w14:textId="77777777" w:rsidR="00D10E81" w:rsidRDefault="00D10E81" w:rsidP="003F2194">
    <w:pPr>
      <w:pStyle w:val="Header"/>
      <w:tabs>
        <w:tab w:val="clear" w:pos="9026"/>
        <w:tab w:val="right" w:pos="13892"/>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5" behindDoc="0" locked="0" layoutInCell="1" allowOverlap="1" wp14:anchorId="07943E50" wp14:editId="30E1FA89">
              <wp:simplePos x="0" y="0"/>
              <wp:positionH relativeFrom="column">
                <wp:posOffset>9525</wp:posOffset>
              </wp:positionH>
              <wp:positionV relativeFrom="paragraph">
                <wp:posOffset>197485</wp:posOffset>
              </wp:positionV>
              <wp:extent cx="5715000" cy="0"/>
              <wp:effectExtent l="0" t="0" r="0" b="0"/>
              <wp:wrapNone/>
              <wp:docPr id="11" name="Straight Connector 6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4521AC3E" id="Straight Connector 61" o:spid="_x0000_s1026" style="position:absolute;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55pt" to="450.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82D330" w14:textId="77777777" w:rsidR="00D10E81" w:rsidRDefault="00D10E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C4FC4" w14:textId="77777777" w:rsidR="00D10E81" w:rsidRDefault="00D10E81" w:rsidP="003F2194">
    <w:pPr>
      <w:pStyle w:val="Header"/>
      <w:tabs>
        <w:tab w:val="clear" w:pos="9026"/>
        <w:tab w:val="right" w:pos="13892"/>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6" behindDoc="0" locked="0" layoutInCell="1" allowOverlap="1" wp14:anchorId="19ECEAD9" wp14:editId="6DF4511A">
              <wp:simplePos x="0" y="0"/>
              <wp:positionH relativeFrom="column">
                <wp:posOffset>9525</wp:posOffset>
              </wp:positionH>
              <wp:positionV relativeFrom="paragraph">
                <wp:posOffset>197485</wp:posOffset>
              </wp:positionV>
              <wp:extent cx="8782050" cy="0"/>
              <wp:effectExtent l="0" t="0" r="0" b="0"/>
              <wp:wrapNone/>
              <wp:docPr id="12" name="Straight Connector 61"/>
              <wp:cNvGraphicFramePr/>
              <a:graphic xmlns:a="http://schemas.openxmlformats.org/drawingml/2006/main">
                <a:graphicData uri="http://schemas.microsoft.com/office/word/2010/wordprocessingShape">
                  <wps:wsp>
                    <wps:cNvCnPr/>
                    <wps:spPr>
                      <a:xfrm>
                        <a:off x="0" y="0"/>
                        <a:ext cx="8782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8C19187" id="Straight Connector 61" o:spid="_x0000_s1026" style="position:absolute;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55pt" to="692.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E161C" w14:textId="77777777" w:rsidR="00D10E81" w:rsidRDefault="00D10E81" w:rsidP="003F2194">
    <w:pPr>
      <w:pStyle w:val="Header"/>
      <w:tabs>
        <w:tab w:val="clear" w:pos="9026"/>
        <w:tab w:val="right" w:pos="13892"/>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7" behindDoc="0" locked="0" layoutInCell="1" allowOverlap="1" wp14:anchorId="196A723A" wp14:editId="23ACE15B">
              <wp:simplePos x="0" y="0"/>
              <wp:positionH relativeFrom="column">
                <wp:posOffset>9525</wp:posOffset>
              </wp:positionH>
              <wp:positionV relativeFrom="paragraph">
                <wp:posOffset>197485</wp:posOffset>
              </wp:positionV>
              <wp:extent cx="5715000" cy="0"/>
              <wp:effectExtent l="0" t="0" r="0" b="0"/>
              <wp:wrapNone/>
              <wp:docPr id="13" name="Straight Connector 61"/>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6E321DA5" id="Straight Connector 6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55pt" to="450.7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3D522" w14:textId="77777777" w:rsidR="00D10E81" w:rsidRDefault="00D10E8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5A8F00" w14:textId="3691742A" w:rsidR="00D10E81" w:rsidRDefault="00D10E81" w:rsidP="00C3585E">
    <w:pPr>
      <w:pStyle w:val="Header"/>
      <w:tabs>
        <w:tab w:val="clear" w:pos="9026"/>
        <w:tab w:val="right" w:pos="15309"/>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75103F8C" w14:textId="05224A60" w:rsidR="00D10E81" w:rsidRDefault="00D10E81" w:rsidP="00C3585E">
    <w:pPr>
      <w:pStyle w:val="Header"/>
      <w:tabs>
        <w:tab w:val="clear" w:pos="9026"/>
        <w:tab w:val="right" w:pos="15309"/>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1" behindDoc="0" locked="0" layoutInCell="1" allowOverlap="1" wp14:anchorId="782CC60E" wp14:editId="09D7D23D">
              <wp:simplePos x="0" y="0"/>
              <wp:positionH relativeFrom="column">
                <wp:posOffset>5938</wp:posOffset>
              </wp:positionH>
              <wp:positionV relativeFrom="paragraph">
                <wp:posOffset>48623</wp:posOffset>
              </wp:positionV>
              <wp:extent cx="9737766" cy="0"/>
              <wp:effectExtent l="0" t="0" r="0" b="0"/>
              <wp:wrapNone/>
              <wp:docPr id="27" name="Straight Connector 62"/>
              <wp:cNvGraphicFramePr/>
              <a:graphic xmlns:a="http://schemas.openxmlformats.org/drawingml/2006/main">
                <a:graphicData uri="http://schemas.microsoft.com/office/word/2010/wordprocessingShape">
                  <wps:wsp>
                    <wps:cNvCnPr/>
                    <wps:spPr>
                      <a:xfrm>
                        <a:off x="0" y="0"/>
                        <a:ext cx="9737766"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0FA7DC4A" id="Straight Connector 62"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pt,3.85pt" to="76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" strokecolor="black [3213]" strokeweight=".5pt">
              <v:stroke joinstyle="miter"/>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9C25B" w14:textId="7F2BF075" w:rsidR="00D10E81" w:rsidRDefault="00D10E81" w:rsidP="00E704C6">
    <w:pPr>
      <w:pStyle w:val="Header"/>
      <w:tabs>
        <w:tab w:val="clear" w:pos="9026"/>
        <w:tab w:val="right" w:pos="13892"/>
      </w:tabs>
      <w:rPr>
        <w:szCs w:val="24"/>
      </w:rPr>
    </w:pP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4E46C886" w14:textId="7292BCF8" w:rsidR="00D10E81" w:rsidRDefault="00D10E81" w:rsidP="00C3585E">
    <w:pPr>
      <w:pStyle w:val="Header"/>
      <w:tabs>
        <w:tab w:val="clear" w:pos="9026"/>
        <w:tab w:val="right" w:pos="15309"/>
      </w:tabs>
      <w:rPr>
        <w:szCs w:val="24"/>
      </w:rPr>
    </w:pPr>
    <w:r>
      <w:rPr>
        <w:rFonts w:asciiTheme="minorHAnsi" w:hAnsiTheme="minorHAnsi" w:cstheme="minorHAnsi"/>
        <w:noProof/>
        <w:sz w:val="20"/>
        <w:szCs w:val="20"/>
      </w:rPr>
      <mc:AlternateContent>
        <mc:Choice Requires="wps">
          <w:drawing>
            <wp:anchor distT="0" distB="0" distL="114300" distR="114300" simplePos="0" relativeHeight="251658248" behindDoc="0" locked="0" layoutInCell="1" allowOverlap="1" wp14:anchorId="0C878AAF" wp14:editId="08A07444">
              <wp:simplePos x="0" y="0"/>
              <wp:positionH relativeFrom="column">
                <wp:posOffset>9525</wp:posOffset>
              </wp:positionH>
              <wp:positionV relativeFrom="paragraph">
                <wp:posOffset>52070</wp:posOffset>
              </wp:positionV>
              <wp:extent cx="8867775" cy="0"/>
              <wp:effectExtent l="0" t="0" r="0" b="0"/>
              <wp:wrapNone/>
              <wp:docPr id="14" name="Straight Connector 62"/>
              <wp:cNvGraphicFramePr/>
              <a:graphic xmlns:a="http://schemas.openxmlformats.org/drawingml/2006/main">
                <a:graphicData uri="http://schemas.microsoft.com/office/word/2010/wordprocessingShape">
                  <wps:wsp>
                    <wps:cNvCnPr/>
                    <wps:spPr>
                      <a:xfrm>
                        <a:off x="0" y="0"/>
                        <a:ext cx="88677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0509B425" id="Straight Connector 62" o:spid="_x0000_s1026" style="position:absolute;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4.1pt" to="699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" strokecolor="black [3213]" strokeweight=".5pt">
              <v:stroke joinstyle="miter"/>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C8FA1" w14:textId="77777777" w:rsidR="00D10E81" w:rsidRDefault="00D10E81" w:rsidP="00586740">
    <w:pPr>
      <w:pStyle w:val="Header"/>
      <w:rPr>
        <w:szCs w:val="24"/>
      </w:rPr>
    </w:pPr>
    <w:r>
      <w:rPr>
        <w:rFonts w:asciiTheme="minorHAnsi" w:hAnsiTheme="minorHAnsi" w:cstheme="minorHAnsi"/>
        <w:noProof/>
        <w:sz w:val="20"/>
        <w:szCs w:val="20"/>
      </w:rPr>
      <mc:AlternateContent>
        <mc:Choice Requires="wps">
          <w:drawing>
            <wp:anchor distT="0" distB="0" distL="114300" distR="114300" simplePos="0" relativeHeight="251658242" behindDoc="0" locked="0" layoutInCell="1" allowOverlap="1" wp14:anchorId="708EF890" wp14:editId="37E2ADCA">
              <wp:simplePos x="0" y="0"/>
              <wp:positionH relativeFrom="column">
                <wp:posOffset>9525</wp:posOffset>
              </wp:positionH>
              <wp:positionV relativeFrom="paragraph">
                <wp:posOffset>198120</wp:posOffset>
              </wp:positionV>
              <wp:extent cx="5781675" cy="0"/>
              <wp:effectExtent l="0" t="0" r="0" b="0"/>
              <wp:wrapNone/>
              <wp:docPr id="28" name="Straight Connector 1"/>
              <wp:cNvGraphicFramePr/>
              <a:graphic xmlns:a="http://schemas.openxmlformats.org/drawingml/2006/main">
                <a:graphicData uri="http://schemas.microsoft.com/office/word/2010/wordprocessingShape">
                  <wps:wsp>
                    <wps:cNvCnPr/>
                    <wps:spPr>
                      <a:xfrm>
                        <a:off x="0" y="0"/>
                        <a:ext cx="57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oel="http://schemas.microsoft.com/office/2019/extlst">
          <w:pict>
            <v:line w14:anchorId="7F4CB906" id="Straight Connector 1"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15.6pt" to="4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" strokecolor="black [3213]" strokeweight=".5pt">
              <v:stroke joinstyle="miter"/>
            </v:line>
          </w:pict>
        </mc:Fallback>
      </mc:AlternateContent>
    </w:r>
    <w:r w:rsidRPr="00FA5BC8">
      <w:rPr>
        <w:rFonts w:asciiTheme="minorHAnsi" w:hAnsiTheme="minorHAnsi" w:cstheme="minorHAnsi"/>
        <w:sz w:val="20"/>
        <w:szCs w:val="20"/>
      </w:rPr>
      <w:t>Independent expert report on paracetamol</w:t>
    </w:r>
    <w:r>
      <w:rPr>
        <w:rFonts w:asciiTheme="minorHAnsi" w:hAnsiTheme="minorHAnsi" w:cstheme="minorHAnsi"/>
        <w:sz w:val="20"/>
        <w:szCs w:val="20"/>
      </w:rPr>
      <w:tab/>
    </w:r>
    <w:r>
      <w:rPr>
        <w:rFonts w:asciiTheme="minorHAnsi" w:hAnsiTheme="minorHAnsi" w:cstheme="minorHAnsi"/>
        <w:sz w:val="20"/>
        <w:szCs w:val="20"/>
      </w:rPr>
      <w:tab/>
      <w:t>August 2022</w:t>
    </w:r>
  </w:p>
  <w:p w14:paraId="7BF58A6A" w14:textId="0C841D08" w:rsidR="00D10E81" w:rsidRDefault="00D10E81" w:rsidP="11F138D4">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BE4270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230BE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FE4C6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96E8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6BAF0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A3C8B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D0FF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FFCF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284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6A81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C1DC5"/>
    <w:multiLevelType w:val="multilevel"/>
    <w:tmpl w:val="A5F675AE"/>
    <w:lvl w:ilvl="0">
      <w:start w:val="25"/>
      <w:numFmt w:val="decimal"/>
      <w:lvlText w:val="%1"/>
      <w:lvlJc w:val="left"/>
      <w:pPr>
        <w:ind w:left="390" w:hanging="390"/>
      </w:pPr>
      <w:rPr>
        <w:rFonts w:ascii="Times New Roman" w:eastAsiaTheme="minorHAnsi" w:hAnsi="Times New Roman" w:cstheme="minorBidi" w:hint="default"/>
        <w:i/>
        <w:color w:val="44546A" w:themeColor="text2"/>
        <w:sz w:val="18"/>
      </w:rPr>
    </w:lvl>
    <w:lvl w:ilvl="1">
      <w:start w:val="50"/>
      <w:numFmt w:val="decimal"/>
      <w:lvlText w:val="%1.%2"/>
      <w:lvlJc w:val="left"/>
      <w:pPr>
        <w:ind w:left="390" w:hanging="390"/>
      </w:pPr>
      <w:rPr>
        <w:rFonts w:ascii="Times New Roman" w:eastAsiaTheme="minorHAnsi" w:hAnsi="Times New Roman" w:cstheme="minorBidi" w:hint="default"/>
        <w:i/>
        <w:color w:val="44546A" w:themeColor="text2"/>
        <w:sz w:val="18"/>
      </w:rPr>
    </w:lvl>
    <w:lvl w:ilvl="2">
      <w:start w:val="1"/>
      <w:numFmt w:val="decimal"/>
      <w:lvlText w:val="%1.%2.%3"/>
      <w:lvlJc w:val="left"/>
      <w:pPr>
        <w:ind w:left="720" w:hanging="720"/>
      </w:pPr>
      <w:rPr>
        <w:rFonts w:ascii="Times New Roman" w:eastAsiaTheme="minorHAnsi" w:hAnsi="Times New Roman" w:cstheme="minorBidi" w:hint="default"/>
        <w:i/>
        <w:color w:val="44546A" w:themeColor="text2"/>
        <w:sz w:val="18"/>
      </w:rPr>
    </w:lvl>
    <w:lvl w:ilvl="3">
      <w:start w:val="1"/>
      <w:numFmt w:val="decimal"/>
      <w:lvlText w:val="%1.%2.%3.%4"/>
      <w:lvlJc w:val="left"/>
      <w:pPr>
        <w:ind w:left="720" w:hanging="720"/>
      </w:pPr>
      <w:rPr>
        <w:rFonts w:ascii="Times New Roman" w:eastAsiaTheme="minorHAnsi" w:hAnsi="Times New Roman" w:cstheme="minorBidi" w:hint="default"/>
        <w:i/>
        <w:color w:val="44546A" w:themeColor="text2"/>
        <w:sz w:val="18"/>
      </w:rPr>
    </w:lvl>
    <w:lvl w:ilvl="4">
      <w:start w:val="1"/>
      <w:numFmt w:val="decimal"/>
      <w:lvlText w:val="%1.%2.%3.%4.%5"/>
      <w:lvlJc w:val="left"/>
      <w:pPr>
        <w:ind w:left="1080" w:hanging="1080"/>
      </w:pPr>
      <w:rPr>
        <w:rFonts w:ascii="Times New Roman" w:eastAsiaTheme="minorHAnsi" w:hAnsi="Times New Roman" w:cstheme="minorBidi" w:hint="default"/>
        <w:i/>
        <w:color w:val="44546A" w:themeColor="text2"/>
        <w:sz w:val="18"/>
      </w:rPr>
    </w:lvl>
    <w:lvl w:ilvl="5">
      <w:start w:val="1"/>
      <w:numFmt w:val="decimal"/>
      <w:lvlText w:val="%1.%2.%3.%4.%5.%6"/>
      <w:lvlJc w:val="left"/>
      <w:pPr>
        <w:ind w:left="1440" w:hanging="1440"/>
      </w:pPr>
      <w:rPr>
        <w:rFonts w:ascii="Times New Roman" w:eastAsiaTheme="minorHAnsi" w:hAnsi="Times New Roman" w:cstheme="minorBidi" w:hint="default"/>
        <w:i/>
        <w:color w:val="44546A" w:themeColor="text2"/>
        <w:sz w:val="18"/>
      </w:rPr>
    </w:lvl>
    <w:lvl w:ilvl="6">
      <w:start w:val="1"/>
      <w:numFmt w:val="decimal"/>
      <w:lvlText w:val="%1.%2.%3.%4.%5.%6.%7"/>
      <w:lvlJc w:val="left"/>
      <w:pPr>
        <w:ind w:left="1440" w:hanging="1440"/>
      </w:pPr>
      <w:rPr>
        <w:rFonts w:ascii="Times New Roman" w:eastAsiaTheme="minorHAnsi" w:hAnsi="Times New Roman" w:cstheme="minorBidi" w:hint="default"/>
        <w:i/>
        <w:color w:val="44546A" w:themeColor="text2"/>
        <w:sz w:val="18"/>
      </w:rPr>
    </w:lvl>
    <w:lvl w:ilvl="7">
      <w:start w:val="1"/>
      <w:numFmt w:val="decimal"/>
      <w:lvlText w:val="%1.%2.%3.%4.%5.%6.%7.%8"/>
      <w:lvlJc w:val="left"/>
      <w:pPr>
        <w:ind w:left="1800" w:hanging="1800"/>
      </w:pPr>
      <w:rPr>
        <w:rFonts w:ascii="Times New Roman" w:eastAsiaTheme="minorHAnsi" w:hAnsi="Times New Roman" w:cstheme="minorBidi" w:hint="default"/>
        <w:i/>
        <w:color w:val="44546A" w:themeColor="text2"/>
        <w:sz w:val="18"/>
      </w:rPr>
    </w:lvl>
    <w:lvl w:ilvl="8">
      <w:start w:val="1"/>
      <w:numFmt w:val="decimal"/>
      <w:lvlText w:val="%1.%2.%3.%4.%5.%6.%7.%8.%9"/>
      <w:lvlJc w:val="left"/>
      <w:pPr>
        <w:ind w:left="1800" w:hanging="1800"/>
      </w:pPr>
      <w:rPr>
        <w:rFonts w:ascii="Times New Roman" w:eastAsiaTheme="minorHAnsi" w:hAnsi="Times New Roman" w:cstheme="minorBidi" w:hint="default"/>
        <w:i/>
        <w:color w:val="44546A" w:themeColor="text2"/>
        <w:sz w:val="18"/>
      </w:rPr>
    </w:lvl>
  </w:abstractNum>
  <w:abstractNum w:abstractNumId="11" w15:restartNumberingAfterBreak="0">
    <w:nsid w:val="01001058"/>
    <w:multiLevelType w:val="hybridMultilevel"/>
    <w:tmpl w:val="4EA6A39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22607B8"/>
    <w:multiLevelType w:val="hybridMultilevel"/>
    <w:tmpl w:val="9EFA88F0"/>
    <w:lvl w:ilvl="0" w:tplc="648CDCF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2C74644"/>
    <w:multiLevelType w:val="multilevel"/>
    <w:tmpl w:val="BD18F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38121CC"/>
    <w:multiLevelType w:val="multilevel"/>
    <w:tmpl w:val="6EA8A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3D06299"/>
    <w:multiLevelType w:val="hybridMultilevel"/>
    <w:tmpl w:val="C706E0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4096CCE"/>
    <w:multiLevelType w:val="multilevel"/>
    <w:tmpl w:val="F7808B2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8620A3"/>
    <w:multiLevelType w:val="hybridMultilevel"/>
    <w:tmpl w:val="CC9ABF2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62F5714"/>
    <w:multiLevelType w:val="hybridMultilevel"/>
    <w:tmpl w:val="9D16DB3A"/>
    <w:lvl w:ilvl="0" w:tplc="0C090011">
      <w:start w:val="1"/>
      <w:numFmt w:val="decimal"/>
      <w:lvlText w:val="%1)"/>
      <w:lvlJc w:val="left"/>
      <w:pPr>
        <w:ind w:left="1080" w:hanging="360"/>
      </w:pPr>
    </w:lvl>
    <w:lvl w:ilvl="1" w:tplc="0C090019">
      <w:start w:val="1"/>
      <w:numFmt w:val="lowerLetter"/>
      <w:lvlText w:val="%2."/>
      <w:lvlJc w:val="left"/>
      <w:pPr>
        <w:ind w:left="1800" w:hanging="360"/>
      </w:pPr>
    </w:lvl>
    <w:lvl w:ilvl="2" w:tplc="F806C6A2">
      <w:start w:val="1"/>
      <w:numFmt w:val="lowerLetter"/>
      <w:lvlText w:val="(%3)"/>
      <w:lvlJc w:val="left"/>
      <w:pPr>
        <w:ind w:left="2700" w:hanging="360"/>
      </w:pPr>
      <w:rPr>
        <w:rFonts w:hint="default"/>
      </w:r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086E1B42"/>
    <w:multiLevelType w:val="multilevel"/>
    <w:tmpl w:val="E630573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092F7D93"/>
    <w:multiLevelType w:val="hybridMultilevel"/>
    <w:tmpl w:val="7B04D3B2"/>
    <w:lvl w:ilvl="0" w:tplc="C070FD2E">
      <w:start w:val="3"/>
      <w:numFmt w:val="bullet"/>
      <w:lvlText w:val="-"/>
      <w:lvlJc w:val="left"/>
      <w:pPr>
        <w:ind w:left="1440"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09855EAB"/>
    <w:multiLevelType w:val="multilevel"/>
    <w:tmpl w:val="313E6D6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0765B9"/>
    <w:multiLevelType w:val="hybridMultilevel"/>
    <w:tmpl w:val="BEFED036"/>
    <w:lvl w:ilvl="0" w:tplc="5D724022">
      <w:start w:val="1"/>
      <w:numFmt w:val="decimal"/>
      <w:lvlText w:val="%1."/>
      <w:lvlJc w:val="left"/>
      <w:pPr>
        <w:ind w:left="720" w:hanging="360"/>
      </w:pPr>
      <w:rPr>
        <w:rFonts w:hint="default"/>
      </w:rPr>
    </w:lvl>
    <w:lvl w:ilvl="1" w:tplc="EAF2033E">
      <w:start w:val="1"/>
      <w:numFmt w:val="decimal"/>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0A824981"/>
    <w:multiLevelType w:val="hybridMultilevel"/>
    <w:tmpl w:val="56569C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BE46DBB"/>
    <w:multiLevelType w:val="hybridMultilevel"/>
    <w:tmpl w:val="D7CEAF1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0CCB0B90"/>
    <w:multiLevelType w:val="hybridMultilevel"/>
    <w:tmpl w:val="737A9AE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0D924CAF"/>
    <w:multiLevelType w:val="hybridMultilevel"/>
    <w:tmpl w:val="E78C6BA6"/>
    <w:lvl w:ilvl="0" w:tplc="DCE26F08">
      <w:start w:val="2"/>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DA11C6E"/>
    <w:multiLevelType w:val="hybridMultilevel"/>
    <w:tmpl w:val="B81A460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0E1B5365"/>
    <w:multiLevelType w:val="hybridMultilevel"/>
    <w:tmpl w:val="4784E6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0E725BEA"/>
    <w:multiLevelType w:val="multilevel"/>
    <w:tmpl w:val="F62EF8A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E810B0A"/>
    <w:multiLevelType w:val="hybridMultilevel"/>
    <w:tmpl w:val="74960908"/>
    <w:lvl w:ilvl="0" w:tplc="B9DCE284">
      <w:start w:val="2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0F17104A"/>
    <w:multiLevelType w:val="multilevel"/>
    <w:tmpl w:val="101EA6C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2417A70"/>
    <w:multiLevelType w:val="multilevel"/>
    <w:tmpl w:val="D91469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4006AF6"/>
    <w:multiLevelType w:val="multilevel"/>
    <w:tmpl w:val="723CD6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143E3680"/>
    <w:multiLevelType w:val="multilevel"/>
    <w:tmpl w:val="1B1EA73C"/>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5A00AC"/>
    <w:multiLevelType w:val="multilevel"/>
    <w:tmpl w:val="0C04794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4C62C07"/>
    <w:multiLevelType w:val="multilevel"/>
    <w:tmpl w:val="680E5382"/>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156921B3"/>
    <w:multiLevelType w:val="multilevel"/>
    <w:tmpl w:val="FD6000F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68F13E9"/>
    <w:multiLevelType w:val="hybridMultilevel"/>
    <w:tmpl w:val="D1D689A0"/>
    <w:styleLink w:val="ListBullets"/>
    <w:lvl w:ilvl="0" w:tplc="2B607D16">
      <w:start w:val="1"/>
      <w:numFmt w:val="bullet"/>
      <w:pStyle w:val="ListBullet"/>
      <w:lvlText w:val="•"/>
      <w:lvlJc w:val="left"/>
      <w:pPr>
        <w:ind w:left="360" w:hanging="360"/>
      </w:pPr>
      <w:rPr>
        <w:rFonts w:ascii="Arial" w:hAnsi="Arial" w:hint="default"/>
      </w:rPr>
    </w:lvl>
    <w:lvl w:ilvl="1" w:tplc="11F09A4C">
      <w:start w:val="1"/>
      <w:numFmt w:val="bullet"/>
      <w:pStyle w:val="ListBullet2"/>
      <w:lvlText w:val="–"/>
      <w:lvlJc w:val="left"/>
      <w:pPr>
        <w:ind w:left="720" w:hanging="360"/>
      </w:pPr>
      <w:rPr>
        <w:rFonts w:ascii="Arial" w:hAnsi="Arial" w:hint="default"/>
      </w:rPr>
    </w:lvl>
    <w:lvl w:ilvl="2" w:tplc="F70C1346">
      <w:start w:val="1"/>
      <w:numFmt w:val="bullet"/>
      <w:lvlText w:val=""/>
      <w:lvlJc w:val="left"/>
      <w:pPr>
        <w:ind w:left="1080" w:hanging="360"/>
      </w:pPr>
      <w:rPr>
        <w:rFonts w:ascii="Wingdings" w:hAnsi="Wingdings" w:hint="default"/>
      </w:rPr>
    </w:lvl>
    <w:lvl w:ilvl="3" w:tplc="DC542F8E">
      <w:start w:val="1"/>
      <w:numFmt w:val="decimal"/>
      <w:lvlText w:val=""/>
      <w:lvlJc w:val="left"/>
      <w:pPr>
        <w:ind w:left="1440" w:hanging="360"/>
      </w:pPr>
    </w:lvl>
    <w:lvl w:ilvl="4" w:tplc="D2408760">
      <w:start w:val="1"/>
      <w:numFmt w:val="decimal"/>
      <w:lvlText w:val=""/>
      <w:lvlJc w:val="left"/>
      <w:pPr>
        <w:ind w:left="1800" w:hanging="360"/>
      </w:pPr>
    </w:lvl>
    <w:lvl w:ilvl="5" w:tplc="CD68A576">
      <w:start w:val="1"/>
      <w:numFmt w:val="decimal"/>
      <w:lvlText w:val=""/>
      <w:lvlJc w:val="left"/>
      <w:pPr>
        <w:ind w:left="2160" w:hanging="360"/>
      </w:pPr>
    </w:lvl>
    <w:lvl w:ilvl="6" w:tplc="34DEB30C">
      <w:start w:val="1"/>
      <w:numFmt w:val="decimal"/>
      <w:lvlText w:val="%7"/>
      <w:lvlJc w:val="left"/>
      <w:pPr>
        <w:ind w:left="2520" w:hanging="360"/>
      </w:pPr>
    </w:lvl>
    <w:lvl w:ilvl="7" w:tplc="807A2A3A">
      <w:start w:val="1"/>
      <w:numFmt w:val="decimal"/>
      <w:lvlText w:val="%8"/>
      <w:lvlJc w:val="left"/>
      <w:pPr>
        <w:ind w:left="2880" w:hanging="360"/>
      </w:pPr>
    </w:lvl>
    <w:lvl w:ilvl="8" w:tplc="7ADA7F9A">
      <w:start w:val="1"/>
      <w:numFmt w:val="decimal"/>
      <w:lvlText w:val="%9"/>
      <w:lvlJc w:val="left"/>
      <w:pPr>
        <w:ind w:left="3240" w:hanging="360"/>
      </w:pPr>
    </w:lvl>
  </w:abstractNum>
  <w:abstractNum w:abstractNumId="39" w15:restartNumberingAfterBreak="0">
    <w:nsid w:val="16A60688"/>
    <w:multiLevelType w:val="hybridMultilevel"/>
    <w:tmpl w:val="453CA0F2"/>
    <w:lvl w:ilvl="0" w:tplc="56E05BB8">
      <w:start w:val="2019"/>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172C33B9"/>
    <w:multiLevelType w:val="hybridMultilevel"/>
    <w:tmpl w:val="FCB43C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179728D1"/>
    <w:multiLevelType w:val="hybridMultilevel"/>
    <w:tmpl w:val="0EA05770"/>
    <w:lvl w:ilvl="0" w:tplc="0C090001">
      <w:start w:val="1"/>
      <w:numFmt w:val="bullet"/>
      <w:lvlText w:val=""/>
      <w:lvlJc w:val="left"/>
      <w:pPr>
        <w:ind w:left="360" w:hanging="360"/>
      </w:pPr>
      <w:rPr>
        <w:rFonts w:ascii="Symbol" w:hAnsi="Symbol" w:hint="default"/>
      </w:rPr>
    </w:lvl>
    <w:lvl w:ilvl="1" w:tplc="11F09A4C">
      <w:start w:val="1"/>
      <w:numFmt w:val="bullet"/>
      <w:lvlText w:val="–"/>
      <w:lvlJc w:val="left"/>
      <w:pPr>
        <w:ind w:left="720" w:hanging="360"/>
      </w:pPr>
      <w:rPr>
        <w:rFonts w:ascii="Arial" w:hAnsi="Arial" w:hint="default"/>
      </w:rPr>
    </w:lvl>
    <w:lvl w:ilvl="2" w:tplc="F70C1346">
      <w:start w:val="1"/>
      <w:numFmt w:val="bullet"/>
      <w:lvlText w:val=""/>
      <w:lvlJc w:val="left"/>
      <w:pPr>
        <w:ind w:left="1080" w:hanging="360"/>
      </w:pPr>
      <w:rPr>
        <w:rFonts w:ascii="Wingdings" w:hAnsi="Wingdings" w:hint="default"/>
      </w:rPr>
    </w:lvl>
    <w:lvl w:ilvl="3" w:tplc="DC542F8E">
      <w:start w:val="1"/>
      <w:numFmt w:val="decimal"/>
      <w:lvlText w:val=""/>
      <w:lvlJc w:val="left"/>
      <w:pPr>
        <w:ind w:left="1440" w:hanging="360"/>
      </w:pPr>
    </w:lvl>
    <w:lvl w:ilvl="4" w:tplc="D2408760">
      <w:start w:val="1"/>
      <w:numFmt w:val="decimal"/>
      <w:lvlText w:val=""/>
      <w:lvlJc w:val="left"/>
      <w:pPr>
        <w:ind w:left="1800" w:hanging="360"/>
      </w:pPr>
    </w:lvl>
    <w:lvl w:ilvl="5" w:tplc="CD68A576">
      <w:start w:val="1"/>
      <w:numFmt w:val="decimal"/>
      <w:lvlText w:val=""/>
      <w:lvlJc w:val="left"/>
      <w:pPr>
        <w:ind w:left="2160" w:hanging="360"/>
      </w:pPr>
    </w:lvl>
    <w:lvl w:ilvl="6" w:tplc="34DEB30C">
      <w:start w:val="1"/>
      <w:numFmt w:val="decimal"/>
      <w:lvlText w:val="%7"/>
      <w:lvlJc w:val="left"/>
      <w:pPr>
        <w:ind w:left="2520" w:hanging="360"/>
      </w:pPr>
    </w:lvl>
    <w:lvl w:ilvl="7" w:tplc="807A2A3A">
      <w:start w:val="1"/>
      <w:numFmt w:val="decimal"/>
      <w:lvlText w:val="%8"/>
      <w:lvlJc w:val="left"/>
      <w:pPr>
        <w:ind w:left="2880" w:hanging="360"/>
      </w:pPr>
    </w:lvl>
    <w:lvl w:ilvl="8" w:tplc="7ADA7F9A">
      <w:start w:val="1"/>
      <w:numFmt w:val="decimal"/>
      <w:lvlText w:val="%9"/>
      <w:lvlJc w:val="left"/>
      <w:pPr>
        <w:ind w:left="3240" w:hanging="360"/>
      </w:pPr>
    </w:lvl>
  </w:abstractNum>
  <w:abstractNum w:abstractNumId="42" w15:restartNumberingAfterBreak="0">
    <w:nsid w:val="18594FC9"/>
    <w:multiLevelType w:val="hybridMultilevel"/>
    <w:tmpl w:val="1924E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18B80095"/>
    <w:multiLevelType w:val="multilevel"/>
    <w:tmpl w:val="F2F2BC36"/>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8FD575F"/>
    <w:multiLevelType w:val="hybridMultilevel"/>
    <w:tmpl w:val="D0281AB6"/>
    <w:lvl w:ilvl="0" w:tplc="00867396">
      <w:start w:val="18"/>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98F46DD"/>
    <w:multiLevelType w:val="hybridMultilevel"/>
    <w:tmpl w:val="817E51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1E7B17A4"/>
    <w:multiLevelType w:val="hybridMultilevel"/>
    <w:tmpl w:val="308CC67E"/>
    <w:lvl w:ilvl="0" w:tplc="86783A5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3F47C70"/>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26F96B81"/>
    <w:multiLevelType w:val="hybridMultilevel"/>
    <w:tmpl w:val="D9C28F3E"/>
    <w:lvl w:ilvl="0" w:tplc="E4A634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72B4B14"/>
    <w:multiLevelType w:val="multilevel"/>
    <w:tmpl w:val="FABC9D9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73A0407"/>
    <w:multiLevelType w:val="hybridMultilevel"/>
    <w:tmpl w:val="3268418C"/>
    <w:lvl w:ilvl="0" w:tplc="0C090001">
      <w:start w:val="1"/>
      <w:numFmt w:val="bullet"/>
      <w:lvlText w:val=""/>
      <w:lvlJc w:val="left"/>
      <w:pPr>
        <w:ind w:left="720" w:hanging="360"/>
      </w:pPr>
      <w:rPr>
        <w:rFonts w:ascii="Symbol" w:hAnsi="Symbol" w:hint="default"/>
      </w:rPr>
    </w:lvl>
    <w:lvl w:ilvl="1" w:tplc="C070FD2E">
      <w:start w:val="3"/>
      <w:numFmt w:val="bullet"/>
      <w:lvlText w:val="-"/>
      <w:lvlJc w:val="left"/>
      <w:pPr>
        <w:ind w:left="1440" w:hanging="360"/>
      </w:pPr>
      <w:rPr>
        <w:rFonts w:ascii="Calibri" w:eastAsiaTheme="minorHAnsi" w:hAnsi="Calibri" w:cs="Calibr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27424AD1"/>
    <w:multiLevelType w:val="multilevel"/>
    <w:tmpl w:val="0D8C04A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79373ED"/>
    <w:multiLevelType w:val="multilevel"/>
    <w:tmpl w:val="286E6720"/>
    <w:lvl w:ilvl="0">
      <w:start w:val="25"/>
      <w:numFmt w:val="decimal"/>
      <w:lvlText w:val="%1"/>
      <w:lvlJc w:val="left"/>
      <w:pPr>
        <w:ind w:left="390" w:hanging="390"/>
      </w:pPr>
      <w:rPr>
        <w:rFonts w:ascii="Times New Roman" w:eastAsiaTheme="minorHAnsi" w:hAnsi="Times New Roman" w:cstheme="minorBidi" w:hint="default"/>
        <w:i/>
        <w:color w:val="44546A" w:themeColor="text2"/>
        <w:sz w:val="18"/>
      </w:rPr>
    </w:lvl>
    <w:lvl w:ilvl="1">
      <w:start w:val="50"/>
      <w:numFmt w:val="decimal"/>
      <w:lvlText w:val="%1.%2"/>
      <w:lvlJc w:val="left"/>
      <w:pPr>
        <w:ind w:left="390" w:hanging="390"/>
      </w:pPr>
      <w:rPr>
        <w:rFonts w:ascii="Times New Roman" w:eastAsiaTheme="minorHAnsi" w:hAnsi="Times New Roman" w:cstheme="minorBidi" w:hint="default"/>
        <w:i/>
        <w:color w:val="44546A" w:themeColor="text2"/>
        <w:sz w:val="18"/>
      </w:rPr>
    </w:lvl>
    <w:lvl w:ilvl="2">
      <w:start w:val="1"/>
      <w:numFmt w:val="decimal"/>
      <w:lvlText w:val="%1.%2.%3"/>
      <w:lvlJc w:val="left"/>
      <w:pPr>
        <w:ind w:left="720" w:hanging="720"/>
      </w:pPr>
      <w:rPr>
        <w:rFonts w:ascii="Times New Roman" w:eastAsiaTheme="minorHAnsi" w:hAnsi="Times New Roman" w:cstheme="minorBidi" w:hint="default"/>
        <w:i/>
        <w:color w:val="44546A" w:themeColor="text2"/>
        <w:sz w:val="18"/>
      </w:rPr>
    </w:lvl>
    <w:lvl w:ilvl="3">
      <w:start w:val="1"/>
      <w:numFmt w:val="decimal"/>
      <w:lvlText w:val="%1.%2.%3.%4"/>
      <w:lvlJc w:val="left"/>
      <w:pPr>
        <w:ind w:left="720" w:hanging="720"/>
      </w:pPr>
      <w:rPr>
        <w:rFonts w:ascii="Times New Roman" w:eastAsiaTheme="minorHAnsi" w:hAnsi="Times New Roman" w:cstheme="minorBidi" w:hint="default"/>
        <w:i/>
        <w:color w:val="44546A" w:themeColor="text2"/>
        <w:sz w:val="18"/>
      </w:rPr>
    </w:lvl>
    <w:lvl w:ilvl="4">
      <w:start w:val="1"/>
      <w:numFmt w:val="decimal"/>
      <w:lvlText w:val="%1.%2.%3.%4.%5"/>
      <w:lvlJc w:val="left"/>
      <w:pPr>
        <w:ind w:left="1080" w:hanging="1080"/>
      </w:pPr>
      <w:rPr>
        <w:rFonts w:ascii="Times New Roman" w:eastAsiaTheme="minorHAnsi" w:hAnsi="Times New Roman" w:cstheme="minorBidi" w:hint="default"/>
        <w:i/>
        <w:color w:val="44546A" w:themeColor="text2"/>
        <w:sz w:val="18"/>
      </w:rPr>
    </w:lvl>
    <w:lvl w:ilvl="5">
      <w:start w:val="1"/>
      <w:numFmt w:val="decimal"/>
      <w:lvlText w:val="%1.%2.%3.%4.%5.%6"/>
      <w:lvlJc w:val="left"/>
      <w:pPr>
        <w:ind w:left="1440" w:hanging="1440"/>
      </w:pPr>
      <w:rPr>
        <w:rFonts w:ascii="Times New Roman" w:eastAsiaTheme="minorHAnsi" w:hAnsi="Times New Roman" w:cstheme="minorBidi" w:hint="default"/>
        <w:i/>
        <w:color w:val="44546A" w:themeColor="text2"/>
        <w:sz w:val="18"/>
      </w:rPr>
    </w:lvl>
    <w:lvl w:ilvl="6">
      <w:start w:val="1"/>
      <w:numFmt w:val="decimal"/>
      <w:lvlText w:val="%1.%2.%3.%4.%5.%6.%7"/>
      <w:lvlJc w:val="left"/>
      <w:pPr>
        <w:ind w:left="1440" w:hanging="1440"/>
      </w:pPr>
      <w:rPr>
        <w:rFonts w:ascii="Times New Roman" w:eastAsiaTheme="minorHAnsi" w:hAnsi="Times New Roman" w:cstheme="minorBidi" w:hint="default"/>
        <w:i/>
        <w:color w:val="44546A" w:themeColor="text2"/>
        <w:sz w:val="18"/>
      </w:rPr>
    </w:lvl>
    <w:lvl w:ilvl="7">
      <w:start w:val="1"/>
      <w:numFmt w:val="decimal"/>
      <w:lvlText w:val="%1.%2.%3.%4.%5.%6.%7.%8"/>
      <w:lvlJc w:val="left"/>
      <w:pPr>
        <w:ind w:left="1800" w:hanging="1800"/>
      </w:pPr>
      <w:rPr>
        <w:rFonts w:ascii="Times New Roman" w:eastAsiaTheme="minorHAnsi" w:hAnsi="Times New Roman" w:cstheme="minorBidi" w:hint="default"/>
        <w:i/>
        <w:color w:val="44546A" w:themeColor="text2"/>
        <w:sz w:val="18"/>
      </w:rPr>
    </w:lvl>
    <w:lvl w:ilvl="8">
      <w:start w:val="1"/>
      <w:numFmt w:val="decimal"/>
      <w:lvlText w:val="%1.%2.%3.%4.%5.%6.%7.%8.%9"/>
      <w:lvlJc w:val="left"/>
      <w:pPr>
        <w:ind w:left="1800" w:hanging="1800"/>
      </w:pPr>
      <w:rPr>
        <w:rFonts w:ascii="Times New Roman" w:eastAsiaTheme="minorHAnsi" w:hAnsi="Times New Roman" w:cstheme="minorBidi" w:hint="default"/>
        <w:i/>
        <w:color w:val="44546A" w:themeColor="text2"/>
        <w:sz w:val="18"/>
      </w:rPr>
    </w:lvl>
  </w:abstractNum>
  <w:abstractNum w:abstractNumId="53" w15:restartNumberingAfterBreak="0">
    <w:nsid w:val="28C42051"/>
    <w:multiLevelType w:val="multilevel"/>
    <w:tmpl w:val="D6D8BD9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8DB0E47"/>
    <w:multiLevelType w:val="hybridMultilevel"/>
    <w:tmpl w:val="5768AE80"/>
    <w:lvl w:ilvl="0" w:tplc="A0AE9B5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291C43E4"/>
    <w:multiLevelType w:val="hybridMultilevel"/>
    <w:tmpl w:val="68502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29556B2E"/>
    <w:multiLevelType w:val="hybridMultilevel"/>
    <w:tmpl w:val="41163B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29EB5C90"/>
    <w:multiLevelType w:val="hybridMultilevel"/>
    <w:tmpl w:val="BAEC6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2ADD24E6"/>
    <w:multiLevelType w:val="hybridMultilevel"/>
    <w:tmpl w:val="9C1EA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2BA04E1A"/>
    <w:multiLevelType w:val="hybridMultilevel"/>
    <w:tmpl w:val="41BEA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2CD22CC3"/>
    <w:multiLevelType w:val="hybridMultilevel"/>
    <w:tmpl w:val="BDF88E72"/>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E5C3C6B"/>
    <w:multiLevelType w:val="multilevel"/>
    <w:tmpl w:val="40B008A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13B59F7"/>
    <w:multiLevelType w:val="hybridMultilevel"/>
    <w:tmpl w:val="4156F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320D55B5"/>
    <w:multiLevelType w:val="hybridMultilevel"/>
    <w:tmpl w:val="80B2A2E6"/>
    <w:lvl w:ilvl="0" w:tplc="42B21E9A">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369C3226"/>
    <w:multiLevelType w:val="hybridMultilevel"/>
    <w:tmpl w:val="60506EAA"/>
    <w:lvl w:ilvl="0" w:tplc="3D3A53E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37904271"/>
    <w:multiLevelType w:val="hybridMultilevel"/>
    <w:tmpl w:val="FFFFFFFF"/>
    <w:lvl w:ilvl="0" w:tplc="4FAAB65E">
      <w:start w:val="1"/>
      <w:numFmt w:val="decimal"/>
      <w:lvlText w:val="%1."/>
      <w:lvlJc w:val="left"/>
      <w:pPr>
        <w:ind w:left="720" w:hanging="360"/>
      </w:pPr>
    </w:lvl>
    <w:lvl w:ilvl="1" w:tplc="DEB6A4F0">
      <w:start w:val="1"/>
      <w:numFmt w:val="lowerLetter"/>
      <w:lvlText w:val="%2."/>
      <w:lvlJc w:val="left"/>
      <w:pPr>
        <w:ind w:left="1440" w:hanging="360"/>
      </w:pPr>
    </w:lvl>
    <w:lvl w:ilvl="2" w:tplc="21F4FA3A">
      <w:start w:val="1"/>
      <w:numFmt w:val="lowerRoman"/>
      <w:lvlText w:val="%3."/>
      <w:lvlJc w:val="right"/>
      <w:pPr>
        <w:ind w:left="2160" w:hanging="180"/>
      </w:pPr>
    </w:lvl>
    <w:lvl w:ilvl="3" w:tplc="112C2E3E">
      <w:start w:val="1"/>
      <w:numFmt w:val="decimal"/>
      <w:lvlText w:val="%4."/>
      <w:lvlJc w:val="left"/>
      <w:pPr>
        <w:ind w:left="2880" w:hanging="360"/>
      </w:pPr>
    </w:lvl>
    <w:lvl w:ilvl="4" w:tplc="8B187F52">
      <w:start w:val="1"/>
      <w:numFmt w:val="lowerLetter"/>
      <w:lvlText w:val="%5."/>
      <w:lvlJc w:val="left"/>
      <w:pPr>
        <w:ind w:left="3600" w:hanging="360"/>
      </w:pPr>
    </w:lvl>
    <w:lvl w:ilvl="5" w:tplc="0F48AE30">
      <w:start w:val="1"/>
      <w:numFmt w:val="lowerRoman"/>
      <w:lvlText w:val="%6."/>
      <w:lvlJc w:val="right"/>
      <w:pPr>
        <w:ind w:left="4320" w:hanging="180"/>
      </w:pPr>
    </w:lvl>
    <w:lvl w:ilvl="6" w:tplc="E6A8408E">
      <w:start w:val="1"/>
      <w:numFmt w:val="decimal"/>
      <w:lvlText w:val="%7."/>
      <w:lvlJc w:val="left"/>
      <w:pPr>
        <w:ind w:left="5040" w:hanging="360"/>
      </w:pPr>
    </w:lvl>
    <w:lvl w:ilvl="7" w:tplc="12EC2F46">
      <w:start w:val="1"/>
      <w:numFmt w:val="lowerLetter"/>
      <w:lvlText w:val="%8."/>
      <w:lvlJc w:val="left"/>
      <w:pPr>
        <w:ind w:left="5760" w:hanging="360"/>
      </w:pPr>
    </w:lvl>
    <w:lvl w:ilvl="8" w:tplc="1BD04F2E">
      <w:start w:val="1"/>
      <w:numFmt w:val="lowerRoman"/>
      <w:lvlText w:val="%9."/>
      <w:lvlJc w:val="right"/>
      <w:pPr>
        <w:ind w:left="6480" w:hanging="180"/>
      </w:pPr>
    </w:lvl>
  </w:abstractNum>
  <w:abstractNum w:abstractNumId="66" w15:restartNumberingAfterBreak="0">
    <w:nsid w:val="38026220"/>
    <w:multiLevelType w:val="hybridMultilevel"/>
    <w:tmpl w:val="3C3AC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3809661D"/>
    <w:multiLevelType w:val="multilevel"/>
    <w:tmpl w:val="6D721C2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8" w15:restartNumberingAfterBreak="0">
    <w:nsid w:val="39BF1A4D"/>
    <w:multiLevelType w:val="multilevel"/>
    <w:tmpl w:val="53C622E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A936587"/>
    <w:multiLevelType w:val="hybridMultilevel"/>
    <w:tmpl w:val="4D067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3A964A2D"/>
    <w:multiLevelType w:val="multilevel"/>
    <w:tmpl w:val="EF9AA10E"/>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BB37105"/>
    <w:multiLevelType w:val="multilevel"/>
    <w:tmpl w:val="1924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3C321B6F"/>
    <w:multiLevelType w:val="multilevel"/>
    <w:tmpl w:val="408453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CCC162D"/>
    <w:multiLevelType w:val="hybridMultilevel"/>
    <w:tmpl w:val="C1BA7E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4" w15:restartNumberingAfterBreak="0">
    <w:nsid w:val="3D6D48E5"/>
    <w:multiLevelType w:val="multilevel"/>
    <w:tmpl w:val="5DBC650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F24196D"/>
    <w:multiLevelType w:val="hybridMultilevel"/>
    <w:tmpl w:val="562099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1244948"/>
    <w:multiLevelType w:val="multilevel"/>
    <w:tmpl w:val="367A54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19F4587"/>
    <w:multiLevelType w:val="multilevel"/>
    <w:tmpl w:val="1FF0A57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8" w15:restartNumberingAfterBreak="0">
    <w:nsid w:val="45947DBF"/>
    <w:multiLevelType w:val="multilevel"/>
    <w:tmpl w:val="C69267B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45C9754F"/>
    <w:multiLevelType w:val="hybridMultilevel"/>
    <w:tmpl w:val="2B024520"/>
    <w:lvl w:ilvl="0" w:tplc="EAFAF5B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4634094A"/>
    <w:multiLevelType w:val="hybridMultilevel"/>
    <w:tmpl w:val="562099E4"/>
    <w:lvl w:ilvl="0" w:tplc="5DFE44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47390CCA"/>
    <w:multiLevelType w:val="hybridMultilevel"/>
    <w:tmpl w:val="A9F24A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7B51E39"/>
    <w:multiLevelType w:val="multilevel"/>
    <w:tmpl w:val="553E93A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87E3ACB"/>
    <w:multiLevelType w:val="hybridMultilevel"/>
    <w:tmpl w:val="5CF6A6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8C62640"/>
    <w:multiLevelType w:val="hybridMultilevel"/>
    <w:tmpl w:val="7C543E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15:restartNumberingAfterBreak="0">
    <w:nsid w:val="4A431FBD"/>
    <w:multiLevelType w:val="hybridMultilevel"/>
    <w:tmpl w:val="856287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4AB65E89"/>
    <w:multiLevelType w:val="multilevel"/>
    <w:tmpl w:val="D0CC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ABD06CE"/>
    <w:multiLevelType w:val="hybridMultilevel"/>
    <w:tmpl w:val="615C78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4ACB009B"/>
    <w:multiLevelType w:val="multilevel"/>
    <w:tmpl w:val="D564E6C4"/>
    <w:lvl w:ilvl="0">
      <w:start w:val="25"/>
      <w:numFmt w:val="decimal"/>
      <w:lvlText w:val="%1"/>
      <w:lvlJc w:val="left"/>
      <w:pPr>
        <w:ind w:left="525" w:hanging="525"/>
      </w:pPr>
      <w:rPr>
        <w:rFonts w:ascii="Times New Roman" w:eastAsiaTheme="minorHAnsi" w:hAnsi="Times New Roman" w:cstheme="minorBidi" w:hint="default"/>
        <w:i/>
        <w:color w:val="44546A" w:themeColor="text2"/>
        <w:sz w:val="18"/>
      </w:rPr>
    </w:lvl>
    <w:lvl w:ilvl="1">
      <w:start w:val="50"/>
      <w:numFmt w:val="decimal"/>
      <w:lvlText w:val="%1.%2"/>
      <w:lvlJc w:val="left"/>
      <w:pPr>
        <w:ind w:left="525" w:hanging="525"/>
      </w:pPr>
      <w:rPr>
        <w:rFonts w:ascii="Times New Roman" w:eastAsiaTheme="minorHAnsi" w:hAnsi="Times New Roman" w:cstheme="minorBidi" w:hint="default"/>
        <w:i/>
        <w:color w:val="44546A" w:themeColor="text2"/>
        <w:sz w:val="18"/>
      </w:rPr>
    </w:lvl>
    <w:lvl w:ilvl="2">
      <w:start w:val="1"/>
      <w:numFmt w:val="decimal"/>
      <w:lvlText w:val="%1.%2.%3"/>
      <w:lvlJc w:val="left"/>
      <w:pPr>
        <w:ind w:left="720" w:hanging="720"/>
      </w:pPr>
      <w:rPr>
        <w:rFonts w:ascii="Times New Roman" w:eastAsiaTheme="minorHAnsi" w:hAnsi="Times New Roman" w:cstheme="minorBidi" w:hint="default"/>
        <w:i/>
        <w:color w:val="44546A" w:themeColor="text2"/>
        <w:sz w:val="18"/>
      </w:rPr>
    </w:lvl>
    <w:lvl w:ilvl="3">
      <w:start w:val="1"/>
      <w:numFmt w:val="decimal"/>
      <w:lvlText w:val="%1.%2.%3.%4"/>
      <w:lvlJc w:val="left"/>
      <w:pPr>
        <w:ind w:left="720" w:hanging="720"/>
      </w:pPr>
      <w:rPr>
        <w:rFonts w:ascii="Times New Roman" w:eastAsiaTheme="minorHAnsi" w:hAnsi="Times New Roman" w:cstheme="minorBidi" w:hint="default"/>
        <w:i/>
        <w:color w:val="44546A" w:themeColor="text2"/>
        <w:sz w:val="18"/>
      </w:rPr>
    </w:lvl>
    <w:lvl w:ilvl="4">
      <w:start w:val="1"/>
      <w:numFmt w:val="decimal"/>
      <w:lvlText w:val="%1.%2.%3.%4.%5"/>
      <w:lvlJc w:val="left"/>
      <w:pPr>
        <w:ind w:left="1080" w:hanging="1080"/>
      </w:pPr>
      <w:rPr>
        <w:rFonts w:ascii="Times New Roman" w:eastAsiaTheme="minorHAnsi" w:hAnsi="Times New Roman" w:cstheme="minorBidi" w:hint="default"/>
        <w:i/>
        <w:color w:val="44546A" w:themeColor="text2"/>
        <w:sz w:val="18"/>
      </w:rPr>
    </w:lvl>
    <w:lvl w:ilvl="5">
      <w:start w:val="1"/>
      <w:numFmt w:val="decimal"/>
      <w:lvlText w:val="%1.%2.%3.%4.%5.%6"/>
      <w:lvlJc w:val="left"/>
      <w:pPr>
        <w:ind w:left="1440" w:hanging="1440"/>
      </w:pPr>
      <w:rPr>
        <w:rFonts w:ascii="Times New Roman" w:eastAsiaTheme="minorHAnsi" w:hAnsi="Times New Roman" w:cstheme="minorBidi" w:hint="default"/>
        <w:i/>
        <w:color w:val="44546A" w:themeColor="text2"/>
        <w:sz w:val="18"/>
      </w:rPr>
    </w:lvl>
    <w:lvl w:ilvl="6">
      <w:start w:val="1"/>
      <w:numFmt w:val="decimal"/>
      <w:lvlText w:val="%1.%2.%3.%4.%5.%6.%7"/>
      <w:lvlJc w:val="left"/>
      <w:pPr>
        <w:ind w:left="1440" w:hanging="1440"/>
      </w:pPr>
      <w:rPr>
        <w:rFonts w:ascii="Times New Roman" w:eastAsiaTheme="minorHAnsi" w:hAnsi="Times New Roman" w:cstheme="minorBidi" w:hint="default"/>
        <w:i/>
        <w:color w:val="44546A" w:themeColor="text2"/>
        <w:sz w:val="18"/>
      </w:rPr>
    </w:lvl>
    <w:lvl w:ilvl="7">
      <w:start w:val="1"/>
      <w:numFmt w:val="decimal"/>
      <w:lvlText w:val="%1.%2.%3.%4.%5.%6.%7.%8"/>
      <w:lvlJc w:val="left"/>
      <w:pPr>
        <w:ind w:left="1800" w:hanging="1800"/>
      </w:pPr>
      <w:rPr>
        <w:rFonts w:ascii="Times New Roman" w:eastAsiaTheme="minorHAnsi" w:hAnsi="Times New Roman" w:cstheme="minorBidi" w:hint="default"/>
        <w:i/>
        <w:color w:val="44546A" w:themeColor="text2"/>
        <w:sz w:val="18"/>
      </w:rPr>
    </w:lvl>
    <w:lvl w:ilvl="8">
      <w:start w:val="1"/>
      <w:numFmt w:val="decimal"/>
      <w:lvlText w:val="%1.%2.%3.%4.%5.%6.%7.%8.%9"/>
      <w:lvlJc w:val="left"/>
      <w:pPr>
        <w:ind w:left="1800" w:hanging="1800"/>
      </w:pPr>
      <w:rPr>
        <w:rFonts w:ascii="Times New Roman" w:eastAsiaTheme="minorHAnsi" w:hAnsi="Times New Roman" w:cstheme="minorBidi" w:hint="default"/>
        <w:i/>
        <w:color w:val="44546A" w:themeColor="text2"/>
        <w:sz w:val="18"/>
      </w:rPr>
    </w:lvl>
  </w:abstractNum>
  <w:abstractNum w:abstractNumId="89" w15:restartNumberingAfterBreak="0">
    <w:nsid w:val="4B75019B"/>
    <w:multiLevelType w:val="multilevel"/>
    <w:tmpl w:val="73305C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4C8B25B8"/>
    <w:multiLevelType w:val="hybridMultilevel"/>
    <w:tmpl w:val="9720113E"/>
    <w:lvl w:ilvl="0" w:tplc="A0AE9B5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4F010CB9"/>
    <w:multiLevelType w:val="multilevel"/>
    <w:tmpl w:val="9CC6E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0DB1879"/>
    <w:multiLevelType w:val="hybridMultilevel"/>
    <w:tmpl w:val="19BEE202"/>
    <w:lvl w:ilvl="0" w:tplc="A0AE9B50">
      <w:numFmt w:val="bullet"/>
      <w:lvlText w:val="•"/>
      <w:lvlJc w:val="left"/>
      <w:pPr>
        <w:ind w:left="1080" w:hanging="360"/>
      </w:pPr>
      <w:rPr>
        <w:rFonts w:ascii="Times New Roman" w:eastAsiaTheme="minorHAnsi"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3" w15:restartNumberingAfterBreak="0">
    <w:nsid w:val="512A109D"/>
    <w:multiLevelType w:val="hybridMultilevel"/>
    <w:tmpl w:val="1A0A4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53EF5079"/>
    <w:multiLevelType w:val="multilevel"/>
    <w:tmpl w:val="0EAC3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42C6F88"/>
    <w:multiLevelType w:val="multilevel"/>
    <w:tmpl w:val="E52A3F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55EC17E0"/>
    <w:multiLevelType w:val="hybridMultilevel"/>
    <w:tmpl w:val="6BD2B972"/>
    <w:lvl w:ilvl="0" w:tplc="3B74246A">
      <w:start w:val="24"/>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562A4523"/>
    <w:multiLevelType w:val="hybridMultilevel"/>
    <w:tmpl w:val="80467C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56815AA8"/>
    <w:multiLevelType w:val="hybridMultilevel"/>
    <w:tmpl w:val="7C543E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9" w15:restartNumberingAfterBreak="0">
    <w:nsid w:val="56CC1EA6"/>
    <w:multiLevelType w:val="hybridMultilevel"/>
    <w:tmpl w:val="E7BCC6D4"/>
    <w:lvl w:ilvl="0" w:tplc="A0AE9B5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56DE564B"/>
    <w:multiLevelType w:val="multilevel"/>
    <w:tmpl w:val="713C81F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7842F5C"/>
    <w:multiLevelType w:val="multilevel"/>
    <w:tmpl w:val="46024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84C3238"/>
    <w:multiLevelType w:val="multilevel"/>
    <w:tmpl w:val="AAB44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599A2A70"/>
    <w:multiLevelType w:val="multilevel"/>
    <w:tmpl w:val="878801C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9F84E12"/>
    <w:multiLevelType w:val="multilevel"/>
    <w:tmpl w:val="B3DEE2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A0C4E8A"/>
    <w:multiLevelType w:val="multilevel"/>
    <w:tmpl w:val="8F6A5A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A5A7EF9"/>
    <w:multiLevelType w:val="hybridMultilevel"/>
    <w:tmpl w:val="072EE652"/>
    <w:lvl w:ilvl="0" w:tplc="B5A279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5C7A7DCB"/>
    <w:multiLevelType w:val="multilevel"/>
    <w:tmpl w:val="3A6EFA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D5D021B"/>
    <w:multiLevelType w:val="multilevel"/>
    <w:tmpl w:val="0302D1CC"/>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DF304E6"/>
    <w:multiLevelType w:val="multilevel"/>
    <w:tmpl w:val="58623E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5E721019"/>
    <w:multiLevelType w:val="multilevel"/>
    <w:tmpl w:val="864C835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EFA5675"/>
    <w:multiLevelType w:val="multilevel"/>
    <w:tmpl w:val="1F80EED2"/>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FC71A5E"/>
    <w:multiLevelType w:val="multilevel"/>
    <w:tmpl w:val="99E42DB4"/>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60DC2C1A"/>
    <w:multiLevelType w:val="multilevel"/>
    <w:tmpl w:val="41BC592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4" w15:restartNumberingAfterBreak="0">
    <w:nsid w:val="611E0118"/>
    <w:multiLevelType w:val="multilevel"/>
    <w:tmpl w:val="4D005E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1EC73C6"/>
    <w:multiLevelType w:val="multilevel"/>
    <w:tmpl w:val="A43C42D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3091DC2"/>
    <w:multiLevelType w:val="hybridMultilevel"/>
    <w:tmpl w:val="A8A65F4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7" w15:restartNumberingAfterBreak="0">
    <w:nsid w:val="645A2670"/>
    <w:multiLevelType w:val="hybridMultilevel"/>
    <w:tmpl w:val="9BEADA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65414430"/>
    <w:multiLevelType w:val="hybridMultilevel"/>
    <w:tmpl w:val="5406D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66867F99"/>
    <w:multiLevelType w:val="hybridMultilevel"/>
    <w:tmpl w:val="3EEE9CAE"/>
    <w:lvl w:ilvl="0" w:tplc="65FA830A">
      <w:start w:val="1"/>
      <w:numFmt w:val="decimal"/>
      <w:lvlText w:val="%1."/>
      <w:lvlJc w:val="left"/>
      <w:pPr>
        <w:ind w:left="360" w:hanging="360"/>
      </w:pPr>
      <w:rPr>
        <w:b w:val="0"/>
        <w:bCs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0" w15:restartNumberingAfterBreak="0">
    <w:nsid w:val="68F26B94"/>
    <w:multiLevelType w:val="multilevel"/>
    <w:tmpl w:val="DB4C7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690B1A73"/>
    <w:multiLevelType w:val="multilevel"/>
    <w:tmpl w:val="E894066A"/>
    <w:lvl w:ilvl="0">
      <w:start w:val="25"/>
      <w:numFmt w:val="decimal"/>
      <w:lvlText w:val="%1"/>
      <w:lvlJc w:val="left"/>
      <w:pPr>
        <w:ind w:left="390" w:hanging="390"/>
      </w:pPr>
      <w:rPr>
        <w:rFonts w:ascii="Times New Roman" w:eastAsiaTheme="minorHAnsi" w:hAnsi="Times New Roman" w:cstheme="minorBidi" w:hint="default"/>
        <w:i/>
        <w:color w:val="44546A" w:themeColor="text2"/>
        <w:sz w:val="18"/>
      </w:rPr>
    </w:lvl>
    <w:lvl w:ilvl="1">
      <w:start w:val="50"/>
      <w:numFmt w:val="decimal"/>
      <w:lvlText w:val="%1.%2"/>
      <w:lvlJc w:val="left"/>
      <w:pPr>
        <w:ind w:left="390" w:hanging="390"/>
      </w:pPr>
      <w:rPr>
        <w:rFonts w:ascii="Times New Roman" w:eastAsiaTheme="minorHAnsi" w:hAnsi="Times New Roman" w:cstheme="minorBidi" w:hint="default"/>
        <w:i/>
        <w:color w:val="44546A" w:themeColor="text2"/>
        <w:sz w:val="18"/>
      </w:rPr>
    </w:lvl>
    <w:lvl w:ilvl="2">
      <w:start w:val="1"/>
      <w:numFmt w:val="decimal"/>
      <w:lvlText w:val="%1.%2.%3"/>
      <w:lvlJc w:val="left"/>
      <w:pPr>
        <w:ind w:left="720" w:hanging="720"/>
      </w:pPr>
      <w:rPr>
        <w:rFonts w:ascii="Times New Roman" w:eastAsiaTheme="minorHAnsi" w:hAnsi="Times New Roman" w:cstheme="minorBidi" w:hint="default"/>
        <w:i/>
        <w:color w:val="44546A" w:themeColor="text2"/>
        <w:sz w:val="18"/>
      </w:rPr>
    </w:lvl>
    <w:lvl w:ilvl="3">
      <w:start w:val="1"/>
      <w:numFmt w:val="decimal"/>
      <w:lvlText w:val="%1.%2.%3.%4"/>
      <w:lvlJc w:val="left"/>
      <w:pPr>
        <w:ind w:left="720" w:hanging="720"/>
      </w:pPr>
      <w:rPr>
        <w:rFonts w:ascii="Times New Roman" w:eastAsiaTheme="minorHAnsi" w:hAnsi="Times New Roman" w:cstheme="minorBidi" w:hint="default"/>
        <w:i/>
        <w:color w:val="44546A" w:themeColor="text2"/>
        <w:sz w:val="18"/>
      </w:rPr>
    </w:lvl>
    <w:lvl w:ilvl="4">
      <w:start w:val="1"/>
      <w:numFmt w:val="decimal"/>
      <w:lvlText w:val="%1.%2.%3.%4.%5"/>
      <w:lvlJc w:val="left"/>
      <w:pPr>
        <w:ind w:left="1080" w:hanging="1080"/>
      </w:pPr>
      <w:rPr>
        <w:rFonts w:ascii="Times New Roman" w:eastAsiaTheme="minorHAnsi" w:hAnsi="Times New Roman" w:cstheme="minorBidi" w:hint="default"/>
        <w:i/>
        <w:color w:val="44546A" w:themeColor="text2"/>
        <w:sz w:val="18"/>
      </w:rPr>
    </w:lvl>
    <w:lvl w:ilvl="5">
      <w:start w:val="1"/>
      <w:numFmt w:val="decimal"/>
      <w:lvlText w:val="%1.%2.%3.%4.%5.%6"/>
      <w:lvlJc w:val="left"/>
      <w:pPr>
        <w:ind w:left="1440" w:hanging="1440"/>
      </w:pPr>
      <w:rPr>
        <w:rFonts w:ascii="Times New Roman" w:eastAsiaTheme="minorHAnsi" w:hAnsi="Times New Roman" w:cstheme="minorBidi" w:hint="default"/>
        <w:i/>
        <w:color w:val="44546A" w:themeColor="text2"/>
        <w:sz w:val="18"/>
      </w:rPr>
    </w:lvl>
    <w:lvl w:ilvl="6">
      <w:start w:val="1"/>
      <w:numFmt w:val="decimal"/>
      <w:lvlText w:val="%1.%2.%3.%4.%5.%6.%7"/>
      <w:lvlJc w:val="left"/>
      <w:pPr>
        <w:ind w:left="1440" w:hanging="1440"/>
      </w:pPr>
      <w:rPr>
        <w:rFonts w:ascii="Times New Roman" w:eastAsiaTheme="minorHAnsi" w:hAnsi="Times New Roman" w:cstheme="minorBidi" w:hint="default"/>
        <w:i/>
        <w:color w:val="44546A" w:themeColor="text2"/>
        <w:sz w:val="18"/>
      </w:rPr>
    </w:lvl>
    <w:lvl w:ilvl="7">
      <w:start w:val="1"/>
      <w:numFmt w:val="decimal"/>
      <w:lvlText w:val="%1.%2.%3.%4.%5.%6.%7.%8"/>
      <w:lvlJc w:val="left"/>
      <w:pPr>
        <w:ind w:left="1800" w:hanging="1800"/>
      </w:pPr>
      <w:rPr>
        <w:rFonts w:ascii="Times New Roman" w:eastAsiaTheme="minorHAnsi" w:hAnsi="Times New Roman" w:cstheme="minorBidi" w:hint="default"/>
        <w:i/>
        <w:color w:val="44546A" w:themeColor="text2"/>
        <w:sz w:val="18"/>
      </w:rPr>
    </w:lvl>
    <w:lvl w:ilvl="8">
      <w:start w:val="1"/>
      <w:numFmt w:val="decimal"/>
      <w:lvlText w:val="%1.%2.%3.%4.%5.%6.%7.%8.%9"/>
      <w:lvlJc w:val="left"/>
      <w:pPr>
        <w:ind w:left="1800" w:hanging="1800"/>
      </w:pPr>
      <w:rPr>
        <w:rFonts w:ascii="Times New Roman" w:eastAsiaTheme="minorHAnsi" w:hAnsi="Times New Roman" w:cstheme="minorBidi" w:hint="default"/>
        <w:i/>
        <w:color w:val="44546A" w:themeColor="text2"/>
        <w:sz w:val="18"/>
      </w:rPr>
    </w:lvl>
  </w:abstractNum>
  <w:abstractNum w:abstractNumId="122" w15:restartNumberingAfterBreak="0">
    <w:nsid w:val="696B017B"/>
    <w:multiLevelType w:val="hybridMultilevel"/>
    <w:tmpl w:val="2F3EE0AA"/>
    <w:lvl w:ilvl="0" w:tplc="FFFFFFFF">
      <w:start w:val="2019"/>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69B3A70A"/>
    <w:multiLevelType w:val="hybridMultilevel"/>
    <w:tmpl w:val="FFFFFFFF"/>
    <w:lvl w:ilvl="0" w:tplc="8E668462">
      <w:start w:val="1"/>
      <w:numFmt w:val="decimal"/>
      <w:lvlText w:val="%1."/>
      <w:lvlJc w:val="left"/>
      <w:pPr>
        <w:ind w:left="360" w:hanging="360"/>
      </w:pPr>
    </w:lvl>
    <w:lvl w:ilvl="1" w:tplc="45925D26">
      <w:start w:val="1"/>
      <w:numFmt w:val="lowerLetter"/>
      <w:lvlText w:val="%2."/>
      <w:lvlJc w:val="left"/>
      <w:pPr>
        <w:ind w:left="1080" w:hanging="360"/>
      </w:pPr>
    </w:lvl>
    <w:lvl w:ilvl="2" w:tplc="E8C0C870">
      <w:start w:val="1"/>
      <w:numFmt w:val="lowerRoman"/>
      <w:lvlText w:val="%3."/>
      <w:lvlJc w:val="right"/>
      <w:pPr>
        <w:ind w:left="1800" w:hanging="180"/>
      </w:pPr>
    </w:lvl>
    <w:lvl w:ilvl="3" w:tplc="FA74F946">
      <w:start w:val="1"/>
      <w:numFmt w:val="decimal"/>
      <w:lvlText w:val="%4."/>
      <w:lvlJc w:val="left"/>
      <w:pPr>
        <w:ind w:left="2520" w:hanging="360"/>
      </w:pPr>
    </w:lvl>
    <w:lvl w:ilvl="4" w:tplc="85768C52">
      <w:start w:val="1"/>
      <w:numFmt w:val="lowerLetter"/>
      <w:lvlText w:val="%5."/>
      <w:lvlJc w:val="left"/>
      <w:pPr>
        <w:ind w:left="3240" w:hanging="360"/>
      </w:pPr>
    </w:lvl>
    <w:lvl w:ilvl="5" w:tplc="A5400DDA">
      <w:start w:val="1"/>
      <w:numFmt w:val="lowerRoman"/>
      <w:lvlText w:val="%6."/>
      <w:lvlJc w:val="right"/>
      <w:pPr>
        <w:ind w:left="3960" w:hanging="180"/>
      </w:pPr>
    </w:lvl>
    <w:lvl w:ilvl="6" w:tplc="DBC25712">
      <w:start w:val="1"/>
      <w:numFmt w:val="decimal"/>
      <w:lvlText w:val="%7."/>
      <w:lvlJc w:val="left"/>
      <w:pPr>
        <w:ind w:left="4680" w:hanging="360"/>
      </w:pPr>
    </w:lvl>
    <w:lvl w:ilvl="7" w:tplc="AA62059A">
      <w:start w:val="1"/>
      <w:numFmt w:val="lowerLetter"/>
      <w:lvlText w:val="%8."/>
      <w:lvlJc w:val="left"/>
      <w:pPr>
        <w:ind w:left="5400" w:hanging="360"/>
      </w:pPr>
    </w:lvl>
    <w:lvl w:ilvl="8" w:tplc="57A248D6">
      <w:start w:val="1"/>
      <w:numFmt w:val="lowerRoman"/>
      <w:lvlText w:val="%9."/>
      <w:lvlJc w:val="right"/>
      <w:pPr>
        <w:ind w:left="6120" w:hanging="180"/>
      </w:pPr>
    </w:lvl>
  </w:abstractNum>
  <w:abstractNum w:abstractNumId="124" w15:restartNumberingAfterBreak="0">
    <w:nsid w:val="6B304D7F"/>
    <w:multiLevelType w:val="multilevel"/>
    <w:tmpl w:val="6C1032D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C7B0104"/>
    <w:multiLevelType w:val="hybridMultilevel"/>
    <w:tmpl w:val="37AE8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6F9B58AD"/>
    <w:multiLevelType w:val="hybridMultilevel"/>
    <w:tmpl w:val="FCB43C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74012B1F"/>
    <w:multiLevelType w:val="multilevel"/>
    <w:tmpl w:val="F458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4DA0D9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755510C"/>
    <w:multiLevelType w:val="hybridMultilevel"/>
    <w:tmpl w:val="DAFA5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7B4F5E8D"/>
    <w:multiLevelType w:val="multilevel"/>
    <w:tmpl w:val="4278735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7B6C43AC"/>
    <w:multiLevelType w:val="multilevel"/>
    <w:tmpl w:val="E104E046"/>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BF11E27"/>
    <w:multiLevelType w:val="multilevel"/>
    <w:tmpl w:val="DC6A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7C092663"/>
    <w:multiLevelType w:val="hybridMultilevel"/>
    <w:tmpl w:val="A7422D84"/>
    <w:lvl w:ilvl="0" w:tplc="A0AE9B5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7CED7480"/>
    <w:multiLevelType w:val="hybridMultilevel"/>
    <w:tmpl w:val="4F5836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7D352768"/>
    <w:multiLevelType w:val="multilevel"/>
    <w:tmpl w:val="E660A91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7E670AF1"/>
    <w:multiLevelType w:val="hybridMultilevel"/>
    <w:tmpl w:val="651EB2BC"/>
    <w:lvl w:ilvl="0" w:tplc="C070FD2E">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7FE36C54"/>
    <w:multiLevelType w:val="hybridMultilevel"/>
    <w:tmpl w:val="5456F9F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36"/>
  </w:num>
  <w:num w:numId="2">
    <w:abstractNumId w:val="64"/>
  </w:num>
  <w:num w:numId="3">
    <w:abstractNumId w:val="80"/>
  </w:num>
  <w:num w:numId="4">
    <w:abstractNumId w:val="26"/>
  </w:num>
  <w:num w:numId="5">
    <w:abstractNumId w:val="46"/>
  </w:num>
  <w:num w:numId="6">
    <w:abstractNumId w:val="75"/>
  </w:num>
  <w:num w:numId="7">
    <w:abstractNumId w:val="12"/>
  </w:num>
  <w:num w:numId="8">
    <w:abstractNumId w:val="59"/>
  </w:num>
  <w:num w:numId="9">
    <w:abstractNumId w:val="42"/>
  </w:num>
  <w:num w:numId="10">
    <w:abstractNumId w:val="45"/>
  </w:num>
  <w:num w:numId="11">
    <w:abstractNumId w:val="39"/>
  </w:num>
  <w:num w:numId="12">
    <w:abstractNumId w:val="122"/>
  </w:num>
  <w:num w:numId="13">
    <w:abstractNumId w:val="123"/>
  </w:num>
  <w:num w:numId="14">
    <w:abstractNumId w:val="48"/>
  </w:num>
  <w:num w:numId="15">
    <w:abstractNumId w:val="119"/>
  </w:num>
  <w:num w:numId="16">
    <w:abstractNumId w:val="44"/>
  </w:num>
  <w:num w:numId="17">
    <w:abstractNumId w:val="66"/>
  </w:num>
  <w:num w:numId="18">
    <w:abstractNumId w:val="60"/>
  </w:num>
  <w:num w:numId="19">
    <w:abstractNumId w:val="22"/>
  </w:num>
  <w:num w:numId="20">
    <w:abstractNumId w:val="47"/>
  </w:num>
  <w:num w:numId="21">
    <w:abstractNumId w:val="128"/>
  </w:num>
  <w:num w:numId="22">
    <w:abstractNumId w:val="106"/>
  </w:num>
  <w:num w:numId="23">
    <w:abstractNumId w:val="79"/>
  </w:num>
  <w:num w:numId="24">
    <w:abstractNumId w:val="65"/>
  </w:num>
  <w:num w:numId="25">
    <w:abstractNumId w:val="40"/>
  </w:num>
  <w:num w:numId="26">
    <w:abstractNumId w:val="84"/>
  </w:num>
  <w:num w:numId="27">
    <w:abstractNumId w:val="22"/>
    <w:lvlOverride w:ilvl="0">
      <w:startOverride w:val="1"/>
    </w:lvlOverride>
  </w:num>
  <w:num w:numId="28">
    <w:abstractNumId w:val="36"/>
  </w:num>
  <w:num w:numId="29">
    <w:abstractNumId w:val="126"/>
  </w:num>
  <w:num w:numId="30">
    <w:abstractNumId w:val="98"/>
  </w:num>
  <w:num w:numId="31">
    <w:abstractNumId w:val="30"/>
  </w:num>
  <w:num w:numId="32">
    <w:abstractNumId w:val="96"/>
  </w:num>
  <w:num w:numId="33">
    <w:abstractNumId w:val="9"/>
  </w:num>
  <w:num w:numId="34">
    <w:abstractNumId w:val="7"/>
  </w:num>
  <w:num w:numId="35">
    <w:abstractNumId w:val="6"/>
  </w:num>
  <w:num w:numId="36">
    <w:abstractNumId w:val="5"/>
  </w:num>
  <w:num w:numId="37">
    <w:abstractNumId w:val="4"/>
  </w:num>
  <w:num w:numId="38">
    <w:abstractNumId w:val="8"/>
  </w:num>
  <w:num w:numId="39">
    <w:abstractNumId w:val="3"/>
  </w:num>
  <w:num w:numId="40">
    <w:abstractNumId w:val="2"/>
  </w:num>
  <w:num w:numId="41">
    <w:abstractNumId w:val="1"/>
  </w:num>
  <w:num w:numId="42">
    <w:abstractNumId w:val="0"/>
  </w:num>
  <w:num w:numId="43">
    <w:abstractNumId w:val="55"/>
  </w:num>
  <w:num w:numId="44">
    <w:abstractNumId w:val="129"/>
  </w:num>
  <w:num w:numId="45">
    <w:abstractNumId w:val="69"/>
  </w:num>
  <w:num w:numId="46">
    <w:abstractNumId w:val="99"/>
  </w:num>
  <w:num w:numId="47">
    <w:abstractNumId w:val="92"/>
  </w:num>
  <w:num w:numId="48">
    <w:abstractNumId w:val="54"/>
  </w:num>
  <w:num w:numId="49">
    <w:abstractNumId w:val="56"/>
  </w:num>
  <w:num w:numId="50">
    <w:abstractNumId w:val="87"/>
  </w:num>
  <w:num w:numId="51">
    <w:abstractNumId w:val="90"/>
  </w:num>
  <w:num w:numId="52">
    <w:abstractNumId w:val="133"/>
  </w:num>
  <w:num w:numId="53">
    <w:abstractNumId w:val="83"/>
  </w:num>
  <w:num w:numId="54">
    <w:abstractNumId w:val="23"/>
  </w:num>
  <w:num w:numId="55">
    <w:abstractNumId w:val="18"/>
  </w:num>
  <w:num w:numId="56">
    <w:abstractNumId w:val="97"/>
  </w:num>
  <w:num w:numId="57">
    <w:abstractNumId w:val="28"/>
  </w:num>
  <w:num w:numId="58">
    <w:abstractNumId w:val="24"/>
  </w:num>
  <w:num w:numId="59">
    <w:abstractNumId w:val="15"/>
  </w:num>
  <w:num w:numId="60">
    <w:abstractNumId w:val="11"/>
  </w:num>
  <w:num w:numId="61">
    <w:abstractNumId w:val="63"/>
  </w:num>
  <w:num w:numId="62">
    <w:abstractNumId w:val="101"/>
  </w:num>
  <w:num w:numId="63">
    <w:abstractNumId w:val="104"/>
  </w:num>
  <w:num w:numId="64">
    <w:abstractNumId w:val="14"/>
  </w:num>
  <w:num w:numId="65">
    <w:abstractNumId w:val="105"/>
  </w:num>
  <w:num w:numId="66">
    <w:abstractNumId w:val="114"/>
  </w:num>
  <w:num w:numId="67">
    <w:abstractNumId w:val="82"/>
  </w:num>
  <w:num w:numId="68">
    <w:abstractNumId w:val="102"/>
  </w:num>
  <w:num w:numId="69">
    <w:abstractNumId w:val="89"/>
  </w:num>
  <w:num w:numId="70">
    <w:abstractNumId w:val="107"/>
  </w:num>
  <w:num w:numId="71">
    <w:abstractNumId w:val="137"/>
  </w:num>
  <w:num w:numId="72">
    <w:abstractNumId w:val="25"/>
  </w:num>
  <w:num w:numId="73">
    <w:abstractNumId w:val="134"/>
  </w:num>
  <w:num w:numId="74">
    <w:abstractNumId w:val="116"/>
  </w:num>
  <w:num w:numId="75">
    <w:abstractNumId w:val="73"/>
  </w:num>
  <w:num w:numId="76">
    <w:abstractNumId w:val="81"/>
  </w:num>
  <w:num w:numId="77">
    <w:abstractNumId w:val="10"/>
  </w:num>
  <w:num w:numId="78">
    <w:abstractNumId w:val="121"/>
  </w:num>
  <w:num w:numId="79">
    <w:abstractNumId w:val="52"/>
  </w:num>
  <w:num w:numId="80">
    <w:abstractNumId w:val="88"/>
  </w:num>
  <w:num w:numId="81">
    <w:abstractNumId w:val="35"/>
  </w:num>
  <w:num w:numId="82">
    <w:abstractNumId w:val="85"/>
  </w:num>
  <w:num w:numId="83">
    <w:abstractNumId w:val="57"/>
  </w:num>
  <w:num w:numId="84">
    <w:abstractNumId w:val="125"/>
  </w:num>
  <w:num w:numId="85">
    <w:abstractNumId w:val="50"/>
  </w:num>
  <w:num w:numId="86">
    <w:abstractNumId w:val="27"/>
  </w:num>
  <w:num w:numId="87">
    <w:abstractNumId w:val="58"/>
  </w:num>
  <w:num w:numId="88">
    <w:abstractNumId w:val="20"/>
  </w:num>
  <w:num w:numId="89">
    <w:abstractNumId w:val="17"/>
  </w:num>
  <w:num w:numId="90">
    <w:abstractNumId w:val="86"/>
  </w:num>
  <w:num w:numId="91">
    <w:abstractNumId w:val="31"/>
  </w:num>
  <w:num w:numId="92">
    <w:abstractNumId w:val="76"/>
  </w:num>
  <w:num w:numId="93">
    <w:abstractNumId w:val="32"/>
  </w:num>
  <w:num w:numId="94">
    <w:abstractNumId w:val="95"/>
  </w:num>
  <w:num w:numId="95">
    <w:abstractNumId w:val="68"/>
  </w:num>
  <w:num w:numId="96">
    <w:abstractNumId w:val="103"/>
  </w:num>
  <w:num w:numId="97">
    <w:abstractNumId w:val="49"/>
  </w:num>
  <w:num w:numId="98">
    <w:abstractNumId w:val="72"/>
  </w:num>
  <w:num w:numId="99">
    <w:abstractNumId w:val="53"/>
  </w:num>
  <w:num w:numId="100">
    <w:abstractNumId w:val="51"/>
  </w:num>
  <w:num w:numId="101">
    <w:abstractNumId w:val="110"/>
  </w:num>
  <w:num w:numId="102">
    <w:abstractNumId w:val="115"/>
  </w:num>
  <w:num w:numId="103">
    <w:abstractNumId w:val="100"/>
  </w:num>
  <w:num w:numId="104">
    <w:abstractNumId w:val="74"/>
  </w:num>
  <w:num w:numId="105">
    <w:abstractNumId w:val="112"/>
  </w:num>
  <w:num w:numId="106">
    <w:abstractNumId w:val="70"/>
  </w:num>
  <w:num w:numId="107">
    <w:abstractNumId w:val="43"/>
  </w:num>
  <w:num w:numId="108">
    <w:abstractNumId w:val="130"/>
  </w:num>
  <w:num w:numId="109">
    <w:abstractNumId w:val="108"/>
  </w:num>
  <w:num w:numId="110">
    <w:abstractNumId w:val="29"/>
  </w:num>
  <w:num w:numId="111">
    <w:abstractNumId w:val="124"/>
  </w:num>
  <w:num w:numId="112">
    <w:abstractNumId w:val="34"/>
  </w:num>
  <w:num w:numId="113">
    <w:abstractNumId w:val="61"/>
  </w:num>
  <w:num w:numId="114">
    <w:abstractNumId w:val="131"/>
  </w:num>
  <w:num w:numId="115">
    <w:abstractNumId w:val="37"/>
  </w:num>
  <w:num w:numId="116">
    <w:abstractNumId w:val="111"/>
  </w:num>
  <w:num w:numId="117">
    <w:abstractNumId w:val="135"/>
  </w:num>
  <w:num w:numId="118">
    <w:abstractNumId w:val="16"/>
  </w:num>
  <w:num w:numId="119">
    <w:abstractNumId w:val="21"/>
  </w:num>
  <w:num w:numId="120">
    <w:abstractNumId w:val="13"/>
  </w:num>
  <w:num w:numId="121">
    <w:abstractNumId w:val="78"/>
  </w:num>
  <w:num w:numId="122">
    <w:abstractNumId w:val="109"/>
  </w:num>
  <w:num w:numId="123">
    <w:abstractNumId w:val="77"/>
  </w:num>
  <w:num w:numId="124">
    <w:abstractNumId w:val="33"/>
  </w:num>
  <w:num w:numId="125">
    <w:abstractNumId w:val="67"/>
  </w:num>
  <w:num w:numId="126">
    <w:abstractNumId w:val="113"/>
  </w:num>
  <w:num w:numId="127">
    <w:abstractNumId w:val="19"/>
  </w:num>
  <w:num w:numId="128">
    <w:abstractNumId w:val="91"/>
  </w:num>
  <w:num w:numId="129">
    <w:abstractNumId w:val="120"/>
  </w:num>
  <w:num w:numId="130">
    <w:abstractNumId w:val="127"/>
  </w:num>
  <w:num w:numId="131">
    <w:abstractNumId w:val="71"/>
  </w:num>
  <w:num w:numId="132">
    <w:abstractNumId w:val="94"/>
  </w:num>
  <w:num w:numId="133">
    <w:abstractNumId w:val="132"/>
  </w:num>
  <w:num w:numId="134">
    <w:abstractNumId w:val="62"/>
  </w:num>
  <w:num w:numId="135">
    <w:abstractNumId w:val="117"/>
  </w:num>
  <w:num w:numId="136">
    <w:abstractNumId w:val="118"/>
  </w:num>
  <w:num w:numId="137">
    <w:abstractNumId w:val="38"/>
  </w:num>
  <w:num w:numId="138">
    <w:abstractNumId w:val="93"/>
  </w:num>
  <w:num w:numId="139">
    <w:abstractNumId w:val="41"/>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Y2NzOxNDYxNTc2NTdQ0lEKTi0uzszPAykwqgUAp6l44SwAAAA="/>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p22wx96ddedpe0r9pxtt9gzz05dd5ev299&quot;&gt;TGA references_Calear&lt;record-ids&gt;&lt;item&gt;848&lt;/item&gt;&lt;item&gt;849&lt;/item&gt;&lt;item&gt;850&lt;/item&gt;&lt;item&gt;851&lt;/item&gt;&lt;item&gt;852&lt;/item&gt;&lt;item&gt;853&lt;/item&gt;&lt;item&gt;854&lt;/item&gt;&lt;item&gt;856&lt;/item&gt;&lt;item&gt;857&lt;/item&gt;&lt;item&gt;858&lt;/item&gt;&lt;item&gt;859&lt;/item&gt;&lt;item&gt;860&lt;/item&gt;&lt;item&gt;861&lt;/item&gt;&lt;item&gt;862&lt;/item&gt;&lt;item&gt;863&lt;/item&gt;&lt;item&gt;864&lt;/item&gt;&lt;item&gt;865&lt;/item&gt;&lt;item&gt;866&lt;/item&gt;&lt;item&gt;867&lt;/item&gt;&lt;item&gt;868&lt;/item&gt;&lt;item&gt;869&lt;/item&gt;&lt;item&gt;871&lt;/item&gt;&lt;item&gt;872&lt;/item&gt;&lt;item&gt;873&lt;/item&gt;&lt;item&gt;874&lt;/item&gt;&lt;item&gt;875&lt;/item&gt;&lt;item&gt;877&lt;/item&gt;&lt;item&gt;878&lt;/item&gt;&lt;item&gt;879&lt;/item&gt;&lt;item&gt;880&lt;/item&gt;&lt;item&gt;881&lt;/item&gt;&lt;item&gt;882&lt;/item&gt;&lt;item&gt;883&lt;/item&gt;&lt;item&gt;884&lt;/item&gt;&lt;item&gt;885&lt;/item&gt;&lt;item&gt;887&lt;/item&gt;&lt;item&gt;888&lt;/item&gt;&lt;item&gt;889&lt;/item&gt;&lt;item&gt;890&lt;/item&gt;&lt;item&gt;891&lt;/item&gt;&lt;item&gt;892&lt;/item&gt;&lt;item&gt;893&lt;/item&gt;&lt;item&gt;894&lt;/item&gt;&lt;item&gt;895&lt;/item&gt;&lt;item&gt;896&lt;/item&gt;&lt;item&gt;897&lt;/item&gt;&lt;item&gt;898&lt;/item&gt;&lt;item&gt;899&lt;/item&gt;&lt;item&gt;900&lt;/item&gt;&lt;item&gt;901&lt;/item&gt;&lt;item&gt;902&lt;/item&gt;&lt;item&gt;903&lt;/item&gt;&lt;item&gt;905&lt;/item&gt;&lt;item&gt;906&lt;/item&gt;&lt;item&gt;907&lt;/item&gt;&lt;item&gt;908&lt;/item&gt;&lt;item&gt;909&lt;/item&gt;&lt;item&gt;910&lt;/item&gt;&lt;item&gt;911&lt;/item&gt;&lt;item&gt;912&lt;/item&gt;&lt;item&gt;913&lt;/item&gt;&lt;item&gt;914&lt;/item&gt;&lt;item&gt;916&lt;/item&gt;&lt;item&gt;917&lt;/item&gt;&lt;item&gt;918&lt;/item&gt;&lt;item&gt;919&lt;/item&gt;&lt;item&gt;920&lt;/item&gt;&lt;item&gt;921&lt;/item&gt;&lt;item&gt;922&lt;/item&gt;&lt;item&gt;923&lt;/item&gt;&lt;item&gt;924&lt;/item&gt;&lt;item&gt;925&lt;/item&gt;&lt;item&gt;926&lt;/item&gt;&lt;item&gt;927&lt;/item&gt;&lt;item&gt;929&lt;/item&gt;&lt;item&gt;930&lt;/item&gt;&lt;item&gt;931&lt;/item&gt;&lt;item&gt;932&lt;/item&gt;&lt;item&gt;933&lt;/item&gt;&lt;item&gt;934&lt;/item&gt;&lt;item&gt;935&lt;/item&gt;&lt;item&gt;936&lt;/item&gt;&lt;item&gt;937&lt;/item&gt;&lt;item&gt;938&lt;/item&gt;&lt;item&gt;939&lt;/item&gt;&lt;item&gt;940&lt;/item&gt;&lt;item&gt;941&lt;/item&gt;&lt;item&gt;942&lt;/item&gt;&lt;item&gt;943&lt;/item&gt;&lt;item&gt;944&lt;/item&gt;&lt;item&gt;945&lt;/item&gt;&lt;item&gt;946&lt;/item&gt;&lt;item&gt;947&lt;/item&gt;&lt;item&gt;948&lt;/item&gt;&lt;item&gt;949&lt;/item&gt;&lt;item&gt;950&lt;/item&gt;&lt;item&gt;951&lt;/item&gt;&lt;item&gt;952&lt;/item&gt;&lt;item&gt;953&lt;/item&gt;&lt;item&gt;955&lt;/item&gt;&lt;item&gt;956&lt;/item&gt;&lt;item&gt;957&lt;/item&gt;&lt;item&gt;958&lt;/item&gt;&lt;item&gt;959&lt;/item&gt;&lt;item&gt;960&lt;/item&gt;&lt;item&gt;962&lt;/item&gt;&lt;item&gt;963&lt;/item&gt;&lt;item&gt;965&lt;/item&gt;&lt;item&gt;968&lt;/item&gt;&lt;item&gt;969&lt;/item&gt;&lt;item&gt;971&lt;/item&gt;&lt;item&gt;972&lt;/item&gt;&lt;item&gt;973&lt;/item&gt;&lt;item&gt;974&lt;/item&gt;&lt;item&gt;975&lt;/item&gt;&lt;item&gt;977&lt;/item&gt;&lt;item&gt;978&lt;/item&gt;&lt;item&gt;979&lt;/item&gt;&lt;/record-ids&gt;&lt;/item&gt;&lt;/Libraries&gt;"/>
  </w:docVars>
  <w:rsids>
    <w:rsidRoot w:val="005E0B95"/>
    <w:rsid w:val="0000049C"/>
    <w:rsid w:val="00001892"/>
    <w:rsid w:val="00003805"/>
    <w:rsid w:val="00005358"/>
    <w:rsid w:val="000061B4"/>
    <w:rsid w:val="00006CF9"/>
    <w:rsid w:val="00006D8A"/>
    <w:rsid w:val="000074E9"/>
    <w:rsid w:val="00007840"/>
    <w:rsid w:val="00007924"/>
    <w:rsid w:val="00007A86"/>
    <w:rsid w:val="00010D45"/>
    <w:rsid w:val="00010D7B"/>
    <w:rsid w:val="000118AA"/>
    <w:rsid w:val="000123E8"/>
    <w:rsid w:val="000124B5"/>
    <w:rsid w:val="0001263F"/>
    <w:rsid w:val="000128B9"/>
    <w:rsid w:val="0001296B"/>
    <w:rsid w:val="00012E9A"/>
    <w:rsid w:val="00013DD6"/>
    <w:rsid w:val="000143F8"/>
    <w:rsid w:val="00014E07"/>
    <w:rsid w:val="0001534C"/>
    <w:rsid w:val="0001556D"/>
    <w:rsid w:val="00015AF6"/>
    <w:rsid w:val="00015FBD"/>
    <w:rsid w:val="00016072"/>
    <w:rsid w:val="00016193"/>
    <w:rsid w:val="00016287"/>
    <w:rsid w:val="00016454"/>
    <w:rsid w:val="0001651C"/>
    <w:rsid w:val="0001686B"/>
    <w:rsid w:val="00017A91"/>
    <w:rsid w:val="00020D8C"/>
    <w:rsid w:val="00021010"/>
    <w:rsid w:val="00021155"/>
    <w:rsid w:val="000216D5"/>
    <w:rsid w:val="00022256"/>
    <w:rsid w:val="00022814"/>
    <w:rsid w:val="00022F29"/>
    <w:rsid w:val="00023879"/>
    <w:rsid w:val="00024A55"/>
    <w:rsid w:val="00025219"/>
    <w:rsid w:val="00025CD6"/>
    <w:rsid w:val="00025D00"/>
    <w:rsid w:val="0002639D"/>
    <w:rsid w:val="00026C44"/>
    <w:rsid w:val="00026C88"/>
    <w:rsid w:val="00026F67"/>
    <w:rsid w:val="0002741D"/>
    <w:rsid w:val="00027550"/>
    <w:rsid w:val="00027911"/>
    <w:rsid w:val="00027DCC"/>
    <w:rsid w:val="00031185"/>
    <w:rsid w:val="000313A0"/>
    <w:rsid w:val="00031614"/>
    <w:rsid w:val="000317C8"/>
    <w:rsid w:val="00031DE7"/>
    <w:rsid w:val="000322F7"/>
    <w:rsid w:val="00032688"/>
    <w:rsid w:val="00032946"/>
    <w:rsid w:val="00033349"/>
    <w:rsid w:val="000333AB"/>
    <w:rsid w:val="000339B1"/>
    <w:rsid w:val="00033AF4"/>
    <w:rsid w:val="00033B9F"/>
    <w:rsid w:val="000340E4"/>
    <w:rsid w:val="000343B6"/>
    <w:rsid w:val="00034E74"/>
    <w:rsid w:val="00035C26"/>
    <w:rsid w:val="00035C55"/>
    <w:rsid w:val="000361F8"/>
    <w:rsid w:val="00036B5C"/>
    <w:rsid w:val="00037198"/>
    <w:rsid w:val="00037217"/>
    <w:rsid w:val="00037430"/>
    <w:rsid w:val="00040ABD"/>
    <w:rsid w:val="00040E86"/>
    <w:rsid w:val="000427A4"/>
    <w:rsid w:val="00042D30"/>
    <w:rsid w:val="0004607D"/>
    <w:rsid w:val="00046081"/>
    <w:rsid w:val="00046465"/>
    <w:rsid w:val="00046A91"/>
    <w:rsid w:val="00047F0E"/>
    <w:rsid w:val="0005026A"/>
    <w:rsid w:val="00051BAB"/>
    <w:rsid w:val="00051CCE"/>
    <w:rsid w:val="00051D0B"/>
    <w:rsid w:val="00052612"/>
    <w:rsid w:val="000531CE"/>
    <w:rsid w:val="0005474F"/>
    <w:rsid w:val="0005570F"/>
    <w:rsid w:val="00055710"/>
    <w:rsid w:val="00055884"/>
    <w:rsid w:val="00056DE3"/>
    <w:rsid w:val="00057362"/>
    <w:rsid w:val="000573A1"/>
    <w:rsid w:val="00057640"/>
    <w:rsid w:val="00057A52"/>
    <w:rsid w:val="00057BFC"/>
    <w:rsid w:val="00060286"/>
    <w:rsid w:val="000603E5"/>
    <w:rsid w:val="00060638"/>
    <w:rsid w:val="000609ED"/>
    <w:rsid w:val="00060AC6"/>
    <w:rsid w:val="00061434"/>
    <w:rsid w:val="00061654"/>
    <w:rsid w:val="00061A36"/>
    <w:rsid w:val="00061A79"/>
    <w:rsid w:val="00062D62"/>
    <w:rsid w:val="0006396E"/>
    <w:rsid w:val="00064482"/>
    <w:rsid w:val="00064874"/>
    <w:rsid w:val="00065046"/>
    <w:rsid w:val="00065267"/>
    <w:rsid w:val="00065EA6"/>
    <w:rsid w:val="0006626C"/>
    <w:rsid w:val="00066391"/>
    <w:rsid w:val="00066E13"/>
    <w:rsid w:val="00067926"/>
    <w:rsid w:val="000707A1"/>
    <w:rsid w:val="000708E7"/>
    <w:rsid w:val="00072F53"/>
    <w:rsid w:val="000730C2"/>
    <w:rsid w:val="00073126"/>
    <w:rsid w:val="0007447B"/>
    <w:rsid w:val="00074672"/>
    <w:rsid w:val="000748E0"/>
    <w:rsid w:val="00075768"/>
    <w:rsid w:val="0007653E"/>
    <w:rsid w:val="00076B96"/>
    <w:rsid w:val="0007757A"/>
    <w:rsid w:val="000777D7"/>
    <w:rsid w:val="0008150A"/>
    <w:rsid w:val="0008254A"/>
    <w:rsid w:val="00083869"/>
    <w:rsid w:val="00083A76"/>
    <w:rsid w:val="00083C46"/>
    <w:rsid w:val="0008485B"/>
    <w:rsid w:val="00085CD2"/>
    <w:rsid w:val="00086095"/>
    <w:rsid w:val="00086346"/>
    <w:rsid w:val="00086861"/>
    <w:rsid w:val="00087A3B"/>
    <w:rsid w:val="000903D5"/>
    <w:rsid w:val="0009066D"/>
    <w:rsid w:val="00090EDF"/>
    <w:rsid w:val="00091523"/>
    <w:rsid w:val="000917B3"/>
    <w:rsid w:val="00092E60"/>
    <w:rsid w:val="0009390D"/>
    <w:rsid w:val="00093E36"/>
    <w:rsid w:val="000942E0"/>
    <w:rsid w:val="000943D8"/>
    <w:rsid w:val="000943DA"/>
    <w:rsid w:val="00094476"/>
    <w:rsid w:val="0009451D"/>
    <w:rsid w:val="0009486B"/>
    <w:rsid w:val="00094CB7"/>
    <w:rsid w:val="0009550C"/>
    <w:rsid w:val="0009559D"/>
    <w:rsid w:val="000956AD"/>
    <w:rsid w:val="00096DF6"/>
    <w:rsid w:val="00096E4C"/>
    <w:rsid w:val="000979C9"/>
    <w:rsid w:val="00097DEE"/>
    <w:rsid w:val="000A03A4"/>
    <w:rsid w:val="000A0496"/>
    <w:rsid w:val="000A1882"/>
    <w:rsid w:val="000A2004"/>
    <w:rsid w:val="000A28E6"/>
    <w:rsid w:val="000A307B"/>
    <w:rsid w:val="000A3189"/>
    <w:rsid w:val="000A34D3"/>
    <w:rsid w:val="000A3EA0"/>
    <w:rsid w:val="000A43F4"/>
    <w:rsid w:val="000A48B4"/>
    <w:rsid w:val="000A49C2"/>
    <w:rsid w:val="000A54FB"/>
    <w:rsid w:val="000A557D"/>
    <w:rsid w:val="000A5DAD"/>
    <w:rsid w:val="000A627A"/>
    <w:rsid w:val="000A668E"/>
    <w:rsid w:val="000A67D5"/>
    <w:rsid w:val="000A709D"/>
    <w:rsid w:val="000A7428"/>
    <w:rsid w:val="000A7A6D"/>
    <w:rsid w:val="000A7EF6"/>
    <w:rsid w:val="000B0641"/>
    <w:rsid w:val="000B1CC0"/>
    <w:rsid w:val="000B30F0"/>
    <w:rsid w:val="000B345F"/>
    <w:rsid w:val="000B3478"/>
    <w:rsid w:val="000B3BC3"/>
    <w:rsid w:val="000B3EBD"/>
    <w:rsid w:val="000B42FB"/>
    <w:rsid w:val="000B4575"/>
    <w:rsid w:val="000B45C7"/>
    <w:rsid w:val="000B467C"/>
    <w:rsid w:val="000B554D"/>
    <w:rsid w:val="000B5D89"/>
    <w:rsid w:val="000B5F10"/>
    <w:rsid w:val="000B62A8"/>
    <w:rsid w:val="000B6C0B"/>
    <w:rsid w:val="000B70F5"/>
    <w:rsid w:val="000B7197"/>
    <w:rsid w:val="000C1424"/>
    <w:rsid w:val="000C17EF"/>
    <w:rsid w:val="000C185C"/>
    <w:rsid w:val="000C1CEA"/>
    <w:rsid w:val="000C3E6A"/>
    <w:rsid w:val="000C4332"/>
    <w:rsid w:val="000C55A0"/>
    <w:rsid w:val="000C7789"/>
    <w:rsid w:val="000C7BB4"/>
    <w:rsid w:val="000C7DFA"/>
    <w:rsid w:val="000D0148"/>
    <w:rsid w:val="000D05D7"/>
    <w:rsid w:val="000D1DAF"/>
    <w:rsid w:val="000D2409"/>
    <w:rsid w:val="000D2937"/>
    <w:rsid w:val="000D36DC"/>
    <w:rsid w:val="000D4226"/>
    <w:rsid w:val="000D44EE"/>
    <w:rsid w:val="000D4C8A"/>
    <w:rsid w:val="000D58C7"/>
    <w:rsid w:val="000D58F6"/>
    <w:rsid w:val="000D74D5"/>
    <w:rsid w:val="000E03C0"/>
    <w:rsid w:val="000E1043"/>
    <w:rsid w:val="000E1049"/>
    <w:rsid w:val="000E13AC"/>
    <w:rsid w:val="000E16B5"/>
    <w:rsid w:val="000E1798"/>
    <w:rsid w:val="000E2BDD"/>
    <w:rsid w:val="000E2CAE"/>
    <w:rsid w:val="000E3829"/>
    <w:rsid w:val="000E3B72"/>
    <w:rsid w:val="000E425C"/>
    <w:rsid w:val="000E4A59"/>
    <w:rsid w:val="000E4B30"/>
    <w:rsid w:val="000E570A"/>
    <w:rsid w:val="000E7FF2"/>
    <w:rsid w:val="000F01F7"/>
    <w:rsid w:val="000F041F"/>
    <w:rsid w:val="000F0F47"/>
    <w:rsid w:val="000F1302"/>
    <w:rsid w:val="000F207B"/>
    <w:rsid w:val="000F240D"/>
    <w:rsid w:val="000F2989"/>
    <w:rsid w:val="000F319A"/>
    <w:rsid w:val="000F3939"/>
    <w:rsid w:val="000F3FEB"/>
    <w:rsid w:val="000F3FFC"/>
    <w:rsid w:val="000F45E9"/>
    <w:rsid w:val="000F59BA"/>
    <w:rsid w:val="000F5AB0"/>
    <w:rsid w:val="000F5AD6"/>
    <w:rsid w:val="000F617C"/>
    <w:rsid w:val="000F6996"/>
    <w:rsid w:val="000F6BA1"/>
    <w:rsid w:val="001002DB"/>
    <w:rsid w:val="001003B1"/>
    <w:rsid w:val="0010059F"/>
    <w:rsid w:val="001009DF"/>
    <w:rsid w:val="00100AB8"/>
    <w:rsid w:val="00101A69"/>
    <w:rsid w:val="00101E08"/>
    <w:rsid w:val="0010421F"/>
    <w:rsid w:val="00104490"/>
    <w:rsid w:val="00104A61"/>
    <w:rsid w:val="001058B3"/>
    <w:rsid w:val="0010684C"/>
    <w:rsid w:val="00106B57"/>
    <w:rsid w:val="00107296"/>
    <w:rsid w:val="00107898"/>
    <w:rsid w:val="00107D34"/>
    <w:rsid w:val="00107ED4"/>
    <w:rsid w:val="00110B2E"/>
    <w:rsid w:val="0011118F"/>
    <w:rsid w:val="001115DC"/>
    <w:rsid w:val="00111F27"/>
    <w:rsid w:val="001122A8"/>
    <w:rsid w:val="00112B14"/>
    <w:rsid w:val="001134F1"/>
    <w:rsid w:val="00114B0D"/>
    <w:rsid w:val="001151E0"/>
    <w:rsid w:val="0011591C"/>
    <w:rsid w:val="00115B1F"/>
    <w:rsid w:val="00116A32"/>
    <w:rsid w:val="00116FFA"/>
    <w:rsid w:val="0011744B"/>
    <w:rsid w:val="00117C76"/>
    <w:rsid w:val="00117E0F"/>
    <w:rsid w:val="0012059E"/>
    <w:rsid w:val="00120A08"/>
    <w:rsid w:val="00120D79"/>
    <w:rsid w:val="00120F95"/>
    <w:rsid w:val="0012144D"/>
    <w:rsid w:val="00121A76"/>
    <w:rsid w:val="00121C0A"/>
    <w:rsid w:val="00122186"/>
    <w:rsid w:val="001226BE"/>
    <w:rsid w:val="001233E9"/>
    <w:rsid w:val="00123A30"/>
    <w:rsid w:val="00123CC3"/>
    <w:rsid w:val="00123DCD"/>
    <w:rsid w:val="0012413C"/>
    <w:rsid w:val="001245DB"/>
    <w:rsid w:val="0012542B"/>
    <w:rsid w:val="001255F0"/>
    <w:rsid w:val="001256FB"/>
    <w:rsid w:val="00125C60"/>
    <w:rsid w:val="0012636D"/>
    <w:rsid w:val="00126372"/>
    <w:rsid w:val="0012648F"/>
    <w:rsid w:val="00126DA8"/>
    <w:rsid w:val="0012734E"/>
    <w:rsid w:val="0012737F"/>
    <w:rsid w:val="0012741C"/>
    <w:rsid w:val="001306DB"/>
    <w:rsid w:val="001308F3"/>
    <w:rsid w:val="00130B8F"/>
    <w:rsid w:val="001310D7"/>
    <w:rsid w:val="001315FE"/>
    <w:rsid w:val="001318DF"/>
    <w:rsid w:val="00131B2E"/>
    <w:rsid w:val="001322A7"/>
    <w:rsid w:val="0013242D"/>
    <w:rsid w:val="001325E1"/>
    <w:rsid w:val="00132BEE"/>
    <w:rsid w:val="00132C2C"/>
    <w:rsid w:val="001331D3"/>
    <w:rsid w:val="00133640"/>
    <w:rsid w:val="00133FC7"/>
    <w:rsid w:val="001351B2"/>
    <w:rsid w:val="001355AD"/>
    <w:rsid w:val="00135764"/>
    <w:rsid w:val="00135D7A"/>
    <w:rsid w:val="0013669A"/>
    <w:rsid w:val="00137769"/>
    <w:rsid w:val="001377F1"/>
    <w:rsid w:val="00137E3A"/>
    <w:rsid w:val="001405F5"/>
    <w:rsid w:val="0014109A"/>
    <w:rsid w:val="001413AF"/>
    <w:rsid w:val="0014178E"/>
    <w:rsid w:val="00141B50"/>
    <w:rsid w:val="00141EDB"/>
    <w:rsid w:val="00144A50"/>
    <w:rsid w:val="00144D4F"/>
    <w:rsid w:val="001454E0"/>
    <w:rsid w:val="00145F4D"/>
    <w:rsid w:val="0014611A"/>
    <w:rsid w:val="0014636A"/>
    <w:rsid w:val="00146D23"/>
    <w:rsid w:val="00146EC4"/>
    <w:rsid w:val="00147102"/>
    <w:rsid w:val="0014740D"/>
    <w:rsid w:val="00151597"/>
    <w:rsid w:val="00151665"/>
    <w:rsid w:val="00151788"/>
    <w:rsid w:val="00151B48"/>
    <w:rsid w:val="00151E23"/>
    <w:rsid w:val="00152092"/>
    <w:rsid w:val="00152787"/>
    <w:rsid w:val="00153CAC"/>
    <w:rsid w:val="001540AF"/>
    <w:rsid w:val="0015479F"/>
    <w:rsid w:val="00155999"/>
    <w:rsid w:val="001570BA"/>
    <w:rsid w:val="00157BBA"/>
    <w:rsid w:val="00157C91"/>
    <w:rsid w:val="00157F5D"/>
    <w:rsid w:val="00160007"/>
    <w:rsid w:val="001601BA"/>
    <w:rsid w:val="00161202"/>
    <w:rsid w:val="0016131F"/>
    <w:rsid w:val="00161E19"/>
    <w:rsid w:val="00161F03"/>
    <w:rsid w:val="00161F3E"/>
    <w:rsid w:val="001622C9"/>
    <w:rsid w:val="00162332"/>
    <w:rsid w:val="00162A4D"/>
    <w:rsid w:val="0016353F"/>
    <w:rsid w:val="001635E5"/>
    <w:rsid w:val="00163B27"/>
    <w:rsid w:val="00164A3C"/>
    <w:rsid w:val="00164F3C"/>
    <w:rsid w:val="001653A3"/>
    <w:rsid w:val="00166B12"/>
    <w:rsid w:val="00166B5F"/>
    <w:rsid w:val="00167148"/>
    <w:rsid w:val="001671ED"/>
    <w:rsid w:val="00167D00"/>
    <w:rsid w:val="00167FDC"/>
    <w:rsid w:val="0017022E"/>
    <w:rsid w:val="00170C96"/>
    <w:rsid w:val="00170ECD"/>
    <w:rsid w:val="00171167"/>
    <w:rsid w:val="0017187A"/>
    <w:rsid w:val="00171B82"/>
    <w:rsid w:val="00171D08"/>
    <w:rsid w:val="00172426"/>
    <w:rsid w:val="00172A4E"/>
    <w:rsid w:val="00172AE5"/>
    <w:rsid w:val="0017317E"/>
    <w:rsid w:val="0017350E"/>
    <w:rsid w:val="00173948"/>
    <w:rsid w:val="0017493B"/>
    <w:rsid w:val="00174D2C"/>
    <w:rsid w:val="00174DC7"/>
    <w:rsid w:val="001753B4"/>
    <w:rsid w:val="00175A50"/>
    <w:rsid w:val="00176301"/>
    <w:rsid w:val="00176CF7"/>
    <w:rsid w:val="00176EEC"/>
    <w:rsid w:val="001771AB"/>
    <w:rsid w:val="00177653"/>
    <w:rsid w:val="00177C77"/>
    <w:rsid w:val="00177D6E"/>
    <w:rsid w:val="00180886"/>
    <w:rsid w:val="001808B6"/>
    <w:rsid w:val="001815BD"/>
    <w:rsid w:val="00181665"/>
    <w:rsid w:val="001817D5"/>
    <w:rsid w:val="001830B9"/>
    <w:rsid w:val="001837FB"/>
    <w:rsid w:val="001838C9"/>
    <w:rsid w:val="00183989"/>
    <w:rsid w:val="001839CA"/>
    <w:rsid w:val="00183EF3"/>
    <w:rsid w:val="00184431"/>
    <w:rsid w:val="00184B55"/>
    <w:rsid w:val="00185833"/>
    <w:rsid w:val="00185FA2"/>
    <w:rsid w:val="001864A0"/>
    <w:rsid w:val="00186613"/>
    <w:rsid w:val="001872FA"/>
    <w:rsid w:val="00187871"/>
    <w:rsid w:val="00187C66"/>
    <w:rsid w:val="00187EA5"/>
    <w:rsid w:val="00190127"/>
    <w:rsid w:val="001902FA"/>
    <w:rsid w:val="001903A1"/>
    <w:rsid w:val="001909FE"/>
    <w:rsid w:val="00191074"/>
    <w:rsid w:val="00191247"/>
    <w:rsid w:val="00192400"/>
    <w:rsid w:val="0019265A"/>
    <w:rsid w:val="001932FB"/>
    <w:rsid w:val="00194A37"/>
    <w:rsid w:val="00195104"/>
    <w:rsid w:val="00196525"/>
    <w:rsid w:val="0019693B"/>
    <w:rsid w:val="00196B22"/>
    <w:rsid w:val="00196C2D"/>
    <w:rsid w:val="00197100"/>
    <w:rsid w:val="00197263"/>
    <w:rsid w:val="001A06B5"/>
    <w:rsid w:val="001A0A17"/>
    <w:rsid w:val="001A117C"/>
    <w:rsid w:val="001A1D28"/>
    <w:rsid w:val="001A2EB9"/>
    <w:rsid w:val="001A2F43"/>
    <w:rsid w:val="001A356A"/>
    <w:rsid w:val="001A36D9"/>
    <w:rsid w:val="001A5275"/>
    <w:rsid w:val="001A57E4"/>
    <w:rsid w:val="001A5DBC"/>
    <w:rsid w:val="001A66E0"/>
    <w:rsid w:val="001A7F4A"/>
    <w:rsid w:val="001B004F"/>
    <w:rsid w:val="001B08AC"/>
    <w:rsid w:val="001B0D8D"/>
    <w:rsid w:val="001B0FB2"/>
    <w:rsid w:val="001B1AA8"/>
    <w:rsid w:val="001B1C21"/>
    <w:rsid w:val="001B1D29"/>
    <w:rsid w:val="001B1F91"/>
    <w:rsid w:val="001B232D"/>
    <w:rsid w:val="001B2D25"/>
    <w:rsid w:val="001B33BB"/>
    <w:rsid w:val="001B355F"/>
    <w:rsid w:val="001B3831"/>
    <w:rsid w:val="001B45D3"/>
    <w:rsid w:val="001B475B"/>
    <w:rsid w:val="001B5220"/>
    <w:rsid w:val="001B5D11"/>
    <w:rsid w:val="001B6687"/>
    <w:rsid w:val="001B6EE7"/>
    <w:rsid w:val="001B70C7"/>
    <w:rsid w:val="001B729F"/>
    <w:rsid w:val="001B7B63"/>
    <w:rsid w:val="001B7C60"/>
    <w:rsid w:val="001C19EE"/>
    <w:rsid w:val="001C232A"/>
    <w:rsid w:val="001C2A41"/>
    <w:rsid w:val="001C2ACA"/>
    <w:rsid w:val="001C3171"/>
    <w:rsid w:val="001C346D"/>
    <w:rsid w:val="001C5928"/>
    <w:rsid w:val="001C6755"/>
    <w:rsid w:val="001D026B"/>
    <w:rsid w:val="001D0A6A"/>
    <w:rsid w:val="001D0C1B"/>
    <w:rsid w:val="001D116B"/>
    <w:rsid w:val="001D2202"/>
    <w:rsid w:val="001D2569"/>
    <w:rsid w:val="001D26FB"/>
    <w:rsid w:val="001D2D25"/>
    <w:rsid w:val="001D3671"/>
    <w:rsid w:val="001D41E4"/>
    <w:rsid w:val="001D4318"/>
    <w:rsid w:val="001D43F3"/>
    <w:rsid w:val="001D4E86"/>
    <w:rsid w:val="001D4EB4"/>
    <w:rsid w:val="001D5041"/>
    <w:rsid w:val="001D5DF8"/>
    <w:rsid w:val="001D5F22"/>
    <w:rsid w:val="001D641D"/>
    <w:rsid w:val="001D664A"/>
    <w:rsid w:val="001D6A15"/>
    <w:rsid w:val="001D6F6E"/>
    <w:rsid w:val="001D7A0F"/>
    <w:rsid w:val="001D7A11"/>
    <w:rsid w:val="001D7CE5"/>
    <w:rsid w:val="001E05BC"/>
    <w:rsid w:val="001E10DA"/>
    <w:rsid w:val="001E143D"/>
    <w:rsid w:val="001E1555"/>
    <w:rsid w:val="001E1C22"/>
    <w:rsid w:val="001E222E"/>
    <w:rsid w:val="001E3ADC"/>
    <w:rsid w:val="001E3F52"/>
    <w:rsid w:val="001E413E"/>
    <w:rsid w:val="001E4D81"/>
    <w:rsid w:val="001E529F"/>
    <w:rsid w:val="001E611D"/>
    <w:rsid w:val="001E6412"/>
    <w:rsid w:val="001E7067"/>
    <w:rsid w:val="001E7441"/>
    <w:rsid w:val="001F031C"/>
    <w:rsid w:val="001F049C"/>
    <w:rsid w:val="001F0543"/>
    <w:rsid w:val="001F13FE"/>
    <w:rsid w:val="001F1A8D"/>
    <w:rsid w:val="001F2AC0"/>
    <w:rsid w:val="001F35E6"/>
    <w:rsid w:val="001F3D4F"/>
    <w:rsid w:val="001F3E71"/>
    <w:rsid w:val="001F3E9A"/>
    <w:rsid w:val="001F5139"/>
    <w:rsid w:val="001F561D"/>
    <w:rsid w:val="001F59B1"/>
    <w:rsid w:val="001F70F9"/>
    <w:rsid w:val="001F7392"/>
    <w:rsid w:val="001F764E"/>
    <w:rsid w:val="001F7EBB"/>
    <w:rsid w:val="0020078D"/>
    <w:rsid w:val="00200F28"/>
    <w:rsid w:val="00201A42"/>
    <w:rsid w:val="00201C43"/>
    <w:rsid w:val="002020C4"/>
    <w:rsid w:val="00202650"/>
    <w:rsid w:val="00202D6F"/>
    <w:rsid w:val="00203CC2"/>
    <w:rsid w:val="00204FC4"/>
    <w:rsid w:val="00205761"/>
    <w:rsid w:val="00211378"/>
    <w:rsid w:val="002119AD"/>
    <w:rsid w:val="00212E16"/>
    <w:rsid w:val="00212E58"/>
    <w:rsid w:val="00213459"/>
    <w:rsid w:val="002137BA"/>
    <w:rsid w:val="00213B09"/>
    <w:rsid w:val="00213B0C"/>
    <w:rsid w:val="00213D3C"/>
    <w:rsid w:val="00214270"/>
    <w:rsid w:val="0021479B"/>
    <w:rsid w:val="00215648"/>
    <w:rsid w:val="00216801"/>
    <w:rsid w:val="0021681A"/>
    <w:rsid w:val="00217242"/>
    <w:rsid w:val="00217543"/>
    <w:rsid w:val="00217D94"/>
    <w:rsid w:val="00217FD5"/>
    <w:rsid w:val="00217FFE"/>
    <w:rsid w:val="00220A35"/>
    <w:rsid w:val="00221BF9"/>
    <w:rsid w:val="002223E1"/>
    <w:rsid w:val="00222841"/>
    <w:rsid w:val="0022293C"/>
    <w:rsid w:val="00223F1F"/>
    <w:rsid w:val="00225865"/>
    <w:rsid w:val="0022617B"/>
    <w:rsid w:val="00226454"/>
    <w:rsid w:val="00227014"/>
    <w:rsid w:val="00227ACD"/>
    <w:rsid w:val="00230B2D"/>
    <w:rsid w:val="00230C01"/>
    <w:rsid w:val="002323F9"/>
    <w:rsid w:val="00232487"/>
    <w:rsid w:val="00232A8E"/>
    <w:rsid w:val="00232B7B"/>
    <w:rsid w:val="00233889"/>
    <w:rsid w:val="00233CD0"/>
    <w:rsid w:val="00233F58"/>
    <w:rsid w:val="002343F2"/>
    <w:rsid w:val="00235881"/>
    <w:rsid w:val="0023633B"/>
    <w:rsid w:val="002369F7"/>
    <w:rsid w:val="00241EF8"/>
    <w:rsid w:val="00242955"/>
    <w:rsid w:val="002429EC"/>
    <w:rsid w:val="00242D9B"/>
    <w:rsid w:val="00242FF9"/>
    <w:rsid w:val="0024353C"/>
    <w:rsid w:val="00243784"/>
    <w:rsid w:val="002438ED"/>
    <w:rsid w:val="0024393C"/>
    <w:rsid w:val="00243AF2"/>
    <w:rsid w:val="0024440A"/>
    <w:rsid w:val="00245009"/>
    <w:rsid w:val="0024524C"/>
    <w:rsid w:val="00245AC7"/>
    <w:rsid w:val="00246780"/>
    <w:rsid w:val="00246AF2"/>
    <w:rsid w:val="002472EB"/>
    <w:rsid w:val="002501FF"/>
    <w:rsid w:val="00250508"/>
    <w:rsid w:val="0025199B"/>
    <w:rsid w:val="00251BA6"/>
    <w:rsid w:val="0025234F"/>
    <w:rsid w:val="002527B3"/>
    <w:rsid w:val="00252F59"/>
    <w:rsid w:val="0025322D"/>
    <w:rsid w:val="0025453C"/>
    <w:rsid w:val="00254DAE"/>
    <w:rsid w:val="00255034"/>
    <w:rsid w:val="00255887"/>
    <w:rsid w:val="002558DC"/>
    <w:rsid w:val="00255EC1"/>
    <w:rsid w:val="002567F2"/>
    <w:rsid w:val="00257B42"/>
    <w:rsid w:val="00257C29"/>
    <w:rsid w:val="00257DD3"/>
    <w:rsid w:val="00261082"/>
    <w:rsid w:val="0026113F"/>
    <w:rsid w:val="00262240"/>
    <w:rsid w:val="00263191"/>
    <w:rsid w:val="002634ED"/>
    <w:rsid w:val="00263A90"/>
    <w:rsid w:val="00263B23"/>
    <w:rsid w:val="00263C0E"/>
    <w:rsid w:val="00263C88"/>
    <w:rsid w:val="00264C31"/>
    <w:rsid w:val="00266A2D"/>
    <w:rsid w:val="00266A9C"/>
    <w:rsid w:val="00270245"/>
    <w:rsid w:val="00270A75"/>
    <w:rsid w:val="00271367"/>
    <w:rsid w:val="002719B3"/>
    <w:rsid w:val="00272247"/>
    <w:rsid w:val="002729DC"/>
    <w:rsid w:val="0027349F"/>
    <w:rsid w:val="00273764"/>
    <w:rsid w:val="00274941"/>
    <w:rsid w:val="002749FF"/>
    <w:rsid w:val="002753AC"/>
    <w:rsid w:val="002755C2"/>
    <w:rsid w:val="00275777"/>
    <w:rsid w:val="00275A36"/>
    <w:rsid w:val="0027654B"/>
    <w:rsid w:val="00276621"/>
    <w:rsid w:val="00276856"/>
    <w:rsid w:val="00276A09"/>
    <w:rsid w:val="00280C06"/>
    <w:rsid w:val="0028120D"/>
    <w:rsid w:val="002812A9"/>
    <w:rsid w:val="002815BD"/>
    <w:rsid w:val="00281F13"/>
    <w:rsid w:val="0028267D"/>
    <w:rsid w:val="00283204"/>
    <w:rsid w:val="002841DC"/>
    <w:rsid w:val="00284214"/>
    <w:rsid w:val="0028594B"/>
    <w:rsid w:val="00285962"/>
    <w:rsid w:val="00286402"/>
    <w:rsid w:val="002875C9"/>
    <w:rsid w:val="00287F57"/>
    <w:rsid w:val="0029004D"/>
    <w:rsid w:val="002902CD"/>
    <w:rsid w:val="0029074C"/>
    <w:rsid w:val="00291399"/>
    <w:rsid w:val="002916F5"/>
    <w:rsid w:val="002919B7"/>
    <w:rsid w:val="00292092"/>
    <w:rsid w:val="00293063"/>
    <w:rsid w:val="00293167"/>
    <w:rsid w:val="0029340B"/>
    <w:rsid w:val="002939B7"/>
    <w:rsid w:val="0029490E"/>
    <w:rsid w:val="00294E0F"/>
    <w:rsid w:val="00294EFF"/>
    <w:rsid w:val="002958C0"/>
    <w:rsid w:val="00296AC0"/>
    <w:rsid w:val="00296B21"/>
    <w:rsid w:val="00296C4C"/>
    <w:rsid w:val="00297129"/>
    <w:rsid w:val="002979C4"/>
    <w:rsid w:val="00297C6A"/>
    <w:rsid w:val="00297EE7"/>
    <w:rsid w:val="002A089C"/>
    <w:rsid w:val="002A13EF"/>
    <w:rsid w:val="002A2C4D"/>
    <w:rsid w:val="002A2CE3"/>
    <w:rsid w:val="002A3290"/>
    <w:rsid w:val="002A3514"/>
    <w:rsid w:val="002A3DDD"/>
    <w:rsid w:val="002A42FB"/>
    <w:rsid w:val="002A537B"/>
    <w:rsid w:val="002A5450"/>
    <w:rsid w:val="002A578F"/>
    <w:rsid w:val="002A5986"/>
    <w:rsid w:val="002A5A0E"/>
    <w:rsid w:val="002A5D5A"/>
    <w:rsid w:val="002A5E57"/>
    <w:rsid w:val="002A5E61"/>
    <w:rsid w:val="002A6258"/>
    <w:rsid w:val="002A63ED"/>
    <w:rsid w:val="002A64E0"/>
    <w:rsid w:val="002A67E2"/>
    <w:rsid w:val="002A7567"/>
    <w:rsid w:val="002B0990"/>
    <w:rsid w:val="002B1C31"/>
    <w:rsid w:val="002B2998"/>
    <w:rsid w:val="002B33B1"/>
    <w:rsid w:val="002B59D3"/>
    <w:rsid w:val="002B5EED"/>
    <w:rsid w:val="002B6397"/>
    <w:rsid w:val="002B644F"/>
    <w:rsid w:val="002B6D40"/>
    <w:rsid w:val="002B7A4E"/>
    <w:rsid w:val="002B8964"/>
    <w:rsid w:val="002C153A"/>
    <w:rsid w:val="002C1651"/>
    <w:rsid w:val="002C1E9B"/>
    <w:rsid w:val="002C273B"/>
    <w:rsid w:val="002C2D74"/>
    <w:rsid w:val="002C3579"/>
    <w:rsid w:val="002C507C"/>
    <w:rsid w:val="002C50CC"/>
    <w:rsid w:val="002C6137"/>
    <w:rsid w:val="002C74CC"/>
    <w:rsid w:val="002D0BD4"/>
    <w:rsid w:val="002D10EC"/>
    <w:rsid w:val="002D1356"/>
    <w:rsid w:val="002D1AD3"/>
    <w:rsid w:val="002D1D4E"/>
    <w:rsid w:val="002D22CA"/>
    <w:rsid w:val="002D2A4F"/>
    <w:rsid w:val="002D2D40"/>
    <w:rsid w:val="002D3133"/>
    <w:rsid w:val="002D326D"/>
    <w:rsid w:val="002D32DF"/>
    <w:rsid w:val="002D4DBA"/>
    <w:rsid w:val="002D53F8"/>
    <w:rsid w:val="002D5957"/>
    <w:rsid w:val="002D5A1A"/>
    <w:rsid w:val="002D5F68"/>
    <w:rsid w:val="002D62C3"/>
    <w:rsid w:val="002D65D4"/>
    <w:rsid w:val="002D6C72"/>
    <w:rsid w:val="002D70AE"/>
    <w:rsid w:val="002D710A"/>
    <w:rsid w:val="002D79AC"/>
    <w:rsid w:val="002D7C76"/>
    <w:rsid w:val="002D7EC6"/>
    <w:rsid w:val="002E0492"/>
    <w:rsid w:val="002E054F"/>
    <w:rsid w:val="002E067A"/>
    <w:rsid w:val="002E1E17"/>
    <w:rsid w:val="002E1F5B"/>
    <w:rsid w:val="002E285F"/>
    <w:rsid w:val="002E2E70"/>
    <w:rsid w:val="002E2FB7"/>
    <w:rsid w:val="002E3FD5"/>
    <w:rsid w:val="002E4067"/>
    <w:rsid w:val="002E4564"/>
    <w:rsid w:val="002E5824"/>
    <w:rsid w:val="002E5C8C"/>
    <w:rsid w:val="002E7683"/>
    <w:rsid w:val="002E7686"/>
    <w:rsid w:val="002E7833"/>
    <w:rsid w:val="002E789E"/>
    <w:rsid w:val="002E7FFB"/>
    <w:rsid w:val="002F0663"/>
    <w:rsid w:val="002F100B"/>
    <w:rsid w:val="002F1290"/>
    <w:rsid w:val="002F1EF2"/>
    <w:rsid w:val="002F2247"/>
    <w:rsid w:val="002F243A"/>
    <w:rsid w:val="002F25B3"/>
    <w:rsid w:val="002F2D1D"/>
    <w:rsid w:val="002F2E46"/>
    <w:rsid w:val="002F387E"/>
    <w:rsid w:val="002F415D"/>
    <w:rsid w:val="002F49B9"/>
    <w:rsid w:val="002F4A10"/>
    <w:rsid w:val="002F4B89"/>
    <w:rsid w:val="002F7E6C"/>
    <w:rsid w:val="003004DD"/>
    <w:rsid w:val="0030117F"/>
    <w:rsid w:val="00301833"/>
    <w:rsid w:val="00302EDB"/>
    <w:rsid w:val="00303102"/>
    <w:rsid w:val="003035D0"/>
    <w:rsid w:val="00303714"/>
    <w:rsid w:val="00303C0C"/>
    <w:rsid w:val="00303E30"/>
    <w:rsid w:val="00304DD9"/>
    <w:rsid w:val="0030599C"/>
    <w:rsid w:val="00306193"/>
    <w:rsid w:val="00306238"/>
    <w:rsid w:val="003066CC"/>
    <w:rsid w:val="003066DA"/>
    <w:rsid w:val="003069EB"/>
    <w:rsid w:val="00306F74"/>
    <w:rsid w:val="00307011"/>
    <w:rsid w:val="00310EA9"/>
    <w:rsid w:val="00311001"/>
    <w:rsid w:val="0031114A"/>
    <w:rsid w:val="00311167"/>
    <w:rsid w:val="003123B7"/>
    <w:rsid w:val="0031262F"/>
    <w:rsid w:val="00312A97"/>
    <w:rsid w:val="00314268"/>
    <w:rsid w:val="003152E6"/>
    <w:rsid w:val="00315435"/>
    <w:rsid w:val="003155F1"/>
    <w:rsid w:val="00315E74"/>
    <w:rsid w:val="00315F0E"/>
    <w:rsid w:val="00317B3A"/>
    <w:rsid w:val="00320BE2"/>
    <w:rsid w:val="003210D9"/>
    <w:rsid w:val="003217FF"/>
    <w:rsid w:val="00321B90"/>
    <w:rsid w:val="00321DCB"/>
    <w:rsid w:val="00321FA2"/>
    <w:rsid w:val="003220F6"/>
    <w:rsid w:val="00322AA6"/>
    <w:rsid w:val="00322B4A"/>
    <w:rsid w:val="00322EC5"/>
    <w:rsid w:val="00323AC3"/>
    <w:rsid w:val="0032400E"/>
    <w:rsid w:val="00324142"/>
    <w:rsid w:val="003241DC"/>
    <w:rsid w:val="00325118"/>
    <w:rsid w:val="00325413"/>
    <w:rsid w:val="00325D75"/>
    <w:rsid w:val="00326044"/>
    <w:rsid w:val="00326445"/>
    <w:rsid w:val="00327728"/>
    <w:rsid w:val="003277EE"/>
    <w:rsid w:val="00327849"/>
    <w:rsid w:val="00330908"/>
    <w:rsid w:val="00331111"/>
    <w:rsid w:val="00331415"/>
    <w:rsid w:val="003323C2"/>
    <w:rsid w:val="0033293E"/>
    <w:rsid w:val="0033347A"/>
    <w:rsid w:val="0033354F"/>
    <w:rsid w:val="00333B2E"/>
    <w:rsid w:val="00333D81"/>
    <w:rsid w:val="00334009"/>
    <w:rsid w:val="00335207"/>
    <w:rsid w:val="003354E2"/>
    <w:rsid w:val="00335969"/>
    <w:rsid w:val="0033646F"/>
    <w:rsid w:val="00340696"/>
    <w:rsid w:val="00340F79"/>
    <w:rsid w:val="00341597"/>
    <w:rsid w:val="00342079"/>
    <w:rsid w:val="003435C3"/>
    <w:rsid w:val="00343860"/>
    <w:rsid w:val="0034395A"/>
    <w:rsid w:val="00343B57"/>
    <w:rsid w:val="00343ED9"/>
    <w:rsid w:val="0034427C"/>
    <w:rsid w:val="00344553"/>
    <w:rsid w:val="00344960"/>
    <w:rsid w:val="00344C5B"/>
    <w:rsid w:val="00344D7E"/>
    <w:rsid w:val="00344F4C"/>
    <w:rsid w:val="00345168"/>
    <w:rsid w:val="003461A7"/>
    <w:rsid w:val="003466F7"/>
    <w:rsid w:val="00346FF6"/>
    <w:rsid w:val="0035014D"/>
    <w:rsid w:val="00350C08"/>
    <w:rsid w:val="00353255"/>
    <w:rsid w:val="003532A5"/>
    <w:rsid w:val="0035392B"/>
    <w:rsid w:val="00353CE9"/>
    <w:rsid w:val="003541C2"/>
    <w:rsid w:val="00354363"/>
    <w:rsid w:val="00354588"/>
    <w:rsid w:val="00354954"/>
    <w:rsid w:val="00354CB0"/>
    <w:rsid w:val="0035586F"/>
    <w:rsid w:val="00355C66"/>
    <w:rsid w:val="00356593"/>
    <w:rsid w:val="00356D25"/>
    <w:rsid w:val="0035719A"/>
    <w:rsid w:val="00360A0D"/>
    <w:rsid w:val="00360AA0"/>
    <w:rsid w:val="00360BA2"/>
    <w:rsid w:val="00360E03"/>
    <w:rsid w:val="00360ECF"/>
    <w:rsid w:val="00361C41"/>
    <w:rsid w:val="00361D68"/>
    <w:rsid w:val="00362008"/>
    <w:rsid w:val="00362036"/>
    <w:rsid w:val="0036247B"/>
    <w:rsid w:val="003632BB"/>
    <w:rsid w:val="0036350C"/>
    <w:rsid w:val="0036372A"/>
    <w:rsid w:val="003637D8"/>
    <w:rsid w:val="00363DFD"/>
    <w:rsid w:val="00363EDF"/>
    <w:rsid w:val="00363EFB"/>
    <w:rsid w:val="0036486D"/>
    <w:rsid w:val="003649BB"/>
    <w:rsid w:val="003658D8"/>
    <w:rsid w:val="00366896"/>
    <w:rsid w:val="003668B3"/>
    <w:rsid w:val="00367541"/>
    <w:rsid w:val="00367913"/>
    <w:rsid w:val="00370968"/>
    <w:rsid w:val="0037118F"/>
    <w:rsid w:val="0037168C"/>
    <w:rsid w:val="00372248"/>
    <w:rsid w:val="0037232E"/>
    <w:rsid w:val="00372437"/>
    <w:rsid w:val="0037323D"/>
    <w:rsid w:val="00373B42"/>
    <w:rsid w:val="0037444E"/>
    <w:rsid w:val="00374B94"/>
    <w:rsid w:val="003757DA"/>
    <w:rsid w:val="00375A6D"/>
    <w:rsid w:val="00375D24"/>
    <w:rsid w:val="00375DE1"/>
    <w:rsid w:val="00375F0B"/>
    <w:rsid w:val="00375FC7"/>
    <w:rsid w:val="003762B8"/>
    <w:rsid w:val="00376D4C"/>
    <w:rsid w:val="00376F2E"/>
    <w:rsid w:val="00377A75"/>
    <w:rsid w:val="003802D7"/>
    <w:rsid w:val="0038057F"/>
    <w:rsid w:val="00380BF1"/>
    <w:rsid w:val="00380F64"/>
    <w:rsid w:val="00381879"/>
    <w:rsid w:val="0038191C"/>
    <w:rsid w:val="00381B43"/>
    <w:rsid w:val="0038271A"/>
    <w:rsid w:val="00382C13"/>
    <w:rsid w:val="00382D36"/>
    <w:rsid w:val="00382ECF"/>
    <w:rsid w:val="00382F79"/>
    <w:rsid w:val="00382FDE"/>
    <w:rsid w:val="0038312B"/>
    <w:rsid w:val="003836A2"/>
    <w:rsid w:val="003846DE"/>
    <w:rsid w:val="00384AAF"/>
    <w:rsid w:val="00385B66"/>
    <w:rsid w:val="003864B4"/>
    <w:rsid w:val="003870DB"/>
    <w:rsid w:val="0038757E"/>
    <w:rsid w:val="003875E8"/>
    <w:rsid w:val="003877A9"/>
    <w:rsid w:val="00387C51"/>
    <w:rsid w:val="00387ECC"/>
    <w:rsid w:val="003909D0"/>
    <w:rsid w:val="003909D5"/>
    <w:rsid w:val="00391247"/>
    <w:rsid w:val="003914BE"/>
    <w:rsid w:val="0039272B"/>
    <w:rsid w:val="0039352F"/>
    <w:rsid w:val="00393C34"/>
    <w:rsid w:val="00395364"/>
    <w:rsid w:val="003959BA"/>
    <w:rsid w:val="00396377"/>
    <w:rsid w:val="0039665F"/>
    <w:rsid w:val="003969C6"/>
    <w:rsid w:val="0039718F"/>
    <w:rsid w:val="003972C6"/>
    <w:rsid w:val="00397CA8"/>
    <w:rsid w:val="003A225A"/>
    <w:rsid w:val="003A2789"/>
    <w:rsid w:val="003A35DB"/>
    <w:rsid w:val="003A3915"/>
    <w:rsid w:val="003A5491"/>
    <w:rsid w:val="003A6182"/>
    <w:rsid w:val="003A67E3"/>
    <w:rsid w:val="003A6C90"/>
    <w:rsid w:val="003B032C"/>
    <w:rsid w:val="003B0627"/>
    <w:rsid w:val="003B14BD"/>
    <w:rsid w:val="003B2108"/>
    <w:rsid w:val="003B29B2"/>
    <w:rsid w:val="003B2DFB"/>
    <w:rsid w:val="003B490D"/>
    <w:rsid w:val="003B4A10"/>
    <w:rsid w:val="003B5084"/>
    <w:rsid w:val="003B5528"/>
    <w:rsid w:val="003B562A"/>
    <w:rsid w:val="003B5B22"/>
    <w:rsid w:val="003B63A3"/>
    <w:rsid w:val="003B643D"/>
    <w:rsid w:val="003B685A"/>
    <w:rsid w:val="003B6B88"/>
    <w:rsid w:val="003B6E99"/>
    <w:rsid w:val="003B72B6"/>
    <w:rsid w:val="003B7937"/>
    <w:rsid w:val="003C0D0D"/>
    <w:rsid w:val="003C1228"/>
    <w:rsid w:val="003C1A16"/>
    <w:rsid w:val="003C1A5D"/>
    <w:rsid w:val="003C25CE"/>
    <w:rsid w:val="003C2863"/>
    <w:rsid w:val="003C2B98"/>
    <w:rsid w:val="003C2DB8"/>
    <w:rsid w:val="003C5A86"/>
    <w:rsid w:val="003C65B7"/>
    <w:rsid w:val="003C770F"/>
    <w:rsid w:val="003C7BE9"/>
    <w:rsid w:val="003D02CA"/>
    <w:rsid w:val="003D0CCC"/>
    <w:rsid w:val="003D12EC"/>
    <w:rsid w:val="003D1D15"/>
    <w:rsid w:val="003D1D30"/>
    <w:rsid w:val="003D1DB7"/>
    <w:rsid w:val="003D299F"/>
    <w:rsid w:val="003D3E3A"/>
    <w:rsid w:val="003D3F43"/>
    <w:rsid w:val="003D4AC2"/>
    <w:rsid w:val="003D50D3"/>
    <w:rsid w:val="003D54ED"/>
    <w:rsid w:val="003D56C4"/>
    <w:rsid w:val="003D66BC"/>
    <w:rsid w:val="003D6AB4"/>
    <w:rsid w:val="003E03B0"/>
    <w:rsid w:val="003E06AD"/>
    <w:rsid w:val="003E0E2B"/>
    <w:rsid w:val="003E12FE"/>
    <w:rsid w:val="003E151F"/>
    <w:rsid w:val="003E1C1E"/>
    <w:rsid w:val="003E1EE7"/>
    <w:rsid w:val="003E2489"/>
    <w:rsid w:val="003E257A"/>
    <w:rsid w:val="003E3BBC"/>
    <w:rsid w:val="003E3C5E"/>
    <w:rsid w:val="003E5650"/>
    <w:rsid w:val="003E640C"/>
    <w:rsid w:val="003E6A8D"/>
    <w:rsid w:val="003F13F9"/>
    <w:rsid w:val="003F16E5"/>
    <w:rsid w:val="003F1CED"/>
    <w:rsid w:val="003F2194"/>
    <w:rsid w:val="003F265E"/>
    <w:rsid w:val="003F37CB"/>
    <w:rsid w:val="003F381C"/>
    <w:rsid w:val="003F3A12"/>
    <w:rsid w:val="003F3FD1"/>
    <w:rsid w:val="003F4120"/>
    <w:rsid w:val="003F4387"/>
    <w:rsid w:val="003F43A6"/>
    <w:rsid w:val="003F47E6"/>
    <w:rsid w:val="003F4C09"/>
    <w:rsid w:val="003F4F04"/>
    <w:rsid w:val="003F51B0"/>
    <w:rsid w:val="003F5310"/>
    <w:rsid w:val="003F5D89"/>
    <w:rsid w:val="003F60C7"/>
    <w:rsid w:val="003F696A"/>
    <w:rsid w:val="003F7210"/>
    <w:rsid w:val="003F72A5"/>
    <w:rsid w:val="003F7701"/>
    <w:rsid w:val="003F7B7E"/>
    <w:rsid w:val="0040015B"/>
    <w:rsid w:val="004003B2"/>
    <w:rsid w:val="004004B6"/>
    <w:rsid w:val="004004B8"/>
    <w:rsid w:val="00400CD2"/>
    <w:rsid w:val="00401368"/>
    <w:rsid w:val="00402062"/>
    <w:rsid w:val="004024C0"/>
    <w:rsid w:val="00403258"/>
    <w:rsid w:val="00403DC2"/>
    <w:rsid w:val="0040583A"/>
    <w:rsid w:val="00405934"/>
    <w:rsid w:val="00405E7B"/>
    <w:rsid w:val="0040661D"/>
    <w:rsid w:val="00406890"/>
    <w:rsid w:val="004072E8"/>
    <w:rsid w:val="00407E7F"/>
    <w:rsid w:val="00407F82"/>
    <w:rsid w:val="0041067E"/>
    <w:rsid w:val="00410DE8"/>
    <w:rsid w:val="0041129C"/>
    <w:rsid w:val="00411BFD"/>
    <w:rsid w:val="004122D9"/>
    <w:rsid w:val="00412899"/>
    <w:rsid w:val="004138A5"/>
    <w:rsid w:val="00414B46"/>
    <w:rsid w:val="0041530A"/>
    <w:rsid w:val="00415555"/>
    <w:rsid w:val="00415868"/>
    <w:rsid w:val="00415BF8"/>
    <w:rsid w:val="00415F30"/>
    <w:rsid w:val="00416081"/>
    <w:rsid w:val="00416846"/>
    <w:rsid w:val="00416B6C"/>
    <w:rsid w:val="00416D30"/>
    <w:rsid w:val="0041799C"/>
    <w:rsid w:val="00417BB8"/>
    <w:rsid w:val="00417CD8"/>
    <w:rsid w:val="00420279"/>
    <w:rsid w:val="0042045E"/>
    <w:rsid w:val="0042245D"/>
    <w:rsid w:val="0042316B"/>
    <w:rsid w:val="00423651"/>
    <w:rsid w:val="004238B7"/>
    <w:rsid w:val="00424448"/>
    <w:rsid w:val="00424A8D"/>
    <w:rsid w:val="00424DA3"/>
    <w:rsid w:val="00425888"/>
    <w:rsid w:val="00425A0D"/>
    <w:rsid w:val="00425D9B"/>
    <w:rsid w:val="00426038"/>
    <w:rsid w:val="004262DF"/>
    <w:rsid w:val="00426ACC"/>
    <w:rsid w:val="00426E2E"/>
    <w:rsid w:val="004276DE"/>
    <w:rsid w:val="00430274"/>
    <w:rsid w:val="0043069D"/>
    <w:rsid w:val="0043168F"/>
    <w:rsid w:val="0043178F"/>
    <w:rsid w:val="00432754"/>
    <w:rsid w:val="00432FA5"/>
    <w:rsid w:val="0043302E"/>
    <w:rsid w:val="00433E93"/>
    <w:rsid w:val="0043592D"/>
    <w:rsid w:val="00435BEB"/>
    <w:rsid w:val="00436875"/>
    <w:rsid w:val="0043691C"/>
    <w:rsid w:val="00436E81"/>
    <w:rsid w:val="00437530"/>
    <w:rsid w:val="00437694"/>
    <w:rsid w:val="00440C52"/>
    <w:rsid w:val="00441668"/>
    <w:rsid w:val="00442090"/>
    <w:rsid w:val="00442984"/>
    <w:rsid w:val="004429FC"/>
    <w:rsid w:val="00442E21"/>
    <w:rsid w:val="00443066"/>
    <w:rsid w:val="00443C8A"/>
    <w:rsid w:val="00443C8E"/>
    <w:rsid w:val="00444748"/>
    <w:rsid w:val="004456FC"/>
    <w:rsid w:val="0044578B"/>
    <w:rsid w:val="00445B6C"/>
    <w:rsid w:val="00445FBC"/>
    <w:rsid w:val="004471F0"/>
    <w:rsid w:val="00447916"/>
    <w:rsid w:val="00447BA1"/>
    <w:rsid w:val="00450849"/>
    <w:rsid w:val="004509EB"/>
    <w:rsid w:val="00450E00"/>
    <w:rsid w:val="00451846"/>
    <w:rsid w:val="00451D66"/>
    <w:rsid w:val="00451FDF"/>
    <w:rsid w:val="00452001"/>
    <w:rsid w:val="00452196"/>
    <w:rsid w:val="004528CB"/>
    <w:rsid w:val="00452969"/>
    <w:rsid w:val="004529DB"/>
    <w:rsid w:val="00452E20"/>
    <w:rsid w:val="00452FBD"/>
    <w:rsid w:val="00452FD9"/>
    <w:rsid w:val="0045361D"/>
    <w:rsid w:val="00453AA6"/>
    <w:rsid w:val="00453B67"/>
    <w:rsid w:val="00454163"/>
    <w:rsid w:val="004557DA"/>
    <w:rsid w:val="00456CFB"/>
    <w:rsid w:val="0046055A"/>
    <w:rsid w:val="00462378"/>
    <w:rsid w:val="004625C6"/>
    <w:rsid w:val="004632DF"/>
    <w:rsid w:val="00463B95"/>
    <w:rsid w:val="004657F8"/>
    <w:rsid w:val="004659A5"/>
    <w:rsid w:val="00465BB6"/>
    <w:rsid w:val="00465E79"/>
    <w:rsid w:val="00466C60"/>
    <w:rsid w:val="00466D8E"/>
    <w:rsid w:val="00466F19"/>
    <w:rsid w:val="004674D4"/>
    <w:rsid w:val="00467C38"/>
    <w:rsid w:val="00470199"/>
    <w:rsid w:val="004709B4"/>
    <w:rsid w:val="00470A22"/>
    <w:rsid w:val="00470B44"/>
    <w:rsid w:val="00470D71"/>
    <w:rsid w:val="00473888"/>
    <w:rsid w:val="0047589A"/>
    <w:rsid w:val="00475CE7"/>
    <w:rsid w:val="00475E2E"/>
    <w:rsid w:val="00476531"/>
    <w:rsid w:val="0047654E"/>
    <w:rsid w:val="0047655F"/>
    <w:rsid w:val="00476609"/>
    <w:rsid w:val="004767BE"/>
    <w:rsid w:val="00477198"/>
    <w:rsid w:val="004772AE"/>
    <w:rsid w:val="004772F1"/>
    <w:rsid w:val="00477395"/>
    <w:rsid w:val="00477814"/>
    <w:rsid w:val="00477902"/>
    <w:rsid w:val="00477D2B"/>
    <w:rsid w:val="00480224"/>
    <w:rsid w:val="00480661"/>
    <w:rsid w:val="00481118"/>
    <w:rsid w:val="0048137B"/>
    <w:rsid w:val="00481825"/>
    <w:rsid w:val="00482D9B"/>
    <w:rsid w:val="00484330"/>
    <w:rsid w:val="00484537"/>
    <w:rsid w:val="00484AE1"/>
    <w:rsid w:val="00485950"/>
    <w:rsid w:val="00485F15"/>
    <w:rsid w:val="0048604E"/>
    <w:rsid w:val="00487056"/>
    <w:rsid w:val="00487D3B"/>
    <w:rsid w:val="004907F8"/>
    <w:rsid w:val="00490D40"/>
    <w:rsid w:val="0049114C"/>
    <w:rsid w:val="00491403"/>
    <w:rsid w:val="00492161"/>
    <w:rsid w:val="00492AA1"/>
    <w:rsid w:val="00493D05"/>
    <w:rsid w:val="00494856"/>
    <w:rsid w:val="0049552A"/>
    <w:rsid w:val="0049560B"/>
    <w:rsid w:val="00496286"/>
    <w:rsid w:val="004963D7"/>
    <w:rsid w:val="00496FD6"/>
    <w:rsid w:val="00497288"/>
    <w:rsid w:val="004972FA"/>
    <w:rsid w:val="00497791"/>
    <w:rsid w:val="00497981"/>
    <w:rsid w:val="00497A30"/>
    <w:rsid w:val="00497DCB"/>
    <w:rsid w:val="004A04E3"/>
    <w:rsid w:val="004A07CE"/>
    <w:rsid w:val="004A0BC8"/>
    <w:rsid w:val="004A12F0"/>
    <w:rsid w:val="004A1335"/>
    <w:rsid w:val="004A1385"/>
    <w:rsid w:val="004A1684"/>
    <w:rsid w:val="004A1711"/>
    <w:rsid w:val="004A18E3"/>
    <w:rsid w:val="004A1C00"/>
    <w:rsid w:val="004A217E"/>
    <w:rsid w:val="004A261D"/>
    <w:rsid w:val="004A2736"/>
    <w:rsid w:val="004A28A3"/>
    <w:rsid w:val="004A2BA6"/>
    <w:rsid w:val="004A33EA"/>
    <w:rsid w:val="004A461D"/>
    <w:rsid w:val="004A4CEE"/>
    <w:rsid w:val="004A56A8"/>
    <w:rsid w:val="004A6A0A"/>
    <w:rsid w:val="004A6AB7"/>
    <w:rsid w:val="004A6D04"/>
    <w:rsid w:val="004A6EE7"/>
    <w:rsid w:val="004A7519"/>
    <w:rsid w:val="004A7D3F"/>
    <w:rsid w:val="004B0420"/>
    <w:rsid w:val="004B0A37"/>
    <w:rsid w:val="004B0DEF"/>
    <w:rsid w:val="004B1A60"/>
    <w:rsid w:val="004B240A"/>
    <w:rsid w:val="004B3074"/>
    <w:rsid w:val="004B3C8F"/>
    <w:rsid w:val="004B3EEE"/>
    <w:rsid w:val="004B3F98"/>
    <w:rsid w:val="004B420C"/>
    <w:rsid w:val="004B4296"/>
    <w:rsid w:val="004B4929"/>
    <w:rsid w:val="004B544E"/>
    <w:rsid w:val="004B578D"/>
    <w:rsid w:val="004B5DDF"/>
    <w:rsid w:val="004B60D2"/>
    <w:rsid w:val="004B7584"/>
    <w:rsid w:val="004B7745"/>
    <w:rsid w:val="004C01AA"/>
    <w:rsid w:val="004C023F"/>
    <w:rsid w:val="004C03F4"/>
    <w:rsid w:val="004C08A6"/>
    <w:rsid w:val="004C0984"/>
    <w:rsid w:val="004C0A8B"/>
    <w:rsid w:val="004C1A90"/>
    <w:rsid w:val="004C316B"/>
    <w:rsid w:val="004C3B62"/>
    <w:rsid w:val="004C4596"/>
    <w:rsid w:val="004C4EBB"/>
    <w:rsid w:val="004C5FCA"/>
    <w:rsid w:val="004C61AC"/>
    <w:rsid w:val="004C6222"/>
    <w:rsid w:val="004C6288"/>
    <w:rsid w:val="004C66C3"/>
    <w:rsid w:val="004C680A"/>
    <w:rsid w:val="004C6D22"/>
    <w:rsid w:val="004C6E3C"/>
    <w:rsid w:val="004C792E"/>
    <w:rsid w:val="004D08CA"/>
    <w:rsid w:val="004D0AD9"/>
    <w:rsid w:val="004D1119"/>
    <w:rsid w:val="004D13E1"/>
    <w:rsid w:val="004D19AA"/>
    <w:rsid w:val="004D1DA2"/>
    <w:rsid w:val="004D1E12"/>
    <w:rsid w:val="004D2F91"/>
    <w:rsid w:val="004D3515"/>
    <w:rsid w:val="004D3E3D"/>
    <w:rsid w:val="004D47D4"/>
    <w:rsid w:val="004D492C"/>
    <w:rsid w:val="004D6E08"/>
    <w:rsid w:val="004D6EE3"/>
    <w:rsid w:val="004D726E"/>
    <w:rsid w:val="004D7A8D"/>
    <w:rsid w:val="004E05B7"/>
    <w:rsid w:val="004E18EC"/>
    <w:rsid w:val="004E1B59"/>
    <w:rsid w:val="004E35B4"/>
    <w:rsid w:val="004E3CA9"/>
    <w:rsid w:val="004E4C70"/>
    <w:rsid w:val="004E5607"/>
    <w:rsid w:val="004E6541"/>
    <w:rsid w:val="004E68B2"/>
    <w:rsid w:val="004E69E3"/>
    <w:rsid w:val="004E6C70"/>
    <w:rsid w:val="004E7209"/>
    <w:rsid w:val="004E7380"/>
    <w:rsid w:val="004E7899"/>
    <w:rsid w:val="004E7945"/>
    <w:rsid w:val="004F09BA"/>
    <w:rsid w:val="004F09E8"/>
    <w:rsid w:val="004F0A64"/>
    <w:rsid w:val="004F0D9A"/>
    <w:rsid w:val="004F0E12"/>
    <w:rsid w:val="004F11C1"/>
    <w:rsid w:val="004F16B7"/>
    <w:rsid w:val="004F1ACE"/>
    <w:rsid w:val="004F1C42"/>
    <w:rsid w:val="004F3632"/>
    <w:rsid w:val="004F40B6"/>
    <w:rsid w:val="004F44D6"/>
    <w:rsid w:val="004F4B73"/>
    <w:rsid w:val="004F4C94"/>
    <w:rsid w:val="004F4DAA"/>
    <w:rsid w:val="004F52EE"/>
    <w:rsid w:val="004F5329"/>
    <w:rsid w:val="004F54BB"/>
    <w:rsid w:val="004F54D6"/>
    <w:rsid w:val="004F5714"/>
    <w:rsid w:val="004F5832"/>
    <w:rsid w:val="004F5DFB"/>
    <w:rsid w:val="004F621B"/>
    <w:rsid w:val="004F6870"/>
    <w:rsid w:val="004F6FB3"/>
    <w:rsid w:val="004F79F8"/>
    <w:rsid w:val="004F7BB9"/>
    <w:rsid w:val="0050180F"/>
    <w:rsid w:val="005018EB"/>
    <w:rsid w:val="00502B31"/>
    <w:rsid w:val="00502DD5"/>
    <w:rsid w:val="005033D5"/>
    <w:rsid w:val="00503633"/>
    <w:rsid w:val="00503CE0"/>
    <w:rsid w:val="00505628"/>
    <w:rsid w:val="00506108"/>
    <w:rsid w:val="00507787"/>
    <w:rsid w:val="00510305"/>
    <w:rsid w:val="00510605"/>
    <w:rsid w:val="00511762"/>
    <w:rsid w:val="00511B32"/>
    <w:rsid w:val="0051288E"/>
    <w:rsid w:val="005131C5"/>
    <w:rsid w:val="00514C65"/>
    <w:rsid w:val="00514C67"/>
    <w:rsid w:val="005152D8"/>
    <w:rsid w:val="00515B86"/>
    <w:rsid w:val="00520307"/>
    <w:rsid w:val="00520D03"/>
    <w:rsid w:val="005215ED"/>
    <w:rsid w:val="00521C81"/>
    <w:rsid w:val="00521DD2"/>
    <w:rsid w:val="00521E36"/>
    <w:rsid w:val="00522845"/>
    <w:rsid w:val="00523AC1"/>
    <w:rsid w:val="00524249"/>
    <w:rsid w:val="005243C1"/>
    <w:rsid w:val="005246D9"/>
    <w:rsid w:val="005248DA"/>
    <w:rsid w:val="00524D2F"/>
    <w:rsid w:val="0052501F"/>
    <w:rsid w:val="005266A3"/>
    <w:rsid w:val="00527162"/>
    <w:rsid w:val="0052D174"/>
    <w:rsid w:val="00530547"/>
    <w:rsid w:val="00530637"/>
    <w:rsid w:val="00530D8E"/>
    <w:rsid w:val="00530E5F"/>
    <w:rsid w:val="00531472"/>
    <w:rsid w:val="00531642"/>
    <w:rsid w:val="00531849"/>
    <w:rsid w:val="0053260C"/>
    <w:rsid w:val="0053315B"/>
    <w:rsid w:val="005332E4"/>
    <w:rsid w:val="005342A4"/>
    <w:rsid w:val="0053480D"/>
    <w:rsid w:val="00534DC8"/>
    <w:rsid w:val="00535B00"/>
    <w:rsid w:val="00535C23"/>
    <w:rsid w:val="00535DF3"/>
    <w:rsid w:val="00536C49"/>
    <w:rsid w:val="005373C8"/>
    <w:rsid w:val="00537B32"/>
    <w:rsid w:val="00537CF9"/>
    <w:rsid w:val="00542C68"/>
    <w:rsid w:val="005430DA"/>
    <w:rsid w:val="00543248"/>
    <w:rsid w:val="005437CA"/>
    <w:rsid w:val="00543FFC"/>
    <w:rsid w:val="00545CBA"/>
    <w:rsid w:val="00546555"/>
    <w:rsid w:val="005466DF"/>
    <w:rsid w:val="005468DF"/>
    <w:rsid w:val="00547265"/>
    <w:rsid w:val="005509B9"/>
    <w:rsid w:val="005521D5"/>
    <w:rsid w:val="00552B3D"/>
    <w:rsid w:val="00553BCD"/>
    <w:rsid w:val="00553C01"/>
    <w:rsid w:val="00555C47"/>
    <w:rsid w:val="00555DD7"/>
    <w:rsid w:val="00556A89"/>
    <w:rsid w:val="005571A0"/>
    <w:rsid w:val="005574FE"/>
    <w:rsid w:val="00557B12"/>
    <w:rsid w:val="00560319"/>
    <w:rsid w:val="005607DB"/>
    <w:rsid w:val="00560C2A"/>
    <w:rsid w:val="005611E5"/>
    <w:rsid w:val="0056137C"/>
    <w:rsid w:val="005615E5"/>
    <w:rsid w:val="00562302"/>
    <w:rsid w:val="005625FA"/>
    <w:rsid w:val="00562648"/>
    <w:rsid w:val="0056293F"/>
    <w:rsid w:val="00562CED"/>
    <w:rsid w:val="005631CC"/>
    <w:rsid w:val="00563451"/>
    <w:rsid w:val="00563BF2"/>
    <w:rsid w:val="0056512F"/>
    <w:rsid w:val="005658CF"/>
    <w:rsid w:val="005658F0"/>
    <w:rsid w:val="005669A3"/>
    <w:rsid w:val="00567055"/>
    <w:rsid w:val="00567056"/>
    <w:rsid w:val="005675B0"/>
    <w:rsid w:val="005700FD"/>
    <w:rsid w:val="00570271"/>
    <w:rsid w:val="0057073D"/>
    <w:rsid w:val="00570CB3"/>
    <w:rsid w:val="005711A6"/>
    <w:rsid w:val="00571361"/>
    <w:rsid w:val="005715AE"/>
    <w:rsid w:val="005719D2"/>
    <w:rsid w:val="005727C0"/>
    <w:rsid w:val="00573120"/>
    <w:rsid w:val="00573234"/>
    <w:rsid w:val="00573769"/>
    <w:rsid w:val="005744ED"/>
    <w:rsid w:val="0057470B"/>
    <w:rsid w:val="00574EB4"/>
    <w:rsid w:val="00575932"/>
    <w:rsid w:val="00576C12"/>
    <w:rsid w:val="00576CEC"/>
    <w:rsid w:val="00577757"/>
    <w:rsid w:val="00577817"/>
    <w:rsid w:val="0058015B"/>
    <w:rsid w:val="00580831"/>
    <w:rsid w:val="00580B5B"/>
    <w:rsid w:val="00580CD0"/>
    <w:rsid w:val="00581185"/>
    <w:rsid w:val="00581228"/>
    <w:rsid w:val="00582259"/>
    <w:rsid w:val="00582458"/>
    <w:rsid w:val="00582C48"/>
    <w:rsid w:val="00582E05"/>
    <w:rsid w:val="00582E49"/>
    <w:rsid w:val="0058359F"/>
    <w:rsid w:val="00583BCA"/>
    <w:rsid w:val="00583F9F"/>
    <w:rsid w:val="0058445C"/>
    <w:rsid w:val="00584846"/>
    <w:rsid w:val="00584D4D"/>
    <w:rsid w:val="00584FED"/>
    <w:rsid w:val="00585354"/>
    <w:rsid w:val="0058541D"/>
    <w:rsid w:val="005854E4"/>
    <w:rsid w:val="0058550E"/>
    <w:rsid w:val="005855D1"/>
    <w:rsid w:val="00585BD1"/>
    <w:rsid w:val="00585E36"/>
    <w:rsid w:val="00585ECF"/>
    <w:rsid w:val="0058662D"/>
    <w:rsid w:val="00586740"/>
    <w:rsid w:val="00587B5D"/>
    <w:rsid w:val="00587F73"/>
    <w:rsid w:val="005905F8"/>
    <w:rsid w:val="0059123B"/>
    <w:rsid w:val="00591720"/>
    <w:rsid w:val="00591888"/>
    <w:rsid w:val="0059188D"/>
    <w:rsid w:val="005921B2"/>
    <w:rsid w:val="005924D4"/>
    <w:rsid w:val="00592D62"/>
    <w:rsid w:val="005939DF"/>
    <w:rsid w:val="00593EF6"/>
    <w:rsid w:val="00595190"/>
    <w:rsid w:val="005955F8"/>
    <w:rsid w:val="00595955"/>
    <w:rsid w:val="00595ACB"/>
    <w:rsid w:val="00596E66"/>
    <w:rsid w:val="00596ECC"/>
    <w:rsid w:val="005A09A9"/>
    <w:rsid w:val="005A0D21"/>
    <w:rsid w:val="005A16C5"/>
    <w:rsid w:val="005A1A0E"/>
    <w:rsid w:val="005A1AC6"/>
    <w:rsid w:val="005A2363"/>
    <w:rsid w:val="005A2810"/>
    <w:rsid w:val="005A28EE"/>
    <w:rsid w:val="005A298C"/>
    <w:rsid w:val="005A2DAF"/>
    <w:rsid w:val="005A32D7"/>
    <w:rsid w:val="005A33A3"/>
    <w:rsid w:val="005A5A5D"/>
    <w:rsid w:val="005A6209"/>
    <w:rsid w:val="005A6AEE"/>
    <w:rsid w:val="005A781F"/>
    <w:rsid w:val="005B07BE"/>
    <w:rsid w:val="005B0B38"/>
    <w:rsid w:val="005B0CB8"/>
    <w:rsid w:val="005B10D1"/>
    <w:rsid w:val="005B1C84"/>
    <w:rsid w:val="005B289C"/>
    <w:rsid w:val="005B2D7F"/>
    <w:rsid w:val="005B2FA1"/>
    <w:rsid w:val="005B474D"/>
    <w:rsid w:val="005B48E8"/>
    <w:rsid w:val="005B4C8C"/>
    <w:rsid w:val="005B4CD9"/>
    <w:rsid w:val="005B56F5"/>
    <w:rsid w:val="005B58AB"/>
    <w:rsid w:val="005B5A48"/>
    <w:rsid w:val="005B605B"/>
    <w:rsid w:val="005B6D79"/>
    <w:rsid w:val="005B7352"/>
    <w:rsid w:val="005B79B3"/>
    <w:rsid w:val="005B7D8C"/>
    <w:rsid w:val="005C0033"/>
    <w:rsid w:val="005C06E0"/>
    <w:rsid w:val="005C07F7"/>
    <w:rsid w:val="005C18EC"/>
    <w:rsid w:val="005C1A7E"/>
    <w:rsid w:val="005C1C05"/>
    <w:rsid w:val="005C2706"/>
    <w:rsid w:val="005C2916"/>
    <w:rsid w:val="005C2ACD"/>
    <w:rsid w:val="005C35D2"/>
    <w:rsid w:val="005C40A9"/>
    <w:rsid w:val="005C4946"/>
    <w:rsid w:val="005C5308"/>
    <w:rsid w:val="005C53EB"/>
    <w:rsid w:val="005C54E5"/>
    <w:rsid w:val="005C57C3"/>
    <w:rsid w:val="005C5CBD"/>
    <w:rsid w:val="005C660A"/>
    <w:rsid w:val="005C6757"/>
    <w:rsid w:val="005C6ECE"/>
    <w:rsid w:val="005C74AB"/>
    <w:rsid w:val="005C7538"/>
    <w:rsid w:val="005C7FF0"/>
    <w:rsid w:val="005D05FF"/>
    <w:rsid w:val="005D07BC"/>
    <w:rsid w:val="005D0851"/>
    <w:rsid w:val="005D2401"/>
    <w:rsid w:val="005D3695"/>
    <w:rsid w:val="005D3E90"/>
    <w:rsid w:val="005D4877"/>
    <w:rsid w:val="005D4C54"/>
    <w:rsid w:val="005D4DCE"/>
    <w:rsid w:val="005D5A39"/>
    <w:rsid w:val="005D5E35"/>
    <w:rsid w:val="005D5F69"/>
    <w:rsid w:val="005D68B9"/>
    <w:rsid w:val="005D6C60"/>
    <w:rsid w:val="005D76AF"/>
    <w:rsid w:val="005D79A9"/>
    <w:rsid w:val="005E07B6"/>
    <w:rsid w:val="005E0B95"/>
    <w:rsid w:val="005E0C4F"/>
    <w:rsid w:val="005E0D8C"/>
    <w:rsid w:val="005E19BF"/>
    <w:rsid w:val="005E1EBB"/>
    <w:rsid w:val="005E1EDD"/>
    <w:rsid w:val="005E1F06"/>
    <w:rsid w:val="005E29B5"/>
    <w:rsid w:val="005E2E7F"/>
    <w:rsid w:val="005E32B8"/>
    <w:rsid w:val="005E3C5C"/>
    <w:rsid w:val="005E4020"/>
    <w:rsid w:val="005E4088"/>
    <w:rsid w:val="005E4DB5"/>
    <w:rsid w:val="005E4E01"/>
    <w:rsid w:val="005E51DE"/>
    <w:rsid w:val="005E53AB"/>
    <w:rsid w:val="005E57DA"/>
    <w:rsid w:val="005E5A24"/>
    <w:rsid w:val="005E6E57"/>
    <w:rsid w:val="005E72E7"/>
    <w:rsid w:val="005E746E"/>
    <w:rsid w:val="005F039F"/>
    <w:rsid w:val="005F1654"/>
    <w:rsid w:val="005F1C6C"/>
    <w:rsid w:val="005F1DED"/>
    <w:rsid w:val="005F20D2"/>
    <w:rsid w:val="005F2559"/>
    <w:rsid w:val="005F2857"/>
    <w:rsid w:val="005F343D"/>
    <w:rsid w:val="005F4A24"/>
    <w:rsid w:val="005F4F99"/>
    <w:rsid w:val="005F507C"/>
    <w:rsid w:val="005F5469"/>
    <w:rsid w:val="005F5B60"/>
    <w:rsid w:val="005F5EF5"/>
    <w:rsid w:val="005F69BD"/>
    <w:rsid w:val="00600599"/>
    <w:rsid w:val="00600781"/>
    <w:rsid w:val="00600B67"/>
    <w:rsid w:val="00601566"/>
    <w:rsid w:val="00601838"/>
    <w:rsid w:val="006019F1"/>
    <w:rsid w:val="00601A0C"/>
    <w:rsid w:val="00601BB7"/>
    <w:rsid w:val="0060229C"/>
    <w:rsid w:val="006029F3"/>
    <w:rsid w:val="006036EF"/>
    <w:rsid w:val="00604DFB"/>
    <w:rsid w:val="00606242"/>
    <w:rsid w:val="006062CC"/>
    <w:rsid w:val="00606EB0"/>
    <w:rsid w:val="00607A63"/>
    <w:rsid w:val="00607C52"/>
    <w:rsid w:val="00607D0D"/>
    <w:rsid w:val="00610746"/>
    <w:rsid w:val="00610FBE"/>
    <w:rsid w:val="006115E8"/>
    <w:rsid w:val="006118BC"/>
    <w:rsid w:val="00611E6A"/>
    <w:rsid w:val="00612E2A"/>
    <w:rsid w:val="006155EF"/>
    <w:rsid w:val="00616978"/>
    <w:rsid w:val="00616F8E"/>
    <w:rsid w:val="00617189"/>
    <w:rsid w:val="0061747F"/>
    <w:rsid w:val="00617699"/>
    <w:rsid w:val="00617885"/>
    <w:rsid w:val="00617949"/>
    <w:rsid w:val="00617AB6"/>
    <w:rsid w:val="00620259"/>
    <w:rsid w:val="006203B9"/>
    <w:rsid w:val="006204E8"/>
    <w:rsid w:val="006207BE"/>
    <w:rsid w:val="0062436C"/>
    <w:rsid w:val="00624EB8"/>
    <w:rsid w:val="006256F8"/>
    <w:rsid w:val="00625C80"/>
    <w:rsid w:val="006272DF"/>
    <w:rsid w:val="0062750B"/>
    <w:rsid w:val="00627CFA"/>
    <w:rsid w:val="00627F77"/>
    <w:rsid w:val="0063038B"/>
    <w:rsid w:val="006309D7"/>
    <w:rsid w:val="00631196"/>
    <w:rsid w:val="00631403"/>
    <w:rsid w:val="00631FD8"/>
    <w:rsid w:val="0063204E"/>
    <w:rsid w:val="00632463"/>
    <w:rsid w:val="006324AA"/>
    <w:rsid w:val="00633055"/>
    <w:rsid w:val="0063334B"/>
    <w:rsid w:val="00633B43"/>
    <w:rsid w:val="00633B89"/>
    <w:rsid w:val="00633C2D"/>
    <w:rsid w:val="00634C46"/>
    <w:rsid w:val="00634DD8"/>
    <w:rsid w:val="0063513C"/>
    <w:rsid w:val="00635182"/>
    <w:rsid w:val="006358B8"/>
    <w:rsid w:val="00636298"/>
    <w:rsid w:val="006367A1"/>
    <w:rsid w:val="00636C45"/>
    <w:rsid w:val="00636CA4"/>
    <w:rsid w:val="00636FD0"/>
    <w:rsid w:val="00637063"/>
    <w:rsid w:val="00637140"/>
    <w:rsid w:val="0064136B"/>
    <w:rsid w:val="0064173E"/>
    <w:rsid w:val="00641741"/>
    <w:rsid w:val="00641905"/>
    <w:rsid w:val="006419B7"/>
    <w:rsid w:val="00641CAF"/>
    <w:rsid w:val="0064214C"/>
    <w:rsid w:val="00642396"/>
    <w:rsid w:val="00642A2E"/>
    <w:rsid w:val="00642BD5"/>
    <w:rsid w:val="00643298"/>
    <w:rsid w:val="0064376E"/>
    <w:rsid w:val="006437B9"/>
    <w:rsid w:val="00644325"/>
    <w:rsid w:val="00644BAF"/>
    <w:rsid w:val="00644BDC"/>
    <w:rsid w:val="00644D11"/>
    <w:rsid w:val="006465AF"/>
    <w:rsid w:val="0064681A"/>
    <w:rsid w:val="00646C1E"/>
    <w:rsid w:val="00646C90"/>
    <w:rsid w:val="00646E90"/>
    <w:rsid w:val="006472A0"/>
    <w:rsid w:val="006503BD"/>
    <w:rsid w:val="006504C9"/>
    <w:rsid w:val="006509E5"/>
    <w:rsid w:val="00650BBB"/>
    <w:rsid w:val="00650C83"/>
    <w:rsid w:val="00650FAE"/>
    <w:rsid w:val="00651E22"/>
    <w:rsid w:val="006520F9"/>
    <w:rsid w:val="006521F9"/>
    <w:rsid w:val="00652415"/>
    <w:rsid w:val="006525C5"/>
    <w:rsid w:val="006526A9"/>
    <w:rsid w:val="006528FE"/>
    <w:rsid w:val="00652B6B"/>
    <w:rsid w:val="0065378E"/>
    <w:rsid w:val="00653C46"/>
    <w:rsid w:val="00653ECD"/>
    <w:rsid w:val="006546FD"/>
    <w:rsid w:val="00655309"/>
    <w:rsid w:val="006558FA"/>
    <w:rsid w:val="00655A74"/>
    <w:rsid w:val="00655F24"/>
    <w:rsid w:val="00655FE7"/>
    <w:rsid w:val="0065695E"/>
    <w:rsid w:val="006572E2"/>
    <w:rsid w:val="0065765A"/>
    <w:rsid w:val="00657B33"/>
    <w:rsid w:val="0066042B"/>
    <w:rsid w:val="00660642"/>
    <w:rsid w:val="00661246"/>
    <w:rsid w:val="0066238D"/>
    <w:rsid w:val="00663B00"/>
    <w:rsid w:val="00663E53"/>
    <w:rsid w:val="00664B71"/>
    <w:rsid w:val="00664F11"/>
    <w:rsid w:val="006666A5"/>
    <w:rsid w:val="006666C6"/>
    <w:rsid w:val="00666BD1"/>
    <w:rsid w:val="00666D63"/>
    <w:rsid w:val="00666DF8"/>
    <w:rsid w:val="00666E3F"/>
    <w:rsid w:val="00666ED1"/>
    <w:rsid w:val="00670453"/>
    <w:rsid w:val="00670BDA"/>
    <w:rsid w:val="00670F33"/>
    <w:rsid w:val="0067180E"/>
    <w:rsid w:val="00672905"/>
    <w:rsid w:val="00672B94"/>
    <w:rsid w:val="00672E4C"/>
    <w:rsid w:val="00672EBB"/>
    <w:rsid w:val="00673027"/>
    <w:rsid w:val="00673125"/>
    <w:rsid w:val="006735AC"/>
    <w:rsid w:val="0067366B"/>
    <w:rsid w:val="00681183"/>
    <w:rsid w:val="0068138A"/>
    <w:rsid w:val="00681A0D"/>
    <w:rsid w:val="00681AD1"/>
    <w:rsid w:val="0068203F"/>
    <w:rsid w:val="00682B23"/>
    <w:rsid w:val="00684AFA"/>
    <w:rsid w:val="00686A6D"/>
    <w:rsid w:val="0068791F"/>
    <w:rsid w:val="00690BCB"/>
    <w:rsid w:val="00691110"/>
    <w:rsid w:val="00691397"/>
    <w:rsid w:val="00691409"/>
    <w:rsid w:val="006914AD"/>
    <w:rsid w:val="00691728"/>
    <w:rsid w:val="00692B3F"/>
    <w:rsid w:val="00692C5F"/>
    <w:rsid w:val="00693043"/>
    <w:rsid w:val="00693949"/>
    <w:rsid w:val="00693F1B"/>
    <w:rsid w:val="006942BC"/>
    <w:rsid w:val="00694CC4"/>
    <w:rsid w:val="00695BCE"/>
    <w:rsid w:val="006960CB"/>
    <w:rsid w:val="0069672C"/>
    <w:rsid w:val="006969A2"/>
    <w:rsid w:val="006969C1"/>
    <w:rsid w:val="00696AA6"/>
    <w:rsid w:val="00696EBE"/>
    <w:rsid w:val="00697483"/>
    <w:rsid w:val="00697616"/>
    <w:rsid w:val="00697A87"/>
    <w:rsid w:val="00697D94"/>
    <w:rsid w:val="006A140E"/>
    <w:rsid w:val="006A1848"/>
    <w:rsid w:val="006A1F09"/>
    <w:rsid w:val="006A25AB"/>
    <w:rsid w:val="006A262D"/>
    <w:rsid w:val="006A2AA5"/>
    <w:rsid w:val="006A2C1A"/>
    <w:rsid w:val="006A2CE5"/>
    <w:rsid w:val="006A310A"/>
    <w:rsid w:val="006A38D4"/>
    <w:rsid w:val="006A3F43"/>
    <w:rsid w:val="006A4521"/>
    <w:rsid w:val="006A4BC4"/>
    <w:rsid w:val="006A5303"/>
    <w:rsid w:val="006A5434"/>
    <w:rsid w:val="006A5C27"/>
    <w:rsid w:val="006A6704"/>
    <w:rsid w:val="006A67E2"/>
    <w:rsid w:val="006A6AE4"/>
    <w:rsid w:val="006A6B03"/>
    <w:rsid w:val="006A6E89"/>
    <w:rsid w:val="006A7B8A"/>
    <w:rsid w:val="006A7EAC"/>
    <w:rsid w:val="006A7EFF"/>
    <w:rsid w:val="006A7FB6"/>
    <w:rsid w:val="006B0118"/>
    <w:rsid w:val="006B1236"/>
    <w:rsid w:val="006B127E"/>
    <w:rsid w:val="006B1724"/>
    <w:rsid w:val="006B19B4"/>
    <w:rsid w:val="006B2813"/>
    <w:rsid w:val="006B2C89"/>
    <w:rsid w:val="006B3124"/>
    <w:rsid w:val="006B3337"/>
    <w:rsid w:val="006B52C6"/>
    <w:rsid w:val="006B5671"/>
    <w:rsid w:val="006B5911"/>
    <w:rsid w:val="006B5C50"/>
    <w:rsid w:val="006B5FAF"/>
    <w:rsid w:val="006B62B2"/>
    <w:rsid w:val="006B7399"/>
    <w:rsid w:val="006C12FE"/>
    <w:rsid w:val="006C17BC"/>
    <w:rsid w:val="006C27B8"/>
    <w:rsid w:val="006C2A43"/>
    <w:rsid w:val="006C2EDF"/>
    <w:rsid w:val="006C3BBA"/>
    <w:rsid w:val="006C3F6A"/>
    <w:rsid w:val="006C4E38"/>
    <w:rsid w:val="006C4F9A"/>
    <w:rsid w:val="006C5CC6"/>
    <w:rsid w:val="006C5DE6"/>
    <w:rsid w:val="006C6035"/>
    <w:rsid w:val="006C683E"/>
    <w:rsid w:val="006C6C27"/>
    <w:rsid w:val="006C71F9"/>
    <w:rsid w:val="006C7ADC"/>
    <w:rsid w:val="006D035D"/>
    <w:rsid w:val="006D05D5"/>
    <w:rsid w:val="006D075A"/>
    <w:rsid w:val="006D11C2"/>
    <w:rsid w:val="006D1300"/>
    <w:rsid w:val="006D17D4"/>
    <w:rsid w:val="006D3121"/>
    <w:rsid w:val="006D39CD"/>
    <w:rsid w:val="006D3FFA"/>
    <w:rsid w:val="006D416A"/>
    <w:rsid w:val="006D41EE"/>
    <w:rsid w:val="006D4386"/>
    <w:rsid w:val="006D48CE"/>
    <w:rsid w:val="006D4E34"/>
    <w:rsid w:val="006D52E7"/>
    <w:rsid w:val="006D52F3"/>
    <w:rsid w:val="006D621D"/>
    <w:rsid w:val="006D6767"/>
    <w:rsid w:val="006D6EE7"/>
    <w:rsid w:val="006D7C90"/>
    <w:rsid w:val="006E03B9"/>
    <w:rsid w:val="006E08B1"/>
    <w:rsid w:val="006E08D8"/>
    <w:rsid w:val="006E0BA2"/>
    <w:rsid w:val="006E0C28"/>
    <w:rsid w:val="006E1233"/>
    <w:rsid w:val="006E1649"/>
    <w:rsid w:val="006E16BE"/>
    <w:rsid w:val="006E1BC2"/>
    <w:rsid w:val="006E2063"/>
    <w:rsid w:val="006E252F"/>
    <w:rsid w:val="006E26F9"/>
    <w:rsid w:val="006E39BF"/>
    <w:rsid w:val="006E43F2"/>
    <w:rsid w:val="006E4808"/>
    <w:rsid w:val="006E4A77"/>
    <w:rsid w:val="006E5168"/>
    <w:rsid w:val="006E5557"/>
    <w:rsid w:val="006E573B"/>
    <w:rsid w:val="006E5755"/>
    <w:rsid w:val="006E62BA"/>
    <w:rsid w:val="006E62C0"/>
    <w:rsid w:val="006E6442"/>
    <w:rsid w:val="006E6511"/>
    <w:rsid w:val="006E6EF5"/>
    <w:rsid w:val="006E7931"/>
    <w:rsid w:val="006E7961"/>
    <w:rsid w:val="006E7CDA"/>
    <w:rsid w:val="006E7F33"/>
    <w:rsid w:val="006F0318"/>
    <w:rsid w:val="006F16BB"/>
    <w:rsid w:val="006F16FF"/>
    <w:rsid w:val="006F1E70"/>
    <w:rsid w:val="006F2501"/>
    <w:rsid w:val="006F264D"/>
    <w:rsid w:val="006F307C"/>
    <w:rsid w:val="006F33E0"/>
    <w:rsid w:val="006F4B07"/>
    <w:rsid w:val="006F4B1D"/>
    <w:rsid w:val="006F53BB"/>
    <w:rsid w:val="006F60EA"/>
    <w:rsid w:val="006F699E"/>
    <w:rsid w:val="006F6CBF"/>
    <w:rsid w:val="006F70A2"/>
    <w:rsid w:val="006F7780"/>
    <w:rsid w:val="00701D7B"/>
    <w:rsid w:val="00702EEB"/>
    <w:rsid w:val="0070324E"/>
    <w:rsid w:val="00703A23"/>
    <w:rsid w:val="00703ECC"/>
    <w:rsid w:val="00704101"/>
    <w:rsid w:val="007041CF"/>
    <w:rsid w:val="00704E0D"/>
    <w:rsid w:val="00705011"/>
    <w:rsid w:val="00706334"/>
    <w:rsid w:val="00706A27"/>
    <w:rsid w:val="00706B0A"/>
    <w:rsid w:val="00706FC3"/>
    <w:rsid w:val="007076D6"/>
    <w:rsid w:val="0070796E"/>
    <w:rsid w:val="00711528"/>
    <w:rsid w:val="00711858"/>
    <w:rsid w:val="00711875"/>
    <w:rsid w:val="00711BDA"/>
    <w:rsid w:val="00711C30"/>
    <w:rsid w:val="007122A8"/>
    <w:rsid w:val="00712619"/>
    <w:rsid w:val="00712D39"/>
    <w:rsid w:val="0071350A"/>
    <w:rsid w:val="00713799"/>
    <w:rsid w:val="00713FFE"/>
    <w:rsid w:val="00714874"/>
    <w:rsid w:val="00714AB8"/>
    <w:rsid w:val="00714C16"/>
    <w:rsid w:val="007150CE"/>
    <w:rsid w:val="0071542C"/>
    <w:rsid w:val="0071612E"/>
    <w:rsid w:val="007164A9"/>
    <w:rsid w:val="00716F07"/>
    <w:rsid w:val="00716F35"/>
    <w:rsid w:val="00717013"/>
    <w:rsid w:val="007175E5"/>
    <w:rsid w:val="00717836"/>
    <w:rsid w:val="00717BB7"/>
    <w:rsid w:val="00720232"/>
    <w:rsid w:val="0072029E"/>
    <w:rsid w:val="00721BEB"/>
    <w:rsid w:val="00722D0F"/>
    <w:rsid w:val="00723493"/>
    <w:rsid w:val="0072401D"/>
    <w:rsid w:val="00724143"/>
    <w:rsid w:val="0072482D"/>
    <w:rsid w:val="007252F7"/>
    <w:rsid w:val="007266E8"/>
    <w:rsid w:val="007268E9"/>
    <w:rsid w:val="00726E0B"/>
    <w:rsid w:val="0072786F"/>
    <w:rsid w:val="00730949"/>
    <w:rsid w:val="00730FDE"/>
    <w:rsid w:val="00731AC5"/>
    <w:rsid w:val="007322FE"/>
    <w:rsid w:val="00732904"/>
    <w:rsid w:val="00733304"/>
    <w:rsid w:val="007339B3"/>
    <w:rsid w:val="007339D7"/>
    <w:rsid w:val="0073568A"/>
    <w:rsid w:val="00735AE9"/>
    <w:rsid w:val="007361CC"/>
    <w:rsid w:val="00736315"/>
    <w:rsid w:val="007366F3"/>
    <w:rsid w:val="007370C2"/>
    <w:rsid w:val="00737329"/>
    <w:rsid w:val="007373C8"/>
    <w:rsid w:val="00737699"/>
    <w:rsid w:val="00737732"/>
    <w:rsid w:val="00737D5D"/>
    <w:rsid w:val="00740A63"/>
    <w:rsid w:val="00741A93"/>
    <w:rsid w:val="007421FC"/>
    <w:rsid w:val="00742585"/>
    <w:rsid w:val="00743258"/>
    <w:rsid w:val="00745C06"/>
    <w:rsid w:val="00745CF5"/>
    <w:rsid w:val="00746744"/>
    <w:rsid w:val="00747714"/>
    <w:rsid w:val="00747980"/>
    <w:rsid w:val="00747C83"/>
    <w:rsid w:val="00747E0A"/>
    <w:rsid w:val="007506B3"/>
    <w:rsid w:val="00753223"/>
    <w:rsid w:val="007535F0"/>
    <w:rsid w:val="0075382B"/>
    <w:rsid w:val="00754413"/>
    <w:rsid w:val="0075470A"/>
    <w:rsid w:val="00754D28"/>
    <w:rsid w:val="007562D6"/>
    <w:rsid w:val="007570D8"/>
    <w:rsid w:val="00757919"/>
    <w:rsid w:val="00760530"/>
    <w:rsid w:val="00760539"/>
    <w:rsid w:val="00760B2D"/>
    <w:rsid w:val="00762872"/>
    <w:rsid w:val="00762E7E"/>
    <w:rsid w:val="007635E4"/>
    <w:rsid w:val="00763865"/>
    <w:rsid w:val="00763DAD"/>
    <w:rsid w:val="0076490A"/>
    <w:rsid w:val="00765B01"/>
    <w:rsid w:val="007660EC"/>
    <w:rsid w:val="00766839"/>
    <w:rsid w:val="007669D8"/>
    <w:rsid w:val="00766A08"/>
    <w:rsid w:val="007679D2"/>
    <w:rsid w:val="00770852"/>
    <w:rsid w:val="00770963"/>
    <w:rsid w:val="00770B2D"/>
    <w:rsid w:val="00771450"/>
    <w:rsid w:val="00771591"/>
    <w:rsid w:val="007715E9"/>
    <w:rsid w:val="0077194A"/>
    <w:rsid w:val="00771AC5"/>
    <w:rsid w:val="00771B15"/>
    <w:rsid w:val="00772070"/>
    <w:rsid w:val="00773B9B"/>
    <w:rsid w:val="00773E92"/>
    <w:rsid w:val="0077579A"/>
    <w:rsid w:val="00776976"/>
    <w:rsid w:val="00776E3A"/>
    <w:rsid w:val="007774A1"/>
    <w:rsid w:val="0077772A"/>
    <w:rsid w:val="00780DD5"/>
    <w:rsid w:val="007820C5"/>
    <w:rsid w:val="0078248E"/>
    <w:rsid w:val="007826EA"/>
    <w:rsid w:val="00782906"/>
    <w:rsid w:val="00782D40"/>
    <w:rsid w:val="00782DB2"/>
    <w:rsid w:val="007833C9"/>
    <w:rsid w:val="00783B49"/>
    <w:rsid w:val="00784CDB"/>
    <w:rsid w:val="00785A72"/>
    <w:rsid w:val="00785AC9"/>
    <w:rsid w:val="00786404"/>
    <w:rsid w:val="007865C3"/>
    <w:rsid w:val="007865D8"/>
    <w:rsid w:val="00786C23"/>
    <w:rsid w:val="00786D07"/>
    <w:rsid w:val="00786FFA"/>
    <w:rsid w:val="007874C3"/>
    <w:rsid w:val="00787D2D"/>
    <w:rsid w:val="00787E88"/>
    <w:rsid w:val="00790014"/>
    <w:rsid w:val="0079019A"/>
    <w:rsid w:val="00790BF3"/>
    <w:rsid w:val="00790D92"/>
    <w:rsid w:val="007912A8"/>
    <w:rsid w:val="00791C2A"/>
    <w:rsid w:val="00792EAB"/>
    <w:rsid w:val="007937EB"/>
    <w:rsid w:val="00793A8F"/>
    <w:rsid w:val="00795042"/>
    <w:rsid w:val="00796151"/>
    <w:rsid w:val="007968B1"/>
    <w:rsid w:val="007A0395"/>
    <w:rsid w:val="007A0597"/>
    <w:rsid w:val="007A081C"/>
    <w:rsid w:val="007A0A19"/>
    <w:rsid w:val="007A11C0"/>
    <w:rsid w:val="007A156B"/>
    <w:rsid w:val="007A1E1D"/>
    <w:rsid w:val="007A2258"/>
    <w:rsid w:val="007A2433"/>
    <w:rsid w:val="007A2456"/>
    <w:rsid w:val="007A26C7"/>
    <w:rsid w:val="007A2ADB"/>
    <w:rsid w:val="007A3B92"/>
    <w:rsid w:val="007A42C3"/>
    <w:rsid w:val="007A4C15"/>
    <w:rsid w:val="007A4C49"/>
    <w:rsid w:val="007A5939"/>
    <w:rsid w:val="007A5C1B"/>
    <w:rsid w:val="007A5DEF"/>
    <w:rsid w:val="007A5F10"/>
    <w:rsid w:val="007A72E7"/>
    <w:rsid w:val="007A7811"/>
    <w:rsid w:val="007B14A1"/>
    <w:rsid w:val="007B202F"/>
    <w:rsid w:val="007B26A5"/>
    <w:rsid w:val="007B279F"/>
    <w:rsid w:val="007B2A3A"/>
    <w:rsid w:val="007B3551"/>
    <w:rsid w:val="007B3659"/>
    <w:rsid w:val="007B3F2E"/>
    <w:rsid w:val="007B436A"/>
    <w:rsid w:val="007B48A0"/>
    <w:rsid w:val="007B4FDE"/>
    <w:rsid w:val="007B6B55"/>
    <w:rsid w:val="007B6BA2"/>
    <w:rsid w:val="007B7225"/>
    <w:rsid w:val="007B72ED"/>
    <w:rsid w:val="007B7440"/>
    <w:rsid w:val="007B7A16"/>
    <w:rsid w:val="007B7CE5"/>
    <w:rsid w:val="007B7DCE"/>
    <w:rsid w:val="007C01B3"/>
    <w:rsid w:val="007C0A18"/>
    <w:rsid w:val="007C0C1C"/>
    <w:rsid w:val="007C0CD0"/>
    <w:rsid w:val="007C0F40"/>
    <w:rsid w:val="007C1D37"/>
    <w:rsid w:val="007C1E62"/>
    <w:rsid w:val="007C2541"/>
    <w:rsid w:val="007C26FE"/>
    <w:rsid w:val="007C3806"/>
    <w:rsid w:val="007C4EA8"/>
    <w:rsid w:val="007C4F74"/>
    <w:rsid w:val="007C5A34"/>
    <w:rsid w:val="007C5E87"/>
    <w:rsid w:val="007C622F"/>
    <w:rsid w:val="007C6DBA"/>
    <w:rsid w:val="007C77B1"/>
    <w:rsid w:val="007C7A2B"/>
    <w:rsid w:val="007C7A3F"/>
    <w:rsid w:val="007D07C6"/>
    <w:rsid w:val="007D08C5"/>
    <w:rsid w:val="007D0EFD"/>
    <w:rsid w:val="007D156E"/>
    <w:rsid w:val="007D17BD"/>
    <w:rsid w:val="007D1865"/>
    <w:rsid w:val="007D18BD"/>
    <w:rsid w:val="007D2B61"/>
    <w:rsid w:val="007D2D3E"/>
    <w:rsid w:val="007D337E"/>
    <w:rsid w:val="007D3B65"/>
    <w:rsid w:val="007D3D1C"/>
    <w:rsid w:val="007D4005"/>
    <w:rsid w:val="007D4DC1"/>
    <w:rsid w:val="007D5590"/>
    <w:rsid w:val="007D5596"/>
    <w:rsid w:val="007D5F2C"/>
    <w:rsid w:val="007D61DB"/>
    <w:rsid w:val="007D67CB"/>
    <w:rsid w:val="007D6886"/>
    <w:rsid w:val="007D6C6E"/>
    <w:rsid w:val="007D77D5"/>
    <w:rsid w:val="007D79C1"/>
    <w:rsid w:val="007D7EA1"/>
    <w:rsid w:val="007E0E28"/>
    <w:rsid w:val="007E0EEA"/>
    <w:rsid w:val="007E1A28"/>
    <w:rsid w:val="007E20B8"/>
    <w:rsid w:val="007E29EF"/>
    <w:rsid w:val="007E2BF5"/>
    <w:rsid w:val="007E2C43"/>
    <w:rsid w:val="007E2E87"/>
    <w:rsid w:val="007E3780"/>
    <w:rsid w:val="007E3819"/>
    <w:rsid w:val="007E3973"/>
    <w:rsid w:val="007E3CF2"/>
    <w:rsid w:val="007E4390"/>
    <w:rsid w:val="007E5225"/>
    <w:rsid w:val="007E55A6"/>
    <w:rsid w:val="007E6319"/>
    <w:rsid w:val="007E6669"/>
    <w:rsid w:val="007E755B"/>
    <w:rsid w:val="007F0C4A"/>
    <w:rsid w:val="007F0D52"/>
    <w:rsid w:val="007F0E5B"/>
    <w:rsid w:val="007F0EEA"/>
    <w:rsid w:val="007F1917"/>
    <w:rsid w:val="007F1DF2"/>
    <w:rsid w:val="007F2748"/>
    <w:rsid w:val="007F28F5"/>
    <w:rsid w:val="007F3032"/>
    <w:rsid w:val="007F34AC"/>
    <w:rsid w:val="007F38D3"/>
    <w:rsid w:val="007F3DC0"/>
    <w:rsid w:val="007F3EE0"/>
    <w:rsid w:val="007F4849"/>
    <w:rsid w:val="007F54E3"/>
    <w:rsid w:val="007F561A"/>
    <w:rsid w:val="007F653A"/>
    <w:rsid w:val="007F67A9"/>
    <w:rsid w:val="007F67D0"/>
    <w:rsid w:val="007F72DB"/>
    <w:rsid w:val="008003A8"/>
    <w:rsid w:val="00800441"/>
    <w:rsid w:val="008007D8"/>
    <w:rsid w:val="0080085E"/>
    <w:rsid w:val="00801665"/>
    <w:rsid w:val="00801ED1"/>
    <w:rsid w:val="0080243B"/>
    <w:rsid w:val="008027F1"/>
    <w:rsid w:val="00802C54"/>
    <w:rsid w:val="00802E32"/>
    <w:rsid w:val="00803034"/>
    <w:rsid w:val="00803ABF"/>
    <w:rsid w:val="008044DB"/>
    <w:rsid w:val="00804960"/>
    <w:rsid w:val="00804C88"/>
    <w:rsid w:val="0080559E"/>
    <w:rsid w:val="0080642B"/>
    <w:rsid w:val="0080645A"/>
    <w:rsid w:val="00806A01"/>
    <w:rsid w:val="00806B2A"/>
    <w:rsid w:val="008070D7"/>
    <w:rsid w:val="00807107"/>
    <w:rsid w:val="00807677"/>
    <w:rsid w:val="00807710"/>
    <w:rsid w:val="00810412"/>
    <w:rsid w:val="00810F1D"/>
    <w:rsid w:val="008112FC"/>
    <w:rsid w:val="0081179E"/>
    <w:rsid w:val="00811E59"/>
    <w:rsid w:val="00812723"/>
    <w:rsid w:val="00813D53"/>
    <w:rsid w:val="00814112"/>
    <w:rsid w:val="00814CF4"/>
    <w:rsid w:val="00814D14"/>
    <w:rsid w:val="008150F3"/>
    <w:rsid w:val="00815C91"/>
    <w:rsid w:val="00815D8C"/>
    <w:rsid w:val="008160B7"/>
    <w:rsid w:val="008161D7"/>
    <w:rsid w:val="00816B69"/>
    <w:rsid w:val="00820027"/>
    <w:rsid w:val="0082037F"/>
    <w:rsid w:val="00820C72"/>
    <w:rsid w:val="00823090"/>
    <w:rsid w:val="00823408"/>
    <w:rsid w:val="00823521"/>
    <w:rsid w:val="00823B2F"/>
    <w:rsid w:val="00823CE6"/>
    <w:rsid w:val="008243A3"/>
    <w:rsid w:val="00824A02"/>
    <w:rsid w:val="00825050"/>
    <w:rsid w:val="00825090"/>
    <w:rsid w:val="00825C2E"/>
    <w:rsid w:val="00825E8B"/>
    <w:rsid w:val="00826C84"/>
    <w:rsid w:val="00827B57"/>
    <w:rsid w:val="00830719"/>
    <w:rsid w:val="00830D2D"/>
    <w:rsid w:val="008313B9"/>
    <w:rsid w:val="008314AF"/>
    <w:rsid w:val="00831902"/>
    <w:rsid w:val="008320E7"/>
    <w:rsid w:val="008329DD"/>
    <w:rsid w:val="00832D72"/>
    <w:rsid w:val="00833348"/>
    <w:rsid w:val="00833996"/>
    <w:rsid w:val="00834502"/>
    <w:rsid w:val="00834852"/>
    <w:rsid w:val="008348C8"/>
    <w:rsid w:val="0083528C"/>
    <w:rsid w:val="00835C27"/>
    <w:rsid w:val="0083606F"/>
    <w:rsid w:val="008367B4"/>
    <w:rsid w:val="00836CD7"/>
    <w:rsid w:val="00837577"/>
    <w:rsid w:val="00840495"/>
    <w:rsid w:val="0084084B"/>
    <w:rsid w:val="00840BC9"/>
    <w:rsid w:val="00841682"/>
    <w:rsid w:val="00841A60"/>
    <w:rsid w:val="00842A45"/>
    <w:rsid w:val="00842D50"/>
    <w:rsid w:val="00843BBA"/>
    <w:rsid w:val="00843E3D"/>
    <w:rsid w:val="00843E3F"/>
    <w:rsid w:val="0084473F"/>
    <w:rsid w:val="00844C05"/>
    <w:rsid w:val="00844D83"/>
    <w:rsid w:val="008450B5"/>
    <w:rsid w:val="00845857"/>
    <w:rsid w:val="008458C7"/>
    <w:rsid w:val="00846D55"/>
    <w:rsid w:val="008474BE"/>
    <w:rsid w:val="008475EE"/>
    <w:rsid w:val="00847A27"/>
    <w:rsid w:val="00847EC3"/>
    <w:rsid w:val="0085282C"/>
    <w:rsid w:val="00853851"/>
    <w:rsid w:val="00853A98"/>
    <w:rsid w:val="008541A5"/>
    <w:rsid w:val="0085470C"/>
    <w:rsid w:val="0085481D"/>
    <w:rsid w:val="00855038"/>
    <w:rsid w:val="008557DD"/>
    <w:rsid w:val="00855C8D"/>
    <w:rsid w:val="008564DB"/>
    <w:rsid w:val="008568D2"/>
    <w:rsid w:val="00857F3F"/>
    <w:rsid w:val="008602DF"/>
    <w:rsid w:val="00860709"/>
    <w:rsid w:val="008609CF"/>
    <w:rsid w:val="00860BB3"/>
    <w:rsid w:val="00860E6F"/>
    <w:rsid w:val="008613C2"/>
    <w:rsid w:val="00861918"/>
    <w:rsid w:val="008622D0"/>
    <w:rsid w:val="00862422"/>
    <w:rsid w:val="00863541"/>
    <w:rsid w:val="00864850"/>
    <w:rsid w:val="008668CB"/>
    <w:rsid w:val="008700C9"/>
    <w:rsid w:val="00870A5F"/>
    <w:rsid w:val="008712E1"/>
    <w:rsid w:val="00871598"/>
    <w:rsid w:val="008721BA"/>
    <w:rsid w:val="00872D2D"/>
    <w:rsid w:val="00873147"/>
    <w:rsid w:val="008735E0"/>
    <w:rsid w:val="008741CE"/>
    <w:rsid w:val="00874351"/>
    <w:rsid w:val="008743F5"/>
    <w:rsid w:val="0087608B"/>
    <w:rsid w:val="00876D5D"/>
    <w:rsid w:val="00877681"/>
    <w:rsid w:val="00877968"/>
    <w:rsid w:val="0087797B"/>
    <w:rsid w:val="00877AF3"/>
    <w:rsid w:val="00880147"/>
    <w:rsid w:val="00880522"/>
    <w:rsid w:val="00880C43"/>
    <w:rsid w:val="008815E9"/>
    <w:rsid w:val="00882093"/>
    <w:rsid w:val="00882746"/>
    <w:rsid w:val="00883A66"/>
    <w:rsid w:val="0088424B"/>
    <w:rsid w:val="00884857"/>
    <w:rsid w:val="00884955"/>
    <w:rsid w:val="00884CCF"/>
    <w:rsid w:val="0088521A"/>
    <w:rsid w:val="0088626E"/>
    <w:rsid w:val="0088683F"/>
    <w:rsid w:val="0088778F"/>
    <w:rsid w:val="0089009D"/>
    <w:rsid w:val="008901AB"/>
    <w:rsid w:val="0089060B"/>
    <w:rsid w:val="00891078"/>
    <w:rsid w:val="008910CC"/>
    <w:rsid w:val="00892FED"/>
    <w:rsid w:val="008941F0"/>
    <w:rsid w:val="008956E0"/>
    <w:rsid w:val="00895E4B"/>
    <w:rsid w:val="008966C9"/>
    <w:rsid w:val="008966DD"/>
    <w:rsid w:val="0089680F"/>
    <w:rsid w:val="00897099"/>
    <w:rsid w:val="00897761"/>
    <w:rsid w:val="0089780C"/>
    <w:rsid w:val="00897BBA"/>
    <w:rsid w:val="00897E88"/>
    <w:rsid w:val="008A120E"/>
    <w:rsid w:val="008A1C38"/>
    <w:rsid w:val="008A1EEE"/>
    <w:rsid w:val="008A1FB8"/>
    <w:rsid w:val="008A20E5"/>
    <w:rsid w:val="008A2FEB"/>
    <w:rsid w:val="008A3092"/>
    <w:rsid w:val="008A32DE"/>
    <w:rsid w:val="008A4238"/>
    <w:rsid w:val="008A4241"/>
    <w:rsid w:val="008A4C75"/>
    <w:rsid w:val="008A5442"/>
    <w:rsid w:val="008A5B61"/>
    <w:rsid w:val="008A6035"/>
    <w:rsid w:val="008A6FF1"/>
    <w:rsid w:val="008A70F3"/>
    <w:rsid w:val="008A7FA4"/>
    <w:rsid w:val="008AABF5"/>
    <w:rsid w:val="008B12D2"/>
    <w:rsid w:val="008B15BB"/>
    <w:rsid w:val="008B21D2"/>
    <w:rsid w:val="008B271F"/>
    <w:rsid w:val="008B2763"/>
    <w:rsid w:val="008B2CE9"/>
    <w:rsid w:val="008B4966"/>
    <w:rsid w:val="008B4B0A"/>
    <w:rsid w:val="008B4FDF"/>
    <w:rsid w:val="008B5115"/>
    <w:rsid w:val="008B5DB5"/>
    <w:rsid w:val="008B636A"/>
    <w:rsid w:val="008B65B5"/>
    <w:rsid w:val="008B6C6A"/>
    <w:rsid w:val="008B70CA"/>
    <w:rsid w:val="008B7B07"/>
    <w:rsid w:val="008B7E94"/>
    <w:rsid w:val="008C0404"/>
    <w:rsid w:val="008C0988"/>
    <w:rsid w:val="008C181D"/>
    <w:rsid w:val="008C29F9"/>
    <w:rsid w:val="008C4297"/>
    <w:rsid w:val="008C4E21"/>
    <w:rsid w:val="008C4FF1"/>
    <w:rsid w:val="008C529E"/>
    <w:rsid w:val="008C683F"/>
    <w:rsid w:val="008C6CA8"/>
    <w:rsid w:val="008C6D23"/>
    <w:rsid w:val="008C7348"/>
    <w:rsid w:val="008C76EB"/>
    <w:rsid w:val="008C79B8"/>
    <w:rsid w:val="008C7D03"/>
    <w:rsid w:val="008D00E8"/>
    <w:rsid w:val="008D0B13"/>
    <w:rsid w:val="008D0BE7"/>
    <w:rsid w:val="008D11C5"/>
    <w:rsid w:val="008D225B"/>
    <w:rsid w:val="008D23BB"/>
    <w:rsid w:val="008D24AF"/>
    <w:rsid w:val="008D2CA0"/>
    <w:rsid w:val="008D3662"/>
    <w:rsid w:val="008D392D"/>
    <w:rsid w:val="008D3964"/>
    <w:rsid w:val="008D3E39"/>
    <w:rsid w:val="008D3F08"/>
    <w:rsid w:val="008D46C0"/>
    <w:rsid w:val="008D4B74"/>
    <w:rsid w:val="008D5CCE"/>
    <w:rsid w:val="008D6BC6"/>
    <w:rsid w:val="008D751D"/>
    <w:rsid w:val="008D77EF"/>
    <w:rsid w:val="008E0698"/>
    <w:rsid w:val="008E0913"/>
    <w:rsid w:val="008E09F5"/>
    <w:rsid w:val="008E1D2F"/>
    <w:rsid w:val="008E2315"/>
    <w:rsid w:val="008E23AE"/>
    <w:rsid w:val="008E26D9"/>
    <w:rsid w:val="008E31DA"/>
    <w:rsid w:val="008E37A3"/>
    <w:rsid w:val="008E4C89"/>
    <w:rsid w:val="008E4CC2"/>
    <w:rsid w:val="008E4EED"/>
    <w:rsid w:val="008E5073"/>
    <w:rsid w:val="008E5159"/>
    <w:rsid w:val="008E5653"/>
    <w:rsid w:val="008E61CE"/>
    <w:rsid w:val="008E6775"/>
    <w:rsid w:val="008E725A"/>
    <w:rsid w:val="008E73DE"/>
    <w:rsid w:val="008E7603"/>
    <w:rsid w:val="008E769B"/>
    <w:rsid w:val="008E785F"/>
    <w:rsid w:val="008E7D14"/>
    <w:rsid w:val="008E7D46"/>
    <w:rsid w:val="008F0189"/>
    <w:rsid w:val="008F07CD"/>
    <w:rsid w:val="008F0AEE"/>
    <w:rsid w:val="008F0B52"/>
    <w:rsid w:val="008F1151"/>
    <w:rsid w:val="008F1483"/>
    <w:rsid w:val="008F2349"/>
    <w:rsid w:val="008F2E26"/>
    <w:rsid w:val="008F3008"/>
    <w:rsid w:val="008F35E9"/>
    <w:rsid w:val="008F4FCB"/>
    <w:rsid w:val="008F5080"/>
    <w:rsid w:val="008F6083"/>
    <w:rsid w:val="008F62C2"/>
    <w:rsid w:val="008F6480"/>
    <w:rsid w:val="008F6876"/>
    <w:rsid w:val="008F6A87"/>
    <w:rsid w:val="0090093C"/>
    <w:rsid w:val="00900CCD"/>
    <w:rsid w:val="00900EDD"/>
    <w:rsid w:val="009011EB"/>
    <w:rsid w:val="00901385"/>
    <w:rsid w:val="009016C1"/>
    <w:rsid w:val="00902C2E"/>
    <w:rsid w:val="009036DB"/>
    <w:rsid w:val="009041FD"/>
    <w:rsid w:val="00905532"/>
    <w:rsid w:val="009063F7"/>
    <w:rsid w:val="009074EF"/>
    <w:rsid w:val="00907B8E"/>
    <w:rsid w:val="00907F7E"/>
    <w:rsid w:val="00910194"/>
    <w:rsid w:val="009101F8"/>
    <w:rsid w:val="00911198"/>
    <w:rsid w:val="00911359"/>
    <w:rsid w:val="009117E9"/>
    <w:rsid w:val="00911FD0"/>
    <w:rsid w:val="009122E8"/>
    <w:rsid w:val="00912483"/>
    <w:rsid w:val="0091260F"/>
    <w:rsid w:val="00912750"/>
    <w:rsid w:val="00912B99"/>
    <w:rsid w:val="00913106"/>
    <w:rsid w:val="009131F1"/>
    <w:rsid w:val="009133C7"/>
    <w:rsid w:val="0091345F"/>
    <w:rsid w:val="00913843"/>
    <w:rsid w:val="0091397C"/>
    <w:rsid w:val="00914066"/>
    <w:rsid w:val="0091437B"/>
    <w:rsid w:val="0091440C"/>
    <w:rsid w:val="0091477E"/>
    <w:rsid w:val="00914DA0"/>
    <w:rsid w:val="009151E4"/>
    <w:rsid w:val="0091560A"/>
    <w:rsid w:val="00915AFE"/>
    <w:rsid w:val="00916335"/>
    <w:rsid w:val="00917206"/>
    <w:rsid w:val="0091734E"/>
    <w:rsid w:val="009178F4"/>
    <w:rsid w:val="00921834"/>
    <w:rsid w:val="00921FD6"/>
    <w:rsid w:val="009225DC"/>
    <w:rsid w:val="00923755"/>
    <w:rsid w:val="00923E34"/>
    <w:rsid w:val="00923EB0"/>
    <w:rsid w:val="00923F31"/>
    <w:rsid w:val="0092401E"/>
    <w:rsid w:val="0092560E"/>
    <w:rsid w:val="009257FE"/>
    <w:rsid w:val="00925A8E"/>
    <w:rsid w:val="00925BA9"/>
    <w:rsid w:val="00925C36"/>
    <w:rsid w:val="00925D60"/>
    <w:rsid w:val="009261F5"/>
    <w:rsid w:val="00926211"/>
    <w:rsid w:val="009267F1"/>
    <w:rsid w:val="00927253"/>
    <w:rsid w:val="00930D1F"/>
    <w:rsid w:val="00931392"/>
    <w:rsid w:val="009318A0"/>
    <w:rsid w:val="0093197F"/>
    <w:rsid w:val="009323FF"/>
    <w:rsid w:val="0093271C"/>
    <w:rsid w:val="009327AF"/>
    <w:rsid w:val="00932FEE"/>
    <w:rsid w:val="00933872"/>
    <w:rsid w:val="009338B3"/>
    <w:rsid w:val="009345DE"/>
    <w:rsid w:val="00934A06"/>
    <w:rsid w:val="00935ABC"/>
    <w:rsid w:val="00936EF3"/>
    <w:rsid w:val="00936F91"/>
    <w:rsid w:val="0093762E"/>
    <w:rsid w:val="009377D9"/>
    <w:rsid w:val="009379C0"/>
    <w:rsid w:val="00937B01"/>
    <w:rsid w:val="00940295"/>
    <w:rsid w:val="00940348"/>
    <w:rsid w:val="009405D7"/>
    <w:rsid w:val="00940B53"/>
    <w:rsid w:val="0094135E"/>
    <w:rsid w:val="009415C6"/>
    <w:rsid w:val="00943D4D"/>
    <w:rsid w:val="0094482F"/>
    <w:rsid w:val="00944D40"/>
    <w:rsid w:val="0094687D"/>
    <w:rsid w:val="00946994"/>
    <w:rsid w:val="0094731D"/>
    <w:rsid w:val="00947381"/>
    <w:rsid w:val="009475C6"/>
    <w:rsid w:val="0094782C"/>
    <w:rsid w:val="00947D62"/>
    <w:rsid w:val="00947E8E"/>
    <w:rsid w:val="0095027E"/>
    <w:rsid w:val="00950477"/>
    <w:rsid w:val="009507A4"/>
    <w:rsid w:val="00951653"/>
    <w:rsid w:val="0095169A"/>
    <w:rsid w:val="009519AC"/>
    <w:rsid w:val="00951D33"/>
    <w:rsid w:val="00951EE3"/>
    <w:rsid w:val="00951FFB"/>
    <w:rsid w:val="00953246"/>
    <w:rsid w:val="009537B1"/>
    <w:rsid w:val="00953802"/>
    <w:rsid w:val="00953B34"/>
    <w:rsid w:val="0095564D"/>
    <w:rsid w:val="009566E4"/>
    <w:rsid w:val="00956839"/>
    <w:rsid w:val="00957078"/>
    <w:rsid w:val="00960233"/>
    <w:rsid w:val="0096031D"/>
    <w:rsid w:val="0096034B"/>
    <w:rsid w:val="00960B16"/>
    <w:rsid w:val="009610EF"/>
    <w:rsid w:val="00961C4D"/>
    <w:rsid w:val="00962BA9"/>
    <w:rsid w:val="00962D83"/>
    <w:rsid w:val="009639E6"/>
    <w:rsid w:val="00964B52"/>
    <w:rsid w:val="00965862"/>
    <w:rsid w:val="00965BBE"/>
    <w:rsid w:val="00965EC6"/>
    <w:rsid w:val="0096677C"/>
    <w:rsid w:val="009667B8"/>
    <w:rsid w:val="0096748C"/>
    <w:rsid w:val="009674B6"/>
    <w:rsid w:val="0096750D"/>
    <w:rsid w:val="00967850"/>
    <w:rsid w:val="00971E35"/>
    <w:rsid w:val="00972511"/>
    <w:rsid w:val="00972606"/>
    <w:rsid w:val="00973C9B"/>
    <w:rsid w:val="0097458F"/>
    <w:rsid w:val="00974F78"/>
    <w:rsid w:val="009752F5"/>
    <w:rsid w:val="00975B65"/>
    <w:rsid w:val="00976130"/>
    <w:rsid w:val="00976C4D"/>
    <w:rsid w:val="00976DC9"/>
    <w:rsid w:val="0097718A"/>
    <w:rsid w:val="009776EE"/>
    <w:rsid w:val="00977877"/>
    <w:rsid w:val="00977995"/>
    <w:rsid w:val="009779C7"/>
    <w:rsid w:val="00977D9F"/>
    <w:rsid w:val="0098014E"/>
    <w:rsid w:val="00981F13"/>
    <w:rsid w:val="00982EC2"/>
    <w:rsid w:val="00983A22"/>
    <w:rsid w:val="00983FB3"/>
    <w:rsid w:val="0098471F"/>
    <w:rsid w:val="00984EF7"/>
    <w:rsid w:val="00985BA8"/>
    <w:rsid w:val="009860CE"/>
    <w:rsid w:val="009865C2"/>
    <w:rsid w:val="00986BAF"/>
    <w:rsid w:val="00987833"/>
    <w:rsid w:val="009878CE"/>
    <w:rsid w:val="0099096A"/>
    <w:rsid w:val="00990C7F"/>
    <w:rsid w:val="009913B5"/>
    <w:rsid w:val="00991702"/>
    <w:rsid w:val="00991D00"/>
    <w:rsid w:val="00992071"/>
    <w:rsid w:val="00992859"/>
    <w:rsid w:val="00992F3D"/>
    <w:rsid w:val="0099385D"/>
    <w:rsid w:val="00993C16"/>
    <w:rsid w:val="00993C30"/>
    <w:rsid w:val="0099595B"/>
    <w:rsid w:val="00996DE5"/>
    <w:rsid w:val="009974AF"/>
    <w:rsid w:val="009A12AF"/>
    <w:rsid w:val="009A278C"/>
    <w:rsid w:val="009A2A05"/>
    <w:rsid w:val="009A2B10"/>
    <w:rsid w:val="009A3816"/>
    <w:rsid w:val="009A3977"/>
    <w:rsid w:val="009A3FF0"/>
    <w:rsid w:val="009A437C"/>
    <w:rsid w:val="009A47D4"/>
    <w:rsid w:val="009A4970"/>
    <w:rsid w:val="009A4F8E"/>
    <w:rsid w:val="009A528D"/>
    <w:rsid w:val="009A5C78"/>
    <w:rsid w:val="009A5FC6"/>
    <w:rsid w:val="009A5FCE"/>
    <w:rsid w:val="009A605B"/>
    <w:rsid w:val="009A61DB"/>
    <w:rsid w:val="009A6508"/>
    <w:rsid w:val="009A6515"/>
    <w:rsid w:val="009A683C"/>
    <w:rsid w:val="009A6C71"/>
    <w:rsid w:val="009B1C83"/>
    <w:rsid w:val="009B299B"/>
    <w:rsid w:val="009B3C19"/>
    <w:rsid w:val="009B4286"/>
    <w:rsid w:val="009B46DC"/>
    <w:rsid w:val="009B473D"/>
    <w:rsid w:val="009B4778"/>
    <w:rsid w:val="009B4C8C"/>
    <w:rsid w:val="009B4E5B"/>
    <w:rsid w:val="009B51F3"/>
    <w:rsid w:val="009B62DE"/>
    <w:rsid w:val="009B6B23"/>
    <w:rsid w:val="009B6C96"/>
    <w:rsid w:val="009B6CB9"/>
    <w:rsid w:val="009B6E89"/>
    <w:rsid w:val="009B73AE"/>
    <w:rsid w:val="009B7D0B"/>
    <w:rsid w:val="009C055A"/>
    <w:rsid w:val="009C0CF7"/>
    <w:rsid w:val="009C0D00"/>
    <w:rsid w:val="009C0D59"/>
    <w:rsid w:val="009C0E28"/>
    <w:rsid w:val="009C0F3A"/>
    <w:rsid w:val="009C1F91"/>
    <w:rsid w:val="009C2FBB"/>
    <w:rsid w:val="009C375E"/>
    <w:rsid w:val="009C3A58"/>
    <w:rsid w:val="009C3C46"/>
    <w:rsid w:val="009C3FF1"/>
    <w:rsid w:val="009C4212"/>
    <w:rsid w:val="009C53E9"/>
    <w:rsid w:val="009C59BF"/>
    <w:rsid w:val="009C6D09"/>
    <w:rsid w:val="009D0166"/>
    <w:rsid w:val="009D01AE"/>
    <w:rsid w:val="009D0714"/>
    <w:rsid w:val="009D1C54"/>
    <w:rsid w:val="009D25BF"/>
    <w:rsid w:val="009D2B03"/>
    <w:rsid w:val="009D2E64"/>
    <w:rsid w:val="009D3184"/>
    <w:rsid w:val="009D39B0"/>
    <w:rsid w:val="009D3E0E"/>
    <w:rsid w:val="009D3F29"/>
    <w:rsid w:val="009D42D9"/>
    <w:rsid w:val="009D45B6"/>
    <w:rsid w:val="009D4B0F"/>
    <w:rsid w:val="009D4D3C"/>
    <w:rsid w:val="009D4E7C"/>
    <w:rsid w:val="009D54C0"/>
    <w:rsid w:val="009D6A89"/>
    <w:rsid w:val="009D6EF4"/>
    <w:rsid w:val="009E00D0"/>
    <w:rsid w:val="009E02D9"/>
    <w:rsid w:val="009E0579"/>
    <w:rsid w:val="009E06DB"/>
    <w:rsid w:val="009E0C16"/>
    <w:rsid w:val="009E0DC2"/>
    <w:rsid w:val="009E13ED"/>
    <w:rsid w:val="009E16AA"/>
    <w:rsid w:val="009E1DAD"/>
    <w:rsid w:val="009E2E8A"/>
    <w:rsid w:val="009E2E9E"/>
    <w:rsid w:val="009E3092"/>
    <w:rsid w:val="009E327B"/>
    <w:rsid w:val="009E38FE"/>
    <w:rsid w:val="009E3DBD"/>
    <w:rsid w:val="009E3EC8"/>
    <w:rsid w:val="009E53A7"/>
    <w:rsid w:val="009E55BD"/>
    <w:rsid w:val="009E56BC"/>
    <w:rsid w:val="009E5CD1"/>
    <w:rsid w:val="009E6FB0"/>
    <w:rsid w:val="009F0BF9"/>
    <w:rsid w:val="009F2720"/>
    <w:rsid w:val="009F2CF5"/>
    <w:rsid w:val="009F30AD"/>
    <w:rsid w:val="009F448B"/>
    <w:rsid w:val="009F48B5"/>
    <w:rsid w:val="009F4F31"/>
    <w:rsid w:val="009F5E9B"/>
    <w:rsid w:val="009F5FC7"/>
    <w:rsid w:val="009F622B"/>
    <w:rsid w:val="009F6975"/>
    <w:rsid w:val="009F6A68"/>
    <w:rsid w:val="009F6ABE"/>
    <w:rsid w:val="009F6E2D"/>
    <w:rsid w:val="009F7972"/>
    <w:rsid w:val="00A00266"/>
    <w:rsid w:val="00A009AE"/>
    <w:rsid w:val="00A01333"/>
    <w:rsid w:val="00A01341"/>
    <w:rsid w:val="00A01E56"/>
    <w:rsid w:val="00A021EA"/>
    <w:rsid w:val="00A02819"/>
    <w:rsid w:val="00A034B0"/>
    <w:rsid w:val="00A0367F"/>
    <w:rsid w:val="00A0417F"/>
    <w:rsid w:val="00A05368"/>
    <w:rsid w:val="00A05826"/>
    <w:rsid w:val="00A058CC"/>
    <w:rsid w:val="00A05E03"/>
    <w:rsid w:val="00A06BCC"/>
    <w:rsid w:val="00A07EA7"/>
    <w:rsid w:val="00A07EE2"/>
    <w:rsid w:val="00A1002B"/>
    <w:rsid w:val="00A10AB7"/>
    <w:rsid w:val="00A10B77"/>
    <w:rsid w:val="00A115B7"/>
    <w:rsid w:val="00A119B7"/>
    <w:rsid w:val="00A11A00"/>
    <w:rsid w:val="00A128AA"/>
    <w:rsid w:val="00A12F7A"/>
    <w:rsid w:val="00A1329A"/>
    <w:rsid w:val="00A1350E"/>
    <w:rsid w:val="00A137CB"/>
    <w:rsid w:val="00A139B2"/>
    <w:rsid w:val="00A13FCE"/>
    <w:rsid w:val="00A14835"/>
    <w:rsid w:val="00A14971"/>
    <w:rsid w:val="00A149C0"/>
    <w:rsid w:val="00A15261"/>
    <w:rsid w:val="00A15945"/>
    <w:rsid w:val="00A15CAB"/>
    <w:rsid w:val="00A16167"/>
    <w:rsid w:val="00A16AA8"/>
    <w:rsid w:val="00A16C4C"/>
    <w:rsid w:val="00A16DFC"/>
    <w:rsid w:val="00A17385"/>
    <w:rsid w:val="00A173EF"/>
    <w:rsid w:val="00A17AC6"/>
    <w:rsid w:val="00A20531"/>
    <w:rsid w:val="00A209A3"/>
    <w:rsid w:val="00A20AB2"/>
    <w:rsid w:val="00A2222E"/>
    <w:rsid w:val="00A236E3"/>
    <w:rsid w:val="00A237AE"/>
    <w:rsid w:val="00A23AAE"/>
    <w:rsid w:val="00A23FB0"/>
    <w:rsid w:val="00A240BB"/>
    <w:rsid w:val="00A244C3"/>
    <w:rsid w:val="00A24E3B"/>
    <w:rsid w:val="00A24EA1"/>
    <w:rsid w:val="00A25B0D"/>
    <w:rsid w:val="00A26087"/>
    <w:rsid w:val="00A26310"/>
    <w:rsid w:val="00A26917"/>
    <w:rsid w:val="00A27A6B"/>
    <w:rsid w:val="00A27FAC"/>
    <w:rsid w:val="00A30853"/>
    <w:rsid w:val="00A309B4"/>
    <w:rsid w:val="00A30BC0"/>
    <w:rsid w:val="00A30BD6"/>
    <w:rsid w:val="00A30CAD"/>
    <w:rsid w:val="00A31FD8"/>
    <w:rsid w:val="00A32078"/>
    <w:rsid w:val="00A3251A"/>
    <w:rsid w:val="00A33D85"/>
    <w:rsid w:val="00A34438"/>
    <w:rsid w:val="00A357E9"/>
    <w:rsid w:val="00A35EE7"/>
    <w:rsid w:val="00A36114"/>
    <w:rsid w:val="00A36751"/>
    <w:rsid w:val="00A36A0C"/>
    <w:rsid w:val="00A37025"/>
    <w:rsid w:val="00A37364"/>
    <w:rsid w:val="00A37BBD"/>
    <w:rsid w:val="00A37EF3"/>
    <w:rsid w:val="00A41617"/>
    <w:rsid w:val="00A4233C"/>
    <w:rsid w:val="00A42A97"/>
    <w:rsid w:val="00A43A9F"/>
    <w:rsid w:val="00A43BDF"/>
    <w:rsid w:val="00A43C8B"/>
    <w:rsid w:val="00A44748"/>
    <w:rsid w:val="00A449D0"/>
    <w:rsid w:val="00A449E8"/>
    <w:rsid w:val="00A450F9"/>
    <w:rsid w:val="00A45233"/>
    <w:rsid w:val="00A45F0C"/>
    <w:rsid w:val="00A4654D"/>
    <w:rsid w:val="00A470B7"/>
    <w:rsid w:val="00A4762F"/>
    <w:rsid w:val="00A50006"/>
    <w:rsid w:val="00A5120B"/>
    <w:rsid w:val="00A52414"/>
    <w:rsid w:val="00A52564"/>
    <w:rsid w:val="00A52FED"/>
    <w:rsid w:val="00A538A2"/>
    <w:rsid w:val="00A538DE"/>
    <w:rsid w:val="00A547E1"/>
    <w:rsid w:val="00A554C5"/>
    <w:rsid w:val="00A55565"/>
    <w:rsid w:val="00A55728"/>
    <w:rsid w:val="00A561C3"/>
    <w:rsid w:val="00A565D4"/>
    <w:rsid w:val="00A57D34"/>
    <w:rsid w:val="00A57D80"/>
    <w:rsid w:val="00A603E9"/>
    <w:rsid w:val="00A60BC8"/>
    <w:rsid w:val="00A60F31"/>
    <w:rsid w:val="00A617B3"/>
    <w:rsid w:val="00A61859"/>
    <w:rsid w:val="00A61C16"/>
    <w:rsid w:val="00A6269C"/>
    <w:rsid w:val="00A62FEA"/>
    <w:rsid w:val="00A63159"/>
    <w:rsid w:val="00A63481"/>
    <w:rsid w:val="00A634E0"/>
    <w:rsid w:val="00A63C50"/>
    <w:rsid w:val="00A63D98"/>
    <w:rsid w:val="00A64603"/>
    <w:rsid w:val="00A648A3"/>
    <w:rsid w:val="00A657F4"/>
    <w:rsid w:val="00A6594F"/>
    <w:rsid w:val="00A65BEB"/>
    <w:rsid w:val="00A65D38"/>
    <w:rsid w:val="00A660DA"/>
    <w:rsid w:val="00A67909"/>
    <w:rsid w:val="00A70058"/>
    <w:rsid w:val="00A706E1"/>
    <w:rsid w:val="00A70711"/>
    <w:rsid w:val="00A70969"/>
    <w:rsid w:val="00A70BBA"/>
    <w:rsid w:val="00A71849"/>
    <w:rsid w:val="00A71EC2"/>
    <w:rsid w:val="00A7268B"/>
    <w:rsid w:val="00A727D6"/>
    <w:rsid w:val="00A74A6B"/>
    <w:rsid w:val="00A74F8A"/>
    <w:rsid w:val="00A75317"/>
    <w:rsid w:val="00A757D5"/>
    <w:rsid w:val="00A760CD"/>
    <w:rsid w:val="00A76BEF"/>
    <w:rsid w:val="00A77631"/>
    <w:rsid w:val="00A779F6"/>
    <w:rsid w:val="00A77FA2"/>
    <w:rsid w:val="00A8075D"/>
    <w:rsid w:val="00A81421"/>
    <w:rsid w:val="00A8172F"/>
    <w:rsid w:val="00A817F8"/>
    <w:rsid w:val="00A825D6"/>
    <w:rsid w:val="00A828F9"/>
    <w:rsid w:val="00A82960"/>
    <w:rsid w:val="00A829C3"/>
    <w:rsid w:val="00A82BB6"/>
    <w:rsid w:val="00A8345D"/>
    <w:rsid w:val="00A83B34"/>
    <w:rsid w:val="00A844C7"/>
    <w:rsid w:val="00A84E89"/>
    <w:rsid w:val="00A85430"/>
    <w:rsid w:val="00A857D1"/>
    <w:rsid w:val="00A85B00"/>
    <w:rsid w:val="00A85B9E"/>
    <w:rsid w:val="00A862F9"/>
    <w:rsid w:val="00A866C8"/>
    <w:rsid w:val="00A86C56"/>
    <w:rsid w:val="00A87055"/>
    <w:rsid w:val="00A87211"/>
    <w:rsid w:val="00A87351"/>
    <w:rsid w:val="00A87EFA"/>
    <w:rsid w:val="00A905DA"/>
    <w:rsid w:val="00A905E4"/>
    <w:rsid w:val="00A922F3"/>
    <w:rsid w:val="00A92E33"/>
    <w:rsid w:val="00A92ED6"/>
    <w:rsid w:val="00A932C9"/>
    <w:rsid w:val="00A9360D"/>
    <w:rsid w:val="00A93E46"/>
    <w:rsid w:val="00A94A41"/>
    <w:rsid w:val="00A94A96"/>
    <w:rsid w:val="00A94CC8"/>
    <w:rsid w:val="00A963EB"/>
    <w:rsid w:val="00A96B01"/>
    <w:rsid w:val="00A9751F"/>
    <w:rsid w:val="00AA061F"/>
    <w:rsid w:val="00AA06DF"/>
    <w:rsid w:val="00AA0731"/>
    <w:rsid w:val="00AA0A29"/>
    <w:rsid w:val="00AA0D2A"/>
    <w:rsid w:val="00AA0DA5"/>
    <w:rsid w:val="00AA0E3F"/>
    <w:rsid w:val="00AA0F5B"/>
    <w:rsid w:val="00AA1EBD"/>
    <w:rsid w:val="00AA1F61"/>
    <w:rsid w:val="00AA271F"/>
    <w:rsid w:val="00AA274F"/>
    <w:rsid w:val="00AA2CE8"/>
    <w:rsid w:val="00AA30E2"/>
    <w:rsid w:val="00AA3362"/>
    <w:rsid w:val="00AA396F"/>
    <w:rsid w:val="00AA3FB6"/>
    <w:rsid w:val="00AA46CC"/>
    <w:rsid w:val="00AA4843"/>
    <w:rsid w:val="00AA4BF7"/>
    <w:rsid w:val="00AA4E02"/>
    <w:rsid w:val="00AA4FFC"/>
    <w:rsid w:val="00AA5000"/>
    <w:rsid w:val="00AA50E5"/>
    <w:rsid w:val="00AA5133"/>
    <w:rsid w:val="00AA54AB"/>
    <w:rsid w:val="00AA577F"/>
    <w:rsid w:val="00AA5B43"/>
    <w:rsid w:val="00AA606D"/>
    <w:rsid w:val="00AA61DE"/>
    <w:rsid w:val="00AA6DF4"/>
    <w:rsid w:val="00AA6E0F"/>
    <w:rsid w:val="00AA6E6B"/>
    <w:rsid w:val="00AA741D"/>
    <w:rsid w:val="00AA79F3"/>
    <w:rsid w:val="00AA7A8D"/>
    <w:rsid w:val="00AA7D17"/>
    <w:rsid w:val="00AA7FDC"/>
    <w:rsid w:val="00AB0144"/>
    <w:rsid w:val="00AB080B"/>
    <w:rsid w:val="00AB0A86"/>
    <w:rsid w:val="00AB1583"/>
    <w:rsid w:val="00AB1B91"/>
    <w:rsid w:val="00AB22DA"/>
    <w:rsid w:val="00AB23D3"/>
    <w:rsid w:val="00AB2779"/>
    <w:rsid w:val="00AB3DDD"/>
    <w:rsid w:val="00AB403C"/>
    <w:rsid w:val="00AB458B"/>
    <w:rsid w:val="00AB5AFB"/>
    <w:rsid w:val="00AB5CF1"/>
    <w:rsid w:val="00AB635C"/>
    <w:rsid w:val="00AB6C3D"/>
    <w:rsid w:val="00AB771A"/>
    <w:rsid w:val="00AB773F"/>
    <w:rsid w:val="00AB77F5"/>
    <w:rsid w:val="00AB7B36"/>
    <w:rsid w:val="00AC0ECC"/>
    <w:rsid w:val="00AC1124"/>
    <w:rsid w:val="00AC1A77"/>
    <w:rsid w:val="00AC24A4"/>
    <w:rsid w:val="00AC2C49"/>
    <w:rsid w:val="00AC2C5A"/>
    <w:rsid w:val="00AC2DA9"/>
    <w:rsid w:val="00AC2EC1"/>
    <w:rsid w:val="00AC301F"/>
    <w:rsid w:val="00AC30FC"/>
    <w:rsid w:val="00AC399C"/>
    <w:rsid w:val="00AC4E7C"/>
    <w:rsid w:val="00AC50A1"/>
    <w:rsid w:val="00AC5E08"/>
    <w:rsid w:val="00AC61CE"/>
    <w:rsid w:val="00AC6958"/>
    <w:rsid w:val="00AC6990"/>
    <w:rsid w:val="00AC7388"/>
    <w:rsid w:val="00AC7D75"/>
    <w:rsid w:val="00AD0418"/>
    <w:rsid w:val="00AD077C"/>
    <w:rsid w:val="00AD1571"/>
    <w:rsid w:val="00AD15DB"/>
    <w:rsid w:val="00AD173C"/>
    <w:rsid w:val="00AD1F95"/>
    <w:rsid w:val="00AD25B0"/>
    <w:rsid w:val="00AD281C"/>
    <w:rsid w:val="00AD299E"/>
    <w:rsid w:val="00AD2B54"/>
    <w:rsid w:val="00AD31D4"/>
    <w:rsid w:val="00AD39F0"/>
    <w:rsid w:val="00AD3AE3"/>
    <w:rsid w:val="00AD4175"/>
    <w:rsid w:val="00AD54F9"/>
    <w:rsid w:val="00AD55DD"/>
    <w:rsid w:val="00AD57D3"/>
    <w:rsid w:val="00AD5A8B"/>
    <w:rsid w:val="00AD5E6E"/>
    <w:rsid w:val="00AD6129"/>
    <w:rsid w:val="00AD6821"/>
    <w:rsid w:val="00AD6F6D"/>
    <w:rsid w:val="00AD71F5"/>
    <w:rsid w:val="00AD787C"/>
    <w:rsid w:val="00AD7B5A"/>
    <w:rsid w:val="00AE0479"/>
    <w:rsid w:val="00AE0BD1"/>
    <w:rsid w:val="00AE15DC"/>
    <w:rsid w:val="00AE1686"/>
    <w:rsid w:val="00AE1C4F"/>
    <w:rsid w:val="00AE1F1B"/>
    <w:rsid w:val="00AE22F0"/>
    <w:rsid w:val="00AE27E3"/>
    <w:rsid w:val="00AE2CA8"/>
    <w:rsid w:val="00AE2DD1"/>
    <w:rsid w:val="00AE2DD5"/>
    <w:rsid w:val="00AE3392"/>
    <w:rsid w:val="00AE33C0"/>
    <w:rsid w:val="00AE4C04"/>
    <w:rsid w:val="00AE56CB"/>
    <w:rsid w:val="00AE5F8D"/>
    <w:rsid w:val="00AE6E3F"/>
    <w:rsid w:val="00AE73DD"/>
    <w:rsid w:val="00AE7614"/>
    <w:rsid w:val="00AE7963"/>
    <w:rsid w:val="00AE7B74"/>
    <w:rsid w:val="00AE7CD3"/>
    <w:rsid w:val="00AF01F7"/>
    <w:rsid w:val="00AF164F"/>
    <w:rsid w:val="00AF3115"/>
    <w:rsid w:val="00AF3FFD"/>
    <w:rsid w:val="00AF410F"/>
    <w:rsid w:val="00AF42B7"/>
    <w:rsid w:val="00AF4B38"/>
    <w:rsid w:val="00AF4C6B"/>
    <w:rsid w:val="00AF4F20"/>
    <w:rsid w:val="00AF5159"/>
    <w:rsid w:val="00AF5ECD"/>
    <w:rsid w:val="00AF62D5"/>
    <w:rsid w:val="00AF6433"/>
    <w:rsid w:val="00AF68C1"/>
    <w:rsid w:val="00AF6A8D"/>
    <w:rsid w:val="00AF7CBF"/>
    <w:rsid w:val="00AF7D2C"/>
    <w:rsid w:val="00B002C1"/>
    <w:rsid w:val="00B0115C"/>
    <w:rsid w:val="00B01942"/>
    <w:rsid w:val="00B01BCB"/>
    <w:rsid w:val="00B01BDE"/>
    <w:rsid w:val="00B01BE9"/>
    <w:rsid w:val="00B01DB9"/>
    <w:rsid w:val="00B0254C"/>
    <w:rsid w:val="00B02649"/>
    <w:rsid w:val="00B02B3B"/>
    <w:rsid w:val="00B02DF9"/>
    <w:rsid w:val="00B0348B"/>
    <w:rsid w:val="00B037E4"/>
    <w:rsid w:val="00B0464A"/>
    <w:rsid w:val="00B04B27"/>
    <w:rsid w:val="00B050D9"/>
    <w:rsid w:val="00B051FB"/>
    <w:rsid w:val="00B0528D"/>
    <w:rsid w:val="00B05298"/>
    <w:rsid w:val="00B05EAE"/>
    <w:rsid w:val="00B06856"/>
    <w:rsid w:val="00B06B34"/>
    <w:rsid w:val="00B06ED2"/>
    <w:rsid w:val="00B07D44"/>
    <w:rsid w:val="00B10259"/>
    <w:rsid w:val="00B107E1"/>
    <w:rsid w:val="00B111D0"/>
    <w:rsid w:val="00B11236"/>
    <w:rsid w:val="00B11305"/>
    <w:rsid w:val="00B1206C"/>
    <w:rsid w:val="00B129E8"/>
    <w:rsid w:val="00B12C03"/>
    <w:rsid w:val="00B136AB"/>
    <w:rsid w:val="00B15B15"/>
    <w:rsid w:val="00B16073"/>
    <w:rsid w:val="00B160B0"/>
    <w:rsid w:val="00B16114"/>
    <w:rsid w:val="00B16777"/>
    <w:rsid w:val="00B17CC5"/>
    <w:rsid w:val="00B209CE"/>
    <w:rsid w:val="00B21156"/>
    <w:rsid w:val="00B21DF7"/>
    <w:rsid w:val="00B23715"/>
    <w:rsid w:val="00B23935"/>
    <w:rsid w:val="00B24BF1"/>
    <w:rsid w:val="00B24E36"/>
    <w:rsid w:val="00B2525D"/>
    <w:rsid w:val="00B2548D"/>
    <w:rsid w:val="00B2642A"/>
    <w:rsid w:val="00B26581"/>
    <w:rsid w:val="00B26AE7"/>
    <w:rsid w:val="00B26B5A"/>
    <w:rsid w:val="00B27411"/>
    <w:rsid w:val="00B27CE3"/>
    <w:rsid w:val="00B27E91"/>
    <w:rsid w:val="00B30670"/>
    <w:rsid w:val="00B30A2E"/>
    <w:rsid w:val="00B30D3D"/>
    <w:rsid w:val="00B3117A"/>
    <w:rsid w:val="00B31859"/>
    <w:rsid w:val="00B31863"/>
    <w:rsid w:val="00B325AB"/>
    <w:rsid w:val="00B3265D"/>
    <w:rsid w:val="00B3343D"/>
    <w:rsid w:val="00B3346D"/>
    <w:rsid w:val="00B33E54"/>
    <w:rsid w:val="00B342D6"/>
    <w:rsid w:val="00B345B2"/>
    <w:rsid w:val="00B34A6F"/>
    <w:rsid w:val="00B34E76"/>
    <w:rsid w:val="00B34F3B"/>
    <w:rsid w:val="00B351F1"/>
    <w:rsid w:val="00B36B1B"/>
    <w:rsid w:val="00B408E0"/>
    <w:rsid w:val="00B4101C"/>
    <w:rsid w:val="00B417B8"/>
    <w:rsid w:val="00B424CA"/>
    <w:rsid w:val="00B4423A"/>
    <w:rsid w:val="00B4437A"/>
    <w:rsid w:val="00B45216"/>
    <w:rsid w:val="00B4552C"/>
    <w:rsid w:val="00B460AD"/>
    <w:rsid w:val="00B46268"/>
    <w:rsid w:val="00B46377"/>
    <w:rsid w:val="00B46A06"/>
    <w:rsid w:val="00B479C7"/>
    <w:rsid w:val="00B47DAE"/>
    <w:rsid w:val="00B5073C"/>
    <w:rsid w:val="00B50CA6"/>
    <w:rsid w:val="00B50D94"/>
    <w:rsid w:val="00B522B5"/>
    <w:rsid w:val="00B5261E"/>
    <w:rsid w:val="00B5297E"/>
    <w:rsid w:val="00B52EEA"/>
    <w:rsid w:val="00B53341"/>
    <w:rsid w:val="00B53ED2"/>
    <w:rsid w:val="00B54640"/>
    <w:rsid w:val="00B549C4"/>
    <w:rsid w:val="00B54A9C"/>
    <w:rsid w:val="00B54F5A"/>
    <w:rsid w:val="00B557D7"/>
    <w:rsid w:val="00B56245"/>
    <w:rsid w:val="00B563B5"/>
    <w:rsid w:val="00B564A8"/>
    <w:rsid w:val="00B567D3"/>
    <w:rsid w:val="00B56B22"/>
    <w:rsid w:val="00B57809"/>
    <w:rsid w:val="00B57ABB"/>
    <w:rsid w:val="00B60ACC"/>
    <w:rsid w:val="00B61619"/>
    <w:rsid w:val="00B6189E"/>
    <w:rsid w:val="00B62613"/>
    <w:rsid w:val="00B634F0"/>
    <w:rsid w:val="00B6379E"/>
    <w:rsid w:val="00B63EB8"/>
    <w:rsid w:val="00B64301"/>
    <w:rsid w:val="00B64EA1"/>
    <w:rsid w:val="00B65F75"/>
    <w:rsid w:val="00B6681F"/>
    <w:rsid w:val="00B668D4"/>
    <w:rsid w:val="00B67166"/>
    <w:rsid w:val="00B6773F"/>
    <w:rsid w:val="00B67891"/>
    <w:rsid w:val="00B70219"/>
    <w:rsid w:val="00B702BC"/>
    <w:rsid w:val="00B70B78"/>
    <w:rsid w:val="00B714A6"/>
    <w:rsid w:val="00B72D4C"/>
    <w:rsid w:val="00B72E72"/>
    <w:rsid w:val="00B73ED9"/>
    <w:rsid w:val="00B75042"/>
    <w:rsid w:val="00B7505B"/>
    <w:rsid w:val="00B75323"/>
    <w:rsid w:val="00B75832"/>
    <w:rsid w:val="00B758AF"/>
    <w:rsid w:val="00B75DDC"/>
    <w:rsid w:val="00B76561"/>
    <w:rsid w:val="00B76E1E"/>
    <w:rsid w:val="00B77CF5"/>
    <w:rsid w:val="00B801BC"/>
    <w:rsid w:val="00B8021B"/>
    <w:rsid w:val="00B80474"/>
    <w:rsid w:val="00B8115A"/>
    <w:rsid w:val="00B816F1"/>
    <w:rsid w:val="00B82021"/>
    <w:rsid w:val="00B8241B"/>
    <w:rsid w:val="00B82C55"/>
    <w:rsid w:val="00B83583"/>
    <w:rsid w:val="00B83D06"/>
    <w:rsid w:val="00B85BBB"/>
    <w:rsid w:val="00B85CB0"/>
    <w:rsid w:val="00B86376"/>
    <w:rsid w:val="00B866C7"/>
    <w:rsid w:val="00B86801"/>
    <w:rsid w:val="00B86BB7"/>
    <w:rsid w:val="00B86C11"/>
    <w:rsid w:val="00B873A7"/>
    <w:rsid w:val="00B8774F"/>
    <w:rsid w:val="00B877D3"/>
    <w:rsid w:val="00B87978"/>
    <w:rsid w:val="00B90141"/>
    <w:rsid w:val="00B917DA"/>
    <w:rsid w:val="00B917E5"/>
    <w:rsid w:val="00B918CF"/>
    <w:rsid w:val="00B919B4"/>
    <w:rsid w:val="00B91AB8"/>
    <w:rsid w:val="00B91ED7"/>
    <w:rsid w:val="00B9228F"/>
    <w:rsid w:val="00B9230C"/>
    <w:rsid w:val="00B92506"/>
    <w:rsid w:val="00B92655"/>
    <w:rsid w:val="00B93333"/>
    <w:rsid w:val="00B935D9"/>
    <w:rsid w:val="00B949BE"/>
    <w:rsid w:val="00B949D1"/>
    <w:rsid w:val="00B94CD6"/>
    <w:rsid w:val="00B95903"/>
    <w:rsid w:val="00B95C49"/>
    <w:rsid w:val="00B96031"/>
    <w:rsid w:val="00BA037E"/>
    <w:rsid w:val="00BA0EC4"/>
    <w:rsid w:val="00BA14EB"/>
    <w:rsid w:val="00BA1E1D"/>
    <w:rsid w:val="00BA1EA2"/>
    <w:rsid w:val="00BA223E"/>
    <w:rsid w:val="00BA2FF0"/>
    <w:rsid w:val="00BA3883"/>
    <w:rsid w:val="00BA47DB"/>
    <w:rsid w:val="00BA493A"/>
    <w:rsid w:val="00BA4E0C"/>
    <w:rsid w:val="00BA5691"/>
    <w:rsid w:val="00BA5FD6"/>
    <w:rsid w:val="00BA60DF"/>
    <w:rsid w:val="00BA62A5"/>
    <w:rsid w:val="00BA6502"/>
    <w:rsid w:val="00BA67C2"/>
    <w:rsid w:val="00BA6E93"/>
    <w:rsid w:val="00BA738D"/>
    <w:rsid w:val="00BA77E5"/>
    <w:rsid w:val="00BA7BA4"/>
    <w:rsid w:val="00BA7BEC"/>
    <w:rsid w:val="00BA7D6A"/>
    <w:rsid w:val="00BB034A"/>
    <w:rsid w:val="00BB0E1B"/>
    <w:rsid w:val="00BB0FD0"/>
    <w:rsid w:val="00BB12C0"/>
    <w:rsid w:val="00BB1B1C"/>
    <w:rsid w:val="00BB1D66"/>
    <w:rsid w:val="00BB2EEA"/>
    <w:rsid w:val="00BB3127"/>
    <w:rsid w:val="00BB321E"/>
    <w:rsid w:val="00BB3601"/>
    <w:rsid w:val="00BB36B8"/>
    <w:rsid w:val="00BB461A"/>
    <w:rsid w:val="00BB4E77"/>
    <w:rsid w:val="00BB5081"/>
    <w:rsid w:val="00BB6F60"/>
    <w:rsid w:val="00BB753C"/>
    <w:rsid w:val="00BB7692"/>
    <w:rsid w:val="00BB7E74"/>
    <w:rsid w:val="00BC020E"/>
    <w:rsid w:val="00BC08E7"/>
    <w:rsid w:val="00BC163C"/>
    <w:rsid w:val="00BC16DB"/>
    <w:rsid w:val="00BC2973"/>
    <w:rsid w:val="00BC2DAC"/>
    <w:rsid w:val="00BC3807"/>
    <w:rsid w:val="00BC3B23"/>
    <w:rsid w:val="00BC3B57"/>
    <w:rsid w:val="00BC3F20"/>
    <w:rsid w:val="00BC492C"/>
    <w:rsid w:val="00BC4A44"/>
    <w:rsid w:val="00BC5105"/>
    <w:rsid w:val="00BC5751"/>
    <w:rsid w:val="00BC5AA2"/>
    <w:rsid w:val="00BC5D64"/>
    <w:rsid w:val="00BC60CB"/>
    <w:rsid w:val="00BC6319"/>
    <w:rsid w:val="00BC6864"/>
    <w:rsid w:val="00BC6C16"/>
    <w:rsid w:val="00BC6C67"/>
    <w:rsid w:val="00BC7912"/>
    <w:rsid w:val="00BC7A3C"/>
    <w:rsid w:val="00BD031B"/>
    <w:rsid w:val="00BD056E"/>
    <w:rsid w:val="00BD0A48"/>
    <w:rsid w:val="00BD0BBB"/>
    <w:rsid w:val="00BD103A"/>
    <w:rsid w:val="00BD1309"/>
    <w:rsid w:val="00BD13FC"/>
    <w:rsid w:val="00BD2F3B"/>
    <w:rsid w:val="00BD43B1"/>
    <w:rsid w:val="00BD4F0D"/>
    <w:rsid w:val="00BD55EB"/>
    <w:rsid w:val="00BD58E4"/>
    <w:rsid w:val="00BD64D4"/>
    <w:rsid w:val="00BD6AF6"/>
    <w:rsid w:val="00BD6B02"/>
    <w:rsid w:val="00BD7360"/>
    <w:rsid w:val="00BD7F44"/>
    <w:rsid w:val="00BE23D5"/>
    <w:rsid w:val="00BE2AD8"/>
    <w:rsid w:val="00BE2B5A"/>
    <w:rsid w:val="00BE2FFD"/>
    <w:rsid w:val="00BE4630"/>
    <w:rsid w:val="00BE4AF4"/>
    <w:rsid w:val="00BE5898"/>
    <w:rsid w:val="00BE5DBE"/>
    <w:rsid w:val="00BE6B56"/>
    <w:rsid w:val="00BE727F"/>
    <w:rsid w:val="00BE7CED"/>
    <w:rsid w:val="00BF033F"/>
    <w:rsid w:val="00BF044C"/>
    <w:rsid w:val="00BF05D7"/>
    <w:rsid w:val="00BF10DD"/>
    <w:rsid w:val="00BF1F4C"/>
    <w:rsid w:val="00BF262C"/>
    <w:rsid w:val="00BF2DB8"/>
    <w:rsid w:val="00BF35EB"/>
    <w:rsid w:val="00BF3D76"/>
    <w:rsid w:val="00BF4334"/>
    <w:rsid w:val="00BF4EC6"/>
    <w:rsid w:val="00BF5121"/>
    <w:rsid w:val="00BF5AF1"/>
    <w:rsid w:val="00BF657E"/>
    <w:rsid w:val="00BF65BB"/>
    <w:rsid w:val="00BF6ECF"/>
    <w:rsid w:val="00BF7A0F"/>
    <w:rsid w:val="00C017F3"/>
    <w:rsid w:val="00C01951"/>
    <w:rsid w:val="00C01B06"/>
    <w:rsid w:val="00C03854"/>
    <w:rsid w:val="00C03B3C"/>
    <w:rsid w:val="00C03B6F"/>
    <w:rsid w:val="00C03D42"/>
    <w:rsid w:val="00C04AB4"/>
    <w:rsid w:val="00C05BD5"/>
    <w:rsid w:val="00C06D0C"/>
    <w:rsid w:val="00C07E3A"/>
    <w:rsid w:val="00C101C5"/>
    <w:rsid w:val="00C107D1"/>
    <w:rsid w:val="00C12118"/>
    <w:rsid w:val="00C123AB"/>
    <w:rsid w:val="00C127A4"/>
    <w:rsid w:val="00C1378E"/>
    <w:rsid w:val="00C147AF"/>
    <w:rsid w:val="00C14824"/>
    <w:rsid w:val="00C14A07"/>
    <w:rsid w:val="00C14EC1"/>
    <w:rsid w:val="00C152D2"/>
    <w:rsid w:val="00C15B3B"/>
    <w:rsid w:val="00C15E42"/>
    <w:rsid w:val="00C15EB8"/>
    <w:rsid w:val="00C17F33"/>
    <w:rsid w:val="00C20255"/>
    <w:rsid w:val="00C20858"/>
    <w:rsid w:val="00C20C49"/>
    <w:rsid w:val="00C20C4F"/>
    <w:rsid w:val="00C20D53"/>
    <w:rsid w:val="00C21999"/>
    <w:rsid w:val="00C21DE4"/>
    <w:rsid w:val="00C2203C"/>
    <w:rsid w:val="00C2243C"/>
    <w:rsid w:val="00C225FF"/>
    <w:rsid w:val="00C23427"/>
    <w:rsid w:val="00C237A2"/>
    <w:rsid w:val="00C23CD9"/>
    <w:rsid w:val="00C2449E"/>
    <w:rsid w:val="00C24574"/>
    <w:rsid w:val="00C245B3"/>
    <w:rsid w:val="00C261F6"/>
    <w:rsid w:val="00C268DF"/>
    <w:rsid w:val="00C26C71"/>
    <w:rsid w:val="00C27019"/>
    <w:rsid w:val="00C27CD5"/>
    <w:rsid w:val="00C30126"/>
    <w:rsid w:val="00C30203"/>
    <w:rsid w:val="00C30450"/>
    <w:rsid w:val="00C30690"/>
    <w:rsid w:val="00C30F9D"/>
    <w:rsid w:val="00C31ED8"/>
    <w:rsid w:val="00C32FEC"/>
    <w:rsid w:val="00C3301A"/>
    <w:rsid w:val="00C34218"/>
    <w:rsid w:val="00C34576"/>
    <w:rsid w:val="00C3510D"/>
    <w:rsid w:val="00C35250"/>
    <w:rsid w:val="00C3585E"/>
    <w:rsid w:val="00C358AF"/>
    <w:rsid w:val="00C35E12"/>
    <w:rsid w:val="00C35FDE"/>
    <w:rsid w:val="00C363A5"/>
    <w:rsid w:val="00C36608"/>
    <w:rsid w:val="00C3691C"/>
    <w:rsid w:val="00C372EE"/>
    <w:rsid w:val="00C37A8B"/>
    <w:rsid w:val="00C40A65"/>
    <w:rsid w:val="00C40AD9"/>
    <w:rsid w:val="00C41D37"/>
    <w:rsid w:val="00C42536"/>
    <w:rsid w:val="00C42DFA"/>
    <w:rsid w:val="00C432DD"/>
    <w:rsid w:val="00C450D3"/>
    <w:rsid w:val="00C45182"/>
    <w:rsid w:val="00C45807"/>
    <w:rsid w:val="00C45A46"/>
    <w:rsid w:val="00C4634B"/>
    <w:rsid w:val="00C46F70"/>
    <w:rsid w:val="00C47001"/>
    <w:rsid w:val="00C47334"/>
    <w:rsid w:val="00C474A9"/>
    <w:rsid w:val="00C50244"/>
    <w:rsid w:val="00C50937"/>
    <w:rsid w:val="00C520C2"/>
    <w:rsid w:val="00C53726"/>
    <w:rsid w:val="00C53D2D"/>
    <w:rsid w:val="00C54A3A"/>
    <w:rsid w:val="00C5515D"/>
    <w:rsid w:val="00C55314"/>
    <w:rsid w:val="00C5584F"/>
    <w:rsid w:val="00C5603E"/>
    <w:rsid w:val="00C562ED"/>
    <w:rsid w:val="00C573B0"/>
    <w:rsid w:val="00C57509"/>
    <w:rsid w:val="00C57833"/>
    <w:rsid w:val="00C57ABB"/>
    <w:rsid w:val="00C57F53"/>
    <w:rsid w:val="00C615FA"/>
    <w:rsid w:val="00C618E8"/>
    <w:rsid w:val="00C619EA"/>
    <w:rsid w:val="00C619F1"/>
    <w:rsid w:val="00C62ACC"/>
    <w:rsid w:val="00C63419"/>
    <w:rsid w:val="00C63454"/>
    <w:rsid w:val="00C63534"/>
    <w:rsid w:val="00C636D5"/>
    <w:rsid w:val="00C64D60"/>
    <w:rsid w:val="00C65354"/>
    <w:rsid w:val="00C65E2E"/>
    <w:rsid w:val="00C6690F"/>
    <w:rsid w:val="00C66C00"/>
    <w:rsid w:val="00C66E6A"/>
    <w:rsid w:val="00C71A0E"/>
    <w:rsid w:val="00C72320"/>
    <w:rsid w:val="00C72998"/>
    <w:rsid w:val="00C72AC1"/>
    <w:rsid w:val="00C72F5A"/>
    <w:rsid w:val="00C73332"/>
    <w:rsid w:val="00C734FE"/>
    <w:rsid w:val="00C73605"/>
    <w:rsid w:val="00C7384F"/>
    <w:rsid w:val="00C74052"/>
    <w:rsid w:val="00C743EA"/>
    <w:rsid w:val="00C7474B"/>
    <w:rsid w:val="00C74B5F"/>
    <w:rsid w:val="00C74E91"/>
    <w:rsid w:val="00C751D0"/>
    <w:rsid w:val="00C75480"/>
    <w:rsid w:val="00C75E3C"/>
    <w:rsid w:val="00C768D1"/>
    <w:rsid w:val="00C76E00"/>
    <w:rsid w:val="00C76E7B"/>
    <w:rsid w:val="00C773C9"/>
    <w:rsid w:val="00C824E0"/>
    <w:rsid w:val="00C838C8"/>
    <w:rsid w:val="00C83D15"/>
    <w:rsid w:val="00C8427E"/>
    <w:rsid w:val="00C8437B"/>
    <w:rsid w:val="00C84C3D"/>
    <w:rsid w:val="00C84F28"/>
    <w:rsid w:val="00C8546D"/>
    <w:rsid w:val="00C85F8B"/>
    <w:rsid w:val="00C8634E"/>
    <w:rsid w:val="00C867CE"/>
    <w:rsid w:val="00C86803"/>
    <w:rsid w:val="00C86A3A"/>
    <w:rsid w:val="00C873A0"/>
    <w:rsid w:val="00C87686"/>
    <w:rsid w:val="00C878C0"/>
    <w:rsid w:val="00C87F92"/>
    <w:rsid w:val="00C9099E"/>
    <w:rsid w:val="00C90EFC"/>
    <w:rsid w:val="00C912A5"/>
    <w:rsid w:val="00C91EDD"/>
    <w:rsid w:val="00C91F17"/>
    <w:rsid w:val="00C92889"/>
    <w:rsid w:val="00C93DDC"/>
    <w:rsid w:val="00C948C4"/>
    <w:rsid w:val="00C94B1B"/>
    <w:rsid w:val="00C95556"/>
    <w:rsid w:val="00C97BD5"/>
    <w:rsid w:val="00C97DA1"/>
    <w:rsid w:val="00CA002E"/>
    <w:rsid w:val="00CA00B2"/>
    <w:rsid w:val="00CA01EC"/>
    <w:rsid w:val="00CA04B4"/>
    <w:rsid w:val="00CA0BF3"/>
    <w:rsid w:val="00CA1DB0"/>
    <w:rsid w:val="00CA28A6"/>
    <w:rsid w:val="00CA3227"/>
    <w:rsid w:val="00CA345E"/>
    <w:rsid w:val="00CA4E9B"/>
    <w:rsid w:val="00CA5436"/>
    <w:rsid w:val="00CA575D"/>
    <w:rsid w:val="00CA5C47"/>
    <w:rsid w:val="00CA5E54"/>
    <w:rsid w:val="00CA612B"/>
    <w:rsid w:val="00CA6198"/>
    <w:rsid w:val="00CA6B03"/>
    <w:rsid w:val="00CA753F"/>
    <w:rsid w:val="00CA7BCE"/>
    <w:rsid w:val="00CA7D49"/>
    <w:rsid w:val="00CB062B"/>
    <w:rsid w:val="00CB0A93"/>
    <w:rsid w:val="00CB17C7"/>
    <w:rsid w:val="00CB1F59"/>
    <w:rsid w:val="00CB2FB3"/>
    <w:rsid w:val="00CB32F8"/>
    <w:rsid w:val="00CB351E"/>
    <w:rsid w:val="00CB389A"/>
    <w:rsid w:val="00CB38B8"/>
    <w:rsid w:val="00CB40FE"/>
    <w:rsid w:val="00CB47B2"/>
    <w:rsid w:val="00CB4812"/>
    <w:rsid w:val="00CB4D48"/>
    <w:rsid w:val="00CB4FFC"/>
    <w:rsid w:val="00CB57E9"/>
    <w:rsid w:val="00CB5828"/>
    <w:rsid w:val="00CB5CA3"/>
    <w:rsid w:val="00CB7B8D"/>
    <w:rsid w:val="00CB7D4D"/>
    <w:rsid w:val="00CC065E"/>
    <w:rsid w:val="00CC07F9"/>
    <w:rsid w:val="00CC0CBD"/>
    <w:rsid w:val="00CC0E0C"/>
    <w:rsid w:val="00CC10C5"/>
    <w:rsid w:val="00CC1484"/>
    <w:rsid w:val="00CC1736"/>
    <w:rsid w:val="00CC1E89"/>
    <w:rsid w:val="00CC267B"/>
    <w:rsid w:val="00CC2775"/>
    <w:rsid w:val="00CC3395"/>
    <w:rsid w:val="00CC3511"/>
    <w:rsid w:val="00CC4109"/>
    <w:rsid w:val="00CC43CD"/>
    <w:rsid w:val="00CC4DEC"/>
    <w:rsid w:val="00CC59AE"/>
    <w:rsid w:val="00CC5C01"/>
    <w:rsid w:val="00CC6128"/>
    <w:rsid w:val="00CC6B67"/>
    <w:rsid w:val="00CC7CF9"/>
    <w:rsid w:val="00CD06CA"/>
    <w:rsid w:val="00CD12D5"/>
    <w:rsid w:val="00CD2F20"/>
    <w:rsid w:val="00CD315B"/>
    <w:rsid w:val="00CD32A2"/>
    <w:rsid w:val="00CD3394"/>
    <w:rsid w:val="00CD3847"/>
    <w:rsid w:val="00CD39B4"/>
    <w:rsid w:val="00CD3C68"/>
    <w:rsid w:val="00CD4EB3"/>
    <w:rsid w:val="00CD50FC"/>
    <w:rsid w:val="00CD5556"/>
    <w:rsid w:val="00CD6BB4"/>
    <w:rsid w:val="00CD7168"/>
    <w:rsid w:val="00CD78EC"/>
    <w:rsid w:val="00CE0254"/>
    <w:rsid w:val="00CE12A3"/>
    <w:rsid w:val="00CE1BCB"/>
    <w:rsid w:val="00CE2602"/>
    <w:rsid w:val="00CE29C4"/>
    <w:rsid w:val="00CE2C9C"/>
    <w:rsid w:val="00CE399E"/>
    <w:rsid w:val="00CE3FD0"/>
    <w:rsid w:val="00CE40F6"/>
    <w:rsid w:val="00CE4280"/>
    <w:rsid w:val="00CE5E28"/>
    <w:rsid w:val="00CE6B93"/>
    <w:rsid w:val="00CE6C63"/>
    <w:rsid w:val="00CE72CE"/>
    <w:rsid w:val="00CE7A5C"/>
    <w:rsid w:val="00CF0345"/>
    <w:rsid w:val="00CF0375"/>
    <w:rsid w:val="00CF05D4"/>
    <w:rsid w:val="00CF068C"/>
    <w:rsid w:val="00CF0BB8"/>
    <w:rsid w:val="00CF0F27"/>
    <w:rsid w:val="00CF1257"/>
    <w:rsid w:val="00CF16AD"/>
    <w:rsid w:val="00CF1753"/>
    <w:rsid w:val="00CF3400"/>
    <w:rsid w:val="00CF4228"/>
    <w:rsid w:val="00CF4DF8"/>
    <w:rsid w:val="00CF55AB"/>
    <w:rsid w:val="00CF5676"/>
    <w:rsid w:val="00CF5A10"/>
    <w:rsid w:val="00CF6184"/>
    <w:rsid w:val="00CF62E2"/>
    <w:rsid w:val="00CF6D11"/>
    <w:rsid w:val="00CF6E31"/>
    <w:rsid w:val="00CF70BE"/>
    <w:rsid w:val="00CF7C92"/>
    <w:rsid w:val="00D0012A"/>
    <w:rsid w:val="00D0024D"/>
    <w:rsid w:val="00D0077B"/>
    <w:rsid w:val="00D00C45"/>
    <w:rsid w:val="00D00F48"/>
    <w:rsid w:val="00D01132"/>
    <w:rsid w:val="00D01CF1"/>
    <w:rsid w:val="00D02870"/>
    <w:rsid w:val="00D029BB"/>
    <w:rsid w:val="00D02DAB"/>
    <w:rsid w:val="00D03D01"/>
    <w:rsid w:val="00D0477F"/>
    <w:rsid w:val="00D04AEF"/>
    <w:rsid w:val="00D04E95"/>
    <w:rsid w:val="00D055AE"/>
    <w:rsid w:val="00D056C9"/>
    <w:rsid w:val="00D05835"/>
    <w:rsid w:val="00D079E1"/>
    <w:rsid w:val="00D07D4C"/>
    <w:rsid w:val="00D1055B"/>
    <w:rsid w:val="00D106F2"/>
    <w:rsid w:val="00D10BC2"/>
    <w:rsid w:val="00D10DFE"/>
    <w:rsid w:val="00D10E81"/>
    <w:rsid w:val="00D10F7E"/>
    <w:rsid w:val="00D11140"/>
    <w:rsid w:val="00D11347"/>
    <w:rsid w:val="00D11C14"/>
    <w:rsid w:val="00D12D2D"/>
    <w:rsid w:val="00D13CE0"/>
    <w:rsid w:val="00D1428A"/>
    <w:rsid w:val="00D142EB"/>
    <w:rsid w:val="00D14470"/>
    <w:rsid w:val="00D147AF"/>
    <w:rsid w:val="00D149A4"/>
    <w:rsid w:val="00D15A12"/>
    <w:rsid w:val="00D16397"/>
    <w:rsid w:val="00D171FF"/>
    <w:rsid w:val="00D174FE"/>
    <w:rsid w:val="00D17926"/>
    <w:rsid w:val="00D20013"/>
    <w:rsid w:val="00D20FE5"/>
    <w:rsid w:val="00D211E3"/>
    <w:rsid w:val="00D22115"/>
    <w:rsid w:val="00D22314"/>
    <w:rsid w:val="00D226A7"/>
    <w:rsid w:val="00D227BF"/>
    <w:rsid w:val="00D227C0"/>
    <w:rsid w:val="00D2425A"/>
    <w:rsid w:val="00D252A5"/>
    <w:rsid w:val="00D25500"/>
    <w:rsid w:val="00D256D4"/>
    <w:rsid w:val="00D2583A"/>
    <w:rsid w:val="00D25B29"/>
    <w:rsid w:val="00D263F0"/>
    <w:rsid w:val="00D26E06"/>
    <w:rsid w:val="00D27B24"/>
    <w:rsid w:val="00D27C2E"/>
    <w:rsid w:val="00D27CDC"/>
    <w:rsid w:val="00D304B1"/>
    <w:rsid w:val="00D3059C"/>
    <w:rsid w:val="00D308C0"/>
    <w:rsid w:val="00D30CBD"/>
    <w:rsid w:val="00D30F25"/>
    <w:rsid w:val="00D31245"/>
    <w:rsid w:val="00D31B29"/>
    <w:rsid w:val="00D31F81"/>
    <w:rsid w:val="00D32800"/>
    <w:rsid w:val="00D32948"/>
    <w:rsid w:val="00D33502"/>
    <w:rsid w:val="00D33F20"/>
    <w:rsid w:val="00D34543"/>
    <w:rsid w:val="00D34D53"/>
    <w:rsid w:val="00D35ECC"/>
    <w:rsid w:val="00D360A9"/>
    <w:rsid w:val="00D3625A"/>
    <w:rsid w:val="00D36E15"/>
    <w:rsid w:val="00D37435"/>
    <w:rsid w:val="00D37E5B"/>
    <w:rsid w:val="00D4026A"/>
    <w:rsid w:val="00D41512"/>
    <w:rsid w:val="00D41BC5"/>
    <w:rsid w:val="00D42625"/>
    <w:rsid w:val="00D42EA4"/>
    <w:rsid w:val="00D4343A"/>
    <w:rsid w:val="00D43892"/>
    <w:rsid w:val="00D43930"/>
    <w:rsid w:val="00D440B5"/>
    <w:rsid w:val="00D45066"/>
    <w:rsid w:val="00D4572B"/>
    <w:rsid w:val="00D4612A"/>
    <w:rsid w:val="00D46607"/>
    <w:rsid w:val="00D46E4D"/>
    <w:rsid w:val="00D47E34"/>
    <w:rsid w:val="00D50539"/>
    <w:rsid w:val="00D50667"/>
    <w:rsid w:val="00D50862"/>
    <w:rsid w:val="00D50AD1"/>
    <w:rsid w:val="00D5114B"/>
    <w:rsid w:val="00D51594"/>
    <w:rsid w:val="00D51C9A"/>
    <w:rsid w:val="00D527EA"/>
    <w:rsid w:val="00D5489B"/>
    <w:rsid w:val="00D55935"/>
    <w:rsid w:val="00D55C18"/>
    <w:rsid w:val="00D55C55"/>
    <w:rsid w:val="00D560C1"/>
    <w:rsid w:val="00D561EA"/>
    <w:rsid w:val="00D5622B"/>
    <w:rsid w:val="00D56443"/>
    <w:rsid w:val="00D569AC"/>
    <w:rsid w:val="00D56A20"/>
    <w:rsid w:val="00D600F7"/>
    <w:rsid w:val="00D605B4"/>
    <w:rsid w:val="00D60829"/>
    <w:rsid w:val="00D61B1C"/>
    <w:rsid w:val="00D6211E"/>
    <w:rsid w:val="00D62584"/>
    <w:rsid w:val="00D62924"/>
    <w:rsid w:val="00D62FB8"/>
    <w:rsid w:val="00D62FCE"/>
    <w:rsid w:val="00D62FDD"/>
    <w:rsid w:val="00D6373C"/>
    <w:rsid w:val="00D647F7"/>
    <w:rsid w:val="00D64881"/>
    <w:rsid w:val="00D649BE"/>
    <w:rsid w:val="00D64C21"/>
    <w:rsid w:val="00D64F70"/>
    <w:rsid w:val="00D65071"/>
    <w:rsid w:val="00D650C3"/>
    <w:rsid w:val="00D65473"/>
    <w:rsid w:val="00D654B6"/>
    <w:rsid w:val="00D65675"/>
    <w:rsid w:val="00D65690"/>
    <w:rsid w:val="00D65729"/>
    <w:rsid w:val="00D65B66"/>
    <w:rsid w:val="00D66510"/>
    <w:rsid w:val="00D666A2"/>
    <w:rsid w:val="00D67A1D"/>
    <w:rsid w:val="00D67D4B"/>
    <w:rsid w:val="00D700C9"/>
    <w:rsid w:val="00D707E3"/>
    <w:rsid w:val="00D70807"/>
    <w:rsid w:val="00D7094E"/>
    <w:rsid w:val="00D709C3"/>
    <w:rsid w:val="00D724E0"/>
    <w:rsid w:val="00D729D4"/>
    <w:rsid w:val="00D72EEB"/>
    <w:rsid w:val="00D73450"/>
    <w:rsid w:val="00D73899"/>
    <w:rsid w:val="00D73905"/>
    <w:rsid w:val="00D739AE"/>
    <w:rsid w:val="00D73AC5"/>
    <w:rsid w:val="00D73F53"/>
    <w:rsid w:val="00D75139"/>
    <w:rsid w:val="00D75618"/>
    <w:rsid w:val="00D75F41"/>
    <w:rsid w:val="00D77A65"/>
    <w:rsid w:val="00D77F71"/>
    <w:rsid w:val="00D8162C"/>
    <w:rsid w:val="00D816E0"/>
    <w:rsid w:val="00D81773"/>
    <w:rsid w:val="00D818E8"/>
    <w:rsid w:val="00D81B13"/>
    <w:rsid w:val="00D8211B"/>
    <w:rsid w:val="00D831E9"/>
    <w:rsid w:val="00D83FF9"/>
    <w:rsid w:val="00D844E4"/>
    <w:rsid w:val="00D8487D"/>
    <w:rsid w:val="00D855D6"/>
    <w:rsid w:val="00D85901"/>
    <w:rsid w:val="00D85D6D"/>
    <w:rsid w:val="00D868B9"/>
    <w:rsid w:val="00D86AEA"/>
    <w:rsid w:val="00D86C65"/>
    <w:rsid w:val="00D879B4"/>
    <w:rsid w:val="00D902B4"/>
    <w:rsid w:val="00D90CC4"/>
    <w:rsid w:val="00D90DE2"/>
    <w:rsid w:val="00D90DFE"/>
    <w:rsid w:val="00D90F19"/>
    <w:rsid w:val="00D90F7E"/>
    <w:rsid w:val="00D910B0"/>
    <w:rsid w:val="00D916DF"/>
    <w:rsid w:val="00D91B56"/>
    <w:rsid w:val="00D91E37"/>
    <w:rsid w:val="00D93C29"/>
    <w:rsid w:val="00D9677B"/>
    <w:rsid w:val="00D9694C"/>
    <w:rsid w:val="00D96B0D"/>
    <w:rsid w:val="00D96BCF"/>
    <w:rsid w:val="00D96C2B"/>
    <w:rsid w:val="00D96CC3"/>
    <w:rsid w:val="00D96DDE"/>
    <w:rsid w:val="00D9708C"/>
    <w:rsid w:val="00D9736C"/>
    <w:rsid w:val="00D97AEF"/>
    <w:rsid w:val="00D97FAC"/>
    <w:rsid w:val="00DA03E5"/>
    <w:rsid w:val="00DA05A0"/>
    <w:rsid w:val="00DA0873"/>
    <w:rsid w:val="00DA138F"/>
    <w:rsid w:val="00DA13E9"/>
    <w:rsid w:val="00DA180D"/>
    <w:rsid w:val="00DA241E"/>
    <w:rsid w:val="00DA294D"/>
    <w:rsid w:val="00DA2E21"/>
    <w:rsid w:val="00DA2EF4"/>
    <w:rsid w:val="00DA348F"/>
    <w:rsid w:val="00DA42AE"/>
    <w:rsid w:val="00DA4616"/>
    <w:rsid w:val="00DA4664"/>
    <w:rsid w:val="00DA48F4"/>
    <w:rsid w:val="00DA5131"/>
    <w:rsid w:val="00DA557F"/>
    <w:rsid w:val="00DA55BE"/>
    <w:rsid w:val="00DA5670"/>
    <w:rsid w:val="00DA64CC"/>
    <w:rsid w:val="00DA72B7"/>
    <w:rsid w:val="00DA7A59"/>
    <w:rsid w:val="00DA7BE0"/>
    <w:rsid w:val="00DA7E8A"/>
    <w:rsid w:val="00DB0096"/>
    <w:rsid w:val="00DB0738"/>
    <w:rsid w:val="00DB07AE"/>
    <w:rsid w:val="00DB133C"/>
    <w:rsid w:val="00DB1357"/>
    <w:rsid w:val="00DB29E8"/>
    <w:rsid w:val="00DB2D1C"/>
    <w:rsid w:val="00DB3C2F"/>
    <w:rsid w:val="00DB3CBB"/>
    <w:rsid w:val="00DB4CAB"/>
    <w:rsid w:val="00DB5334"/>
    <w:rsid w:val="00DB5942"/>
    <w:rsid w:val="00DB68CE"/>
    <w:rsid w:val="00DB77D3"/>
    <w:rsid w:val="00DC0929"/>
    <w:rsid w:val="00DC09DF"/>
    <w:rsid w:val="00DC1102"/>
    <w:rsid w:val="00DC14A6"/>
    <w:rsid w:val="00DC259D"/>
    <w:rsid w:val="00DC2972"/>
    <w:rsid w:val="00DC31DF"/>
    <w:rsid w:val="00DC376F"/>
    <w:rsid w:val="00DC3E2F"/>
    <w:rsid w:val="00DC41A3"/>
    <w:rsid w:val="00DC4479"/>
    <w:rsid w:val="00DC5BAA"/>
    <w:rsid w:val="00DC5FA3"/>
    <w:rsid w:val="00DC6A24"/>
    <w:rsid w:val="00DC70E8"/>
    <w:rsid w:val="00DC74F7"/>
    <w:rsid w:val="00DD0267"/>
    <w:rsid w:val="00DD0577"/>
    <w:rsid w:val="00DD13B5"/>
    <w:rsid w:val="00DD17DB"/>
    <w:rsid w:val="00DD1CEB"/>
    <w:rsid w:val="00DD23FA"/>
    <w:rsid w:val="00DD27E9"/>
    <w:rsid w:val="00DD2BB6"/>
    <w:rsid w:val="00DD2D7C"/>
    <w:rsid w:val="00DD3049"/>
    <w:rsid w:val="00DD36F0"/>
    <w:rsid w:val="00DD3D97"/>
    <w:rsid w:val="00DD4D45"/>
    <w:rsid w:val="00DD566D"/>
    <w:rsid w:val="00DD5809"/>
    <w:rsid w:val="00DD5885"/>
    <w:rsid w:val="00DD6583"/>
    <w:rsid w:val="00DD658B"/>
    <w:rsid w:val="00DD6E93"/>
    <w:rsid w:val="00DD7AEA"/>
    <w:rsid w:val="00DD7FCB"/>
    <w:rsid w:val="00DE04F5"/>
    <w:rsid w:val="00DE1EF2"/>
    <w:rsid w:val="00DE2652"/>
    <w:rsid w:val="00DE39E6"/>
    <w:rsid w:val="00DE5798"/>
    <w:rsid w:val="00DE5859"/>
    <w:rsid w:val="00DE58C1"/>
    <w:rsid w:val="00DE5E02"/>
    <w:rsid w:val="00DE5F85"/>
    <w:rsid w:val="00DE605F"/>
    <w:rsid w:val="00DE6494"/>
    <w:rsid w:val="00DE692D"/>
    <w:rsid w:val="00DE78C4"/>
    <w:rsid w:val="00DE7C1D"/>
    <w:rsid w:val="00DE7DD4"/>
    <w:rsid w:val="00DF036F"/>
    <w:rsid w:val="00DF07AD"/>
    <w:rsid w:val="00DF117A"/>
    <w:rsid w:val="00DF151E"/>
    <w:rsid w:val="00DF3339"/>
    <w:rsid w:val="00DF393C"/>
    <w:rsid w:val="00DF3D3D"/>
    <w:rsid w:val="00DF4225"/>
    <w:rsid w:val="00DF4689"/>
    <w:rsid w:val="00DF5C28"/>
    <w:rsid w:val="00DF5D8E"/>
    <w:rsid w:val="00DF623A"/>
    <w:rsid w:val="00DF6450"/>
    <w:rsid w:val="00DF666A"/>
    <w:rsid w:val="00DF66AC"/>
    <w:rsid w:val="00DF6F12"/>
    <w:rsid w:val="00DF7007"/>
    <w:rsid w:val="00DF758C"/>
    <w:rsid w:val="00E006DB"/>
    <w:rsid w:val="00E0190D"/>
    <w:rsid w:val="00E020D5"/>
    <w:rsid w:val="00E02311"/>
    <w:rsid w:val="00E02414"/>
    <w:rsid w:val="00E03A3F"/>
    <w:rsid w:val="00E04CE6"/>
    <w:rsid w:val="00E05754"/>
    <w:rsid w:val="00E057D1"/>
    <w:rsid w:val="00E06C8B"/>
    <w:rsid w:val="00E0791A"/>
    <w:rsid w:val="00E079B2"/>
    <w:rsid w:val="00E10209"/>
    <w:rsid w:val="00E10C49"/>
    <w:rsid w:val="00E10CEF"/>
    <w:rsid w:val="00E110DD"/>
    <w:rsid w:val="00E116A7"/>
    <w:rsid w:val="00E11D67"/>
    <w:rsid w:val="00E126A5"/>
    <w:rsid w:val="00E12769"/>
    <w:rsid w:val="00E12824"/>
    <w:rsid w:val="00E12FEC"/>
    <w:rsid w:val="00E131C0"/>
    <w:rsid w:val="00E1333B"/>
    <w:rsid w:val="00E1347A"/>
    <w:rsid w:val="00E14292"/>
    <w:rsid w:val="00E1441A"/>
    <w:rsid w:val="00E14BD2"/>
    <w:rsid w:val="00E14E7E"/>
    <w:rsid w:val="00E1551B"/>
    <w:rsid w:val="00E15E6D"/>
    <w:rsid w:val="00E1600C"/>
    <w:rsid w:val="00E164A8"/>
    <w:rsid w:val="00E165AC"/>
    <w:rsid w:val="00E16BFA"/>
    <w:rsid w:val="00E1733B"/>
    <w:rsid w:val="00E1740D"/>
    <w:rsid w:val="00E204B3"/>
    <w:rsid w:val="00E20B57"/>
    <w:rsid w:val="00E21BA9"/>
    <w:rsid w:val="00E228BF"/>
    <w:rsid w:val="00E22C17"/>
    <w:rsid w:val="00E23325"/>
    <w:rsid w:val="00E2395F"/>
    <w:rsid w:val="00E23ACF"/>
    <w:rsid w:val="00E23BD9"/>
    <w:rsid w:val="00E23E6D"/>
    <w:rsid w:val="00E2493B"/>
    <w:rsid w:val="00E24C6A"/>
    <w:rsid w:val="00E24D06"/>
    <w:rsid w:val="00E24DED"/>
    <w:rsid w:val="00E257D6"/>
    <w:rsid w:val="00E25D51"/>
    <w:rsid w:val="00E264CA"/>
    <w:rsid w:val="00E26DB1"/>
    <w:rsid w:val="00E26E86"/>
    <w:rsid w:val="00E279D1"/>
    <w:rsid w:val="00E27E03"/>
    <w:rsid w:val="00E307E5"/>
    <w:rsid w:val="00E30C9D"/>
    <w:rsid w:val="00E313C6"/>
    <w:rsid w:val="00E3153F"/>
    <w:rsid w:val="00E31FBB"/>
    <w:rsid w:val="00E3215B"/>
    <w:rsid w:val="00E32182"/>
    <w:rsid w:val="00E321EC"/>
    <w:rsid w:val="00E325BB"/>
    <w:rsid w:val="00E326B4"/>
    <w:rsid w:val="00E3368C"/>
    <w:rsid w:val="00E3435C"/>
    <w:rsid w:val="00E3530F"/>
    <w:rsid w:val="00E355AA"/>
    <w:rsid w:val="00E366FC"/>
    <w:rsid w:val="00E36FED"/>
    <w:rsid w:val="00E370FB"/>
    <w:rsid w:val="00E377A2"/>
    <w:rsid w:val="00E37971"/>
    <w:rsid w:val="00E403D1"/>
    <w:rsid w:val="00E40DB5"/>
    <w:rsid w:val="00E414E6"/>
    <w:rsid w:val="00E41590"/>
    <w:rsid w:val="00E4171D"/>
    <w:rsid w:val="00E41AC4"/>
    <w:rsid w:val="00E41BCC"/>
    <w:rsid w:val="00E41E1F"/>
    <w:rsid w:val="00E41FFE"/>
    <w:rsid w:val="00E421A9"/>
    <w:rsid w:val="00E42BAD"/>
    <w:rsid w:val="00E42F13"/>
    <w:rsid w:val="00E432B6"/>
    <w:rsid w:val="00E43FE6"/>
    <w:rsid w:val="00E4432A"/>
    <w:rsid w:val="00E443E7"/>
    <w:rsid w:val="00E44ABD"/>
    <w:rsid w:val="00E44B39"/>
    <w:rsid w:val="00E44CC4"/>
    <w:rsid w:val="00E45F8A"/>
    <w:rsid w:val="00E46AF1"/>
    <w:rsid w:val="00E4718A"/>
    <w:rsid w:val="00E47248"/>
    <w:rsid w:val="00E4751E"/>
    <w:rsid w:val="00E4752F"/>
    <w:rsid w:val="00E47A38"/>
    <w:rsid w:val="00E47B2D"/>
    <w:rsid w:val="00E50081"/>
    <w:rsid w:val="00E501C2"/>
    <w:rsid w:val="00E50512"/>
    <w:rsid w:val="00E50898"/>
    <w:rsid w:val="00E51F23"/>
    <w:rsid w:val="00E52914"/>
    <w:rsid w:val="00E529CB"/>
    <w:rsid w:val="00E5324E"/>
    <w:rsid w:val="00E53893"/>
    <w:rsid w:val="00E53BD9"/>
    <w:rsid w:val="00E54AC0"/>
    <w:rsid w:val="00E54C14"/>
    <w:rsid w:val="00E551E0"/>
    <w:rsid w:val="00E5534E"/>
    <w:rsid w:val="00E558F3"/>
    <w:rsid w:val="00E55A7B"/>
    <w:rsid w:val="00E56017"/>
    <w:rsid w:val="00E560CD"/>
    <w:rsid w:val="00E56378"/>
    <w:rsid w:val="00E573BB"/>
    <w:rsid w:val="00E57CC4"/>
    <w:rsid w:val="00E60336"/>
    <w:rsid w:val="00E603C4"/>
    <w:rsid w:val="00E60545"/>
    <w:rsid w:val="00E60A27"/>
    <w:rsid w:val="00E60C81"/>
    <w:rsid w:val="00E620ED"/>
    <w:rsid w:val="00E6236A"/>
    <w:rsid w:val="00E62BF0"/>
    <w:rsid w:val="00E636B7"/>
    <w:rsid w:val="00E64920"/>
    <w:rsid w:val="00E65994"/>
    <w:rsid w:val="00E65BC4"/>
    <w:rsid w:val="00E661FB"/>
    <w:rsid w:val="00E66D58"/>
    <w:rsid w:val="00E67175"/>
    <w:rsid w:val="00E704C6"/>
    <w:rsid w:val="00E70E8B"/>
    <w:rsid w:val="00E70FD3"/>
    <w:rsid w:val="00E71672"/>
    <w:rsid w:val="00E7167F"/>
    <w:rsid w:val="00E71BD7"/>
    <w:rsid w:val="00E723F2"/>
    <w:rsid w:val="00E72DBF"/>
    <w:rsid w:val="00E72FA3"/>
    <w:rsid w:val="00E73590"/>
    <w:rsid w:val="00E745A2"/>
    <w:rsid w:val="00E74666"/>
    <w:rsid w:val="00E74756"/>
    <w:rsid w:val="00E7521D"/>
    <w:rsid w:val="00E75E68"/>
    <w:rsid w:val="00E76549"/>
    <w:rsid w:val="00E765CF"/>
    <w:rsid w:val="00E76644"/>
    <w:rsid w:val="00E76E1C"/>
    <w:rsid w:val="00E777A2"/>
    <w:rsid w:val="00E77D19"/>
    <w:rsid w:val="00E77F9A"/>
    <w:rsid w:val="00E8044D"/>
    <w:rsid w:val="00E807A3"/>
    <w:rsid w:val="00E808F5"/>
    <w:rsid w:val="00E80983"/>
    <w:rsid w:val="00E8110A"/>
    <w:rsid w:val="00E812B8"/>
    <w:rsid w:val="00E824C4"/>
    <w:rsid w:val="00E82EAB"/>
    <w:rsid w:val="00E83F89"/>
    <w:rsid w:val="00E83F94"/>
    <w:rsid w:val="00E8454F"/>
    <w:rsid w:val="00E84C0D"/>
    <w:rsid w:val="00E8562A"/>
    <w:rsid w:val="00E86075"/>
    <w:rsid w:val="00E86106"/>
    <w:rsid w:val="00E8791E"/>
    <w:rsid w:val="00E9037E"/>
    <w:rsid w:val="00E9046E"/>
    <w:rsid w:val="00E91348"/>
    <w:rsid w:val="00E9233E"/>
    <w:rsid w:val="00E930B1"/>
    <w:rsid w:val="00E93969"/>
    <w:rsid w:val="00E940D0"/>
    <w:rsid w:val="00E94238"/>
    <w:rsid w:val="00E94610"/>
    <w:rsid w:val="00E95151"/>
    <w:rsid w:val="00E95468"/>
    <w:rsid w:val="00E95FDA"/>
    <w:rsid w:val="00E960D5"/>
    <w:rsid w:val="00E963F9"/>
    <w:rsid w:val="00E9655F"/>
    <w:rsid w:val="00E966CC"/>
    <w:rsid w:val="00E9691E"/>
    <w:rsid w:val="00E96F0B"/>
    <w:rsid w:val="00E9702E"/>
    <w:rsid w:val="00E97C2E"/>
    <w:rsid w:val="00EA0CCB"/>
    <w:rsid w:val="00EA0F05"/>
    <w:rsid w:val="00EA1BEF"/>
    <w:rsid w:val="00EA1D30"/>
    <w:rsid w:val="00EA1F15"/>
    <w:rsid w:val="00EA253E"/>
    <w:rsid w:val="00EA3124"/>
    <w:rsid w:val="00EA3CBC"/>
    <w:rsid w:val="00EA5003"/>
    <w:rsid w:val="00EA50C8"/>
    <w:rsid w:val="00EA559B"/>
    <w:rsid w:val="00EA5EBA"/>
    <w:rsid w:val="00EA6297"/>
    <w:rsid w:val="00EA706C"/>
    <w:rsid w:val="00EB08FB"/>
    <w:rsid w:val="00EB1155"/>
    <w:rsid w:val="00EB12AB"/>
    <w:rsid w:val="00EB1AF2"/>
    <w:rsid w:val="00EB1E6C"/>
    <w:rsid w:val="00EB2135"/>
    <w:rsid w:val="00EB3036"/>
    <w:rsid w:val="00EB303B"/>
    <w:rsid w:val="00EB3DF1"/>
    <w:rsid w:val="00EB4A6F"/>
    <w:rsid w:val="00EB5215"/>
    <w:rsid w:val="00EB5B71"/>
    <w:rsid w:val="00EB5F47"/>
    <w:rsid w:val="00EB6480"/>
    <w:rsid w:val="00EB6BE8"/>
    <w:rsid w:val="00EB74F4"/>
    <w:rsid w:val="00EB75AE"/>
    <w:rsid w:val="00EB7A56"/>
    <w:rsid w:val="00EB7DB4"/>
    <w:rsid w:val="00EC1189"/>
    <w:rsid w:val="00EC16F7"/>
    <w:rsid w:val="00EC21F4"/>
    <w:rsid w:val="00EC240F"/>
    <w:rsid w:val="00EC2827"/>
    <w:rsid w:val="00EC357D"/>
    <w:rsid w:val="00EC36BF"/>
    <w:rsid w:val="00EC4189"/>
    <w:rsid w:val="00EC54A5"/>
    <w:rsid w:val="00EC66E7"/>
    <w:rsid w:val="00EC7B41"/>
    <w:rsid w:val="00EC7B6C"/>
    <w:rsid w:val="00ED0290"/>
    <w:rsid w:val="00ED0576"/>
    <w:rsid w:val="00ED14C4"/>
    <w:rsid w:val="00ED14F6"/>
    <w:rsid w:val="00ED1539"/>
    <w:rsid w:val="00ED1A68"/>
    <w:rsid w:val="00ED1D7A"/>
    <w:rsid w:val="00ED23C8"/>
    <w:rsid w:val="00ED24C8"/>
    <w:rsid w:val="00ED28A3"/>
    <w:rsid w:val="00ED2ADC"/>
    <w:rsid w:val="00ED3A00"/>
    <w:rsid w:val="00ED4806"/>
    <w:rsid w:val="00ED4B08"/>
    <w:rsid w:val="00ED6043"/>
    <w:rsid w:val="00ED621E"/>
    <w:rsid w:val="00ED6D07"/>
    <w:rsid w:val="00ED6ED2"/>
    <w:rsid w:val="00EE032D"/>
    <w:rsid w:val="00EE0BFD"/>
    <w:rsid w:val="00EE21E4"/>
    <w:rsid w:val="00EE2708"/>
    <w:rsid w:val="00EE3145"/>
    <w:rsid w:val="00EE3DDC"/>
    <w:rsid w:val="00EE413D"/>
    <w:rsid w:val="00EE4630"/>
    <w:rsid w:val="00EE4CB3"/>
    <w:rsid w:val="00EE5644"/>
    <w:rsid w:val="00EE5A00"/>
    <w:rsid w:val="00EE5C1D"/>
    <w:rsid w:val="00EE660E"/>
    <w:rsid w:val="00EE69AA"/>
    <w:rsid w:val="00EE71FA"/>
    <w:rsid w:val="00EE7A43"/>
    <w:rsid w:val="00EF0357"/>
    <w:rsid w:val="00EF06A9"/>
    <w:rsid w:val="00EF0DAA"/>
    <w:rsid w:val="00EF14B9"/>
    <w:rsid w:val="00EF164F"/>
    <w:rsid w:val="00EF1EB5"/>
    <w:rsid w:val="00EF2340"/>
    <w:rsid w:val="00EF435E"/>
    <w:rsid w:val="00EF4870"/>
    <w:rsid w:val="00EF4F3B"/>
    <w:rsid w:val="00EF54F5"/>
    <w:rsid w:val="00EF56D4"/>
    <w:rsid w:val="00EF597D"/>
    <w:rsid w:val="00EF5BE9"/>
    <w:rsid w:val="00EF61B6"/>
    <w:rsid w:val="00EF6FC0"/>
    <w:rsid w:val="00EF78EB"/>
    <w:rsid w:val="00F00B65"/>
    <w:rsid w:val="00F0121F"/>
    <w:rsid w:val="00F02188"/>
    <w:rsid w:val="00F021BD"/>
    <w:rsid w:val="00F023B3"/>
    <w:rsid w:val="00F028FB"/>
    <w:rsid w:val="00F02C39"/>
    <w:rsid w:val="00F02DDA"/>
    <w:rsid w:val="00F05106"/>
    <w:rsid w:val="00F052B8"/>
    <w:rsid w:val="00F06492"/>
    <w:rsid w:val="00F071C1"/>
    <w:rsid w:val="00F07649"/>
    <w:rsid w:val="00F07AD2"/>
    <w:rsid w:val="00F07ED0"/>
    <w:rsid w:val="00F11889"/>
    <w:rsid w:val="00F11968"/>
    <w:rsid w:val="00F119E9"/>
    <w:rsid w:val="00F1217D"/>
    <w:rsid w:val="00F123AA"/>
    <w:rsid w:val="00F12744"/>
    <w:rsid w:val="00F12D7D"/>
    <w:rsid w:val="00F1310A"/>
    <w:rsid w:val="00F1387C"/>
    <w:rsid w:val="00F13989"/>
    <w:rsid w:val="00F13C22"/>
    <w:rsid w:val="00F1477A"/>
    <w:rsid w:val="00F150A9"/>
    <w:rsid w:val="00F15C56"/>
    <w:rsid w:val="00F16265"/>
    <w:rsid w:val="00F16601"/>
    <w:rsid w:val="00F16F0F"/>
    <w:rsid w:val="00F1700C"/>
    <w:rsid w:val="00F17200"/>
    <w:rsid w:val="00F17336"/>
    <w:rsid w:val="00F20541"/>
    <w:rsid w:val="00F20575"/>
    <w:rsid w:val="00F20AF8"/>
    <w:rsid w:val="00F21D45"/>
    <w:rsid w:val="00F2224B"/>
    <w:rsid w:val="00F2268A"/>
    <w:rsid w:val="00F22DAA"/>
    <w:rsid w:val="00F23386"/>
    <w:rsid w:val="00F234C2"/>
    <w:rsid w:val="00F2380C"/>
    <w:rsid w:val="00F23B98"/>
    <w:rsid w:val="00F24FC8"/>
    <w:rsid w:val="00F258BF"/>
    <w:rsid w:val="00F25B8C"/>
    <w:rsid w:val="00F25BB0"/>
    <w:rsid w:val="00F25DC5"/>
    <w:rsid w:val="00F263B3"/>
    <w:rsid w:val="00F273FB"/>
    <w:rsid w:val="00F275BC"/>
    <w:rsid w:val="00F302F3"/>
    <w:rsid w:val="00F3155C"/>
    <w:rsid w:val="00F31A64"/>
    <w:rsid w:val="00F32B31"/>
    <w:rsid w:val="00F32D13"/>
    <w:rsid w:val="00F33138"/>
    <w:rsid w:val="00F33249"/>
    <w:rsid w:val="00F336B9"/>
    <w:rsid w:val="00F336D9"/>
    <w:rsid w:val="00F33A05"/>
    <w:rsid w:val="00F3497B"/>
    <w:rsid w:val="00F35D0A"/>
    <w:rsid w:val="00F36A5E"/>
    <w:rsid w:val="00F36E74"/>
    <w:rsid w:val="00F40970"/>
    <w:rsid w:val="00F40CC5"/>
    <w:rsid w:val="00F41371"/>
    <w:rsid w:val="00F4180D"/>
    <w:rsid w:val="00F41B8E"/>
    <w:rsid w:val="00F423EF"/>
    <w:rsid w:val="00F42A97"/>
    <w:rsid w:val="00F42AA0"/>
    <w:rsid w:val="00F42CCB"/>
    <w:rsid w:val="00F438DC"/>
    <w:rsid w:val="00F43A7F"/>
    <w:rsid w:val="00F4475A"/>
    <w:rsid w:val="00F44CE7"/>
    <w:rsid w:val="00F44D7F"/>
    <w:rsid w:val="00F4671F"/>
    <w:rsid w:val="00F4755C"/>
    <w:rsid w:val="00F47BD2"/>
    <w:rsid w:val="00F47FB2"/>
    <w:rsid w:val="00F50390"/>
    <w:rsid w:val="00F5052E"/>
    <w:rsid w:val="00F509BA"/>
    <w:rsid w:val="00F51D78"/>
    <w:rsid w:val="00F521BB"/>
    <w:rsid w:val="00F5276E"/>
    <w:rsid w:val="00F529C7"/>
    <w:rsid w:val="00F53ED7"/>
    <w:rsid w:val="00F54A8F"/>
    <w:rsid w:val="00F558CC"/>
    <w:rsid w:val="00F56123"/>
    <w:rsid w:val="00F56265"/>
    <w:rsid w:val="00F56996"/>
    <w:rsid w:val="00F56F6D"/>
    <w:rsid w:val="00F57300"/>
    <w:rsid w:val="00F601E0"/>
    <w:rsid w:val="00F6026C"/>
    <w:rsid w:val="00F61177"/>
    <w:rsid w:val="00F61809"/>
    <w:rsid w:val="00F61CE0"/>
    <w:rsid w:val="00F61E3B"/>
    <w:rsid w:val="00F61FA7"/>
    <w:rsid w:val="00F62AB3"/>
    <w:rsid w:val="00F62BAF"/>
    <w:rsid w:val="00F6367D"/>
    <w:rsid w:val="00F6379E"/>
    <w:rsid w:val="00F639BC"/>
    <w:rsid w:val="00F63FBA"/>
    <w:rsid w:val="00F654AE"/>
    <w:rsid w:val="00F6591A"/>
    <w:rsid w:val="00F65E25"/>
    <w:rsid w:val="00F66417"/>
    <w:rsid w:val="00F66A1B"/>
    <w:rsid w:val="00F66F48"/>
    <w:rsid w:val="00F67373"/>
    <w:rsid w:val="00F70718"/>
    <w:rsid w:val="00F709EB"/>
    <w:rsid w:val="00F70D2C"/>
    <w:rsid w:val="00F710DE"/>
    <w:rsid w:val="00F71208"/>
    <w:rsid w:val="00F71300"/>
    <w:rsid w:val="00F7160B"/>
    <w:rsid w:val="00F716E4"/>
    <w:rsid w:val="00F71C25"/>
    <w:rsid w:val="00F72865"/>
    <w:rsid w:val="00F72E97"/>
    <w:rsid w:val="00F73010"/>
    <w:rsid w:val="00F730E9"/>
    <w:rsid w:val="00F73EDC"/>
    <w:rsid w:val="00F74295"/>
    <w:rsid w:val="00F7433A"/>
    <w:rsid w:val="00F74768"/>
    <w:rsid w:val="00F74A35"/>
    <w:rsid w:val="00F75114"/>
    <w:rsid w:val="00F75969"/>
    <w:rsid w:val="00F75EF6"/>
    <w:rsid w:val="00F7612B"/>
    <w:rsid w:val="00F767EE"/>
    <w:rsid w:val="00F76D53"/>
    <w:rsid w:val="00F77748"/>
    <w:rsid w:val="00F777E9"/>
    <w:rsid w:val="00F77803"/>
    <w:rsid w:val="00F807F9"/>
    <w:rsid w:val="00F81459"/>
    <w:rsid w:val="00F81F5B"/>
    <w:rsid w:val="00F821A8"/>
    <w:rsid w:val="00F825AE"/>
    <w:rsid w:val="00F82843"/>
    <w:rsid w:val="00F828B0"/>
    <w:rsid w:val="00F833AC"/>
    <w:rsid w:val="00F83744"/>
    <w:rsid w:val="00F839B6"/>
    <w:rsid w:val="00F83A0D"/>
    <w:rsid w:val="00F84500"/>
    <w:rsid w:val="00F84564"/>
    <w:rsid w:val="00F86602"/>
    <w:rsid w:val="00F86DC4"/>
    <w:rsid w:val="00F87649"/>
    <w:rsid w:val="00F900E0"/>
    <w:rsid w:val="00F90158"/>
    <w:rsid w:val="00F9025F"/>
    <w:rsid w:val="00F90686"/>
    <w:rsid w:val="00F9072F"/>
    <w:rsid w:val="00F90E82"/>
    <w:rsid w:val="00F9114D"/>
    <w:rsid w:val="00F916FD"/>
    <w:rsid w:val="00F9183C"/>
    <w:rsid w:val="00F92522"/>
    <w:rsid w:val="00F92758"/>
    <w:rsid w:val="00F92E8C"/>
    <w:rsid w:val="00F932AF"/>
    <w:rsid w:val="00F93388"/>
    <w:rsid w:val="00F93584"/>
    <w:rsid w:val="00F9371F"/>
    <w:rsid w:val="00F93F68"/>
    <w:rsid w:val="00F9411E"/>
    <w:rsid w:val="00F9420A"/>
    <w:rsid w:val="00F950D4"/>
    <w:rsid w:val="00F950D9"/>
    <w:rsid w:val="00F95436"/>
    <w:rsid w:val="00F955DD"/>
    <w:rsid w:val="00F978C5"/>
    <w:rsid w:val="00FA0CD5"/>
    <w:rsid w:val="00FA0DA8"/>
    <w:rsid w:val="00FA15DB"/>
    <w:rsid w:val="00FA2EB3"/>
    <w:rsid w:val="00FA2FCD"/>
    <w:rsid w:val="00FA313E"/>
    <w:rsid w:val="00FA3634"/>
    <w:rsid w:val="00FA3D5D"/>
    <w:rsid w:val="00FA4A69"/>
    <w:rsid w:val="00FA5567"/>
    <w:rsid w:val="00FA5BC8"/>
    <w:rsid w:val="00FA5D39"/>
    <w:rsid w:val="00FA6353"/>
    <w:rsid w:val="00FA682B"/>
    <w:rsid w:val="00FA6B38"/>
    <w:rsid w:val="00FA73D4"/>
    <w:rsid w:val="00FA75DC"/>
    <w:rsid w:val="00FB0A07"/>
    <w:rsid w:val="00FB1117"/>
    <w:rsid w:val="00FB160E"/>
    <w:rsid w:val="00FB253E"/>
    <w:rsid w:val="00FB30AD"/>
    <w:rsid w:val="00FB3416"/>
    <w:rsid w:val="00FB3490"/>
    <w:rsid w:val="00FB3D39"/>
    <w:rsid w:val="00FB41A6"/>
    <w:rsid w:val="00FB4244"/>
    <w:rsid w:val="00FB49A0"/>
    <w:rsid w:val="00FB4D01"/>
    <w:rsid w:val="00FB5892"/>
    <w:rsid w:val="00FB5923"/>
    <w:rsid w:val="00FB60DA"/>
    <w:rsid w:val="00FB62CC"/>
    <w:rsid w:val="00FB698A"/>
    <w:rsid w:val="00FB6CF2"/>
    <w:rsid w:val="00FC03EE"/>
    <w:rsid w:val="00FC1464"/>
    <w:rsid w:val="00FC1626"/>
    <w:rsid w:val="00FC19D6"/>
    <w:rsid w:val="00FC2292"/>
    <w:rsid w:val="00FC26B2"/>
    <w:rsid w:val="00FC2797"/>
    <w:rsid w:val="00FC2F93"/>
    <w:rsid w:val="00FC3402"/>
    <w:rsid w:val="00FC3A03"/>
    <w:rsid w:val="00FC4575"/>
    <w:rsid w:val="00FC4576"/>
    <w:rsid w:val="00FC4963"/>
    <w:rsid w:val="00FC49E8"/>
    <w:rsid w:val="00FC4DFB"/>
    <w:rsid w:val="00FC5323"/>
    <w:rsid w:val="00FC53ED"/>
    <w:rsid w:val="00FC69CE"/>
    <w:rsid w:val="00FC6F05"/>
    <w:rsid w:val="00FC7828"/>
    <w:rsid w:val="00FC7BC1"/>
    <w:rsid w:val="00FD042B"/>
    <w:rsid w:val="00FD07ED"/>
    <w:rsid w:val="00FD0EDE"/>
    <w:rsid w:val="00FD136A"/>
    <w:rsid w:val="00FD248D"/>
    <w:rsid w:val="00FD29EF"/>
    <w:rsid w:val="00FD395B"/>
    <w:rsid w:val="00FD3EBB"/>
    <w:rsid w:val="00FD3F1A"/>
    <w:rsid w:val="00FD4237"/>
    <w:rsid w:val="00FD4975"/>
    <w:rsid w:val="00FD560C"/>
    <w:rsid w:val="00FD56B7"/>
    <w:rsid w:val="00FD599C"/>
    <w:rsid w:val="00FD64BA"/>
    <w:rsid w:val="00FD6918"/>
    <w:rsid w:val="00FD6FB8"/>
    <w:rsid w:val="00FD72CC"/>
    <w:rsid w:val="00FD7B57"/>
    <w:rsid w:val="00FE00EA"/>
    <w:rsid w:val="00FE02A3"/>
    <w:rsid w:val="00FE0AD6"/>
    <w:rsid w:val="00FE17E5"/>
    <w:rsid w:val="00FE195F"/>
    <w:rsid w:val="00FE23CE"/>
    <w:rsid w:val="00FE3F01"/>
    <w:rsid w:val="00FE3FC8"/>
    <w:rsid w:val="00FE4307"/>
    <w:rsid w:val="00FE4D00"/>
    <w:rsid w:val="00FE53C6"/>
    <w:rsid w:val="00FE570B"/>
    <w:rsid w:val="00FE5D08"/>
    <w:rsid w:val="00FE6165"/>
    <w:rsid w:val="00FF19C0"/>
    <w:rsid w:val="00FF254D"/>
    <w:rsid w:val="00FF2790"/>
    <w:rsid w:val="00FF2A95"/>
    <w:rsid w:val="00FF2E57"/>
    <w:rsid w:val="00FF3FA4"/>
    <w:rsid w:val="00FF45E5"/>
    <w:rsid w:val="00FF4FB1"/>
    <w:rsid w:val="00FF4FBC"/>
    <w:rsid w:val="00FF6398"/>
    <w:rsid w:val="00FF677D"/>
    <w:rsid w:val="00FF6A29"/>
    <w:rsid w:val="00FF73B8"/>
    <w:rsid w:val="016D1C79"/>
    <w:rsid w:val="01862CE2"/>
    <w:rsid w:val="018DE93C"/>
    <w:rsid w:val="019B48EB"/>
    <w:rsid w:val="0206C544"/>
    <w:rsid w:val="0207CA5C"/>
    <w:rsid w:val="0230E1FA"/>
    <w:rsid w:val="025500BC"/>
    <w:rsid w:val="02B56E06"/>
    <w:rsid w:val="02BA2BB2"/>
    <w:rsid w:val="02DA6861"/>
    <w:rsid w:val="02DBC7AD"/>
    <w:rsid w:val="02E8C45F"/>
    <w:rsid w:val="0312079C"/>
    <w:rsid w:val="0315F6A7"/>
    <w:rsid w:val="03935D11"/>
    <w:rsid w:val="03C123D0"/>
    <w:rsid w:val="042F0A18"/>
    <w:rsid w:val="0433DF82"/>
    <w:rsid w:val="044A7A5D"/>
    <w:rsid w:val="0498A2CB"/>
    <w:rsid w:val="04C642FA"/>
    <w:rsid w:val="04D1BB89"/>
    <w:rsid w:val="05080612"/>
    <w:rsid w:val="0508C3AF"/>
    <w:rsid w:val="0529C7AE"/>
    <w:rsid w:val="053A56AE"/>
    <w:rsid w:val="053FCF33"/>
    <w:rsid w:val="0595D0C8"/>
    <w:rsid w:val="059BF6D3"/>
    <w:rsid w:val="05B2CE03"/>
    <w:rsid w:val="05CA82F5"/>
    <w:rsid w:val="05E88715"/>
    <w:rsid w:val="060159AA"/>
    <w:rsid w:val="061C2F51"/>
    <w:rsid w:val="06231607"/>
    <w:rsid w:val="062D5EBA"/>
    <w:rsid w:val="0687269D"/>
    <w:rsid w:val="06A6D3FC"/>
    <w:rsid w:val="06DAB25A"/>
    <w:rsid w:val="0736AD85"/>
    <w:rsid w:val="0746A1F3"/>
    <w:rsid w:val="0779B025"/>
    <w:rsid w:val="077B3DAF"/>
    <w:rsid w:val="0782AA8A"/>
    <w:rsid w:val="07A1B2E4"/>
    <w:rsid w:val="07CA2FCF"/>
    <w:rsid w:val="07F0615B"/>
    <w:rsid w:val="07FB02F3"/>
    <w:rsid w:val="08054BA8"/>
    <w:rsid w:val="0805E1B8"/>
    <w:rsid w:val="081E0F88"/>
    <w:rsid w:val="08327334"/>
    <w:rsid w:val="083A671E"/>
    <w:rsid w:val="089705A3"/>
    <w:rsid w:val="08AD6DD9"/>
    <w:rsid w:val="090F8839"/>
    <w:rsid w:val="0946D026"/>
    <w:rsid w:val="0951B97F"/>
    <w:rsid w:val="096ABF4C"/>
    <w:rsid w:val="098E4CD8"/>
    <w:rsid w:val="09A881C0"/>
    <w:rsid w:val="09C194F6"/>
    <w:rsid w:val="09F722E2"/>
    <w:rsid w:val="0A05D441"/>
    <w:rsid w:val="0A1B73B2"/>
    <w:rsid w:val="0A27E085"/>
    <w:rsid w:val="0A932035"/>
    <w:rsid w:val="0B029744"/>
    <w:rsid w:val="0B194B1F"/>
    <w:rsid w:val="0B2764A5"/>
    <w:rsid w:val="0B37AFB3"/>
    <w:rsid w:val="0B37C9E8"/>
    <w:rsid w:val="0B49C441"/>
    <w:rsid w:val="0B49C66A"/>
    <w:rsid w:val="0B51CDFE"/>
    <w:rsid w:val="0B5D961B"/>
    <w:rsid w:val="0B7378E7"/>
    <w:rsid w:val="0BCD0C51"/>
    <w:rsid w:val="0BF9AE09"/>
    <w:rsid w:val="0C6233C9"/>
    <w:rsid w:val="0C698196"/>
    <w:rsid w:val="0C8B753F"/>
    <w:rsid w:val="0C8FC0DC"/>
    <w:rsid w:val="0C968DB8"/>
    <w:rsid w:val="0CC63029"/>
    <w:rsid w:val="0CE0431D"/>
    <w:rsid w:val="0D4291BC"/>
    <w:rsid w:val="0D53AF72"/>
    <w:rsid w:val="0D7B8227"/>
    <w:rsid w:val="0D8CCA51"/>
    <w:rsid w:val="0DD24E97"/>
    <w:rsid w:val="0DDCD569"/>
    <w:rsid w:val="0DE26D82"/>
    <w:rsid w:val="0DF9B17F"/>
    <w:rsid w:val="0E22D98B"/>
    <w:rsid w:val="0E2ADF5E"/>
    <w:rsid w:val="0E36AA74"/>
    <w:rsid w:val="0E71151F"/>
    <w:rsid w:val="0E763B16"/>
    <w:rsid w:val="0E8EA1C4"/>
    <w:rsid w:val="0E9B9F58"/>
    <w:rsid w:val="0E9D28F3"/>
    <w:rsid w:val="0EC17973"/>
    <w:rsid w:val="0EC7566C"/>
    <w:rsid w:val="0EF7FFD5"/>
    <w:rsid w:val="0F5FFC8A"/>
    <w:rsid w:val="0F8F9F52"/>
    <w:rsid w:val="0FA35F16"/>
    <w:rsid w:val="0FA6F55D"/>
    <w:rsid w:val="0FB9E257"/>
    <w:rsid w:val="0FDD8EB8"/>
    <w:rsid w:val="100B3EEC"/>
    <w:rsid w:val="1072BD6A"/>
    <w:rsid w:val="1087A1F1"/>
    <w:rsid w:val="10BCCF41"/>
    <w:rsid w:val="10E566EB"/>
    <w:rsid w:val="1128CA6D"/>
    <w:rsid w:val="113CB689"/>
    <w:rsid w:val="11409519"/>
    <w:rsid w:val="114C1437"/>
    <w:rsid w:val="1159566F"/>
    <w:rsid w:val="11679861"/>
    <w:rsid w:val="11964182"/>
    <w:rsid w:val="11D09927"/>
    <w:rsid w:val="11D9EF9F"/>
    <w:rsid w:val="11F138D4"/>
    <w:rsid w:val="11F7BC1E"/>
    <w:rsid w:val="11F96A28"/>
    <w:rsid w:val="120C3998"/>
    <w:rsid w:val="12145E96"/>
    <w:rsid w:val="123D52D1"/>
    <w:rsid w:val="124276AC"/>
    <w:rsid w:val="12DE9AE2"/>
    <w:rsid w:val="12FD241C"/>
    <w:rsid w:val="1325CC50"/>
    <w:rsid w:val="134AF0BB"/>
    <w:rsid w:val="1362D1DD"/>
    <w:rsid w:val="13CD51C3"/>
    <w:rsid w:val="13E81250"/>
    <w:rsid w:val="13FD7C20"/>
    <w:rsid w:val="1404F4DA"/>
    <w:rsid w:val="144CDE0B"/>
    <w:rsid w:val="14621D4D"/>
    <w:rsid w:val="146660CE"/>
    <w:rsid w:val="146ECE18"/>
    <w:rsid w:val="1477E192"/>
    <w:rsid w:val="14866CDF"/>
    <w:rsid w:val="1488C7C4"/>
    <w:rsid w:val="14C9BAE8"/>
    <w:rsid w:val="14DA10AC"/>
    <w:rsid w:val="14E8307B"/>
    <w:rsid w:val="14EA5D7D"/>
    <w:rsid w:val="150BDAA1"/>
    <w:rsid w:val="1521FDFE"/>
    <w:rsid w:val="152D78BF"/>
    <w:rsid w:val="1531EE49"/>
    <w:rsid w:val="1537ACA1"/>
    <w:rsid w:val="15572F9A"/>
    <w:rsid w:val="155D2CF7"/>
    <w:rsid w:val="156CC20E"/>
    <w:rsid w:val="158EB431"/>
    <w:rsid w:val="15BCFC6E"/>
    <w:rsid w:val="15E944BD"/>
    <w:rsid w:val="167FC8E8"/>
    <w:rsid w:val="16B1C505"/>
    <w:rsid w:val="16B29256"/>
    <w:rsid w:val="16B6F63F"/>
    <w:rsid w:val="16E90F23"/>
    <w:rsid w:val="16FB0C29"/>
    <w:rsid w:val="17054B94"/>
    <w:rsid w:val="175AC7D4"/>
    <w:rsid w:val="177881DC"/>
    <w:rsid w:val="17AA0A51"/>
    <w:rsid w:val="17B4D198"/>
    <w:rsid w:val="17BF4DC4"/>
    <w:rsid w:val="17D8429B"/>
    <w:rsid w:val="17DD35B1"/>
    <w:rsid w:val="18004BE5"/>
    <w:rsid w:val="183F3502"/>
    <w:rsid w:val="18538783"/>
    <w:rsid w:val="18923E03"/>
    <w:rsid w:val="18CCB90D"/>
    <w:rsid w:val="18E776AC"/>
    <w:rsid w:val="18E9A086"/>
    <w:rsid w:val="18ECD37A"/>
    <w:rsid w:val="1925FC20"/>
    <w:rsid w:val="193ED93E"/>
    <w:rsid w:val="19429CE5"/>
    <w:rsid w:val="194FB528"/>
    <w:rsid w:val="1955082E"/>
    <w:rsid w:val="198430BF"/>
    <w:rsid w:val="1996274D"/>
    <w:rsid w:val="199DB279"/>
    <w:rsid w:val="19B12D78"/>
    <w:rsid w:val="19C9553D"/>
    <w:rsid w:val="19CE1323"/>
    <w:rsid w:val="19F24ECA"/>
    <w:rsid w:val="19FD708A"/>
    <w:rsid w:val="1A002968"/>
    <w:rsid w:val="1A43F182"/>
    <w:rsid w:val="1A890587"/>
    <w:rsid w:val="1A8A7874"/>
    <w:rsid w:val="1AAABA9C"/>
    <w:rsid w:val="1ABD652F"/>
    <w:rsid w:val="1AE8D8AE"/>
    <w:rsid w:val="1B2E1AB4"/>
    <w:rsid w:val="1B63AF3E"/>
    <w:rsid w:val="1BA564DC"/>
    <w:rsid w:val="1BB082BC"/>
    <w:rsid w:val="1BBCD0E6"/>
    <w:rsid w:val="1BC32BA5"/>
    <w:rsid w:val="1C018917"/>
    <w:rsid w:val="1C02FD0E"/>
    <w:rsid w:val="1C366785"/>
    <w:rsid w:val="1C4DF4FC"/>
    <w:rsid w:val="1C6AE6E0"/>
    <w:rsid w:val="1C6B05F2"/>
    <w:rsid w:val="1CA35C4F"/>
    <w:rsid w:val="1CCE5643"/>
    <w:rsid w:val="1CD40D6A"/>
    <w:rsid w:val="1CFDC646"/>
    <w:rsid w:val="1D1580BF"/>
    <w:rsid w:val="1D313B25"/>
    <w:rsid w:val="1D52116D"/>
    <w:rsid w:val="1D7EABEE"/>
    <w:rsid w:val="1D890F21"/>
    <w:rsid w:val="1D8EC67C"/>
    <w:rsid w:val="1DE485A8"/>
    <w:rsid w:val="1E24E0BA"/>
    <w:rsid w:val="1E419EC3"/>
    <w:rsid w:val="1E51625E"/>
    <w:rsid w:val="1E6D375C"/>
    <w:rsid w:val="1E7BE2B6"/>
    <w:rsid w:val="1E865970"/>
    <w:rsid w:val="1ED02791"/>
    <w:rsid w:val="1EF6930C"/>
    <w:rsid w:val="1F1222E6"/>
    <w:rsid w:val="1F126A77"/>
    <w:rsid w:val="1F319231"/>
    <w:rsid w:val="1F643948"/>
    <w:rsid w:val="1F6AF5D1"/>
    <w:rsid w:val="1F96C318"/>
    <w:rsid w:val="1F982074"/>
    <w:rsid w:val="1FB40A31"/>
    <w:rsid w:val="1FBD587D"/>
    <w:rsid w:val="200825AD"/>
    <w:rsid w:val="20327F80"/>
    <w:rsid w:val="20498658"/>
    <w:rsid w:val="204B20C5"/>
    <w:rsid w:val="20771E2D"/>
    <w:rsid w:val="20B051F0"/>
    <w:rsid w:val="20CAC33D"/>
    <w:rsid w:val="20FBA10A"/>
    <w:rsid w:val="210DC1E8"/>
    <w:rsid w:val="2118B537"/>
    <w:rsid w:val="2137D7FC"/>
    <w:rsid w:val="2144E284"/>
    <w:rsid w:val="215EF16E"/>
    <w:rsid w:val="216E7B9E"/>
    <w:rsid w:val="21BA9571"/>
    <w:rsid w:val="21F7FFEC"/>
    <w:rsid w:val="22000825"/>
    <w:rsid w:val="223368CC"/>
    <w:rsid w:val="2240B293"/>
    <w:rsid w:val="2253C063"/>
    <w:rsid w:val="225AFDAD"/>
    <w:rsid w:val="22C5DECF"/>
    <w:rsid w:val="22EA8D2F"/>
    <w:rsid w:val="230671C1"/>
    <w:rsid w:val="230D24D6"/>
    <w:rsid w:val="232589CE"/>
    <w:rsid w:val="2334D6C1"/>
    <w:rsid w:val="234E0611"/>
    <w:rsid w:val="235C774B"/>
    <w:rsid w:val="235CF0C4"/>
    <w:rsid w:val="237566C9"/>
    <w:rsid w:val="237E9392"/>
    <w:rsid w:val="2392D7E0"/>
    <w:rsid w:val="23BE6520"/>
    <w:rsid w:val="23D6E8E8"/>
    <w:rsid w:val="23F519A4"/>
    <w:rsid w:val="23FB0EEC"/>
    <w:rsid w:val="241C993F"/>
    <w:rsid w:val="243A298C"/>
    <w:rsid w:val="2458BF4B"/>
    <w:rsid w:val="24704731"/>
    <w:rsid w:val="24B9DFD6"/>
    <w:rsid w:val="24BF812B"/>
    <w:rsid w:val="24D11D73"/>
    <w:rsid w:val="25231423"/>
    <w:rsid w:val="2523F513"/>
    <w:rsid w:val="253698E7"/>
    <w:rsid w:val="25423C70"/>
    <w:rsid w:val="2586DAD8"/>
    <w:rsid w:val="25871214"/>
    <w:rsid w:val="25F9B0C4"/>
    <w:rsid w:val="261FDB61"/>
    <w:rsid w:val="262EEC4E"/>
    <w:rsid w:val="26561BDF"/>
    <w:rsid w:val="26FE02F1"/>
    <w:rsid w:val="2740350B"/>
    <w:rsid w:val="274968FF"/>
    <w:rsid w:val="27756A62"/>
    <w:rsid w:val="27766681"/>
    <w:rsid w:val="27CBD50F"/>
    <w:rsid w:val="27D93718"/>
    <w:rsid w:val="27DEF989"/>
    <w:rsid w:val="27E29C04"/>
    <w:rsid w:val="27F2E28B"/>
    <w:rsid w:val="2824F7EB"/>
    <w:rsid w:val="282EC089"/>
    <w:rsid w:val="285B7BFE"/>
    <w:rsid w:val="286E82EA"/>
    <w:rsid w:val="288E7022"/>
    <w:rsid w:val="2890BD9E"/>
    <w:rsid w:val="28A8950E"/>
    <w:rsid w:val="28AC575F"/>
    <w:rsid w:val="28BA24B5"/>
    <w:rsid w:val="28EA7FE5"/>
    <w:rsid w:val="29110AA7"/>
    <w:rsid w:val="2912600B"/>
    <w:rsid w:val="294D5F71"/>
    <w:rsid w:val="29606526"/>
    <w:rsid w:val="29768B23"/>
    <w:rsid w:val="2981D7A4"/>
    <w:rsid w:val="2987F815"/>
    <w:rsid w:val="29967D44"/>
    <w:rsid w:val="29A67956"/>
    <w:rsid w:val="29A923D0"/>
    <w:rsid w:val="29B95399"/>
    <w:rsid w:val="29CDC1CA"/>
    <w:rsid w:val="29CF2C5E"/>
    <w:rsid w:val="29E4A84D"/>
    <w:rsid w:val="29F133F1"/>
    <w:rsid w:val="2A306B4E"/>
    <w:rsid w:val="2A577CCD"/>
    <w:rsid w:val="2AA42354"/>
    <w:rsid w:val="2ABE1359"/>
    <w:rsid w:val="2AE485E2"/>
    <w:rsid w:val="2AFEDCFD"/>
    <w:rsid w:val="2B093701"/>
    <w:rsid w:val="2B32A6D6"/>
    <w:rsid w:val="2B500E22"/>
    <w:rsid w:val="2B6EF8F8"/>
    <w:rsid w:val="2BD9CE8A"/>
    <w:rsid w:val="2C0217A4"/>
    <w:rsid w:val="2C23FDCF"/>
    <w:rsid w:val="2C252C4F"/>
    <w:rsid w:val="2C294F9C"/>
    <w:rsid w:val="2C31FADD"/>
    <w:rsid w:val="2C6FFB49"/>
    <w:rsid w:val="2C72F0D7"/>
    <w:rsid w:val="2CAD3EA6"/>
    <w:rsid w:val="2CC3E09F"/>
    <w:rsid w:val="2CC6CCD8"/>
    <w:rsid w:val="2CE26BB1"/>
    <w:rsid w:val="2D15B1A3"/>
    <w:rsid w:val="2D438305"/>
    <w:rsid w:val="2D533120"/>
    <w:rsid w:val="2D68FAB3"/>
    <w:rsid w:val="2D82A9A2"/>
    <w:rsid w:val="2D89AB2A"/>
    <w:rsid w:val="2DAAF0C2"/>
    <w:rsid w:val="2DAF1F2D"/>
    <w:rsid w:val="2DB49BF6"/>
    <w:rsid w:val="2DBEA4FB"/>
    <w:rsid w:val="2DC4CBCA"/>
    <w:rsid w:val="2DDF50A2"/>
    <w:rsid w:val="2E0AFE6E"/>
    <w:rsid w:val="2E0B3468"/>
    <w:rsid w:val="2E10D060"/>
    <w:rsid w:val="2E1F8324"/>
    <w:rsid w:val="2E502149"/>
    <w:rsid w:val="2E50E46A"/>
    <w:rsid w:val="2E76C6D6"/>
    <w:rsid w:val="2E7F8BCE"/>
    <w:rsid w:val="2ECF94E6"/>
    <w:rsid w:val="2F015477"/>
    <w:rsid w:val="2F0E70DF"/>
    <w:rsid w:val="2F17D622"/>
    <w:rsid w:val="2F1EB039"/>
    <w:rsid w:val="2F2E340A"/>
    <w:rsid w:val="2F37BEE6"/>
    <w:rsid w:val="2F5394C1"/>
    <w:rsid w:val="2F57B6F5"/>
    <w:rsid w:val="2F757F37"/>
    <w:rsid w:val="2F9F0CB1"/>
    <w:rsid w:val="2FAB480D"/>
    <w:rsid w:val="2FCE3233"/>
    <w:rsid w:val="2FF53F32"/>
    <w:rsid w:val="3093AA53"/>
    <w:rsid w:val="3094DB31"/>
    <w:rsid w:val="30AD2EE6"/>
    <w:rsid w:val="30D803CD"/>
    <w:rsid w:val="30D83BAD"/>
    <w:rsid w:val="30F99991"/>
    <w:rsid w:val="30FC6C8C"/>
    <w:rsid w:val="31233DE0"/>
    <w:rsid w:val="312D91C6"/>
    <w:rsid w:val="315704F0"/>
    <w:rsid w:val="315C7D3F"/>
    <w:rsid w:val="31969DCC"/>
    <w:rsid w:val="31A33A96"/>
    <w:rsid w:val="31A45B86"/>
    <w:rsid w:val="31B05B9C"/>
    <w:rsid w:val="31D4B0E6"/>
    <w:rsid w:val="31DA59C8"/>
    <w:rsid w:val="322AE18B"/>
    <w:rsid w:val="322F3575"/>
    <w:rsid w:val="32327E3F"/>
    <w:rsid w:val="3241452A"/>
    <w:rsid w:val="32485DD2"/>
    <w:rsid w:val="325D972A"/>
    <w:rsid w:val="3286D846"/>
    <w:rsid w:val="3293873D"/>
    <w:rsid w:val="32A02A73"/>
    <w:rsid w:val="32B420FA"/>
    <w:rsid w:val="32C61773"/>
    <w:rsid w:val="32F21792"/>
    <w:rsid w:val="330339A8"/>
    <w:rsid w:val="3309363C"/>
    <w:rsid w:val="332BC5D8"/>
    <w:rsid w:val="33528787"/>
    <w:rsid w:val="3357D945"/>
    <w:rsid w:val="3376DC90"/>
    <w:rsid w:val="33AEF797"/>
    <w:rsid w:val="33E42E33"/>
    <w:rsid w:val="33F16D68"/>
    <w:rsid w:val="33FBE203"/>
    <w:rsid w:val="340B4170"/>
    <w:rsid w:val="342484D9"/>
    <w:rsid w:val="345485AB"/>
    <w:rsid w:val="346FD43D"/>
    <w:rsid w:val="348B6527"/>
    <w:rsid w:val="34AB62A3"/>
    <w:rsid w:val="3517C5FC"/>
    <w:rsid w:val="353AA9FF"/>
    <w:rsid w:val="35473ADD"/>
    <w:rsid w:val="354EA0C9"/>
    <w:rsid w:val="3551DB56"/>
    <w:rsid w:val="35608495"/>
    <w:rsid w:val="357618D0"/>
    <w:rsid w:val="35968B37"/>
    <w:rsid w:val="35E60040"/>
    <w:rsid w:val="35F0560C"/>
    <w:rsid w:val="3617AE21"/>
    <w:rsid w:val="366538E8"/>
    <w:rsid w:val="368A8BF7"/>
    <w:rsid w:val="369CD9BF"/>
    <w:rsid w:val="36A6F7A7"/>
    <w:rsid w:val="36B97799"/>
    <w:rsid w:val="36C3A0A2"/>
    <w:rsid w:val="36CB7154"/>
    <w:rsid w:val="36DB2F5D"/>
    <w:rsid w:val="372748BD"/>
    <w:rsid w:val="37741A90"/>
    <w:rsid w:val="37BB05C3"/>
    <w:rsid w:val="3809F05F"/>
    <w:rsid w:val="380D9FB0"/>
    <w:rsid w:val="3833F4F4"/>
    <w:rsid w:val="3838EEED"/>
    <w:rsid w:val="38868A65"/>
    <w:rsid w:val="389F1E78"/>
    <w:rsid w:val="38B6F0E5"/>
    <w:rsid w:val="38BE808D"/>
    <w:rsid w:val="38C6C1BD"/>
    <w:rsid w:val="38CAE2F1"/>
    <w:rsid w:val="38CE7B82"/>
    <w:rsid w:val="38D90F45"/>
    <w:rsid w:val="3904A727"/>
    <w:rsid w:val="3908A838"/>
    <w:rsid w:val="390B4D37"/>
    <w:rsid w:val="390FC9C7"/>
    <w:rsid w:val="39215BBA"/>
    <w:rsid w:val="394052F1"/>
    <w:rsid w:val="39E7220D"/>
    <w:rsid w:val="39F5A726"/>
    <w:rsid w:val="39FC0611"/>
    <w:rsid w:val="3A4414F8"/>
    <w:rsid w:val="3A7F21A0"/>
    <w:rsid w:val="3A9F4781"/>
    <w:rsid w:val="3ACD5E9A"/>
    <w:rsid w:val="3AE5BC26"/>
    <w:rsid w:val="3AEA424E"/>
    <w:rsid w:val="3B03931F"/>
    <w:rsid w:val="3B03AFFD"/>
    <w:rsid w:val="3B5E8A42"/>
    <w:rsid w:val="3B69F788"/>
    <w:rsid w:val="3B722CC8"/>
    <w:rsid w:val="3B7A1B1A"/>
    <w:rsid w:val="3B95695C"/>
    <w:rsid w:val="3BA2DDFF"/>
    <w:rsid w:val="3BB87847"/>
    <w:rsid w:val="3BC0C813"/>
    <w:rsid w:val="3BCBA3F3"/>
    <w:rsid w:val="3BCC7677"/>
    <w:rsid w:val="3BF0CBA8"/>
    <w:rsid w:val="3C03F484"/>
    <w:rsid w:val="3C0F5E7F"/>
    <w:rsid w:val="3C34C454"/>
    <w:rsid w:val="3C62D7D8"/>
    <w:rsid w:val="3C78DF46"/>
    <w:rsid w:val="3C888037"/>
    <w:rsid w:val="3C8A1FEB"/>
    <w:rsid w:val="3CA296A1"/>
    <w:rsid w:val="3CB9A07B"/>
    <w:rsid w:val="3CEAB363"/>
    <w:rsid w:val="3CF74357"/>
    <w:rsid w:val="3D08C4F9"/>
    <w:rsid w:val="3D2C7CAF"/>
    <w:rsid w:val="3D387146"/>
    <w:rsid w:val="3D40D73D"/>
    <w:rsid w:val="3D4BE207"/>
    <w:rsid w:val="3D562DCB"/>
    <w:rsid w:val="3D85E890"/>
    <w:rsid w:val="3DB84706"/>
    <w:rsid w:val="3DF8BA10"/>
    <w:rsid w:val="3E24F889"/>
    <w:rsid w:val="3E377B1E"/>
    <w:rsid w:val="3E43FC19"/>
    <w:rsid w:val="3E58BCF4"/>
    <w:rsid w:val="3E682A0D"/>
    <w:rsid w:val="3E7536CE"/>
    <w:rsid w:val="3E78701B"/>
    <w:rsid w:val="3E93ED27"/>
    <w:rsid w:val="3EB6FC5B"/>
    <w:rsid w:val="3ED9BAE8"/>
    <w:rsid w:val="3EE7E743"/>
    <w:rsid w:val="3EEAE755"/>
    <w:rsid w:val="3EF27843"/>
    <w:rsid w:val="3EF9A8A1"/>
    <w:rsid w:val="3EFEF777"/>
    <w:rsid w:val="3F054801"/>
    <w:rsid w:val="3F0E9C8C"/>
    <w:rsid w:val="3F26E0DA"/>
    <w:rsid w:val="3F54D119"/>
    <w:rsid w:val="3F6F7A07"/>
    <w:rsid w:val="3F76AA65"/>
    <w:rsid w:val="3F778389"/>
    <w:rsid w:val="3F8E05E3"/>
    <w:rsid w:val="3F9D2C13"/>
    <w:rsid w:val="3FCFA9DF"/>
    <w:rsid w:val="3FFE2A4E"/>
    <w:rsid w:val="40215267"/>
    <w:rsid w:val="40293907"/>
    <w:rsid w:val="402D422E"/>
    <w:rsid w:val="4068CAB2"/>
    <w:rsid w:val="408441AB"/>
    <w:rsid w:val="40863424"/>
    <w:rsid w:val="40962658"/>
    <w:rsid w:val="40FCE02C"/>
    <w:rsid w:val="411F355F"/>
    <w:rsid w:val="415DA6D7"/>
    <w:rsid w:val="41D82F09"/>
    <w:rsid w:val="42440AF4"/>
    <w:rsid w:val="42493E31"/>
    <w:rsid w:val="425395FE"/>
    <w:rsid w:val="4261A937"/>
    <w:rsid w:val="4281C134"/>
    <w:rsid w:val="42A75444"/>
    <w:rsid w:val="42D38763"/>
    <w:rsid w:val="42E6119A"/>
    <w:rsid w:val="4330AAAA"/>
    <w:rsid w:val="43467850"/>
    <w:rsid w:val="43725EFA"/>
    <w:rsid w:val="43B1C41F"/>
    <w:rsid w:val="43BDDB59"/>
    <w:rsid w:val="4401606E"/>
    <w:rsid w:val="444564E4"/>
    <w:rsid w:val="44521E9E"/>
    <w:rsid w:val="44699D7F"/>
    <w:rsid w:val="4471A44A"/>
    <w:rsid w:val="4478D992"/>
    <w:rsid w:val="4483639D"/>
    <w:rsid w:val="4531C04F"/>
    <w:rsid w:val="455D5955"/>
    <w:rsid w:val="457CBE70"/>
    <w:rsid w:val="459BC3B3"/>
    <w:rsid w:val="45B819D8"/>
    <w:rsid w:val="45BB0F25"/>
    <w:rsid w:val="45E29613"/>
    <w:rsid w:val="45E9F163"/>
    <w:rsid w:val="45FB047C"/>
    <w:rsid w:val="4617C745"/>
    <w:rsid w:val="4659B650"/>
    <w:rsid w:val="466E50BF"/>
    <w:rsid w:val="467C432B"/>
    <w:rsid w:val="46938E19"/>
    <w:rsid w:val="46DA8ABB"/>
    <w:rsid w:val="46E48212"/>
    <w:rsid w:val="472AF828"/>
    <w:rsid w:val="4779C62D"/>
    <w:rsid w:val="478A255B"/>
    <w:rsid w:val="4791E9C1"/>
    <w:rsid w:val="47A8ADBF"/>
    <w:rsid w:val="47AC2562"/>
    <w:rsid w:val="47D02A88"/>
    <w:rsid w:val="47D8953C"/>
    <w:rsid w:val="47F328F7"/>
    <w:rsid w:val="47F5DF1F"/>
    <w:rsid w:val="481288A3"/>
    <w:rsid w:val="4819790F"/>
    <w:rsid w:val="482EAFFA"/>
    <w:rsid w:val="482F26D1"/>
    <w:rsid w:val="483060F8"/>
    <w:rsid w:val="483CCBA8"/>
    <w:rsid w:val="48553988"/>
    <w:rsid w:val="48644350"/>
    <w:rsid w:val="488DC86A"/>
    <w:rsid w:val="48AFFED5"/>
    <w:rsid w:val="48EA5C97"/>
    <w:rsid w:val="491E93C2"/>
    <w:rsid w:val="49258FC1"/>
    <w:rsid w:val="492EDC8D"/>
    <w:rsid w:val="49413666"/>
    <w:rsid w:val="496DB8C9"/>
    <w:rsid w:val="49A26F47"/>
    <w:rsid w:val="49D235C1"/>
    <w:rsid w:val="4A381411"/>
    <w:rsid w:val="4A56B137"/>
    <w:rsid w:val="4A65A9F8"/>
    <w:rsid w:val="4A72C374"/>
    <w:rsid w:val="4A7BDD00"/>
    <w:rsid w:val="4A87AF0B"/>
    <w:rsid w:val="4ACB3D24"/>
    <w:rsid w:val="4AF2F546"/>
    <w:rsid w:val="4AF52839"/>
    <w:rsid w:val="4B18A480"/>
    <w:rsid w:val="4B49A3F1"/>
    <w:rsid w:val="4B4D0C98"/>
    <w:rsid w:val="4B542A28"/>
    <w:rsid w:val="4B691E75"/>
    <w:rsid w:val="4B9E0097"/>
    <w:rsid w:val="4BEFF4A2"/>
    <w:rsid w:val="4C12C18C"/>
    <w:rsid w:val="4C223402"/>
    <w:rsid w:val="4C41034B"/>
    <w:rsid w:val="4C5D433D"/>
    <w:rsid w:val="4C70A53A"/>
    <w:rsid w:val="4CB3299C"/>
    <w:rsid w:val="4CD60EB8"/>
    <w:rsid w:val="4D5C1CD4"/>
    <w:rsid w:val="4D7781B1"/>
    <w:rsid w:val="4D7F8980"/>
    <w:rsid w:val="4DD6AC66"/>
    <w:rsid w:val="4DEFDD37"/>
    <w:rsid w:val="4E05C91F"/>
    <w:rsid w:val="4E2CB68E"/>
    <w:rsid w:val="4E2EF922"/>
    <w:rsid w:val="4E38700A"/>
    <w:rsid w:val="4E63FE12"/>
    <w:rsid w:val="4E679E80"/>
    <w:rsid w:val="4E83F839"/>
    <w:rsid w:val="4EBF96D8"/>
    <w:rsid w:val="4ED39B7A"/>
    <w:rsid w:val="4EE41867"/>
    <w:rsid w:val="4F02EB1D"/>
    <w:rsid w:val="4F0D3A70"/>
    <w:rsid w:val="4F378D3B"/>
    <w:rsid w:val="4F5141E1"/>
    <w:rsid w:val="4F5EB23D"/>
    <w:rsid w:val="4F902D22"/>
    <w:rsid w:val="4F957E8C"/>
    <w:rsid w:val="50218E20"/>
    <w:rsid w:val="504A0C0C"/>
    <w:rsid w:val="5058B781"/>
    <w:rsid w:val="5076145E"/>
    <w:rsid w:val="507A9539"/>
    <w:rsid w:val="5087F5E9"/>
    <w:rsid w:val="508B8D51"/>
    <w:rsid w:val="509722C2"/>
    <w:rsid w:val="5098F6EA"/>
    <w:rsid w:val="50D052D7"/>
    <w:rsid w:val="50E558A9"/>
    <w:rsid w:val="50E56792"/>
    <w:rsid w:val="50F26124"/>
    <w:rsid w:val="51A2094D"/>
    <w:rsid w:val="51CA4119"/>
    <w:rsid w:val="5243FDC2"/>
    <w:rsid w:val="5260ADE9"/>
    <w:rsid w:val="527A5CB7"/>
    <w:rsid w:val="52B349AA"/>
    <w:rsid w:val="52BD453D"/>
    <w:rsid w:val="53684DDC"/>
    <w:rsid w:val="53781E44"/>
    <w:rsid w:val="538A9FD4"/>
    <w:rsid w:val="53ACADA6"/>
    <w:rsid w:val="53CADE56"/>
    <w:rsid w:val="53EA1D22"/>
    <w:rsid w:val="540D6114"/>
    <w:rsid w:val="54108562"/>
    <w:rsid w:val="543DB287"/>
    <w:rsid w:val="5461DBD1"/>
    <w:rsid w:val="547F9EC8"/>
    <w:rsid w:val="54AF072D"/>
    <w:rsid w:val="54D1E800"/>
    <w:rsid w:val="54DFDB29"/>
    <w:rsid w:val="54E29D41"/>
    <w:rsid w:val="54E5ECA2"/>
    <w:rsid w:val="55014943"/>
    <w:rsid w:val="5507F7CD"/>
    <w:rsid w:val="550F9434"/>
    <w:rsid w:val="552DE460"/>
    <w:rsid w:val="554FB8DA"/>
    <w:rsid w:val="5561E8BF"/>
    <w:rsid w:val="558ED2F3"/>
    <w:rsid w:val="559F93B2"/>
    <w:rsid w:val="55BE37F2"/>
    <w:rsid w:val="55DCD0B8"/>
    <w:rsid w:val="55DE42D9"/>
    <w:rsid w:val="55EAF32F"/>
    <w:rsid w:val="56079DD6"/>
    <w:rsid w:val="564BE8AB"/>
    <w:rsid w:val="5681BD03"/>
    <w:rsid w:val="56A29EB5"/>
    <w:rsid w:val="56D68101"/>
    <w:rsid w:val="56EC9A17"/>
    <w:rsid w:val="5720230A"/>
    <w:rsid w:val="5733F8D5"/>
    <w:rsid w:val="573F0090"/>
    <w:rsid w:val="5756D54B"/>
    <w:rsid w:val="576366F0"/>
    <w:rsid w:val="57A56FF0"/>
    <w:rsid w:val="57AD8C21"/>
    <w:rsid w:val="57E8777A"/>
    <w:rsid w:val="588CA7D8"/>
    <w:rsid w:val="58946894"/>
    <w:rsid w:val="58968D52"/>
    <w:rsid w:val="58EFE1FF"/>
    <w:rsid w:val="5903DD7B"/>
    <w:rsid w:val="592E41AF"/>
    <w:rsid w:val="593113A2"/>
    <w:rsid w:val="593B98C3"/>
    <w:rsid w:val="59591422"/>
    <w:rsid w:val="5961429B"/>
    <w:rsid w:val="59615CCD"/>
    <w:rsid w:val="59C3C18F"/>
    <w:rsid w:val="59C738CC"/>
    <w:rsid w:val="59C91944"/>
    <w:rsid w:val="59FB8C51"/>
    <w:rsid w:val="5A120094"/>
    <w:rsid w:val="5A131642"/>
    <w:rsid w:val="5A164E21"/>
    <w:rsid w:val="5A1B35A9"/>
    <w:rsid w:val="5A6E7C74"/>
    <w:rsid w:val="5A6F898B"/>
    <w:rsid w:val="5A9613BF"/>
    <w:rsid w:val="5A987A73"/>
    <w:rsid w:val="5AB64762"/>
    <w:rsid w:val="5B136287"/>
    <w:rsid w:val="5B13B1B3"/>
    <w:rsid w:val="5B3A35E7"/>
    <w:rsid w:val="5B412984"/>
    <w:rsid w:val="5B5FF336"/>
    <w:rsid w:val="5B60E9C3"/>
    <w:rsid w:val="5B62F1EF"/>
    <w:rsid w:val="5B631569"/>
    <w:rsid w:val="5B6E6C2D"/>
    <w:rsid w:val="5BB74F74"/>
    <w:rsid w:val="5BDA5556"/>
    <w:rsid w:val="5BDF62C9"/>
    <w:rsid w:val="5BE50E22"/>
    <w:rsid w:val="5BE8B2F0"/>
    <w:rsid w:val="5C128A13"/>
    <w:rsid w:val="5C7B485B"/>
    <w:rsid w:val="5C9BEA3C"/>
    <w:rsid w:val="5CDCF9E5"/>
    <w:rsid w:val="5CF2872B"/>
    <w:rsid w:val="5D0169EC"/>
    <w:rsid w:val="5D1F963A"/>
    <w:rsid w:val="5D2531EF"/>
    <w:rsid w:val="5D89294F"/>
    <w:rsid w:val="5D923ACC"/>
    <w:rsid w:val="5D93B31D"/>
    <w:rsid w:val="5D9F0221"/>
    <w:rsid w:val="5DA1F91F"/>
    <w:rsid w:val="5DA61D36"/>
    <w:rsid w:val="5DCD0EA1"/>
    <w:rsid w:val="5DD9B8F8"/>
    <w:rsid w:val="5DF57B42"/>
    <w:rsid w:val="5E4AE2F6"/>
    <w:rsid w:val="5E5FA021"/>
    <w:rsid w:val="5E8346DD"/>
    <w:rsid w:val="5E905CDA"/>
    <w:rsid w:val="5EA0C736"/>
    <w:rsid w:val="5EAE40F9"/>
    <w:rsid w:val="5ED25805"/>
    <w:rsid w:val="5ED60536"/>
    <w:rsid w:val="5F09B66D"/>
    <w:rsid w:val="5F3C499A"/>
    <w:rsid w:val="5F977DAE"/>
    <w:rsid w:val="5FC10BCE"/>
    <w:rsid w:val="601EBA7A"/>
    <w:rsid w:val="6023A1AF"/>
    <w:rsid w:val="603E89E6"/>
    <w:rsid w:val="6041C7A6"/>
    <w:rsid w:val="6060B472"/>
    <w:rsid w:val="60780B49"/>
    <w:rsid w:val="60937B8E"/>
    <w:rsid w:val="60ACE286"/>
    <w:rsid w:val="60B0D72E"/>
    <w:rsid w:val="61000688"/>
    <w:rsid w:val="610C1C3D"/>
    <w:rsid w:val="610D53C4"/>
    <w:rsid w:val="611FC0FD"/>
    <w:rsid w:val="6137F2CE"/>
    <w:rsid w:val="6172E670"/>
    <w:rsid w:val="61AF1CBD"/>
    <w:rsid w:val="61C42D68"/>
    <w:rsid w:val="61DA37CE"/>
    <w:rsid w:val="61F91F52"/>
    <w:rsid w:val="620671FB"/>
    <w:rsid w:val="620F4BAB"/>
    <w:rsid w:val="625550BC"/>
    <w:rsid w:val="625F8DC7"/>
    <w:rsid w:val="63015829"/>
    <w:rsid w:val="631A5AA6"/>
    <w:rsid w:val="631AFDE5"/>
    <w:rsid w:val="63506671"/>
    <w:rsid w:val="635277A5"/>
    <w:rsid w:val="63AF00B7"/>
    <w:rsid w:val="643B7D7F"/>
    <w:rsid w:val="64592DBA"/>
    <w:rsid w:val="645F2C5C"/>
    <w:rsid w:val="648F4C82"/>
    <w:rsid w:val="648F685C"/>
    <w:rsid w:val="64A2097F"/>
    <w:rsid w:val="64F5399D"/>
    <w:rsid w:val="64F56D5B"/>
    <w:rsid w:val="651FE682"/>
    <w:rsid w:val="6526D26B"/>
    <w:rsid w:val="654EDFB8"/>
    <w:rsid w:val="655FA72A"/>
    <w:rsid w:val="6597B790"/>
    <w:rsid w:val="659EBB29"/>
    <w:rsid w:val="65C0977F"/>
    <w:rsid w:val="65C797B8"/>
    <w:rsid w:val="65DC02AC"/>
    <w:rsid w:val="65EAAE55"/>
    <w:rsid w:val="65F6D8DB"/>
    <w:rsid w:val="663A1F50"/>
    <w:rsid w:val="6651FFF7"/>
    <w:rsid w:val="6653327E"/>
    <w:rsid w:val="66DC6899"/>
    <w:rsid w:val="66F1988C"/>
    <w:rsid w:val="66F261A3"/>
    <w:rsid w:val="6727EEF2"/>
    <w:rsid w:val="676CB88F"/>
    <w:rsid w:val="67761288"/>
    <w:rsid w:val="67859247"/>
    <w:rsid w:val="6788D093"/>
    <w:rsid w:val="679504F5"/>
    <w:rsid w:val="67A0E4DA"/>
    <w:rsid w:val="67BCD95E"/>
    <w:rsid w:val="67D25584"/>
    <w:rsid w:val="6801F709"/>
    <w:rsid w:val="683F2EA0"/>
    <w:rsid w:val="684A74D6"/>
    <w:rsid w:val="6889008E"/>
    <w:rsid w:val="68B772DE"/>
    <w:rsid w:val="68D0969A"/>
    <w:rsid w:val="68EDCEC9"/>
    <w:rsid w:val="6930F704"/>
    <w:rsid w:val="695C1DBE"/>
    <w:rsid w:val="6961F9EE"/>
    <w:rsid w:val="69667E6B"/>
    <w:rsid w:val="696A622C"/>
    <w:rsid w:val="69F69F1E"/>
    <w:rsid w:val="6A009C44"/>
    <w:rsid w:val="6A088CFA"/>
    <w:rsid w:val="6A0F14D2"/>
    <w:rsid w:val="6A5729DF"/>
    <w:rsid w:val="6A84B3A1"/>
    <w:rsid w:val="6A999A28"/>
    <w:rsid w:val="6ACF1BAD"/>
    <w:rsid w:val="6AE306C0"/>
    <w:rsid w:val="6AE811AB"/>
    <w:rsid w:val="6AFDBA50"/>
    <w:rsid w:val="6B3D4370"/>
    <w:rsid w:val="6B49D136"/>
    <w:rsid w:val="6B6F263B"/>
    <w:rsid w:val="6B887BD4"/>
    <w:rsid w:val="6B8E883E"/>
    <w:rsid w:val="6B935168"/>
    <w:rsid w:val="6BAD2DD0"/>
    <w:rsid w:val="6BCF6F3C"/>
    <w:rsid w:val="6C0FB0A6"/>
    <w:rsid w:val="6C96C000"/>
    <w:rsid w:val="6CB39424"/>
    <w:rsid w:val="6CF825DC"/>
    <w:rsid w:val="6D128D9F"/>
    <w:rsid w:val="6D1B4F54"/>
    <w:rsid w:val="6D3A691C"/>
    <w:rsid w:val="6D3C19B6"/>
    <w:rsid w:val="6D485B98"/>
    <w:rsid w:val="6D75B097"/>
    <w:rsid w:val="6D7AFFEA"/>
    <w:rsid w:val="6D7B8A71"/>
    <w:rsid w:val="6D832551"/>
    <w:rsid w:val="6D8B58B0"/>
    <w:rsid w:val="6D8DB370"/>
    <w:rsid w:val="6DAB4A6D"/>
    <w:rsid w:val="6DAFE4C2"/>
    <w:rsid w:val="6DB4AE67"/>
    <w:rsid w:val="6DB7FD5D"/>
    <w:rsid w:val="6DC4B5E4"/>
    <w:rsid w:val="6DD7C6AF"/>
    <w:rsid w:val="6E02CBF3"/>
    <w:rsid w:val="6E0FF8EE"/>
    <w:rsid w:val="6E225D58"/>
    <w:rsid w:val="6E3B49CD"/>
    <w:rsid w:val="6E62E37D"/>
    <w:rsid w:val="6E646091"/>
    <w:rsid w:val="6E91B992"/>
    <w:rsid w:val="6ECF5B0F"/>
    <w:rsid w:val="6EEEF8E7"/>
    <w:rsid w:val="6EFB03AA"/>
    <w:rsid w:val="6F140A8D"/>
    <w:rsid w:val="6F1AE9B7"/>
    <w:rsid w:val="6F4CACD7"/>
    <w:rsid w:val="6F5C5AAB"/>
    <w:rsid w:val="6FF91EC2"/>
    <w:rsid w:val="700C4D14"/>
    <w:rsid w:val="704795D4"/>
    <w:rsid w:val="704E5E54"/>
    <w:rsid w:val="705A838F"/>
    <w:rsid w:val="707D56E7"/>
    <w:rsid w:val="70A2A3FD"/>
    <w:rsid w:val="70BD96B9"/>
    <w:rsid w:val="70E0E784"/>
    <w:rsid w:val="710764BB"/>
    <w:rsid w:val="710CBFAB"/>
    <w:rsid w:val="71242D5E"/>
    <w:rsid w:val="71556B8A"/>
    <w:rsid w:val="71730633"/>
    <w:rsid w:val="71B2BA1A"/>
    <w:rsid w:val="71BFC70C"/>
    <w:rsid w:val="71E69C53"/>
    <w:rsid w:val="71F49657"/>
    <w:rsid w:val="727D3CF2"/>
    <w:rsid w:val="728D0867"/>
    <w:rsid w:val="72A6CC97"/>
    <w:rsid w:val="72BC86B4"/>
    <w:rsid w:val="72E04614"/>
    <w:rsid w:val="72F8C9BB"/>
    <w:rsid w:val="73160906"/>
    <w:rsid w:val="731C4150"/>
    <w:rsid w:val="732E866B"/>
    <w:rsid w:val="7331C03E"/>
    <w:rsid w:val="733AD637"/>
    <w:rsid w:val="733D3DF9"/>
    <w:rsid w:val="734F5E93"/>
    <w:rsid w:val="736C0D87"/>
    <w:rsid w:val="73FFCFE0"/>
    <w:rsid w:val="740A465B"/>
    <w:rsid w:val="741789D2"/>
    <w:rsid w:val="74B570D5"/>
    <w:rsid w:val="74FBFBC5"/>
    <w:rsid w:val="751CF946"/>
    <w:rsid w:val="75855F7E"/>
    <w:rsid w:val="759E0182"/>
    <w:rsid w:val="75C3EB8E"/>
    <w:rsid w:val="75C5260C"/>
    <w:rsid w:val="75DCB176"/>
    <w:rsid w:val="75F5DC63"/>
    <w:rsid w:val="75FDF7B1"/>
    <w:rsid w:val="76026EA5"/>
    <w:rsid w:val="76190E0D"/>
    <w:rsid w:val="7639B8FF"/>
    <w:rsid w:val="768A7358"/>
    <w:rsid w:val="769DBAB4"/>
    <w:rsid w:val="76A00B90"/>
    <w:rsid w:val="76AEADF8"/>
    <w:rsid w:val="76D3738D"/>
    <w:rsid w:val="77276215"/>
    <w:rsid w:val="77791A18"/>
    <w:rsid w:val="778A9EF1"/>
    <w:rsid w:val="778E97C6"/>
    <w:rsid w:val="7794F46F"/>
    <w:rsid w:val="77DFC736"/>
    <w:rsid w:val="78274DDB"/>
    <w:rsid w:val="785E31EA"/>
    <w:rsid w:val="7869F9CB"/>
    <w:rsid w:val="786D7E2B"/>
    <w:rsid w:val="786F2040"/>
    <w:rsid w:val="789C9FF0"/>
    <w:rsid w:val="78A5A998"/>
    <w:rsid w:val="78C8D407"/>
    <w:rsid w:val="78D0CE0A"/>
    <w:rsid w:val="78D49073"/>
    <w:rsid w:val="78D59A3C"/>
    <w:rsid w:val="78E76BAD"/>
    <w:rsid w:val="79126B26"/>
    <w:rsid w:val="7912F8CE"/>
    <w:rsid w:val="793C5D7B"/>
    <w:rsid w:val="794444B1"/>
    <w:rsid w:val="795E1048"/>
    <w:rsid w:val="79DE3602"/>
    <w:rsid w:val="79EED79E"/>
    <w:rsid w:val="7A557EA6"/>
    <w:rsid w:val="7A6EA9F1"/>
    <w:rsid w:val="7AA37B49"/>
    <w:rsid w:val="7AA7B7FF"/>
    <w:rsid w:val="7AACE516"/>
    <w:rsid w:val="7ADE7AD7"/>
    <w:rsid w:val="7AE155D2"/>
    <w:rsid w:val="7B466FDF"/>
    <w:rsid w:val="7B66B020"/>
    <w:rsid w:val="7BCC8DB9"/>
    <w:rsid w:val="7C326142"/>
    <w:rsid w:val="7C608A42"/>
    <w:rsid w:val="7C6CFDC5"/>
    <w:rsid w:val="7C7D2633"/>
    <w:rsid w:val="7CD8F9F3"/>
    <w:rsid w:val="7CE6F471"/>
    <w:rsid w:val="7D0C0B44"/>
    <w:rsid w:val="7D17BE43"/>
    <w:rsid w:val="7D214EDF"/>
    <w:rsid w:val="7D23C49F"/>
    <w:rsid w:val="7D2F0894"/>
    <w:rsid w:val="7D30C76C"/>
    <w:rsid w:val="7D4739EC"/>
    <w:rsid w:val="7D53BA43"/>
    <w:rsid w:val="7D641615"/>
    <w:rsid w:val="7D87FB48"/>
    <w:rsid w:val="7DA28283"/>
    <w:rsid w:val="7E0BA3F3"/>
    <w:rsid w:val="7E23F017"/>
    <w:rsid w:val="7E2D2CC3"/>
    <w:rsid w:val="7E54CB31"/>
    <w:rsid w:val="7E713112"/>
    <w:rsid w:val="7E767696"/>
    <w:rsid w:val="7E8E7E55"/>
    <w:rsid w:val="7E8E8DD2"/>
    <w:rsid w:val="7E9B9A44"/>
    <w:rsid w:val="7E9EA799"/>
    <w:rsid w:val="7EF668B4"/>
    <w:rsid w:val="7F29A350"/>
    <w:rsid w:val="7F2E2E61"/>
    <w:rsid w:val="7F3DB16F"/>
    <w:rsid w:val="7F410B71"/>
    <w:rsid w:val="7F5A9845"/>
    <w:rsid w:val="7F653FC8"/>
    <w:rsid w:val="7F692936"/>
    <w:rsid w:val="7FA596AA"/>
    <w:rsid w:val="7FA80D3B"/>
    <w:rsid w:val="7FAEEF0A"/>
    <w:rsid w:val="7FDA5B07"/>
    <w:rsid w:val="7FE32497"/>
    <w:rsid w:val="7FEB05E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F5F4EA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863"/>
    <w:rPr>
      <w:rFonts w:ascii="Times New Roman" w:hAnsi="Times New Roman"/>
      <w:sz w:val="24"/>
    </w:rPr>
  </w:style>
  <w:style w:type="paragraph" w:styleId="Heading1">
    <w:name w:val="heading 1"/>
    <w:basedOn w:val="Normal"/>
    <w:next w:val="Normal"/>
    <w:link w:val="Heading1Char"/>
    <w:autoRedefine/>
    <w:uiPriority w:val="9"/>
    <w:qFormat/>
    <w:rsid w:val="00B949BE"/>
    <w:pPr>
      <w:keepNext/>
      <w:keepLines/>
      <w:spacing w:before="240" w:after="240"/>
      <w:outlineLvl w:val="0"/>
    </w:pPr>
    <w:rPr>
      <w:rFonts w:asciiTheme="majorHAnsi" w:eastAsiaTheme="majorEastAsia" w:hAnsiTheme="majorHAnsi" w:cstheme="majorBidi"/>
      <w:noProof/>
      <w:color w:val="2F5496" w:themeColor="accent1" w:themeShade="BF"/>
      <w:sz w:val="40"/>
      <w:szCs w:val="40"/>
    </w:rPr>
  </w:style>
  <w:style w:type="paragraph" w:styleId="Heading2">
    <w:name w:val="heading 2"/>
    <w:basedOn w:val="Normal"/>
    <w:next w:val="Normal"/>
    <w:link w:val="Heading2Char"/>
    <w:uiPriority w:val="9"/>
    <w:unhideWhenUsed/>
    <w:qFormat/>
    <w:rsid w:val="00B949BE"/>
    <w:pPr>
      <w:keepNext/>
      <w:keepLines/>
      <w:spacing w:before="360" w:after="240"/>
      <w:outlineLvl w:val="1"/>
    </w:pPr>
    <w:rPr>
      <w:rFonts w:asciiTheme="majorHAnsi" w:eastAsiaTheme="majorEastAsia" w:hAnsiTheme="majorHAnsi" w:cstheme="majorBidi"/>
      <w:noProof/>
      <w:color w:val="2F5496" w:themeColor="accent1" w:themeShade="BF"/>
      <w:sz w:val="32"/>
      <w:szCs w:val="32"/>
    </w:rPr>
  </w:style>
  <w:style w:type="paragraph" w:styleId="Heading3">
    <w:name w:val="heading 3"/>
    <w:basedOn w:val="Normal"/>
    <w:next w:val="Normal"/>
    <w:link w:val="Heading3Char"/>
    <w:uiPriority w:val="9"/>
    <w:unhideWhenUsed/>
    <w:qFormat/>
    <w:rsid w:val="0066042B"/>
    <w:pPr>
      <w:keepNext/>
      <w:keepLines/>
      <w:spacing w:before="240" w:after="120"/>
      <w:outlineLvl w:val="2"/>
    </w:pPr>
    <w:rPr>
      <w:rFonts w:asciiTheme="majorHAnsi" w:eastAsiaTheme="majorEastAsia" w:hAnsiTheme="majorHAnsi" w:cstheme="majorBidi"/>
      <w:noProof/>
      <w:color w:val="1F3763" w:themeColor="accent1" w:themeShade="7F"/>
      <w:sz w:val="28"/>
      <w:szCs w:val="28"/>
    </w:rPr>
  </w:style>
  <w:style w:type="paragraph" w:styleId="Heading4">
    <w:name w:val="heading 4"/>
    <w:basedOn w:val="Normal"/>
    <w:next w:val="Normal"/>
    <w:link w:val="Heading4Char"/>
    <w:uiPriority w:val="9"/>
    <w:unhideWhenUsed/>
    <w:qFormat/>
    <w:rsid w:val="009C0D59"/>
    <w:pPr>
      <w:keepNext/>
      <w:keepLines/>
      <w:spacing w:before="240" w:after="120"/>
      <w:outlineLvl w:val="3"/>
    </w:pPr>
    <w:rPr>
      <w:rFonts w:asciiTheme="majorHAnsi" w:eastAsiaTheme="majorEastAsia" w:hAnsiTheme="majorHAnsi" w:cstheme="majorBidi"/>
      <w:i/>
      <w:iCs/>
      <w:color w:val="2F5496" w:themeColor="accent1" w:themeShade="BF"/>
      <w:sz w:val="26"/>
      <w:szCs w:val="26"/>
    </w:rPr>
  </w:style>
  <w:style w:type="paragraph" w:styleId="Heading5">
    <w:name w:val="heading 5"/>
    <w:basedOn w:val="Normal"/>
    <w:next w:val="Normal"/>
    <w:link w:val="Heading5Char"/>
    <w:uiPriority w:val="9"/>
    <w:unhideWhenUsed/>
    <w:qFormat/>
    <w:rsid w:val="00EE71FA"/>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A0A2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5E0B95"/>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5E0B95"/>
    <w:rPr>
      <w:rFonts w:ascii="Calibri" w:hAnsi="Calibri" w:cs="Calibri"/>
      <w:noProof/>
      <w:lang w:val="en-US"/>
    </w:rPr>
  </w:style>
  <w:style w:type="paragraph" w:customStyle="1" w:styleId="EndNoteBibliography">
    <w:name w:val="EndNote Bibliography"/>
    <w:basedOn w:val="Normal"/>
    <w:link w:val="EndNoteBibliographyChar"/>
    <w:rsid w:val="005E0B95"/>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5E0B95"/>
    <w:rPr>
      <w:rFonts w:ascii="Calibri" w:hAnsi="Calibri" w:cs="Calibri"/>
      <w:noProof/>
      <w:lang w:val="en-US"/>
    </w:rPr>
  </w:style>
  <w:style w:type="paragraph" w:styleId="Title">
    <w:name w:val="Title"/>
    <w:basedOn w:val="Normal"/>
    <w:next w:val="Normal"/>
    <w:link w:val="TitleChar"/>
    <w:uiPriority w:val="10"/>
    <w:qFormat/>
    <w:rsid w:val="008C6CA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6CA8"/>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322F7"/>
    <w:rPr>
      <w:rFonts w:asciiTheme="majorHAnsi" w:eastAsiaTheme="majorEastAsia" w:hAnsiTheme="majorHAnsi" w:cstheme="majorBidi"/>
      <w:noProof/>
      <w:color w:val="2F5496" w:themeColor="accent1" w:themeShade="BF"/>
      <w:sz w:val="40"/>
      <w:szCs w:val="40"/>
    </w:rPr>
  </w:style>
  <w:style w:type="paragraph" w:styleId="TOCHeading">
    <w:name w:val="TOC Heading"/>
    <w:basedOn w:val="Heading1"/>
    <w:next w:val="Normal"/>
    <w:uiPriority w:val="39"/>
    <w:unhideWhenUsed/>
    <w:qFormat/>
    <w:rsid w:val="00F9371F"/>
    <w:pPr>
      <w:outlineLvl w:val="9"/>
    </w:pPr>
    <w:rPr>
      <w:lang w:val="en-US"/>
    </w:rPr>
  </w:style>
  <w:style w:type="paragraph" w:styleId="TOC1">
    <w:name w:val="toc 1"/>
    <w:basedOn w:val="Normal"/>
    <w:next w:val="Normal"/>
    <w:autoRedefine/>
    <w:uiPriority w:val="39"/>
    <w:unhideWhenUsed/>
    <w:rsid w:val="007F3DC0"/>
    <w:pPr>
      <w:tabs>
        <w:tab w:val="left" w:pos="720"/>
        <w:tab w:val="right" w:leader="dot" w:pos="9016"/>
      </w:tabs>
      <w:spacing w:after="100"/>
    </w:pPr>
  </w:style>
  <w:style w:type="character" w:styleId="Hyperlink">
    <w:name w:val="Hyperlink"/>
    <w:basedOn w:val="DefaultParagraphFont"/>
    <w:uiPriority w:val="99"/>
    <w:unhideWhenUsed/>
    <w:rsid w:val="001D6F6E"/>
    <w:rPr>
      <w:color w:val="0563C1" w:themeColor="hyperlink"/>
      <w:u w:val="single"/>
    </w:rPr>
  </w:style>
  <w:style w:type="character" w:customStyle="1" w:styleId="Heading2Char">
    <w:name w:val="Heading 2 Char"/>
    <w:basedOn w:val="DefaultParagraphFont"/>
    <w:link w:val="Heading2"/>
    <w:uiPriority w:val="9"/>
    <w:rsid w:val="005C660A"/>
    <w:rPr>
      <w:rFonts w:asciiTheme="majorHAnsi" w:eastAsiaTheme="majorEastAsia" w:hAnsiTheme="majorHAnsi" w:cstheme="majorBidi"/>
      <w:noProof/>
      <w:color w:val="2F5496" w:themeColor="accent1" w:themeShade="BF"/>
      <w:sz w:val="32"/>
      <w:szCs w:val="32"/>
    </w:rPr>
  </w:style>
  <w:style w:type="character" w:customStyle="1" w:styleId="Heading3Char">
    <w:name w:val="Heading 3 Char"/>
    <w:basedOn w:val="DefaultParagraphFont"/>
    <w:link w:val="Heading3"/>
    <w:uiPriority w:val="9"/>
    <w:rsid w:val="005C660A"/>
    <w:rPr>
      <w:rFonts w:asciiTheme="majorHAnsi" w:eastAsiaTheme="majorEastAsia" w:hAnsiTheme="majorHAnsi" w:cstheme="majorBidi"/>
      <w:noProof/>
      <w:color w:val="1F3763" w:themeColor="accent1" w:themeShade="7F"/>
      <w:sz w:val="28"/>
      <w:szCs w:val="28"/>
    </w:rPr>
  </w:style>
  <w:style w:type="paragraph" w:styleId="TOC2">
    <w:name w:val="toc 2"/>
    <w:basedOn w:val="Normal"/>
    <w:next w:val="Normal"/>
    <w:autoRedefine/>
    <w:uiPriority w:val="39"/>
    <w:unhideWhenUsed/>
    <w:rsid w:val="007F3DC0"/>
    <w:pPr>
      <w:tabs>
        <w:tab w:val="right" w:leader="dot" w:pos="9016"/>
      </w:tabs>
      <w:spacing w:after="100"/>
      <w:ind w:left="220"/>
    </w:pPr>
  </w:style>
  <w:style w:type="paragraph" w:styleId="TOC3">
    <w:name w:val="toc 3"/>
    <w:basedOn w:val="Normal"/>
    <w:next w:val="Normal"/>
    <w:autoRedefine/>
    <w:uiPriority w:val="39"/>
    <w:unhideWhenUsed/>
    <w:rsid w:val="007F3DC0"/>
    <w:pPr>
      <w:tabs>
        <w:tab w:val="right" w:leader="dot" w:pos="9016"/>
      </w:tabs>
      <w:spacing w:after="100"/>
      <w:ind w:left="440"/>
    </w:pPr>
  </w:style>
  <w:style w:type="character" w:customStyle="1" w:styleId="Heading4Char">
    <w:name w:val="Heading 4 Char"/>
    <w:basedOn w:val="DefaultParagraphFont"/>
    <w:link w:val="Heading4"/>
    <w:uiPriority w:val="9"/>
    <w:rsid w:val="0001686B"/>
    <w:rPr>
      <w:rFonts w:asciiTheme="majorHAnsi" w:eastAsiaTheme="majorEastAsia" w:hAnsiTheme="majorHAnsi" w:cstheme="majorBidi"/>
      <w:i/>
      <w:iCs/>
      <w:color w:val="2F5496" w:themeColor="accent1" w:themeShade="BF"/>
      <w:sz w:val="26"/>
      <w:szCs w:val="26"/>
    </w:rPr>
  </w:style>
  <w:style w:type="table" w:styleId="TableGrid">
    <w:name w:val="Table Grid"/>
    <w:basedOn w:val="TableNormal"/>
    <w:uiPriority w:val="59"/>
    <w:rsid w:val="004E78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qFormat/>
    <w:rsid w:val="008F2349"/>
    <w:pPr>
      <w:spacing w:before="360" w:after="200" w:line="240" w:lineRule="auto"/>
      <w:jc w:val="both"/>
    </w:pPr>
    <w:rPr>
      <w:b/>
      <w:bCs/>
      <w:i/>
      <w:iCs/>
      <w:color w:val="44546A" w:themeColor="text2"/>
    </w:rPr>
  </w:style>
  <w:style w:type="paragraph" w:styleId="TableofFigures">
    <w:name w:val="table of figures"/>
    <w:basedOn w:val="Normal"/>
    <w:next w:val="Normal"/>
    <w:link w:val="TableofFiguresChar"/>
    <w:uiPriority w:val="99"/>
    <w:unhideWhenUsed/>
    <w:rsid w:val="00A470B7"/>
    <w:pPr>
      <w:spacing w:after="0"/>
    </w:pPr>
  </w:style>
  <w:style w:type="paragraph" w:styleId="NormalWeb">
    <w:name w:val="Normal (Web)"/>
    <w:basedOn w:val="Normal"/>
    <w:uiPriority w:val="99"/>
    <w:semiHidden/>
    <w:unhideWhenUsed/>
    <w:rsid w:val="0043168F"/>
    <w:pPr>
      <w:spacing w:before="100" w:beforeAutospacing="1" w:after="100" w:afterAutospacing="1" w:line="240" w:lineRule="auto"/>
    </w:pPr>
    <w:rPr>
      <w:rFonts w:eastAsia="Times New Roman" w:cs="Times New Roman"/>
      <w:szCs w:val="24"/>
      <w:lang w:eastAsia="en-AU"/>
    </w:rPr>
  </w:style>
  <w:style w:type="table" w:styleId="ListTable1Light">
    <w:name w:val="List Table 1 Light"/>
    <w:basedOn w:val="TableNormal"/>
    <w:uiPriority w:val="46"/>
    <w:rsid w:val="009878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
    <w:name w:val="List Table 6 Colorful"/>
    <w:basedOn w:val="TableNormal"/>
    <w:uiPriority w:val="51"/>
    <w:rsid w:val="0024353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
    <w:name w:val="List Table 2"/>
    <w:basedOn w:val="TableNormal"/>
    <w:uiPriority w:val="47"/>
    <w:rsid w:val="001D26F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5Char">
    <w:name w:val="Heading 5 Char"/>
    <w:basedOn w:val="DefaultParagraphFont"/>
    <w:link w:val="Heading5"/>
    <w:uiPriority w:val="9"/>
    <w:rsid w:val="00EE71FA"/>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EE71FA"/>
    <w:pPr>
      <w:ind w:left="720"/>
      <w:contextualSpacing/>
    </w:pPr>
  </w:style>
  <w:style w:type="character" w:styleId="CommentReference">
    <w:name w:val="annotation reference"/>
    <w:basedOn w:val="DefaultParagraphFont"/>
    <w:uiPriority w:val="99"/>
    <w:semiHidden/>
    <w:unhideWhenUsed/>
    <w:rsid w:val="005F2559"/>
    <w:rPr>
      <w:sz w:val="16"/>
      <w:szCs w:val="16"/>
    </w:rPr>
  </w:style>
  <w:style w:type="paragraph" w:styleId="CommentText">
    <w:name w:val="annotation text"/>
    <w:basedOn w:val="Normal"/>
    <w:link w:val="CommentTextChar"/>
    <w:uiPriority w:val="99"/>
    <w:unhideWhenUsed/>
    <w:rsid w:val="005F2559"/>
    <w:pPr>
      <w:spacing w:after="0" w:line="240" w:lineRule="auto"/>
    </w:pPr>
    <w:rPr>
      <w:rFonts w:eastAsia="Times New Roman" w:cs="Times New Roman"/>
      <w:sz w:val="20"/>
      <w:szCs w:val="20"/>
      <w:lang w:eastAsia="en-GB"/>
    </w:rPr>
  </w:style>
  <w:style w:type="character" w:customStyle="1" w:styleId="CommentTextChar">
    <w:name w:val="Comment Text Char"/>
    <w:basedOn w:val="DefaultParagraphFont"/>
    <w:link w:val="CommentText"/>
    <w:uiPriority w:val="99"/>
    <w:rsid w:val="005F2559"/>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5F2559"/>
    <w:rPr>
      <w:b/>
      <w:bCs/>
    </w:rPr>
  </w:style>
  <w:style w:type="character" w:customStyle="1" w:styleId="CommentSubjectChar">
    <w:name w:val="Comment Subject Char"/>
    <w:basedOn w:val="CommentTextChar"/>
    <w:link w:val="CommentSubject"/>
    <w:uiPriority w:val="99"/>
    <w:semiHidden/>
    <w:rsid w:val="005F2559"/>
    <w:rPr>
      <w:rFonts w:ascii="Times New Roman" w:eastAsia="Times New Roman" w:hAnsi="Times New Roman" w:cs="Times New Roman"/>
      <w:b/>
      <w:bCs/>
      <w:sz w:val="20"/>
      <w:szCs w:val="20"/>
      <w:lang w:eastAsia="en-GB"/>
    </w:rPr>
  </w:style>
  <w:style w:type="paragraph" w:styleId="Revision">
    <w:name w:val="Revision"/>
    <w:hidden/>
    <w:uiPriority w:val="99"/>
    <w:semiHidden/>
    <w:rsid w:val="005F2559"/>
    <w:pPr>
      <w:spacing w:after="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FB4D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4D01"/>
  </w:style>
  <w:style w:type="paragraph" w:styleId="Footer">
    <w:name w:val="footer"/>
    <w:basedOn w:val="Normal"/>
    <w:link w:val="FooterChar"/>
    <w:uiPriority w:val="99"/>
    <w:unhideWhenUsed/>
    <w:rsid w:val="00FB4D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4D01"/>
  </w:style>
  <w:style w:type="paragraph" w:styleId="TOC5">
    <w:name w:val="toc 5"/>
    <w:basedOn w:val="Normal"/>
    <w:next w:val="Normal"/>
    <w:autoRedefine/>
    <w:uiPriority w:val="39"/>
    <w:unhideWhenUsed/>
    <w:rsid w:val="00C76E00"/>
    <w:pPr>
      <w:spacing w:after="100"/>
      <w:ind w:left="960"/>
    </w:pPr>
  </w:style>
  <w:style w:type="paragraph" w:styleId="TOC4">
    <w:name w:val="toc 4"/>
    <w:basedOn w:val="Normal"/>
    <w:next w:val="Normal"/>
    <w:autoRedefine/>
    <w:uiPriority w:val="39"/>
    <w:unhideWhenUsed/>
    <w:rsid w:val="007F3DC0"/>
    <w:pPr>
      <w:tabs>
        <w:tab w:val="right" w:leader="dot" w:pos="9016"/>
      </w:tabs>
      <w:spacing w:after="100"/>
      <w:ind w:left="720"/>
    </w:pPr>
  </w:style>
  <w:style w:type="paragraph" w:styleId="TOC6">
    <w:name w:val="toc 6"/>
    <w:basedOn w:val="Normal"/>
    <w:next w:val="Normal"/>
    <w:autoRedefine/>
    <w:uiPriority w:val="39"/>
    <w:unhideWhenUsed/>
    <w:rsid w:val="00C76E00"/>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C76E00"/>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C76E00"/>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C76E00"/>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unhideWhenUsed/>
    <w:rsid w:val="00C76E00"/>
    <w:rPr>
      <w:color w:val="605E5C"/>
      <w:shd w:val="clear" w:color="auto" w:fill="E1DFDD"/>
    </w:rPr>
  </w:style>
  <w:style w:type="table" w:styleId="GridTable6Colorful">
    <w:name w:val="Grid Table 6 Colorful"/>
    <w:basedOn w:val="TableNormal"/>
    <w:uiPriority w:val="51"/>
    <w:rsid w:val="0000792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tion">
    <w:name w:val="Mention"/>
    <w:basedOn w:val="DefaultParagraphFont"/>
    <w:uiPriority w:val="99"/>
    <w:unhideWhenUsed/>
    <w:rsid w:val="00574EB4"/>
    <w:rPr>
      <w:color w:val="2B579A"/>
      <w:shd w:val="clear" w:color="auto" w:fill="E1DFDD"/>
    </w:rPr>
  </w:style>
  <w:style w:type="table" w:customStyle="1" w:styleId="ListTable6Colorful1">
    <w:name w:val="List Table 6 Colorful1"/>
    <w:basedOn w:val="TableNormal"/>
    <w:next w:val="ListTable6Colorful"/>
    <w:uiPriority w:val="51"/>
    <w:rsid w:val="00F25BB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BookTitle">
    <w:name w:val="Book Title"/>
    <w:basedOn w:val="DefaultParagraphFont"/>
    <w:uiPriority w:val="33"/>
    <w:qFormat/>
    <w:rsid w:val="009A3977"/>
    <w:rPr>
      <w:b/>
      <w:bCs/>
      <w:i/>
      <w:iCs/>
      <w:spacing w:val="5"/>
    </w:rPr>
  </w:style>
  <w:style w:type="table" w:styleId="GridTable7Colorful">
    <w:name w:val="Grid Table 7 Colorful"/>
    <w:basedOn w:val="TableNormal"/>
    <w:uiPriority w:val="52"/>
    <w:rsid w:val="00F336B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1">
    <w:name w:val="Table Grid1"/>
    <w:basedOn w:val="TableNormal"/>
    <w:next w:val="TableGrid"/>
    <w:uiPriority w:val="59"/>
    <w:rsid w:val="000A74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57C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E57CC4"/>
    <w:rPr>
      <w:rFonts w:eastAsiaTheme="minorEastAsia"/>
      <w:lang w:val="en-US"/>
    </w:rPr>
  </w:style>
  <w:style w:type="character" w:customStyle="1" w:styleId="Heading6Char">
    <w:name w:val="Heading 6 Char"/>
    <w:basedOn w:val="DefaultParagraphFont"/>
    <w:link w:val="Heading6"/>
    <w:uiPriority w:val="9"/>
    <w:rsid w:val="00AA0A29"/>
    <w:rPr>
      <w:rFonts w:asciiTheme="majorHAnsi" w:eastAsiaTheme="majorEastAsia" w:hAnsiTheme="majorHAnsi" w:cstheme="majorBidi"/>
      <w:color w:val="1F3763" w:themeColor="accent1" w:themeShade="7F"/>
      <w:sz w:val="24"/>
    </w:rPr>
  </w:style>
  <w:style w:type="paragraph" w:customStyle="1" w:styleId="paragraph">
    <w:name w:val="paragraph"/>
    <w:basedOn w:val="Normal"/>
    <w:rsid w:val="00A85B9E"/>
    <w:pPr>
      <w:spacing w:before="100" w:beforeAutospacing="1" w:after="100" w:afterAutospacing="1" w:line="240" w:lineRule="auto"/>
    </w:pPr>
    <w:rPr>
      <w:rFonts w:eastAsia="Times New Roman" w:cs="Times New Roman"/>
      <w:szCs w:val="24"/>
      <w:lang w:eastAsia="en-AU"/>
    </w:rPr>
  </w:style>
  <w:style w:type="character" w:customStyle="1" w:styleId="normaltextrun">
    <w:name w:val="normaltextrun"/>
    <w:basedOn w:val="DefaultParagraphFont"/>
    <w:rsid w:val="00A85B9E"/>
  </w:style>
  <w:style w:type="character" w:customStyle="1" w:styleId="eop">
    <w:name w:val="eop"/>
    <w:basedOn w:val="DefaultParagraphFont"/>
    <w:rsid w:val="00A85B9E"/>
  </w:style>
  <w:style w:type="paragraph" w:customStyle="1" w:styleId="TableofXbody">
    <w:name w:val="Table of X body"/>
    <w:basedOn w:val="TableofFigures"/>
    <w:link w:val="TableofXbodyChar"/>
    <w:qFormat/>
    <w:rsid w:val="00375A6D"/>
    <w:pPr>
      <w:tabs>
        <w:tab w:val="right" w:leader="dot" w:pos="9016"/>
      </w:tabs>
      <w:spacing w:after="120" w:line="240" w:lineRule="auto"/>
      <w:ind w:left="567" w:hanging="567"/>
    </w:pPr>
    <w:rPr>
      <w:rFonts w:cs="Times New Roman"/>
      <w:noProof/>
    </w:rPr>
  </w:style>
  <w:style w:type="paragraph" w:customStyle="1" w:styleId="Tablenote">
    <w:name w:val="Table note"/>
    <w:basedOn w:val="Caption"/>
    <w:link w:val="TablenoteChar"/>
    <w:qFormat/>
    <w:rsid w:val="00E1600C"/>
    <w:pPr>
      <w:spacing w:before="0" w:after="480"/>
    </w:pPr>
    <w:rPr>
      <w:b w:val="0"/>
      <w:i w:val="0"/>
      <w:iCs w:val="0"/>
      <w:color w:val="auto"/>
      <w:sz w:val="20"/>
      <w:szCs w:val="20"/>
    </w:rPr>
  </w:style>
  <w:style w:type="character" w:customStyle="1" w:styleId="TableofFiguresChar">
    <w:name w:val="Table of Figures Char"/>
    <w:basedOn w:val="DefaultParagraphFont"/>
    <w:link w:val="TableofFigures"/>
    <w:uiPriority w:val="99"/>
    <w:rsid w:val="00375A6D"/>
    <w:rPr>
      <w:rFonts w:ascii="Times New Roman" w:hAnsi="Times New Roman"/>
      <w:sz w:val="24"/>
    </w:rPr>
  </w:style>
  <w:style w:type="character" w:customStyle="1" w:styleId="TableofXbodyChar">
    <w:name w:val="Table of X body Char"/>
    <w:basedOn w:val="TableofFiguresChar"/>
    <w:link w:val="TableofXbody"/>
    <w:rsid w:val="00375A6D"/>
    <w:rPr>
      <w:rFonts w:ascii="Times New Roman" w:hAnsi="Times New Roman" w:cs="Times New Roman"/>
      <w:noProof/>
      <w:sz w:val="24"/>
    </w:rPr>
  </w:style>
  <w:style w:type="paragraph" w:customStyle="1" w:styleId="FigureCaption">
    <w:name w:val="Figure Caption"/>
    <w:basedOn w:val="Caption"/>
    <w:link w:val="FigureCaptionChar"/>
    <w:qFormat/>
    <w:rsid w:val="002F243A"/>
    <w:pPr>
      <w:spacing w:before="60" w:after="60"/>
    </w:pPr>
  </w:style>
  <w:style w:type="character" w:customStyle="1" w:styleId="CaptionChar">
    <w:name w:val="Caption Char"/>
    <w:basedOn w:val="DefaultParagraphFont"/>
    <w:link w:val="Caption"/>
    <w:uiPriority w:val="35"/>
    <w:rsid w:val="00375A6D"/>
    <w:rPr>
      <w:rFonts w:ascii="Times New Roman" w:hAnsi="Times New Roman"/>
      <w:b/>
      <w:bCs/>
      <w:i/>
      <w:iCs/>
      <w:color w:val="44546A" w:themeColor="text2"/>
      <w:sz w:val="24"/>
    </w:rPr>
  </w:style>
  <w:style w:type="character" w:customStyle="1" w:styleId="TablenoteChar">
    <w:name w:val="Table note Char"/>
    <w:basedOn w:val="CaptionChar"/>
    <w:link w:val="Tablenote"/>
    <w:rsid w:val="00375A6D"/>
    <w:rPr>
      <w:rFonts w:ascii="Times New Roman" w:hAnsi="Times New Roman"/>
      <w:b w:val="0"/>
      <w:bCs/>
      <w:i w:val="0"/>
      <w:iCs w:val="0"/>
      <w:color w:val="44546A" w:themeColor="text2"/>
      <w:sz w:val="20"/>
      <w:szCs w:val="20"/>
    </w:rPr>
  </w:style>
  <w:style w:type="paragraph" w:customStyle="1" w:styleId="Figurenote">
    <w:name w:val="Figure note"/>
    <w:basedOn w:val="Tablenote"/>
    <w:link w:val="FigurenoteChar"/>
    <w:qFormat/>
    <w:rsid w:val="00375A6D"/>
    <w:rPr>
      <w:bCs w:val="0"/>
      <w:noProof/>
    </w:rPr>
  </w:style>
  <w:style w:type="character" w:customStyle="1" w:styleId="FigureCaptionChar">
    <w:name w:val="Figure Caption Char"/>
    <w:basedOn w:val="CaptionChar"/>
    <w:link w:val="FigureCaption"/>
    <w:rsid w:val="002F243A"/>
    <w:rPr>
      <w:rFonts w:ascii="Times New Roman" w:hAnsi="Times New Roman"/>
      <w:b/>
      <w:bCs/>
      <w:i/>
      <w:iCs/>
      <w:color w:val="44546A" w:themeColor="text2"/>
      <w:sz w:val="24"/>
    </w:rPr>
  </w:style>
  <w:style w:type="character" w:customStyle="1" w:styleId="FigurenoteChar">
    <w:name w:val="Figure note Char"/>
    <w:basedOn w:val="TablenoteChar"/>
    <w:link w:val="Figurenote"/>
    <w:rsid w:val="00375A6D"/>
    <w:rPr>
      <w:rFonts w:ascii="Times New Roman" w:hAnsi="Times New Roman"/>
      <w:b w:val="0"/>
      <w:bCs w:val="0"/>
      <w:i w:val="0"/>
      <w:iCs w:val="0"/>
      <w:noProof/>
      <w:color w:val="44546A" w:themeColor="text2"/>
      <w:sz w:val="20"/>
      <w:szCs w:val="20"/>
    </w:rPr>
  </w:style>
  <w:style w:type="table" w:customStyle="1" w:styleId="ListTable21">
    <w:name w:val="List Table 21"/>
    <w:basedOn w:val="TableNormal"/>
    <w:next w:val="ListTable2"/>
    <w:uiPriority w:val="47"/>
    <w:rsid w:val="0071152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2">
    <w:name w:val="List Table 22"/>
    <w:basedOn w:val="TableNormal"/>
    <w:next w:val="ListTable2"/>
    <w:uiPriority w:val="47"/>
    <w:rsid w:val="00E723F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FootnoteText">
    <w:name w:val="footnote text"/>
    <w:basedOn w:val="Normal"/>
    <w:link w:val="FootnoteTextChar"/>
    <w:uiPriority w:val="99"/>
    <w:semiHidden/>
    <w:unhideWhenUsed/>
    <w:rsid w:val="000F5AD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5AD6"/>
    <w:rPr>
      <w:rFonts w:ascii="Times New Roman" w:hAnsi="Times New Roman"/>
      <w:sz w:val="20"/>
      <w:szCs w:val="20"/>
    </w:rPr>
  </w:style>
  <w:style w:type="character" w:styleId="FootnoteReference">
    <w:name w:val="footnote reference"/>
    <w:basedOn w:val="DefaultParagraphFont"/>
    <w:uiPriority w:val="99"/>
    <w:semiHidden/>
    <w:unhideWhenUsed/>
    <w:rsid w:val="000F5AD6"/>
    <w:rPr>
      <w:vertAlign w:val="superscript"/>
    </w:rPr>
  </w:style>
  <w:style w:type="character" w:customStyle="1" w:styleId="highwire-cite-journal">
    <w:name w:val="highwire-cite-journal"/>
    <w:basedOn w:val="DefaultParagraphFont"/>
    <w:rsid w:val="003B5528"/>
  </w:style>
  <w:style w:type="character" w:customStyle="1" w:styleId="highwire-cite-published-year">
    <w:name w:val="highwire-cite-published-year"/>
    <w:basedOn w:val="DefaultParagraphFont"/>
    <w:rsid w:val="003B5528"/>
  </w:style>
  <w:style w:type="character" w:customStyle="1" w:styleId="highwire-cite-volume-issue">
    <w:name w:val="highwire-cite-volume-issue"/>
    <w:basedOn w:val="DefaultParagraphFont"/>
    <w:rsid w:val="003B5528"/>
  </w:style>
  <w:style w:type="character" w:customStyle="1" w:styleId="highwire-cite-doi">
    <w:name w:val="highwire-cite-doi"/>
    <w:basedOn w:val="DefaultParagraphFont"/>
    <w:rsid w:val="003B5528"/>
  </w:style>
  <w:style w:type="character" w:customStyle="1" w:styleId="highwire-cite-date">
    <w:name w:val="highwire-cite-date"/>
    <w:basedOn w:val="DefaultParagraphFont"/>
    <w:rsid w:val="003B5528"/>
  </w:style>
  <w:style w:type="character" w:customStyle="1" w:styleId="highwire-cite-article-as">
    <w:name w:val="highwire-cite-article-as"/>
    <w:basedOn w:val="DefaultParagraphFont"/>
    <w:rsid w:val="003B5528"/>
  </w:style>
  <w:style w:type="character" w:customStyle="1" w:styleId="italic">
    <w:name w:val="italic"/>
    <w:basedOn w:val="DefaultParagraphFont"/>
    <w:rsid w:val="003B5528"/>
  </w:style>
  <w:style w:type="character" w:styleId="FollowedHyperlink">
    <w:name w:val="FollowedHyperlink"/>
    <w:basedOn w:val="DefaultParagraphFont"/>
    <w:uiPriority w:val="99"/>
    <w:semiHidden/>
    <w:unhideWhenUsed/>
    <w:rsid w:val="00DA03E5"/>
    <w:rPr>
      <w:color w:val="954F72" w:themeColor="followedHyperlink"/>
      <w:u w:val="single"/>
    </w:rPr>
  </w:style>
  <w:style w:type="character" w:customStyle="1" w:styleId="font161">
    <w:name w:val="font161"/>
    <w:basedOn w:val="DefaultParagraphFont"/>
    <w:rsid w:val="005C6ECE"/>
    <w:rPr>
      <w:rFonts w:ascii="Calibri" w:hAnsi="Calibri" w:cs="Calibri" w:hint="default"/>
      <w:b w:val="0"/>
      <w:bCs w:val="0"/>
      <w:i w:val="0"/>
      <w:iCs w:val="0"/>
      <w:strike w:val="0"/>
      <w:dstrike w:val="0"/>
      <w:color w:val="000000"/>
      <w:sz w:val="22"/>
      <w:szCs w:val="22"/>
      <w:u w:val="none"/>
      <w:effect w:val="none"/>
    </w:rPr>
  </w:style>
  <w:style w:type="character" w:customStyle="1" w:styleId="font01">
    <w:name w:val="font01"/>
    <w:basedOn w:val="DefaultParagraphFont"/>
    <w:rsid w:val="005C6ECE"/>
    <w:rPr>
      <w:rFonts w:ascii="Calibri" w:hAnsi="Calibri" w:cs="Calibri" w:hint="default"/>
      <w:b w:val="0"/>
      <w:bCs w:val="0"/>
      <w:i w:val="0"/>
      <w:iCs w:val="0"/>
      <w:strike w:val="0"/>
      <w:dstrike w:val="0"/>
      <w:color w:val="000000"/>
      <w:sz w:val="22"/>
      <w:szCs w:val="22"/>
      <w:u w:val="none"/>
      <w:effect w:val="none"/>
    </w:rPr>
  </w:style>
  <w:style w:type="table" w:styleId="GridTable2">
    <w:name w:val="Grid Table 2"/>
    <w:basedOn w:val="TableNormal"/>
    <w:uiPriority w:val="47"/>
    <w:rsid w:val="00E7521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msonormal0">
    <w:name w:val="msonormal"/>
    <w:basedOn w:val="Normal"/>
    <w:rsid w:val="00B26B5A"/>
    <w:pPr>
      <w:spacing w:before="100" w:beforeAutospacing="1" w:after="100" w:afterAutospacing="1" w:line="240" w:lineRule="auto"/>
    </w:pPr>
    <w:rPr>
      <w:rFonts w:eastAsia="Times New Roman" w:cs="Times New Roman"/>
      <w:szCs w:val="24"/>
      <w:lang w:eastAsia="en-AU"/>
    </w:rPr>
  </w:style>
  <w:style w:type="paragraph" w:customStyle="1" w:styleId="xl65">
    <w:name w:val="xl65"/>
    <w:basedOn w:val="Normal"/>
    <w:rsid w:val="00B26B5A"/>
    <w:pPr>
      <w:spacing w:before="100" w:beforeAutospacing="1" w:after="100" w:afterAutospacing="1" w:line="240" w:lineRule="auto"/>
    </w:pPr>
    <w:rPr>
      <w:rFonts w:eastAsia="Times New Roman" w:cs="Times New Roman"/>
      <w:szCs w:val="24"/>
      <w:lang w:eastAsia="en-AU"/>
    </w:rPr>
  </w:style>
  <w:style w:type="paragraph" w:customStyle="1" w:styleId="xl66">
    <w:name w:val="xl66"/>
    <w:basedOn w:val="Normal"/>
    <w:rsid w:val="00B26B5A"/>
    <w:pPr>
      <w:spacing w:before="100" w:beforeAutospacing="1" w:after="100" w:afterAutospacing="1" w:line="240" w:lineRule="auto"/>
      <w:ind w:firstLineChars="100" w:firstLine="100"/>
    </w:pPr>
    <w:rPr>
      <w:rFonts w:eastAsia="Times New Roman" w:cs="Times New Roman"/>
      <w:szCs w:val="24"/>
      <w:lang w:eastAsia="en-AU"/>
    </w:rPr>
  </w:style>
  <w:style w:type="paragraph" w:customStyle="1" w:styleId="xl67">
    <w:name w:val="xl67"/>
    <w:basedOn w:val="Normal"/>
    <w:rsid w:val="00B26B5A"/>
    <w:pPr>
      <w:shd w:val="clear" w:color="D9D9D9" w:fill="D9D9D9"/>
      <w:spacing w:before="100" w:beforeAutospacing="1" w:after="100" w:afterAutospacing="1" w:line="240" w:lineRule="auto"/>
    </w:pPr>
    <w:rPr>
      <w:rFonts w:eastAsia="Times New Roman" w:cs="Times New Roman"/>
      <w:szCs w:val="24"/>
      <w:lang w:eastAsia="en-AU"/>
    </w:rPr>
  </w:style>
  <w:style w:type="paragraph" w:customStyle="1" w:styleId="xl68">
    <w:name w:val="xl68"/>
    <w:basedOn w:val="Normal"/>
    <w:rsid w:val="00B26B5A"/>
    <w:pPr>
      <w:pBdr>
        <w:bottom w:val="single" w:sz="4" w:space="0" w:color="8EA9DB"/>
      </w:pBdr>
      <w:spacing w:before="100" w:beforeAutospacing="1" w:after="100" w:afterAutospacing="1" w:line="240" w:lineRule="auto"/>
    </w:pPr>
    <w:rPr>
      <w:rFonts w:eastAsia="Times New Roman" w:cs="Times New Roman"/>
      <w:b/>
      <w:bCs/>
      <w:szCs w:val="24"/>
      <w:lang w:eastAsia="en-AU"/>
    </w:rPr>
  </w:style>
  <w:style w:type="paragraph" w:customStyle="1" w:styleId="xl69">
    <w:name w:val="xl69"/>
    <w:basedOn w:val="Normal"/>
    <w:rsid w:val="00B26B5A"/>
    <w:pPr>
      <w:pBdr>
        <w:bottom w:val="single" w:sz="4" w:space="0" w:color="8EA9DB"/>
      </w:pBdr>
      <w:shd w:val="clear" w:color="D9D9D9" w:fill="D9D9D9"/>
      <w:spacing w:before="100" w:beforeAutospacing="1" w:after="100" w:afterAutospacing="1" w:line="240" w:lineRule="auto"/>
    </w:pPr>
    <w:rPr>
      <w:rFonts w:eastAsia="Times New Roman" w:cs="Times New Roman"/>
      <w:b/>
      <w:bCs/>
      <w:szCs w:val="24"/>
      <w:lang w:eastAsia="en-AU"/>
    </w:rPr>
  </w:style>
  <w:style w:type="paragraph" w:customStyle="1" w:styleId="xl71">
    <w:name w:val="xl71"/>
    <w:basedOn w:val="Normal"/>
    <w:rsid w:val="00301833"/>
    <w:pPr>
      <w:shd w:val="clear" w:color="000000" w:fill="D9E1F2"/>
      <w:spacing w:before="100" w:beforeAutospacing="1" w:after="100" w:afterAutospacing="1" w:line="240" w:lineRule="auto"/>
    </w:pPr>
    <w:rPr>
      <w:rFonts w:eastAsia="Times New Roman" w:cs="Times New Roman"/>
      <w:szCs w:val="24"/>
      <w:lang w:eastAsia="en-AU"/>
    </w:rPr>
  </w:style>
  <w:style w:type="paragraph" w:customStyle="1" w:styleId="xl72">
    <w:name w:val="xl72"/>
    <w:basedOn w:val="Normal"/>
    <w:rsid w:val="00301833"/>
    <w:pPr>
      <w:shd w:val="clear" w:color="000000" w:fill="D9E1F2"/>
      <w:spacing w:before="100" w:beforeAutospacing="1" w:after="100" w:afterAutospacing="1" w:line="240" w:lineRule="auto"/>
    </w:pPr>
    <w:rPr>
      <w:rFonts w:eastAsia="Times New Roman" w:cs="Times New Roman"/>
      <w:szCs w:val="24"/>
      <w:lang w:eastAsia="en-AU"/>
    </w:rPr>
  </w:style>
  <w:style w:type="paragraph" w:customStyle="1" w:styleId="xl73">
    <w:name w:val="xl73"/>
    <w:basedOn w:val="Normal"/>
    <w:rsid w:val="00301833"/>
    <w:pPr>
      <w:shd w:val="clear" w:color="000000" w:fill="D9E1F2"/>
      <w:spacing w:before="100" w:beforeAutospacing="1" w:after="100" w:afterAutospacing="1" w:line="240" w:lineRule="auto"/>
    </w:pPr>
    <w:rPr>
      <w:rFonts w:eastAsia="Times New Roman" w:cs="Times New Roman"/>
      <w:szCs w:val="24"/>
      <w:lang w:eastAsia="en-AU"/>
    </w:rPr>
  </w:style>
  <w:style w:type="paragraph" w:styleId="ListBullet">
    <w:name w:val="List Bullet"/>
    <w:basedOn w:val="Normal"/>
    <w:uiPriority w:val="2"/>
    <w:qFormat/>
    <w:rsid w:val="00C15EB8"/>
    <w:pPr>
      <w:numPr>
        <w:numId w:val="137"/>
      </w:numPr>
      <w:spacing w:before="180" w:after="180" w:line="240" w:lineRule="atLeast"/>
    </w:pPr>
    <w:rPr>
      <w:rFonts w:ascii="Cambria" w:eastAsia="Cambria" w:hAnsi="Cambria"/>
      <w:sz w:val="22"/>
    </w:rPr>
  </w:style>
  <w:style w:type="paragraph" w:styleId="ListBullet2">
    <w:name w:val="List Bullet 2"/>
    <w:basedOn w:val="Normal"/>
    <w:uiPriority w:val="2"/>
    <w:qFormat/>
    <w:rsid w:val="00C15EB8"/>
    <w:pPr>
      <w:numPr>
        <w:ilvl w:val="1"/>
        <w:numId w:val="137"/>
      </w:numPr>
      <w:spacing w:before="180" w:after="180" w:line="240" w:lineRule="atLeast"/>
    </w:pPr>
    <w:rPr>
      <w:rFonts w:ascii="Cambria" w:eastAsia="Cambria" w:hAnsi="Cambria"/>
      <w:sz w:val="22"/>
    </w:rPr>
  </w:style>
  <w:style w:type="numbering" w:customStyle="1" w:styleId="ListBullets">
    <w:name w:val="ListBullets"/>
    <w:uiPriority w:val="99"/>
    <w:locked/>
    <w:rsid w:val="00C15EB8"/>
    <w:pPr>
      <w:numPr>
        <w:numId w:val="1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970989">
      <w:bodyDiv w:val="1"/>
      <w:marLeft w:val="0"/>
      <w:marRight w:val="0"/>
      <w:marTop w:val="0"/>
      <w:marBottom w:val="0"/>
      <w:divBdr>
        <w:top w:val="none" w:sz="0" w:space="0" w:color="auto"/>
        <w:left w:val="none" w:sz="0" w:space="0" w:color="auto"/>
        <w:bottom w:val="none" w:sz="0" w:space="0" w:color="auto"/>
        <w:right w:val="none" w:sz="0" w:space="0" w:color="auto"/>
      </w:divBdr>
    </w:div>
    <w:div w:id="59452179">
      <w:bodyDiv w:val="1"/>
      <w:marLeft w:val="0"/>
      <w:marRight w:val="0"/>
      <w:marTop w:val="0"/>
      <w:marBottom w:val="0"/>
      <w:divBdr>
        <w:top w:val="none" w:sz="0" w:space="0" w:color="auto"/>
        <w:left w:val="none" w:sz="0" w:space="0" w:color="auto"/>
        <w:bottom w:val="none" w:sz="0" w:space="0" w:color="auto"/>
        <w:right w:val="none" w:sz="0" w:space="0" w:color="auto"/>
      </w:divBdr>
    </w:div>
    <w:div w:id="115149201">
      <w:bodyDiv w:val="1"/>
      <w:marLeft w:val="0"/>
      <w:marRight w:val="0"/>
      <w:marTop w:val="0"/>
      <w:marBottom w:val="0"/>
      <w:divBdr>
        <w:top w:val="none" w:sz="0" w:space="0" w:color="auto"/>
        <w:left w:val="none" w:sz="0" w:space="0" w:color="auto"/>
        <w:bottom w:val="none" w:sz="0" w:space="0" w:color="auto"/>
        <w:right w:val="none" w:sz="0" w:space="0" w:color="auto"/>
      </w:divBdr>
    </w:div>
    <w:div w:id="141970424">
      <w:bodyDiv w:val="1"/>
      <w:marLeft w:val="0"/>
      <w:marRight w:val="0"/>
      <w:marTop w:val="0"/>
      <w:marBottom w:val="0"/>
      <w:divBdr>
        <w:top w:val="none" w:sz="0" w:space="0" w:color="auto"/>
        <w:left w:val="none" w:sz="0" w:space="0" w:color="auto"/>
        <w:bottom w:val="none" w:sz="0" w:space="0" w:color="auto"/>
        <w:right w:val="none" w:sz="0" w:space="0" w:color="auto"/>
      </w:divBdr>
    </w:div>
    <w:div w:id="187255886">
      <w:bodyDiv w:val="1"/>
      <w:marLeft w:val="0"/>
      <w:marRight w:val="0"/>
      <w:marTop w:val="0"/>
      <w:marBottom w:val="0"/>
      <w:divBdr>
        <w:top w:val="none" w:sz="0" w:space="0" w:color="auto"/>
        <w:left w:val="none" w:sz="0" w:space="0" w:color="auto"/>
        <w:bottom w:val="none" w:sz="0" w:space="0" w:color="auto"/>
        <w:right w:val="none" w:sz="0" w:space="0" w:color="auto"/>
      </w:divBdr>
    </w:div>
    <w:div w:id="195578718">
      <w:bodyDiv w:val="1"/>
      <w:marLeft w:val="0"/>
      <w:marRight w:val="0"/>
      <w:marTop w:val="0"/>
      <w:marBottom w:val="0"/>
      <w:divBdr>
        <w:top w:val="none" w:sz="0" w:space="0" w:color="auto"/>
        <w:left w:val="none" w:sz="0" w:space="0" w:color="auto"/>
        <w:bottom w:val="none" w:sz="0" w:space="0" w:color="auto"/>
        <w:right w:val="none" w:sz="0" w:space="0" w:color="auto"/>
      </w:divBdr>
    </w:div>
    <w:div w:id="217590927">
      <w:bodyDiv w:val="1"/>
      <w:marLeft w:val="0"/>
      <w:marRight w:val="0"/>
      <w:marTop w:val="0"/>
      <w:marBottom w:val="0"/>
      <w:divBdr>
        <w:top w:val="none" w:sz="0" w:space="0" w:color="auto"/>
        <w:left w:val="none" w:sz="0" w:space="0" w:color="auto"/>
        <w:bottom w:val="none" w:sz="0" w:space="0" w:color="auto"/>
        <w:right w:val="none" w:sz="0" w:space="0" w:color="auto"/>
      </w:divBdr>
    </w:div>
    <w:div w:id="230390466">
      <w:bodyDiv w:val="1"/>
      <w:marLeft w:val="0"/>
      <w:marRight w:val="0"/>
      <w:marTop w:val="0"/>
      <w:marBottom w:val="0"/>
      <w:divBdr>
        <w:top w:val="none" w:sz="0" w:space="0" w:color="auto"/>
        <w:left w:val="none" w:sz="0" w:space="0" w:color="auto"/>
        <w:bottom w:val="none" w:sz="0" w:space="0" w:color="auto"/>
        <w:right w:val="none" w:sz="0" w:space="0" w:color="auto"/>
      </w:divBdr>
    </w:div>
    <w:div w:id="256328716">
      <w:bodyDiv w:val="1"/>
      <w:marLeft w:val="0"/>
      <w:marRight w:val="0"/>
      <w:marTop w:val="0"/>
      <w:marBottom w:val="0"/>
      <w:divBdr>
        <w:top w:val="none" w:sz="0" w:space="0" w:color="auto"/>
        <w:left w:val="none" w:sz="0" w:space="0" w:color="auto"/>
        <w:bottom w:val="none" w:sz="0" w:space="0" w:color="auto"/>
        <w:right w:val="none" w:sz="0" w:space="0" w:color="auto"/>
      </w:divBdr>
    </w:div>
    <w:div w:id="260139305">
      <w:bodyDiv w:val="1"/>
      <w:marLeft w:val="0"/>
      <w:marRight w:val="0"/>
      <w:marTop w:val="0"/>
      <w:marBottom w:val="0"/>
      <w:divBdr>
        <w:top w:val="none" w:sz="0" w:space="0" w:color="auto"/>
        <w:left w:val="none" w:sz="0" w:space="0" w:color="auto"/>
        <w:bottom w:val="none" w:sz="0" w:space="0" w:color="auto"/>
        <w:right w:val="none" w:sz="0" w:space="0" w:color="auto"/>
      </w:divBdr>
    </w:div>
    <w:div w:id="422531204">
      <w:bodyDiv w:val="1"/>
      <w:marLeft w:val="0"/>
      <w:marRight w:val="0"/>
      <w:marTop w:val="0"/>
      <w:marBottom w:val="0"/>
      <w:divBdr>
        <w:top w:val="none" w:sz="0" w:space="0" w:color="auto"/>
        <w:left w:val="none" w:sz="0" w:space="0" w:color="auto"/>
        <w:bottom w:val="none" w:sz="0" w:space="0" w:color="auto"/>
        <w:right w:val="none" w:sz="0" w:space="0" w:color="auto"/>
      </w:divBdr>
    </w:div>
    <w:div w:id="502209518">
      <w:bodyDiv w:val="1"/>
      <w:marLeft w:val="0"/>
      <w:marRight w:val="0"/>
      <w:marTop w:val="0"/>
      <w:marBottom w:val="0"/>
      <w:divBdr>
        <w:top w:val="none" w:sz="0" w:space="0" w:color="auto"/>
        <w:left w:val="none" w:sz="0" w:space="0" w:color="auto"/>
        <w:bottom w:val="none" w:sz="0" w:space="0" w:color="auto"/>
        <w:right w:val="none" w:sz="0" w:space="0" w:color="auto"/>
      </w:divBdr>
    </w:div>
    <w:div w:id="502545857">
      <w:bodyDiv w:val="1"/>
      <w:marLeft w:val="0"/>
      <w:marRight w:val="0"/>
      <w:marTop w:val="0"/>
      <w:marBottom w:val="0"/>
      <w:divBdr>
        <w:top w:val="none" w:sz="0" w:space="0" w:color="auto"/>
        <w:left w:val="none" w:sz="0" w:space="0" w:color="auto"/>
        <w:bottom w:val="none" w:sz="0" w:space="0" w:color="auto"/>
        <w:right w:val="none" w:sz="0" w:space="0" w:color="auto"/>
      </w:divBdr>
    </w:div>
    <w:div w:id="503012015">
      <w:bodyDiv w:val="1"/>
      <w:marLeft w:val="0"/>
      <w:marRight w:val="0"/>
      <w:marTop w:val="0"/>
      <w:marBottom w:val="0"/>
      <w:divBdr>
        <w:top w:val="none" w:sz="0" w:space="0" w:color="auto"/>
        <w:left w:val="none" w:sz="0" w:space="0" w:color="auto"/>
        <w:bottom w:val="none" w:sz="0" w:space="0" w:color="auto"/>
        <w:right w:val="none" w:sz="0" w:space="0" w:color="auto"/>
      </w:divBdr>
    </w:div>
    <w:div w:id="548496928">
      <w:bodyDiv w:val="1"/>
      <w:marLeft w:val="0"/>
      <w:marRight w:val="0"/>
      <w:marTop w:val="0"/>
      <w:marBottom w:val="0"/>
      <w:divBdr>
        <w:top w:val="none" w:sz="0" w:space="0" w:color="auto"/>
        <w:left w:val="none" w:sz="0" w:space="0" w:color="auto"/>
        <w:bottom w:val="none" w:sz="0" w:space="0" w:color="auto"/>
        <w:right w:val="none" w:sz="0" w:space="0" w:color="auto"/>
      </w:divBdr>
    </w:div>
    <w:div w:id="615527895">
      <w:bodyDiv w:val="1"/>
      <w:marLeft w:val="0"/>
      <w:marRight w:val="0"/>
      <w:marTop w:val="0"/>
      <w:marBottom w:val="0"/>
      <w:divBdr>
        <w:top w:val="none" w:sz="0" w:space="0" w:color="auto"/>
        <w:left w:val="none" w:sz="0" w:space="0" w:color="auto"/>
        <w:bottom w:val="none" w:sz="0" w:space="0" w:color="auto"/>
        <w:right w:val="none" w:sz="0" w:space="0" w:color="auto"/>
      </w:divBdr>
    </w:div>
    <w:div w:id="624695777">
      <w:bodyDiv w:val="1"/>
      <w:marLeft w:val="0"/>
      <w:marRight w:val="0"/>
      <w:marTop w:val="0"/>
      <w:marBottom w:val="0"/>
      <w:divBdr>
        <w:top w:val="none" w:sz="0" w:space="0" w:color="auto"/>
        <w:left w:val="none" w:sz="0" w:space="0" w:color="auto"/>
        <w:bottom w:val="none" w:sz="0" w:space="0" w:color="auto"/>
        <w:right w:val="none" w:sz="0" w:space="0" w:color="auto"/>
      </w:divBdr>
    </w:div>
    <w:div w:id="672294121">
      <w:bodyDiv w:val="1"/>
      <w:marLeft w:val="0"/>
      <w:marRight w:val="0"/>
      <w:marTop w:val="0"/>
      <w:marBottom w:val="0"/>
      <w:divBdr>
        <w:top w:val="none" w:sz="0" w:space="0" w:color="auto"/>
        <w:left w:val="none" w:sz="0" w:space="0" w:color="auto"/>
        <w:bottom w:val="none" w:sz="0" w:space="0" w:color="auto"/>
        <w:right w:val="none" w:sz="0" w:space="0" w:color="auto"/>
      </w:divBdr>
      <w:divsChild>
        <w:div w:id="193618529">
          <w:marLeft w:val="0"/>
          <w:marRight w:val="0"/>
          <w:marTop w:val="0"/>
          <w:marBottom w:val="0"/>
          <w:divBdr>
            <w:top w:val="none" w:sz="0" w:space="0" w:color="auto"/>
            <w:left w:val="none" w:sz="0" w:space="0" w:color="auto"/>
            <w:bottom w:val="none" w:sz="0" w:space="0" w:color="auto"/>
            <w:right w:val="none" w:sz="0" w:space="0" w:color="auto"/>
          </w:divBdr>
        </w:div>
        <w:div w:id="205411114">
          <w:marLeft w:val="0"/>
          <w:marRight w:val="0"/>
          <w:marTop w:val="0"/>
          <w:marBottom w:val="0"/>
          <w:divBdr>
            <w:top w:val="none" w:sz="0" w:space="0" w:color="auto"/>
            <w:left w:val="none" w:sz="0" w:space="0" w:color="auto"/>
            <w:bottom w:val="none" w:sz="0" w:space="0" w:color="auto"/>
            <w:right w:val="none" w:sz="0" w:space="0" w:color="auto"/>
          </w:divBdr>
          <w:divsChild>
            <w:div w:id="232159832">
              <w:marLeft w:val="0"/>
              <w:marRight w:val="0"/>
              <w:marTop w:val="0"/>
              <w:marBottom w:val="0"/>
              <w:divBdr>
                <w:top w:val="none" w:sz="0" w:space="0" w:color="auto"/>
                <w:left w:val="none" w:sz="0" w:space="0" w:color="auto"/>
                <w:bottom w:val="none" w:sz="0" w:space="0" w:color="auto"/>
                <w:right w:val="none" w:sz="0" w:space="0" w:color="auto"/>
              </w:divBdr>
            </w:div>
            <w:div w:id="762728362">
              <w:marLeft w:val="0"/>
              <w:marRight w:val="0"/>
              <w:marTop w:val="0"/>
              <w:marBottom w:val="0"/>
              <w:divBdr>
                <w:top w:val="none" w:sz="0" w:space="0" w:color="auto"/>
                <w:left w:val="none" w:sz="0" w:space="0" w:color="auto"/>
                <w:bottom w:val="none" w:sz="0" w:space="0" w:color="auto"/>
                <w:right w:val="none" w:sz="0" w:space="0" w:color="auto"/>
              </w:divBdr>
            </w:div>
            <w:div w:id="783043054">
              <w:marLeft w:val="0"/>
              <w:marRight w:val="0"/>
              <w:marTop w:val="0"/>
              <w:marBottom w:val="0"/>
              <w:divBdr>
                <w:top w:val="none" w:sz="0" w:space="0" w:color="auto"/>
                <w:left w:val="none" w:sz="0" w:space="0" w:color="auto"/>
                <w:bottom w:val="none" w:sz="0" w:space="0" w:color="auto"/>
                <w:right w:val="none" w:sz="0" w:space="0" w:color="auto"/>
              </w:divBdr>
            </w:div>
            <w:div w:id="1377318576">
              <w:marLeft w:val="0"/>
              <w:marRight w:val="0"/>
              <w:marTop w:val="0"/>
              <w:marBottom w:val="0"/>
              <w:divBdr>
                <w:top w:val="none" w:sz="0" w:space="0" w:color="auto"/>
                <w:left w:val="none" w:sz="0" w:space="0" w:color="auto"/>
                <w:bottom w:val="none" w:sz="0" w:space="0" w:color="auto"/>
                <w:right w:val="none" w:sz="0" w:space="0" w:color="auto"/>
              </w:divBdr>
            </w:div>
            <w:div w:id="1619023867">
              <w:marLeft w:val="0"/>
              <w:marRight w:val="0"/>
              <w:marTop w:val="0"/>
              <w:marBottom w:val="0"/>
              <w:divBdr>
                <w:top w:val="none" w:sz="0" w:space="0" w:color="auto"/>
                <w:left w:val="none" w:sz="0" w:space="0" w:color="auto"/>
                <w:bottom w:val="none" w:sz="0" w:space="0" w:color="auto"/>
                <w:right w:val="none" w:sz="0" w:space="0" w:color="auto"/>
              </w:divBdr>
            </w:div>
          </w:divsChild>
        </w:div>
        <w:div w:id="232205702">
          <w:marLeft w:val="0"/>
          <w:marRight w:val="0"/>
          <w:marTop w:val="0"/>
          <w:marBottom w:val="0"/>
          <w:divBdr>
            <w:top w:val="none" w:sz="0" w:space="0" w:color="auto"/>
            <w:left w:val="none" w:sz="0" w:space="0" w:color="auto"/>
            <w:bottom w:val="none" w:sz="0" w:space="0" w:color="auto"/>
            <w:right w:val="none" w:sz="0" w:space="0" w:color="auto"/>
          </w:divBdr>
        </w:div>
        <w:div w:id="299965586">
          <w:marLeft w:val="0"/>
          <w:marRight w:val="0"/>
          <w:marTop w:val="0"/>
          <w:marBottom w:val="0"/>
          <w:divBdr>
            <w:top w:val="none" w:sz="0" w:space="0" w:color="auto"/>
            <w:left w:val="none" w:sz="0" w:space="0" w:color="auto"/>
            <w:bottom w:val="none" w:sz="0" w:space="0" w:color="auto"/>
            <w:right w:val="none" w:sz="0" w:space="0" w:color="auto"/>
          </w:divBdr>
        </w:div>
        <w:div w:id="311180160">
          <w:marLeft w:val="0"/>
          <w:marRight w:val="0"/>
          <w:marTop w:val="0"/>
          <w:marBottom w:val="0"/>
          <w:divBdr>
            <w:top w:val="none" w:sz="0" w:space="0" w:color="auto"/>
            <w:left w:val="none" w:sz="0" w:space="0" w:color="auto"/>
            <w:bottom w:val="none" w:sz="0" w:space="0" w:color="auto"/>
            <w:right w:val="none" w:sz="0" w:space="0" w:color="auto"/>
          </w:divBdr>
        </w:div>
        <w:div w:id="467868026">
          <w:marLeft w:val="0"/>
          <w:marRight w:val="0"/>
          <w:marTop w:val="0"/>
          <w:marBottom w:val="0"/>
          <w:divBdr>
            <w:top w:val="none" w:sz="0" w:space="0" w:color="auto"/>
            <w:left w:val="none" w:sz="0" w:space="0" w:color="auto"/>
            <w:bottom w:val="none" w:sz="0" w:space="0" w:color="auto"/>
            <w:right w:val="none" w:sz="0" w:space="0" w:color="auto"/>
          </w:divBdr>
        </w:div>
        <w:div w:id="649750172">
          <w:marLeft w:val="0"/>
          <w:marRight w:val="0"/>
          <w:marTop w:val="0"/>
          <w:marBottom w:val="0"/>
          <w:divBdr>
            <w:top w:val="none" w:sz="0" w:space="0" w:color="auto"/>
            <w:left w:val="none" w:sz="0" w:space="0" w:color="auto"/>
            <w:bottom w:val="none" w:sz="0" w:space="0" w:color="auto"/>
            <w:right w:val="none" w:sz="0" w:space="0" w:color="auto"/>
          </w:divBdr>
          <w:divsChild>
            <w:div w:id="17586146">
              <w:marLeft w:val="0"/>
              <w:marRight w:val="0"/>
              <w:marTop w:val="0"/>
              <w:marBottom w:val="0"/>
              <w:divBdr>
                <w:top w:val="none" w:sz="0" w:space="0" w:color="auto"/>
                <w:left w:val="none" w:sz="0" w:space="0" w:color="auto"/>
                <w:bottom w:val="none" w:sz="0" w:space="0" w:color="auto"/>
                <w:right w:val="none" w:sz="0" w:space="0" w:color="auto"/>
              </w:divBdr>
            </w:div>
            <w:div w:id="1480415016">
              <w:marLeft w:val="0"/>
              <w:marRight w:val="0"/>
              <w:marTop w:val="0"/>
              <w:marBottom w:val="0"/>
              <w:divBdr>
                <w:top w:val="none" w:sz="0" w:space="0" w:color="auto"/>
                <w:left w:val="none" w:sz="0" w:space="0" w:color="auto"/>
                <w:bottom w:val="none" w:sz="0" w:space="0" w:color="auto"/>
                <w:right w:val="none" w:sz="0" w:space="0" w:color="auto"/>
              </w:divBdr>
            </w:div>
            <w:div w:id="2058040001">
              <w:marLeft w:val="0"/>
              <w:marRight w:val="0"/>
              <w:marTop w:val="0"/>
              <w:marBottom w:val="0"/>
              <w:divBdr>
                <w:top w:val="none" w:sz="0" w:space="0" w:color="auto"/>
                <w:left w:val="none" w:sz="0" w:space="0" w:color="auto"/>
                <w:bottom w:val="none" w:sz="0" w:space="0" w:color="auto"/>
                <w:right w:val="none" w:sz="0" w:space="0" w:color="auto"/>
              </w:divBdr>
            </w:div>
            <w:div w:id="2097822831">
              <w:marLeft w:val="0"/>
              <w:marRight w:val="0"/>
              <w:marTop w:val="0"/>
              <w:marBottom w:val="0"/>
              <w:divBdr>
                <w:top w:val="none" w:sz="0" w:space="0" w:color="auto"/>
                <w:left w:val="none" w:sz="0" w:space="0" w:color="auto"/>
                <w:bottom w:val="none" w:sz="0" w:space="0" w:color="auto"/>
                <w:right w:val="none" w:sz="0" w:space="0" w:color="auto"/>
              </w:divBdr>
            </w:div>
            <w:div w:id="2144956213">
              <w:marLeft w:val="0"/>
              <w:marRight w:val="0"/>
              <w:marTop w:val="0"/>
              <w:marBottom w:val="0"/>
              <w:divBdr>
                <w:top w:val="none" w:sz="0" w:space="0" w:color="auto"/>
                <w:left w:val="none" w:sz="0" w:space="0" w:color="auto"/>
                <w:bottom w:val="none" w:sz="0" w:space="0" w:color="auto"/>
                <w:right w:val="none" w:sz="0" w:space="0" w:color="auto"/>
              </w:divBdr>
            </w:div>
          </w:divsChild>
        </w:div>
        <w:div w:id="667102451">
          <w:marLeft w:val="0"/>
          <w:marRight w:val="0"/>
          <w:marTop w:val="0"/>
          <w:marBottom w:val="0"/>
          <w:divBdr>
            <w:top w:val="none" w:sz="0" w:space="0" w:color="auto"/>
            <w:left w:val="none" w:sz="0" w:space="0" w:color="auto"/>
            <w:bottom w:val="none" w:sz="0" w:space="0" w:color="auto"/>
            <w:right w:val="none" w:sz="0" w:space="0" w:color="auto"/>
          </w:divBdr>
        </w:div>
        <w:div w:id="689796583">
          <w:marLeft w:val="0"/>
          <w:marRight w:val="0"/>
          <w:marTop w:val="0"/>
          <w:marBottom w:val="0"/>
          <w:divBdr>
            <w:top w:val="none" w:sz="0" w:space="0" w:color="auto"/>
            <w:left w:val="none" w:sz="0" w:space="0" w:color="auto"/>
            <w:bottom w:val="none" w:sz="0" w:space="0" w:color="auto"/>
            <w:right w:val="none" w:sz="0" w:space="0" w:color="auto"/>
          </w:divBdr>
          <w:divsChild>
            <w:div w:id="352803750">
              <w:marLeft w:val="0"/>
              <w:marRight w:val="0"/>
              <w:marTop w:val="0"/>
              <w:marBottom w:val="0"/>
              <w:divBdr>
                <w:top w:val="none" w:sz="0" w:space="0" w:color="auto"/>
                <w:left w:val="none" w:sz="0" w:space="0" w:color="auto"/>
                <w:bottom w:val="none" w:sz="0" w:space="0" w:color="auto"/>
                <w:right w:val="none" w:sz="0" w:space="0" w:color="auto"/>
              </w:divBdr>
            </w:div>
            <w:div w:id="813106042">
              <w:marLeft w:val="0"/>
              <w:marRight w:val="0"/>
              <w:marTop w:val="0"/>
              <w:marBottom w:val="0"/>
              <w:divBdr>
                <w:top w:val="none" w:sz="0" w:space="0" w:color="auto"/>
                <w:left w:val="none" w:sz="0" w:space="0" w:color="auto"/>
                <w:bottom w:val="none" w:sz="0" w:space="0" w:color="auto"/>
                <w:right w:val="none" w:sz="0" w:space="0" w:color="auto"/>
              </w:divBdr>
            </w:div>
            <w:div w:id="1441142242">
              <w:marLeft w:val="0"/>
              <w:marRight w:val="0"/>
              <w:marTop w:val="0"/>
              <w:marBottom w:val="0"/>
              <w:divBdr>
                <w:top w:val="none" w:sz="0" w:space="0" w:color="auto"/>
                <w:left w:val="none" w:sz="0" w:space="0" w:color="auto"/>
                <w:bottom w:val="none" w:sz="0" w:space="0" w:color="auto"/>
                <w:right w:val="none" w:sz="0" w:space="0" w:color="auto"/>
              </w:divBdr>
            </w:div>
            <w:div w:id="1526599529">
              <w:marLeft w:val="0"/>
              <w:marRight w:val="0"/>
              <w:marTop w:val="0"/>
              <w:marBottom w:val="0"/>
              <w:divBdr>
                <w:top w:val="none" w:sz="0" w:space="0" w:color="auto"/>
                <w:left w:val="none" w:sz="0" w:space="0" w:color="auto"/>
                <w:bottom w:val="none" w:sz="0" w:space="0" w:color="auto"/>
                <w:right w:val="none" w:sz="0" w:space="0" w:color="auto"/>
              </w:divBdr>
            </w:div>
            <w:div w:id="1678923342">
              <w:marLeft w:val="0"/>
              <w:marRight w:val="0"/>
              <w:marTop w:val="0"/>
              <w:marBottom w:val="0"/>
              <w:divBdr>
                <w:top w:val="none" w:sz="0" w:space="0" w:color="auto"/>
                <w:left w:val="none" w:sz="0" w:space="0" w:color="auto"/>
                <w:bottom w:val="none" w:sz="0" w:space="0" w:color="auto"/>
                <w:right w:val="none" w:sz="0" w:space="0" w:color="auto"/>
              </w:divBdr>
            </w:div>
          </w:divsChild>
        </w:div>
        <w:div w:id="690912987">
          <w:marLeft w:val="0"/>
          <w:marRight w:val="0"/>
          <w:marTop w:val="0"/>
          <w:marBottom w:val="0"/>
          <w:divBdr>
            <w:top w:val="none" w:sz="0" w:space="0" w:color="auto"/>
            <w:left w:val="none" w:sz="0" w:space="0" w:color="auto"/>
            <w:bottom w:val="none" w:sz="0" w:space="0" w:color="auto"/>
            <w:right w:val="none" w:sz="0" w:space="0" w:color="auto"/>
          </w:divBdr>
        </w:div>
        <w:div w:id="728378266">
          <w:marLeft w:val="0"/>
          <w:marRight w:val="0"/>
          <w:marTop w:val="0"/>
          <w:marBottom w:val="0"/>
          <w:divBdr>
            <w:top w:val="none" w:sz="0" w:space="0" w:color="auto"/>
            <w:left w:val="none" w:sz="0" w:space="0" w:color="auto"/>
            <w:bottom w:val="none" w:sz="0" w:space="0" w:color="auto"/>
            <w:right w:val="none" w:sz="0" w:space="0" w:color="auto"/>
          </w:divBdr>
        </w:div>
        <w:div w:id="885408562">
          <w:marLeft w:val="0"/>
          <w:marRight w:val="0"/>
          <w:marTop w:val="0"/>
          <w:marBottom w:val="0"/>
          <w:divBdr>
            <w:top w:val="none" w:sz="0" w:space="0" w:color="auto"/>
            <w:left w:val="none" w:sz="0" w:space="0" w:color="auto"/>
            <w:bottom w:val="none" w:sz="0" w:space="0" w:color="auto"/>
            <w:right w:val="none" w:sz="0" w:space="0" w:color="auto"/>
          </w:divBdr>
          <w:divsChild>
            <w:div w:id="223613621">
              <w:marLeft w:val="0"/>
              <w:marRight w:val="0"/>
              <w:marTop w:val="0"/>
              <w:marBottom w:val="0"/>
              <w:divBdr>
                <w:top w:val="none" w:sz="0" w:space="0" w:color="auto"/>
                <w:left w:val="none" w:sz="0" w:space="0" w:color="auto"/>
                <w:bottom w:val="none" w:sz="0" w:space="0" w:color="auto"/>
                <w:right w:val="none" w:sz="0" w:space="0" w:color="auto"/>
              </w:divBdr>
            </w:div>
            <w:div w:id="1058892564">
              <w:marLeft w:val="0"/>
              <w:marRight w:val="0"/>
              <w:marTop w:val="0"/>
              <w:marBottom w:val="0"/>
              <w:divBdr>
                <w:top w:val="none" w:sz="0" w:space="0" w:color="auto"/>
                <w:left w:val="none" w:sz="0" w:space="0" w:color="auto"/>
                <w:bottom w:val="none" w:sz="0" w:space="0" w:color="auto"/>
                <w:right w:val="none" w:sz="0" w:space="0" w:color="auto"/>
              </w:divBdr>
            </w:div>
            <w:div w:id="1354385140">
              <w:marLeft w:val="0"/>
              <w:marRight w:val="0"/>
              <w:marTop w:val="0"/>
              <w:marBottom w:val="0"/>
              <w:divBdr>
                <w:top w:val="none" w:sz="0" w:space="0" w:color="auto"/>
                <w:left w:val="none" w:sz="0" w:space="0" w:color="auto"/>
                <w:bottom w:val="none" w:sz="0" w:space="0" w:color="auto"/>
                <w:right w:val="none" w:sz="0" w:space="0" w:color="auto"/>
              </w:divBdr>
            </w:div>
            <w:div w:id="1735011763">
              <w:marLeft w:val="0"/>
              <w:marRight w:val="0"/>
              <w:marTop w:val="0"/>
              <w:marBottom w:val="0"/>
              <w:divBdr>
                <w:top w:val="none" w:sz="0" w:space="0" w:color="auto"/>
                <w:left w:val="none" w:sz="0" w:space="0" w:color="auto"/>
                <w:bottom w:val="none" w:sz="0" w:space="0" w:color="auto"/>
                <w:right w:val="none" w:sz="0" w:space="0" w:color="auto"/>
              </w:divBdr>
            </w:div>
            <w:div w:id="2006860233">
              <w:marLeft w:val="0"/>
              <w:marRight w:val="0"/>
              <w:marTop w:val="0"/>
              <w:marBottom w:val="0"/>
              <w:divBdr>
                <w:top w:val="none" w:sz="0" w:space="0" w:color="auto"/>
                <w:left w:val="none" w:sz="0" w:space="0" w:color="auto"/>
                <w:bottom w:val="none" w:sz="0" w:space="0" w:color="auto"/>
                <w:right w:val="none" w:sz="0" w:space="0" w:color="auto"/>
              </w:divBdr>
            </w:div>
          </w:divsChild>
        </w:div>
        <w:div w:id="968903114">
          <w:marLeft w:val="0"/>
          <w:marRight w:val="0"/>
          <w:marTop w:val="0"/>
          <w:marBottom w:val="0"/>
          <w:divBdr>
            <w:top w:val="none" w:sz="0" w:space="0" w:color="auto"/>
            <w:left w:val="none" w:sz="0" w:space="0" w:color="auto"/>
            <w:bottom w:val="none" w:sz="0" w:space="0" w:color="auto"/>
            <w:right w:val="none" w:sz="0" w:space="0" w:color="auto"/>
          </w:divBdr>
          <w:divsChild>
            <w:div w:id="520776723">
              <w:marLeft w:val="0"/>
              <w:marRight w:val="0"/>
              <w:marTop w:val="0"/>
              <w:marBottom w:val="0"/>
              <w:divBdr>
                <w:top w:val="none" w:sz="0" w:space="0" w:color="auto"/>
                <w:left w:val="none" w:sz="0" w:space="0" w:color="auto"/>
                <w:bottom w:val="none" w:sz="0" w:space="0" w:color="auto"/>
                <w:right w:val="none" w:sz="0" w:space="0" w:color="auto"/>
              </w:divBdr>
            </w:div>
            <w:div w:id="1013264500">
              <w:marLeft w:val="0"/>
              <w:marRight w:val="0"/>
              <w:marTop w:val="0"/>
              <w:marBottom w:val="0"/>
              <w:divBdr>
                <w:top w:val="none" w:sz="0" w:space="0" w:color="auto"/>
                <w:left w:val="none" w:sz="0" w:space="0" w:color="auto"/>
                <w:bottom w:val="none" w:sz="0" w:space="0" w:color="auto"/>
                <w:right w:val="none" w:sz="0" w:space="0" w:color="auto"/>
              </w:divBdr>
            </w:div>
            <w:div w:id="1055204733">
              <w:marLeft w:val="0"/>
              <w:marRight w:val="0"/>
              <w:marTop w:val="0"/>
              <w:marBottom w:val="0"/>
              <w:divBdr>
                <w:top w:val="none" w:sz="0" w:space="0" w:color="auto"/>
                <w:left w:val="none" w:sz="0" w:space="0" w:color="auto"/>
                <w:bottom w:val="none" w:sz="0" w:space="0" w:color="auto"/>
                <w:right w:val="none" w:sz="0" w:space="0" w:color="auto"/>
              </w:divBdr>
            </w:div>
            <w:div w:id="1099839301">
              <w:marLeft w:val="0"/>
              <w:marRight w:val="0"/>
              <w:marTop w:val="0"/>
              <w:marBottom w:val="0"/>
              <w:divBdr>
                <w:top w:val="none" w:sz="0" w:space="0" w:color="auto"/>
                <w:left w:val="none" w:sz="0" w:space="0" w:color="auto"/>
                <w:bottom w:val="none" w:sz="0" w:space="0" w:color="auto"/>
                <w:right w:val="none" w:sz="0" w:space="0" w:color="auto"/>
              </w:divBdr>
            </w:div>
            <w:div w:id="1396129008">
              <w:marLeft w:val="0"/>
              <w:marRight w:val="0"/>
              <w:marTop w:val="0"/>
              <w:marBottom w:val="0"/>
              <w:divBdr>
                <w:top w:val="none" w:sz="0" w:space="0" w:color="auto"/>
                <w:left w:val="none" w:sz="0" w:space="0" w:color="auto"/>
                <w:bottom w:val="none" w:sz="0" w:space="0" w:color="auto"/>
                <w:right w:val="none" w:sz="0" w:space="0" w:color="auto"/>
              </w:divBdr>
            </w:div>
          </w:divsChild>
        </w:div>
        <w:div w:id="1025710177">
          <w:marLeft w:val="0"/>
          <w:marRight w:val="0"/>
          <w:marTop w:val="0"/>
          <w:marBottom w:val="0"/>
          <w:divBdr>
            <w:top w:val="none" w:sz="0" w:space="0" w:color="auto"/>
            <w:left w:val="none" w:sz="0" w:space="0" w:color="auto"/>
            <w:bottom w:val="none" w:sz="0" w:space="0" w:color="auto"/>
            <w:right w:val="none" w:sz="0" w:space="0" w:color="auto"/>
          </w:divBdr>
        </w:div>
        <w:div w:id="1092973029">
          <w:marLeft w:val="0"/>
          <w:marRight w:val="0"/>
          <w:marTop w:val="0"/>
          <w:marBottom w:val="0"/>
          <w:divBdr>
            <w:top w:val="none" w:sz="0" w:space="0" w:color="auto"/>
            <w:left w:val="none" w:sz="0" w:space="0" w:color="auto"/>
            <w:bottom w:val="none" w:sz="0" w:space="0" w:color="auto"/>
            <w:right w:val="none" w:sz="0" w:space="0" w:color="auto"/>
          </w:divBdr>
        </w:div>
        <w:div w:id="1132284128">
          <w:marLeft w:val="0"/>
          <w:marRight w:val="0"/>
          <w:marTop w:val="0"/>
          <w:marBottom w:val="0"/>
          <w:divBdr>
            <w:top w:val="none" w:sz="0" w:space="0" w:color="auto"/>
            <w:left w:val="none" w:sz="0" w:space="0" w:color="auto"/>
            <w:bottom w:val="none" w:sz="0" w:space="0" w:color="auto"/>
            <w:right w:val="none" w:sz="0" w:space="0" w:color="auto"/>
          </w:divBdr>
        </w:div>
        <w:div w:id="1305085230">
          <w:marLeft w:val="0"/>
          <w:marRight w:val="0"/>
          <w:marTop w:val="0"/>
          <w:marBottom w:val="0"/>
          <w:divBdr>
            <w:top w:val="none" w:sz="0" w:space="0" w:color="auto"/>
            <w:left w:val="none" w:sz="0" w:space="0" w:color="auto"/>
            <w:bottom w:val="none" w:sz="0" w:space="0" w:color="auto"/>
            <w:right w:val="none" w:sz="0" w:space="0" w:color="auto"/>
          </w:divBdr>
        </w:div>
        <w:div w:id="1330328128">
          <w:marLeft w:val="0"/>
          <w:marRight w:val="0"/>
          <w:marTop w:val="0"/>
          <w:marBottom w:val="0"/>
          <w:divBdr>
            <w:top w:val="none" w:sz="0" w:space="0" w:color="auto"/>
            <w:left w:val="none" w:sz="0" w:space="0" w:color="auto"/>
            <w:bottom w:val="none" w:sz="0" w:space="0" w:color="auto"/>
            <w:right w:val="none" w:sz="0" w:space="0" w:color="auto"/>
          </w:divBdr>
        </w:div>
        <w:div w:id="1338918360">
          <w:marLeft w:val="0"/>
          <w:marRight w:val="0"/>
          <w:marTop w:val="0"/>
          <w:marBottom w:val="0"/>
          <w:divBdr>
            <w:top w:val="none" w:sz="0" w:space="0" w:color="auto"/>
            <w:left w:val="none" w:sz="0" w:space="0" w:color="auto"/>
            <w:bottom w:val="none" w:sz="0" w:space="0" w:color="auto"/>
            <w:right w:val="none" w:sz="0" w:space="0" w:color="auto"/>
          </w:divBdr>
        </w:div>
        <w:div w:id="1532693648">
          <w:marLeft w:val="0"/>
          <w:marRight w:val="0"/>
          <w:marTop w:val="0"/>
          <w:marBottom w:val="0"/>
          <w:divBdr>
            <w:top w:val="none" w:sz="0" w:space="0" w:color="auto"/>
            <w:left w:val="none" w:sz="0" w:space="0" w:color="auto"/>
            <w:bottom w:val="none" w:sz="0" w:space="0" w:color="auto"/>
            <w:right w:val="none" w:sz="0" w:space="0" w:color="auto"/>
          </w:divBdr>
        </w:div>
        <w:div w:id="1660385530">
          <w:marLeft w:val="0"/>
          <w:marRight w:val="0"/>
          <w:marTop w:val="0"/>
          <w:marBottom w:val="0"/>
          <w:divBdr>
            <w:top w:val="none" w:sz="0" w:space="0" w:color="auto"/>
            <w:left w:val="none" w:sz="0" w:space="0" w:color="auto"/>
            <w:bottom w:val="none" w:sz="0" w:space="0" w:color="auto"/>
            <w:right w:val="none" w:sz="0" w:space="0" w:color="auto"/>
          </w:divBdr>
        </w:div>
        <w:div w:id="1727022355">
          <w:marLeft w:val="0"/>
          <w:marRight w:val="0"/>
          <w:marTop w:val="0"/>
          <w:marBottom w:val="0"/>
          <w:divBdr>
            <w:top w:val="none" w:sz="0" w:space="0" w:color="auto"/>
            <w:left w:val="none" w:sz="0" w:space="0" w:color="auto"/>
            <w:bottom w:val="none" w:sz="0" w:space="0" w:color="auto"/>
            <w:right w:val="none" w:sz="0" w:space="0" w:color="auto"/>
          </w:divBdr>
        </w:div>
        <w:div w:id="1754620989">
          <w:marLeft w:val="0"/>
          <w:marRight w:val="0"/>
          <w:marTop w:val="0"/>
          <w:marBottom w:val="0"/>
          <w:divBdr>
            <w:top w:val="none" w:sz="0" w:space="0" w:color="auto"/>
            <w:left w:val="none" w:sz="0" w:space="0" w:color="auto"/>
            <w:bottom w:val="none" w:sz="0" w:space="0" w:color="auto"/>
            <w:right w:val="none" w:sz="0" w:space="0" w:color="auto"/>
          </w:divBdr>
          <w:divsChild>
            <w:div w:id="93592475">
              <w:marLeft w:val="0"/>
              <w:marRight w:val="0"/>
              <w:marTop w:val="0"/>
              <w:marBottom w:val="0"/>
              <w:divBdr>
                <w:top w:val="none" w:sz="0" w:space="0" w:color="auto"/>
                <w:left w:val="none" w:sz="0" w:space="0" w:color="auto"/>
                <w:bottom w:val="none" w:sz="0" w:space="0" w:color="auto"/>
                <w:right w:val="none" w:sz="0" w:space="0" w:color="auto"/>
              </w:divBdr>
            </w:div>
            <w:div w:id="1399208840">
              <w:marLeft w:val="0"/>
              <w:marRight w:val="0"/>
              <w:marTop w:val="0"/>
              <w:marBottom w:val="0"/>
              <w:divBdr>
                <w:top w:val="none" w:sz="0" w:space="0" w:color="auto"/>
                <w:left w:val="none" w:sz="0" w:space="0" w:color="auto"/>
                <w:bottom w:val="none" w:sz="0" w:space="0" w:color="auto"/>
                <w:right w:val="none" w:sz="0" w:space="0" w:color="auto"/>
              </w:divBdr>
            </w:div>
            <w:div w:id="1731339484">
              <w:marLeft w:val="0"/>
              <w:marRight w:val="0"/>
              <w:marTop w:val="0"/>
              <w:marBottom w:val="0"/>
              <w:divBdr>
                <w:top w:val="none" w:sz="0" w:space="0" w:color="auto"/>
                <w:left w:val="none" w:sz="0" w:space="0" w:color="auto"/>
                <w:bottom w:val="none" w:sz="0" w:space="0" w:color="auto"/>
                <w:right w:val="none" w:sz="0" w:space="0" w:color="auto"/>
              </w:divBdr>
            </w:div>
            <w:div w:id="1740785233">
              <w:marLeft w:val="0"/>
              <w:marRight w:val="0"/>
              <w:marTop w:val="0"/>
              <w:marBottom w:val="0"/>
              <w:divBdr>
                <w:top w:val="none" w:sz="0" w:space="0" w:color="auto"/>
                <w:left w:val="none" w:sz="0" w:space="0" w:color="auto"/>
                <w:bottom w:val="none" w:sz="0" w:space="0" w:color="auto"/>
                <w:right w:val="none" w:sz="0" w:space="0" w:color="auto"/>
              </w:divBdr>
            </w:div>
            <w:div w:id="1826125141">
              <w:marLeft w:val="0"/>
              <w:marRight w:val="0"/>
              <w:marTop w:val="0"/>
              <w:marBottom w:val="0"/>
              <w:divBdr>
                <w:top w:val="none" w:sz="0" w:space="0" w:color="auto"/>
                <w:left w:val="none" w:sz="0" w:space="0" w:color="auto"/>
                <w:bottom w:val="none" w:sz="0" w:space="0" w:color="auto"/>
                <w:right w:val="none" w:sz="0" w:space="0" w:color="auto"/>
              </w:divBdr>
            </w:div>
          </w:divsChild>
        </w:div>
        <w:div w:id="1755513240">
          <w:marLeft w:val="0"/>
          <w:marRight w:val="0"/>
          <w:marTop w:val="0"/>
          <w:marBottom w:val="0"/>
          <w:divBdr>
            <w:top w:val="none" w:sz="0" w:space="0" w:color="auto"/>
            <w:left w:val="none" w:sz="0" w:space="0" w:color="auto"/>
            <w:bottom w:val="none" w:sz="0" w:space="0" w:color="auto"/>
            <w:right w:val="none" w:sz="0" w:space="0" w:color="auto"/>
          </w:divBdr>
          <w:divsChild>
            <w:div w:id="999962772">
              <w:marLeft w:val="0"/>
              <w:marRight w:val="0"/>
              <w:marTop w:val="0"/>
              <w:marBottom w:val="0"/>
              <w:divBdr>
                <w:top w:val="none" w:sz="0" w:space="0" w:color="auto"/>
                <w:left w:val="none" w:sz="0" w:space="0" w:color="auto"/>
                <w:bottom w:val="none" w:sz="0" w:space="0" w:color="auto"/>
                <w:right w:val="none" w:sz="0" w:space="0" w:color="auto"/>
              </w:divBdr>
            </w:div>
            <w:div w:id="1121995553">
              <w:marLeft w:val="0"/>
              <w:marRight w:val="0"/>
              <w:marTop w:val="0"/>
              <w:marBottom w:val="0"/>
              <w:divBdr>
                <w:top w:val="none" w:sz="0" w:space="0" w:color="auto"/>
                <w:left w:val="none" w:sz="0" w:space="0" w:color="auto"/>
                <w:bottom w:val="none" w:sz="0" w:space="0" w:color="auto"/>
                <w:right w:val="none" w:sz="0" w:space="0" w:color="auto"/>
              </w:divBdr>
            </w:div>
            <w:div w:id="1422096056">
              <w:marLeft w:val="0"/>
              <w:marRight w:val="0"/>
              <w:marTop w:val="0"/>
              <w:marBottom w:val="0"/>
              <w:divBdr>
                <w:top w:val="none" w:sz="0" w:space="0" w:color="auto"/>
                <w:left w:val="none" w:sz="0" w:space="0" w:color="auto"/>
                <w:bottom w:val="none" w:sz="0" w:space="0" w:color="auto"/>
                <w:right w:val="none" w:sz="0" w:space="0" w:color="auto"/>
              </w:divBdr>
            </w:div>
            <w:div w:id="1763795870">
              <w:marLeft w:val="0"/>
              <w:marRight w:val="0"/>
              <w:marTop w:val="0"/>
              <w:marBottom w:val="0"/>
              <w:divBdr>
                <w:top w:val="none" w:sz="0" w:space="0" w:color="auto"/>
                <w:left w:val="none" w:sz="0" w:space="0" w:color="auto"/>
                <w:bottom w:val="none" w:sz="0" w:space="0" w:color="auto"/>
                <w:right w:val="none" w:sz="0" w:space="0" w:color="auto"/>
              </w:divBdr>
            </w:div>
            <w:div w:id="1878077222">
              <w:marLeft w:val="0"/>
              <w:marRight w:val="0"/>
              <w:marTop w:val="0"/>
              <w:marBottom w:val="0"/>
              <w:divBdr>
                <w:top w:val="none" w:sz="0" w:space="0" w:color="auto"/>
                <w:left w:val="none" w:sz="0" w:space="0" w:color="auto"/>
                <w:bottom w:val="none" w:sz="0" w:space="0" w:color="auto"/>
                <w:right w:val="none" w:sz="0" w:space="0" w:color="auto"/>
              </w:divBdr>
            </w:div>
          </w:divsChild>
        </w:div>
        <w:div w:id="1978997878">
          <w:marLeft w:val="0"/>
          <w:marRight w:val="0"/>
          <w:marTop w:val="0"/>
          <w:marBottom w:val="0"/>
          <w:divBdr>
            <w:top w:val="none" w:sz="0" w:space="0" w:color="auto"/>
            <w:left w:val="none" w:sz="0" w:space="0" w:color="auto"/>
            <w:bottom w:val="none" w:sz="0" w:space="0" w:color="auto"/>
            <w:right w:val="none" w:sz="0" w:space="0" w:color="auto"/>
          </w:divBdr>
        </w:div>
        <w:div w:id="2033914575">
          <w:marLeft w:val="0"/>
          <w:marRight w:val="0"/>
          <w:marTop w:val="0"/>
          <w:marBottom w:val="0"/>
          <w:divBdr>
            <w:top w:val="none" w:sz="0" w:space="0" w:color="auto"/>
            <w:left w:val="none" w:sz="0" w:space="0" w:color="auto"/>
            <w:bottom w:val="none" w:sz="0" w:space="0" w:color="auto"/>
            <w:right w:val="none" w:sz="0" w:space="0" w:color="auto"/>
          </w:divBdr>
        </w:div>
        <w:div w:id="2092651793">
          <w:marLeft w:val="0"/>
          <w:marRight w:val="0"/>
          <w:marTop w:val="0"/>
          <w:marBottom w:val="0"/>
          <w:divBdr>
            <w:top w:val="none" w:sz="0" w:space="0" w:color="auto"/>
            <w:left w:val="none" w:sz="0" w:space="0" w:color="auto"/>
            <w:bottom w:val="none" w:sz="0" w:space="0" w:color="auto"/>
            <w:right w:val="none" w:sz="0" w:space="0" w:color="auto"/>
          </w:divBdr>
          <w:divsChild>
            <w:div w:id="292368305">
              <w:marLeft w:val="0"/>
              <w:marRight w:val="0"/>
              <w:marTop w:val="0"/>
              <w:marBottom w:val="0"/>
              <w:divBdr>
                <w:top w:val="none" w:sz="0" w:space="0" w:color="auto"/>
                <w:left w:val="none" w:sz="0" w:space="0" w:color="auto"/>
                <w:bottom w:val="none" w:sz="0" w:space="0" w:color="auto"/>
                <w:right w:val="none" w:sz="0" w:space="0" w:color="auto"/>
              </w:divBdr>
            </w:div>
            <w:div w:id="636881456">
              <w:marLeft w:val="0"/>
              <w:marRight w:val="0"/>
              <w:marTop w:val="0"/>
              <w:marBottom w:val="0"/>
              <w:divBdr>
                <w:top w:val="none" w:sz="0" w:space="0" w:color="auto"/>
                <w:left w:val="none" w:sz="0" w:space="0" w:color="auto"/>
                <w:bottom w:val="none" w:sz="0" w:space="0" w:color="auto"/>
                <w:right w:val="none" w:sz="0" w:space="0" w:color="auto"/>
              </w:divBdr>
            </w:div>
            <w:div w:id="770470459">
              <w:marLeft w:val="0"/>
              <w:marRight w:val="0"/>
              <w:marTop w:val="0"/>
              <w:marBottom w:val="0"/>
              <w:divBdr>
                <w:top w:val="none" w:sz="0" w:space="0" w:color="auto"/>
                <w:left w:val="none" w:sz="0" w:space="0" w:color="auto"/>
                <w:bottom w:val="none" w:sz="0" w:space="0" w:color="auto"/>
                <w:right w:val="none" w:sz="0" w:space="0" w:color="auto"/>
              </w:divBdr>
            </w:div>
            <w:div w:id="1040277354">
              <w:marLeft w:val="0"/>
              <w:marRight w:val="0"/>
              <w:marTop w:val="0"/>
              <w:marBottom w:val="0"/>
              <w:divBdr>
                <w:top w:val="none" w:sz="0" w:space="0" w:color="auto"/>
                <w:left w:val="none" w:sz="0" w:space="0" w:color="auto"/>
                <w:bottom w:val="none" w:sz="0" w:space="0" w:color="auto"/>
                <w:right w:val="none" w:sz="0" w:space="0" w:color="auto"/>
              </w:divBdr>
            </w:div>
            <w:div w:id="2101413745">
              <w:marLeft w:val="0"/>
              <w:marRight w:val="0"/>
              <w:marTop w:val="0"/>
              <w:marBottom w:val="0"/>
              <w:divBdr>
                <w:top w:val="none" w:sz="0" w:space="0" w:color="auto"/>
                <w:left w:val="none" w:sz="0" w:space="0" w:color="auto"/>
                <w:bottom w:val="none" w:sz="0" w:space="0" w:color="auto"/>
                <w:right w:val="none" w:sz="0" w:space="0" w:color="auto"/>
              </w:divBdr>
            </w:div>
          </w:divsChild>
        </w:div>
        <w:div w:id="2125494497">
          <w:marLeft w:val="0"/>
          <w:marRight w:val="0"/>
          <w:marTop w:val="0"/>
          <w:marBottom w:val="0"/>
          <w:divBdr>
            <w:top w:val="none" w:sz="0" w:space="0" w:color="auto"/>
            <w:left w:val="none" w:sz="0" w:space="0" w:color="auto"/>
            <w:bottom w:val="none" w:sz="0" w:space="0" w:color="auto"/>
            <w:right w:val="none" w:sz="0" w:space="0" w:color="auto"/>
          </w:divBdr>
        </w:div>
      </w:divsChild>
    </w:div>
    <w:div w:id="724991521">
      <w:bodyDiv w:val="1"/>
      <w:marLeft w:val="0"/>
      <w:marRight w:val="0"/>
      <w:marTop w:val="0"/>
      <w:marBottom w:val="0"/>
      <w:divBdr>
        <w:top w:val="none" w:sz="0" w:space="0" w:color="auto"/>
        <w:left w:val="none" w:sz="0" w:space="0" w:color="auto"/>
        <w:bottom w:val="none" w:sz="0" w:space="0" w:color="auto"/>
        <w:right w:val="none" w:sz="0" w:space="0" w:color="auto"/>
      </w:divBdr>
      <w:divsChild>
        <w:div w:id="1250989">
          <w:marLeft w:val="0"/>
          <w:marRight w:val="0"/>
          <w:marTop w:val="0"/>
          <w:marBottom w:val="0"/>
          <w:divBdr>
            <w:top w:val="none" w:sz="0" w:space="0" w:color="auto"/>
            <w:left w:val="none" w:sz="0" w:space="0" w:color="auto"/>
            <w:bottom w:val="none" w:sz="0" w:space="0" w:color="auto"/>
            <w:right w:val="none" w:sz="0" w:space="0" w:color="auto"/>
          </w:divBdr>
          <w:divsChild>
            <w:div w:id="1169297693">
              <w:marLeft w:val="0"/>
              <w:marRight w:val="0"/>
              <w:marTop w:val="0"/>
              <w:marBottom w:val="0"/>
              <w:divBdr>
                <w:top w:val="none" w:sz="0" w:space="0" w:color="auto"/>
                <w:left w:val="none" w:sz="0" w:space="0" w:color="auto"/>
                <w:bottom w:val="none" w:sz="0" w:space="0" w:color="auto"/>
                <w:right w:val="none" w:sz="0" w:space="0" w:color="auto"/>
              </w:divBdr>
            </w:div>
          </w:divsChild>
        </w:div>
        <w:div w:id="4285879">
          <w:marLeft w:val="0"/>
          <w:marRight w:val="0"/>
          <w:marTop w:val="0"/>
          <w:marBottom w:val="0"/>
          <w:divBdr>
            <w:top w:val="none" w:sz="0" w:space="0" w:color="auto"/>
            <w:left w:val="none" w:sz="0" w:space="0" w:color="auto"/>
            <w:bottom w:val="none" w:sz="0" w:space="0" w:color="auto"/>
            <w:right w:val="none" w:sz="0" w:space="0" w:color="auto"/>
          </w:divBdr>
          <w:divsChild>
            <w:div w:id="388918453">
              <w:marLeft w:val="0"/>
              <w:marRight w:val="0"/>
              <w:marTop w:val="0"/>
              <w:marBottom w:val="0"/>
              <w:divBdr>
                <w:top w:val="none" w:sz="0" w:space="0" w:color="auto"/>
                <w:left w:val="none" w:sz="0" w:space="0" w:color="auto"/>
                <w:bottom w:val="none" w:sz="0" w:space="0" w:color="auto"/>
                <w:right w:val="none" w:sz="0" w:space="0" w:color="auto"/>
              </w:divBdr>
            </w:div>
          </w:divsChild>
        </w:div>
        <w:div w:id="8413711">
          <w:marLeft w:val="0"/>
          <w:marRight w:val="0"/>
          <w:marTop w:val="0"/>
          <w:marBottom w:val="0"/>
          <w:divBdr>
            <w:top w:val="none" w:sz="0" w:space="0" w:color="auto"/>
            <w:left w:val="none" w:sz="0" w:space="0" w:color="auto"/>
            <w:bottom w:val="none" w:sz="0" w:space="0" w:color="auto"/>
            <w:right w:val="none" w:sz="0" w:space="0" w:color="auto"/>
          </w:divBdr>
          <w:divsChild>
            <w:div w:id="981155944">
              <w:marLeft w:val="0"/>
              <w:marRight w:val="0"/>
              <w:marTop w:val="0"/>
              <w:marBottom w:val="0"/>
              <w:divBdr>
                <w:top w:val="none" w:sz="0" w:space="0" w:color="auto"/>
                <w:left w:val="none" w:sz="0" w:space="0" w:color="auto"/>
                <w:bottom w:val="none" w:sz="0" w:space="0" w:color="auto"/>
                <w:right w:val="none" w:sz="0" w:space="0" w:color="auto"/>
              </w:divBdr>
            </w:div>
          </w:divsChild>
        </w:div>
        <w:div w:id="21056804">
          <w:marLeft w:val="0"/>
          <w:marRight w:val="0"/>
          <w:marTop w:val="0"/>
          <w:marBottom w:val="0"/>
          <w:divBdr>
            <w:top w:val="none" w:sz="0" w:space="0" w:color="auto"/>
            <w:left w:val="none" w:sz="0" w:space="0" w:color="auto"/>
            <w:bottom w:val="none" w:sz="0" w:space="0" w:color="auto"/>
            <w:right w:val="none" w:sz="0" w:space="0" w:color="auto"/>
          </w:divBdr>
          <w:divsChild>
            <w:div w:id="111242738">
              <w:marLeft w:val="0"/>
              <w:marRight w:val="0"/>
              <w:marTop w:val="0"/>
              <w:marBottom w:val="0"/>
              <w:divBdr>
                <w:top w:val="none" w:sz="0" w:space="0" w:color="auto"/>
                <w:left w:val="none" w:sz="0" w:space="0" w:color="auto"/>
                <w:bottom w:val="none" w:sz="0" w:space="0" w:color="auto"/>
                <w:right w:val="none" w:sz="0" w:space="0" w:color="auto"/>
              </w:divBdr>
            </w:div>
          </w:divsChild>
        </w:div>
        <w:div w:id="36663947">
          <w:marLeft w:val="0"/>
          <w:marRight w:val="0"/>
          <w:marTop w:val="0"/>
          <w:marBottom w:val="0"/>
          <w:divBdr>
            <w:top w:val="none" w:sz="0" w:space="0" w:color="auto"/>
            <w:left w:val="none" w:sz="0" w:space="0" w:color="auto"/>
            <w:bottom w:val="none" w:sz="0" w:space="0" w:color="auto"/>
            <w:right w:val="none" w:sz="0" w:space="0" w:color="auto"/>
          </w:divBdr>
          <w:divsChild>
            <w:div w:id="1841238824">
              <w:marLeft w:val="0"/>
              <w:marRight w:val="0"/>
              <w:marTop w:val="0"/>
              <w:marBottom w:val="0"/>
              <w:divBdr>
                <w:top w:val="none" w:sz="0" w:space="0" w:color="auto"/>
                <w:left w:val="none" w:sz="0" w:space="0" w:color="auto"/>
                <w:bottom w:val="none" w:sz="0" w:space="0" w:color="auto"/>
                <w:right w:val="none" w:sz="0" w:space="0" w:color="auto"/>
              </w:divBdr>
            </w:div>
          </w:divsChild>
        </w:div>
        <w:div w:id="44528637">
          <w:marLeft w:val="0"/>
          <w:marRight w:val="0"/>
          <w:marTop w:val="0"/>
          <w:marBottom w:val="0"/>
          <w:divBdr>
            <w:top w:val="none" w:sz="0" w:space="0" w:color="auto"/>
            <w:left w:val="none" w:sz="0" w:space="0" w:color="auto"/>
            <w:bottom w:val="none" w:sz="0" w:space="0" w:color="auto"/>
            <w:right w:val="none" w:sz="0" w:space="0" w:color="auto"/>
          </w:divBdr>
          <w:divsChild>
            <w:div w:id="721514264">
              <w:marLeft w:val="0"/>
              <w:marRight w:val="0"/>
              <w:marTop w:val="0"/>
              <w:marBottom w:val="0"/>
              <w:divBdr>
                <w:top w:val="none" w:sz="0" w:space="0" w:color="auto"/>
                <w:left w:val="none" w:sz="0" w:space="0" w:color="auto"/>
                <w:bottom w:val="none" w:sz="0" w:space="0" w:color="auto"/>
                <w:right w:val="none" w:sz="0" w:space="0" w:color="auto"/>
              </w:divBdr>
            </w:div>
          </w:divsChild>
        </w:div>
        <w:div w:id="53163021">
          <w:marLeft w:val="0"/>
          <w:marRight w:val="0"/>
          <w:marTop w:val="0"/>
          <w:marBottom w:val="0"/>
          <w:divBdr>
            <w:top w:val="none" w:sz="0" w:space="0" w:color="auto"/>
            <w:left w:val="none" w:sz="0" w:space="0" w:color="auto"/>
            <w:bottom w:val="none" w:sz="0" w:space="0" w:color="auto"/>
            <w:right w:val="none" w:sz="0" w:space="0" w:color="auto"/>
          </w:divBdr>
          <w:divsChild>
            <w:div w:id="883836139">
              <w:marLeft w:val="0"/>
              <w:marRight w:val="0"/>
              <w:marTop w:val="0"/>
              <w:marBottom w:val="0"/>
              <w:divBdr>
                <w:top w:val="none" w:sz="0" w:space="0" w:color="auto"/>
                <w:left w:val="none" w:sz="0" w:space="0" w:color="auto"/>
                <w:bottom w:val="none" w:sz="0" w:space="0" w:color="auto"/>
                <w:right w:val="none" w:sz="0" w:space="0" w:color="auto"/>
              </w:divBdr>
            </w:div>
          </w:divsChild>
        </w:div>
        <w:div w:id="59914151">
          <w:marLeft w:val="0"/>
          <w:marRight w:val="0"/>
          <w:marTop w:val="0"/>
          <w:marBottom w:val="0"/>
          <w:divBdr>
            <w:top w:val="none" w:sz="0" w:space="0" w:color="auto"/>
            <w:left w:val="none" w:sz="0" w:space="0" w:color="auto"/>
            <w:bottom w:val="none" w:sz="0" w:space="0" w:color="auto"/>
            <w:right w:val="none" w:sz="0" w:space="0" w:color="auto"/>
          </w:divBdr>
          <w:divsChild>
            <w:div w:id="1212570030">
              <w:marLeft w:val="0"/>
              <w:marRight w:val="0"/>
              <w:marTop w:val="0"/>
              <w:marBottom w:val="0"/>
              <w:divBdr>
                <w:top w:val="none" w:sz="0" w:space="0" w:color="auto"/>
                <w:left w:val="none" w:sz="0" w:space="0" w:color="auto"/>
                <w:bottom w:val="none" w:sz="0" w:space="0" w:color="auto"/>
                <w:right w:val="none" w:sz="0" w:space="0" w:color="auto"/>
              </w:divBdr>
            </w:div>
          </w:divsChild>
        </w:div>
        <w:div w:id="65762527">
          <w:marLeft w:val="0"/>
          <w:marRight w:val="0"/>
          <w:marTop w:val="0"/>
          <w:marBottom w:val="0"/>
          <w:divBdr>
            <w:top w:val="none" w:sz="0" w:space="0" w:color="auto"/>
            <w:left w:val="none" w:sz="0" w:space="0" w:color="auto"/>
            <w:bottom w:val="none" w:sz="0" w:space="0" w:color="auto"/>
            <w:right w:val="none" w:sz="0" w:space="0" w:color="auto"/>
          </w:divBdr>
          <w:divsChild>
            <w:div w:id="1531188866">
              <w:marLeft w:val="0"/>
              <w:marRight w:val="0"/>
              <w:marTop w:val="0"/>
              <w:marBottom w:val="0"/>
              <w:divBdr>
                <w:top w:val="none" w:sz="0" w:space="0" w:color="auto"/>
                <w:left w:val="none" w:sz="0" w:space="0" w:color="auto"/>
                <w:bottom w:val="none" w:sz="0" w:space="0" w:color="auto"/>
                <w:right w:val="none" w:sz="0" w:space="0" w:color="auto"/>
              </w:divBdr>
            </w:div>
          </w:divsChild>
        </w:div>
        <w:div w:id="73092744">
          <w:marLeft w:val="0"/>
          <w:marRight w:val="0"/>
          <w:marTop w:val="0"/>
          <w:marBottom w:val="0"/>
          <w:divBdr>
            <w:top w:val="none" w:sz="0" w:space="0" w:color="auto"/>
            <w:left w:val="none" w:sz="0" w:space="0" w:color="auto"/>
            <w:bottom w:val="none" w:sz="0" w:space="0" w:color="auto"/>
            <w:right w:val="none" w:sz="0" w:space="0" w:color="auto"/>
          </w:divBdr>
          <w:divsChild>
            <w:div w:id="2004623946">
              <w:marLeft w:val="0"/>
              <w:marRight w:val="0"/>
              <w:marTop w:val="0"/>
              <w:marBottom w:val="0"/>
              <w:divBdr>
                <w:top w:val="none" w:sz="0" w:space="0" w:color="auto"/>
                <w:left w:val="none" w:sz="0" w:space="0" w:color="auto"/>
                <w:bottom w:val="none" w:sz="0" w:space="0" w:color="auto"/>
                <w:right w:val="none" w:sz="0" w:space="0" w:color="auto"/>
              </w:divBdr>
            </w:div>
          </w:divsChild>
        </w:div>
        <w:div w:id="88897224">
          <w:marLeft w:val="0"/>
          <w:marRight w:val="0"/>
          <w:marTop w:val="0"/>
          <w:marBottom w:val="0"/>
          <w:divBdr>
            <w:top w:val="none" w:sz="0" w:space="0" w:color="auto"/>
            <w:left w:val="none" w:sz="0" w:space="0" w:color="auto"/>
            <w:bottom w:val="none" w:sz="0" w:space="0" w:color="auto"/>
            <w:right w:val="none" w:sz="0" w:space="0" w:color="auto"/>
          </w:divBdr>
          <w:divsChild>
            <w:div w:id="1244684625">
              <w:marLeft w:val="0"/>
              <w:marRight w:val="0"/>
              <w:marTop w:val="0"/>
              <w:marBottom w:val="0"/>
              <w:divBdr>
                <w:top w:val="none" w:sz="0" w:space="0" w:color="auto"/>
                <w:left w:val="none" w:sz="0" w:space="0" w:color="auto"/>
                <w:bottom w:val="none" w:sz="0" w:space="0" w:color="auto"/>
                <w:right w:val="none" w:sz="0" w:space="0" w:color="auto"/>
              </w:divBdr>
            </w:div>
          </w:divsChild>
        </w:div>
        <w:div w:id="101994761">
          <w:marLeft w:val="0"/>
          <w:marRight w:val="0"/>
          <w:marTop w:val="0"/>
          <w:marBottom w:val="0"/>
          <w:divBdr>
            <w:top w:val="none" w:sz="0" w:space="0" w:color="auto"/>
            <w:left w:val="none" w:sz="0" w:space="0" w:color="auto"/>
            <w:bottom w:val="none" w:sz="0" w:space="0" w:color="auto"/>
            <w:right w:val="none" w:sz="0" w:space="0" w:color="auto"/>
          </w:divBdr>
          <w:divsChild>
            <w:div w:id="1309481352">
              <w:marLeft w:val="0"/>
              <w:marRight w:val="0"/>
              <w:marTop w:val="0"/>
              <w:marBottom w:val="0"/>
              <w:divBdr>
                <w:top w:val="none" w:sz="0" w:space="0" w:color="auto"/>
                <w:left w:val="none" w:sz="0" w:space="0" w:color="auto"/>
                <w:bottom w:val="none" w:sz="0" w:space="0" w:color="auto"/>
                <w:right w:val="none" w:sz="0" w:space="0" w:color="auto"/>
              </w:divBdr>
            </w:div>
          </w:divsChild>
        </w:div>
        <w:div w:id="105513471">
          <w:marLeft w:val="0"/>
          <w:marRight w:val="0"/>
          <w:marTop w:val="0"/>
          <w:marBottom w:val="0"/>
          <w:divBdr>
            <w:top w:val="none" w:sz="0" w:space="0" w:color="auto"/>
            <w:left w:val="none" w:sz="0" w:space="0" w:color="auto"/>
            <w:bottom w:val="none" w:sz="0" w:space="0" w:color="auto"/>
            <w:right w:val="none" w:sz="0" w:space="0" w:color="auto"/>
          </w:divBdr>
          <w:divsChild>
            <w:div w:id="1137261666">
              <w:marLeft w:val="0"/>
              <w:marRight w:val="0"/>
              <w:marTop w:val="0"/>
              <w:marBottom w:val="0"/>
              <w:divBdr>
                <w:top w:val="none" w:sz="0" w:space="0" w:color="auto"/>
                <w:left w:val="none" w:sz="0" w:space="0" w:color="auto"/>
                <w:bottom w:val="none" w:sz="0" w:space="0" w:color="auto"/>
                <w:right w:val="none" w:sz="0" w:space="0" w:color="auto"/>
              </w:divBdr>
            </w:div>
          </w:divsChild>
        </w:div>
        <w:div w:id="107165756">
          <w:marLeft w:val="0"/>
          <w:marRight w:val="0"/>
          <w:marTop w:val="0"/>
          <w:marBottom w:val="0"/>
          <w:divBdr>
            <w:top w:val="none" w:sz="0" w:space="0" w:color="auto"/>
            <w:left w:val="none" w:sz="0" w:space="0" w:color="auto"/>
            <w:bottom w:val="none" w:sz="0" w:space="0" w:color="auto"/>
            <w:right w:val="none" w:sz="0" w:space="0" w:color="auto"/>
          </w:divBdr>
          <w:divsChild>
            <w:div w:id="633099734">
              <w:marLeft w:val="0"/>
              <w:marRight w:val="0"/>
              <w:marTop w:val="0"/>
              <w:marBottom w:val="0"/>
              <w:divBdr>
                <w:top w:val="none" w:sz="0" w:space="0" w:color="auto"/>
                <w:left w:val="none" w:sz="0" w:space="0" w:color="auto"/>
                <w:bottom w:val="none" w:sz="0" w:space="0" w:color="auto"/>
                <w:right w:val="none" w:sz="0" w:space="0" w:color="auto"/>
              </w:divBdr>
            </w:div>
          </w:divsChild>
        </w:div>
        <w:div w:id="112527458">
          <w:marLeft w:val="0"/>
          <w:marRight w:val="0"/>
          <w:marTop w:val="0"/>
          <w:marBottom w:val="0"/>
          <w:divBdr>
            <w:top w:val="none" w:sz="0" w:space="0" w:color="auto"/>
            <w:left w:val="none" w:sz="0" w:space="0" w:color="auto"/>
            <w:bottom w:val="none" w:sz="0" w:space="0" w:color="auto"/>
            <w:right w:val="none" w:sz="0" w:space="0" w:color="auto"/>
          </w:divBdr>
          <w:divsChild>
            <w:div w:id="1678969099">
              <w:marLeft w:val="0"/>
              <w:marRight w:val="0"/>
              <w:marTop w:val="0"/>
              <w:marBottom w:val="0"/>
              <w:divBdr>
                <w:top w:val="none" w:sz="0" w:space="0" w:color="auto"/>
                <w:left w:val="none" w:sz="0" w:space="0" w:color="auto"/>
                <w:bottom w:val="none" w:sz="0" w:space="0" w:color="auto"/>
                <w:right w:val="none" w:sz="0" w:space="0" w:color="auto"/>
              </w:divBdr>
            </w:div>
          </w:divsChild>
        </w:div>
        <w:div w:id="115680054">
          <w:marLeft w:val="0"/>
          <w:marRight w:val="0"/>
          <w:marTop w:val="0"/>
          <w:marBottom w:val="0"/>
          <w:divBdr>
            <w:top w:val="none" w:sz="0" w:space="0" w:color="auto"/>
            <w:left w:val="none" w:sz="0" w:space="0" w:color="auto"/>
            <w:bottom w:val="none" w:sz="0" w:space="0" w:color="auto"/>
            <w:right w:val="none" w:sz="0" w:space="0" w:color="auto"/>
          </w:divBdr>
          <w:divsChild>
            <w:div w:id="1898544547">
              <w:marLeft w:val="0"/>
              <w:marRight w:val="0"/>
              <w:marTop w:val="0"/>
              <w:marBottom w:val="0"/>
              <w:divBdr>
                <w:top w:val="none" w:sz="0" w:space="0" w:color="auto"/>
                <w:left w:val="none" w:sz="0" w:space="0" w:color="auto"/>
                <w:bottom w:val="none" w:sz="0" w:space="0" w:color="auto"/>
                <w:right w:val="none" w:sz="0" w:space="0" w:color="auto"/>
              </w:divBdr>
            </w:div>
          </w:divsChild>
        </w:div>
        <w:div w:id="135880904">
          <w:marLeft w:val="0"/>
          <w:marRight w:val="0"/>
          <w:marTop w:val="0"/>
          <w:marBottom w:val="0"/>
          <w:divBdr>
            <w:top w:val="none" w:sz="0" w:space="0" w:color="auto"/>
            <w:left w:val="none" w:sz="0" w:space="0" w:color="auto"/>
            <w:bottom w:val="none" w:sz="0" w:space="0" w:color="auto"/>
            <w:right w:val="none" w:sz="0" w:space="0" w:color="auto"/>
          </w:divBdr>
          <w:divsChild>
            <w:div w:id="1007248978">
              <w:marLeft w:val="0"/>
              <w:marRight w:val="0"/>
              <w:marTop w:val="0"/>
              <w:marBottom w:val="0"/>
              <w:divBdr>
                <w:top w:val="none" w:sz="0" w:space="0" w:color="auto"/>
                <w:left w:val="none" w:sz="0" w:space="0" w:color="auto"/>
                <w:bottom w:val="none" w:sz="0" w:space="0" w:color="auto"/>
                <w:right w:val="none" w:sz="0" w:space="0" w:color="auto"/>
              </w:divBdr>
            </w:div>
          </w:divsChild>
        </w:div>
        <w:div w:id="136119099">
          <w:marLeft w:val="0"/>
          <w:marRight w:val="0"/>
          <w:marTop w:val="0"/>
          <w:marBottom w:val="0"/>
          <w:divBdr>
            <w:top w:val="none" w:sz="0" w:space="0" w:color="auto"/>
            <w:left w:val="none" w:sz="0" w:space="0" w:color="auto"/>
            <w:bottom w:val="none" w:sz="0" w:space="0" w:color="auto"/>
            <w:right w:val="none" w:sz="0" w:space="0" w:color="auto"/>
          </w:divBdr>
          <w:divsChild>
            <w:div w:id="1693147446">
              <w:marLeft w:val="0"/>
              <w:marRight w:val="0"/>
              <w:marTop w:val="0"/>
              <w:marBottom w:val="0"/>
              <w:divBdr>
                <w:top w:val="none" w:sz="0" w:space="0" w:color="auto"/>
                <w:left w:val="none" w:sz="0" w:space="0" w:color="auto"/>
                <w:bottom w:val="none" w:sz="0" w:space="0" w:color="auto"/>
                <w:right w:val="none" w:sz="0" w:space="0" w:color="auto"/>
              </w:divBdr>
            </w:div>
          </w:divsChild>
        </w:div>
        <w:div w:id="153033342">
          <w:marLeft w:val="0"/>
          <w:marRight w:val="0"/>
          <w:marTop w:val="0"/>
          <w:marBottom w:val="0"/>
          <w:divBdr>
            <w:top w:val="none" w:sz="0" w:space="0" w:color="auto"/>
            <w:left w:val="none" w:sz="0" w:space="0" w:color="auto"/>
            <w:bottom w:val="none" w:sz="0" w:space="0" w:color="auto"/>
            <w:right w:val="none" w:sz="0" w:space="0" w:color="auto"/>
          </w:divBdr>
          <w:divsChild>
            <w:div w:id="24722957">
              <w:marLeft w:val="0"/>
              <w:marRight w:val="0"/>
              <w:marTop w:val="0"/>
              <w:marBottom w:val="0"/>
              <w:divBdr>
                <w:top w:val="none" w:sz="0" w:space="0" w:color="auto"/>
                <w:left w:val="none" w:sz="0" w:space="0" w:color="auto"/>
                <w:bottom w:val="none" w:sz="0" w:space="0" w:color="auto"/>
                <w:right w:val="none" w:sz="0" w:space="0" w:color="auto"/>
              </w:divBdr>
            </w:div>
          </w:divsChild>
        </w:div>
        <w:div w:id="163055693">
          <w:marLeft w:val="0"/>
          <w:marRight w:val="0"/>
          <w:marTop w:val="0"/>
          <w:marBottom w:val="0"/>
          <w:divBdr>
            <w:top w:val="none" w:sz="0" w:space="0" w:color="auto"/>
            <w:left w:val="none" w:sz="0" w:space="0" w:color="auto"/>
            <w:bottom w:val="none" w:sz="0" w:space="0" w:color="auto"/>
            <w:right w:val="none" w:sz="0" w:space="0" w:color="auto"/>
          </w:divBdr>
          <w:divsChild>
            <w:div w:id="1279412790">
              <w:marLeft w:val="0"/>
              <w:marRight w:val="0"/>
              <w:marTop w:val="0"/>
              <w:marBottom w:val="0"/>
              <w:divBdr>
                <w:top w:val="none" w:sz="0" w:space="0" w:color="auto"/>
                <w:left w:val="none" w:sz="0" w:space="0" w:color="auto"/>
                <w:bottom w:val="none" w:sz="0" w:space="0" w:color="auto"/>
                <w:right w:val="none" w:sz="0" w:space="0" w:color="auto"/>
              </w:divBdr>
            </w:div>
          </w:divsChild>
        </w:div>
        <w:div w:id="173571431">
          <w:marLeft w:val="0"/>
          <w:marRight w:val="0"/>
          <w:marTop w:val="0"/>
          <w:marBottom w:val="0"/>
          <w:divBdr>
            <w:top w:val="none" w:sz="0" w:space="0" w:color="auto"/>
            <w:left w:val="none" w:sz="0" w:space="0" w:color="auto"/>
            <w:bottom w:val="none" w:sz="0" w:space="0" w:color="auto"/>
            <w:right w:val="none" w:sz="0" w:space="0" w:color="auto"/>
          </w:divBdr>
          <w:divsChild>
            <w:div w:id="1270547823">
              <w:marLeft w:val="0"/>
              <w:marRight w:val="0"/>
              <w:marTop w:val="0"/>
              <w:marBottom w:val="0"/>
              <w:divBdr>
                <w:top w:val="none" w:sz="0" w:space="0" w:color="auto"/>
                <w:left w:val="none" w:sz="0" w:space="0" w:color="auto"/>
                <w:bottom w:val="none" w:sz="0" w:space="0" w:color="auto"/>
                <w:right w:val="none" w:sz="0" w:space="0" w:color="auto"/>
              </w:divBdr>
            </w:div>
          </w:divsChild>
        </w:div>
        <w:div w:id="185221713">
          <w:marLeft w:val="0"/>
          <w:marRight w:val="0"/>
          <w:marTop w:val="0"/>
          <w:marBottom w:val="0"/>
          <w:divBdr>
            <w:top w:val="none" w:sz="0" w:space="0" w:color="auto"/>
            <w:left w:val="none" w:sz="0" w:space="0" w:color="auto"/>
            <w:bottom w:val="none" w:sz="0" w:space="0" w:color="auto"/>
            <w:right w:val="none" w:sz="0" w:space="0" w:color="auto"/>
          </w:divBdr>
          <w:divsChild>
            <w:div w:id="816537590">
              <w:marLeft w:val="0"/>
              <w:marRight w:val="0"/>
              <w:marTop w:val="0"/>
              <w:marBottom w:val="0"/>
              <w:divBdr>
                <w:top w:val="none" w:sz="0" w:space="0" w:color="auto"/>
                <w:left w:val="none" w:sz="0" w:space="0" w:color="auto"/>
                <w:bottom w:val="none" w:sz="0" w:space="0" w:color="auto"/>
                <w:right w:val="none" w:sz="0" w:space="0" w:color="auto"/>
              </w:divBdr>
            </w:div>
          </w:divsChild>
        </w:div>
        <w:div w:id="209920343">
          <w:marLeft w:val="0"/>
          <w:marRight w:val="0"/>
          <w:marTop w:val="0"/>
          <w:marBottom w:val="0"/>
          <w:divBdr>
            <w:top w:val="none" w:sz="0" w:space="0" w:color="auto"/>
            <w:left w:val="none" w:sz="0" w:space="0" w:color="auto"/>
            <w:bottom w:val="none" w:sz="0" w:space="0" w:color="auto"/>
            <w:right w:val="none" w:sz="0" w:space="0" w:color="auto"/>
          </w:divBdr>
          <w:divsChild>
            <w:div w:id="413934922">
              <w:marLeft w:val="0"/>
              <w:marRight w:val="0"/>
              <w:marTop w:val="0"/>
              <w:marBottom w:val="0"/>
              <w:divBdr>
                <w:top w:val="none" w:sz="0" w:space="0" w:color="auto"/>
                <w:left w:val="none" w:sz="0" w:space="0" w:color="auto"/>
                <w:bottom w:val="none" w:sz="0" w:space="0" w:color="auto"/>
                <w:right w:val="none" w:sz="0" w:space="0" w:color="auto"/>
              </w:divBdr>
            </w:div>
          </w:divsChild>
        </w:div>
        <w:div w:id="210239964">
          <w:marLeft w:val="0"/>
          <w:marRight w:val="0"/>
          <w:marTop w:val="0"/>
          <w:marBottom w:val="0"/>
          <w:divBdr>
            <w:top w:val="none" w:sz="0" w:space="0" w:color="auto"/>
            <w:left w:val="none" w:sz="0" w:space="0" w:color="auto"/>
            <w:bottom w:val="none" w:sz="0" w:space="0" w:color="auto"/>
            <w:right w:val="none" w:sz="0" w:space="0" w:color="auto"/>
          </w:divBdr>
          <w:divsChild>
            <w:div w:id="99179760">
              <w:marLeft w:val="0"/>
              <w:marRight w:val="0"/>
              <w:marTop w:val="0"/>
              <w:marBottom w:val="0"/>
              <w:divBdr>
                <w:top w:val="none" w:sz="0" w:space="0" w:color="auto"/>
                <w:left w:val="none" w:sz="0" w:space="0" w:color="auto"/>
                <w:bottom w:val="none" w:sz="0" w:space="0" w:color="auto"/>
                <w:right w:val="none" w:sz="0" w:space="0" w:color="auto"/>
              </w:divBdr>
            </w:div>
          </w:divsChild>
        </w:div>
        <w:div w:id="212039115">
          <w:marLeft w:val="0"/>
          <w:marRight w:val="0"/>
          <w:marTop w:val="0"/>
          <w:marBottom w:val="0"/>
          <w:divBdr>
            <w:top w:val="none" w:sz="0" w:space="0" w:color="auto"/>
            <w:left w:val="none" w:sz="0" w:space="0" w:color="auto"/>
            <w:bottom w:val="none" w:sz="0" w:space="0" w:color="auto"/>
            <w:right w:val="none" w:sz="0" w:space="0" w:color="auto"/>
          </w:divBdr>
          <w:divsChild>
            <w:div w:id="2137479615">
              <w:marLeft w:val="0"/>
              <w:marRight w:val="0"/>
              <w:marTop w:val="0"/>
              <w:marBottom w:val="0"/>
              <w:divBdr>
                <w:top w:val="none" w:sz="0" w:space="0" w:color="auto"/>
                <w:left w:val="none" w:sz="0" w:space="0" w:color="auto"/>
                <w:bottom w:val="none" w:sz="0" w:space="0" w:color="auto"/>
                <w:right w:val="none" w:sz="0" w:space="0" w:color="auto"/>
              </w:divBdr>
            </w:div>
          </w:divsChild>
        </w:div>
        <w:div w:id="217203038">
          <w:marLeft w:val="0"/>
          <w:marRight w:val="0"/>
          <w:marTop w:val="0"/>
          <w:marBottom w:val="0"/>
          <w:divBdr>
            <w:top w:val="none" w:sz="0" w:space="0" w:color="auto"/>
            <w:left w:val="none" w:sz="0" w:space="0" w:color="auto"/>
            <w:bottom w:val="none" w:sz="0" w:space="0" w:color="auto"/>
            <w:right w:val="none" w:sz="0" w:space="0" w:color="auto"/>
          </w:divBdr>
          <w:divsChild>
            <w:div w:id="191773153">
              <w:marLeft w:val="0"/>
              <w:marRight w:val="0"/>
              <w:marTop w:val="0"/>
              <w:marBottom w:val="0"/>
              <w:divBdr>
                <w:top w:val="none" w:sz="0" w:space="0" w:color="auto"/>
                <w:left w:val="none" w:sz="0" w:space="0" w:color="auto"/>
                <w:bottom w:val="none" w:sz="0" w:space="0" w:color="auto"/>
                <w:right w:val="none" w:sz="0" w:space="0" w:color="auto"/>
              </w:divBdr>
            </w:div>
          </w:divsChild>
        </w:div>
        <w:div w:id="221913276">
          <w:marLeft w:val="0"/>
          <w:marRight w:val="0"/>
          <w:marTop w:val="0"/>
          <w:marBottom w:val="0"/>
          <w:divBdr>
            <w:top w:val="none" w:sz="0" w:space="0" w:color="auto"/>
            <w:left w:val="none" w:sz="0" w:space="0" w:color="auto"/>
            <w:bottom w:val="none" w:sz="0" w:space="0" w:color="auto"/>
            <w:right w:val="none" w:sz="0" w:space="0" w:color="auto"/>
          </w:divBdr>
          <w:divsChild>
            <w:div w:id="153841018">
              <w:marLeft w:val="0"/>
              <w:marRight w:val="0"/>
              <w:marTop w:val="0"/>
              <w:marBottom w:val="0"/>
              <w:divBdr>
                <w:top w:val="none" w:sz="0" w:space="0" w:color="auto"/>
                <w:left w:val="none" w:sz="0" w:space="0" w:color="auto"/>
                <w:bottom w:val="none" w:sz="0" w:space="0" w:color="auto"/>
                <w:right w:val="none" w:sz="0" w:space="0" w:color="auto"/>
              </w:divBdr>
            </w:div>
          </w:divsChild>
        </w:div>
        <w:div w:id="230165809">
          <w:marLeft w:val="0"/>
          <w:marRight w:val="0"/>
          <w:marTop w:val="0"/>
          <w:marBottom w:val="0"/>
          <w:divBdr>
            <w:top w:val="none" w:sz="0" w:space="0" w:color="auto"/>
            <w:left w:val="none" w:sz="0" w:space="0" w:color="auto"/>
            <w:bottom w:val="none" w:sz="0" w:space="0" w:color="auto"/>
            <w:right w:val="none" w:sz="0" w:space="0" w:color="auto"/>
          </w:divBdr>
          <w:divsChild>
            <w:div w:id="872351321">
              <w:marLeft w:val="0"/>
              <w:marRight w:val="0"/>
              <w:marTop w:val="0"/>
              <w:marBottom w:val="0"/>
              <w:divBdr>
                <w:top w:val="none" w:sz="0" w:space="0" w:color="auto"/>
                <w:left w:val="none" w:sz="0" w:space="0" w:color="auto"/>
                <w:bottom w:val="none" w:sz="0" w:space="0" w:color="auto"/>
                <w:right w:val="none" w:sz="0" w:space="0" w:color="auto"/>
              </w:divBdr>
            </w:div>
          </w:divsChild>
        </w:div>
        <w:div w:id="232013051">
          <w:marLeft w:val="0"/>
          <w:marRight w:val="0"/>
          <w:marTop w:val="0"/>
          <w:marBottom w:val="0"/>
          <w:divBdr>
            <w:top w:val="none" w:sz="0" w:space="0" w:color="auto"/>
            <w:left w:val="none" w:sz="0" w:space="0" w:color="auto"/>
            <w:bottom w:val="none" w:sz="0" w:space="0" w:color="auto"/>
            <w:right w:val="none" w:sz="0" w:space="0" w:color="auto"/>
          </w:divBdr>
          <w:divsChild>
            <w:div w:id="512644816">
              <w:marLeft w:val="0"/>
              <w:marRight w:val="0"/>
              <w:marTop w:val="0"/>
              <w:marBottom w:val="0"/>
              <w:divBdr>
                <w:top w:val="none" w:sz="0" w:space="0" w:color="auto"/>
                <w:left w:val="none" w:sz="0" w:space="0" w:color="auto"/>
                <w:bottom w:val="none" w:sz="0" w:space="0" w:color="auto"/>
                <w:right w:val="none" w:sz="0" w:space="0" w:color="auto"/>
              </w:divBdr>
            </w:div>
          </w:divsChild>
        </w:div>
        <w:div w:id="241330155">
          <w:marLeft w:val="0"/>
          <w:marRight w:val="0"/>
          <w:marTop w:val="0"/>
          <w:marBottom w:val="0"/>
          <w:divBdr>
            <w:top w:val="none" w:sz="0" w:space="0" w:color="auto"/>
            <w:left w:val="none" w:sz="0" w:space="0" w:color="auto"/>
            <w:bottom w:val="none" w:sz="0" w:space="0" w:color="auto"/>
            <w:right w:val="none" w:sz="0" w:space="0" w:color="auto"/>
          </w:divBdr>
          <w:divsChild>
            <w:div w:id="35279645">
              <w:marLeft w:val="0"/>
              <w:marRight w:val="0"/>
              <w:marTop w:val="0"/>
              <w:marBottom w:val="0"/>
              <w:divBdr>
                <w:top w:val="none" w:sz="0" w:space="0" w:color="auto"/>
                <w:left w:val="none" w:sz="0" w:space="0" w:color="auto"/>
                <w:bottom w:val="none" w:sz="0" w:space="0" w:color="auto"/>
                <w:right w:val="none" w:sz="0" w:space="0" w:color="auto"/>
              </w:divBdr>
            </w:div>
          </w:divsChild>
        </w:div>
        <w:div w:id="241572651">
          <w:marLeft w:val="0"/>
          <w:marRight w:val="0"/>
          <w:marTop w:val="0"/>
          <w:marBottom w:val="0"/>
          <w:divBdr>
            <w:top w:val="none" w:sz="0" w:space="0" w:color="auto"/>
            <w:left w:val="none" w:sz="0" w:space="0" w:color="auto"/>
            <w:bottom w:val="none" w:sz="0" w:space="0" w:color="auto"/>
            <w:right w:val="none" w:sz="0" w:space="0" w:color="auto"/>
          </w:divBdr>
          <w:divsChild>
            <w:div w:id="1534345998">
              <w:marLeft w:val="0"/>
              <w:marRight w:val="0"/>
              <w:marTop w:val="0"/>
              <w:marBottom w:val="0"/>
              <w:divBdr>
                <w:top w:val="none" w:sz="0" w:space="0" w:color="auto"/>
                <w:left w:val="none" w:sz="0" w:space="0" w:color="auto"/>
                <w:bottom w:val="none" w:sz="0" w:space="0" w:color="auto"/>
                <w:right w:val="none" w:sz="0" w:space="0" w:color="auto"/>
              </w:divBdr>
            </w:div>
          </w:divsChild>
        </w:div>
        <w:div w:id="253369156">
          <w:marLeft w:val="0"/>
          <w:marRight w:val="0"/>
          <w:marTop w:val="0"/>
          <w:marBottom w:val="0"/>
          <w:divBdr>
            <w:top w:val="none" w:sz="0" w:space="0" w:color="auto"/>
            <w:left w:val="none" w:sz="0" w:space="0" w:color="auto"/>
            <w:bottom w:val="none" w:sz="0" w:space="0" w:color="auto"/>
            <w:right w:val="none" w:sz="0" w:space="0" w:color="auto"/>
          </w:divBdr>
          <w:divsChild>
            <w:div w:id="755445747">
              <w:marLeft w:val="0"/>
              <w:marRight w:val="0"/>
              <w:marTop w:val="0"/>
              <w:marBottom w:val="0"/>
              <w:divBdr>
                <w:top w:val="none" w:sz="0" w:space="0" w:color="auto"/>
                <w:left w:val="none" w:sz="0" w:space="0" w:color="auto"/>
                <w:bottom w:val="none" w:sz="0" w:space="0" w:color="auto"/>
                <w:right w:val="none" w:sz="0" w:space="0" w:color="auto"/>
              </w:divBdr>
            </w:div>
          </w:divsChild>
        </w:div>
        <w:div w:id="265694849">
          <w:marLeft w:val="0"/>
          <w:marRight w:val="0"/>
          <w:marTop w:val="0"/>
          <w:marBottom w:val="0"/>
          <w:divBdr>
            <w:top w:val="none" w:sz="0" w:space="0" w:color="auto"/>
            <w:left w:val="none" w:sz="0" w:space="0" w:color="auto"/>
            <w:bottom w:val="none" w:sz="0" w:space="0" w:color="auto"/>
            <w:right w:val="none" w:sz="0" w:space="0" w:color="auto"/>
          </w:divBdr>
          <w:divsChild>
            <w:div w:id="944769428">
              <w:marLeft w:val="0"/>
              <w:marRight w:val="0"/>
              <w:marTop w:val="0"/>
              <w:marBottom w:val="0"/>
              <w:divBdr>
                <w:top w:val="none" w:sz="0" w:space="0" w:color="auto"/>
                <w:left w:val="none" w:sz="0" w:space="0" w:color="auto"/>
                <w:bottom w:val="none" w:sz="0" w:space="0" w:color="auto"/>
                <w:right w:val="none" w:sz="0" w:space="0" w:color="auto"/>
              </w:divBdr>
            </w:div>
          </w:divsChild>
        </w:div>
        <w:div w:id="268439303">
          <w:marLeft w:val="0"/>
          <w:marRight w:val="0"/>
          <w:marTop w:val="0"/>
          <w:marBottom w:val="0"/>
          <w:divBdr>
            <w:top w:val="none" w:sz="0" w:space="0" w:color="auto"/>
            <w:left w:val="none" w:sz="0" w:space="0" w:color="auto"/>
            <w:bottom w:val="none" w:sz="0" w:space="0" w:color="auto"/>
            <w:right w:val="none" w:sz="0" w:space="0" w:color="auto"/>
          </w:divBdr>
          <w:divsChild>
            <w:div w:id="422074541">
              <w:marLeft w:val="0"/>
              <w:marRight w:val="0"/>
              <w:marTop w:val="0"/>
              <w:marBottom w:val="0"/>
              <w:divBdr>
                <w:top w:val="none" w:sz="0" w:space="0" w:color="auto"/>
                <w:left w:val="none" w:sz="0" w:space="0" w:color="auto"/>
                <w:bottom w:val="none" w:sz="0" w:space="0" w:color="auto"/>
                <w:right w:val="none" w:sz="0" w:space="0" w:color="auto"/>
              </w:divBdr>
            </w:div>
          </w:divsChild>
        </w:div>
        <w:div w:id="268974498">
          <w:marLeft w:val="0"/>
          <w:marRight w:val="0"/>
          <w:marTop w:val="0"/>
          <w:marBottom w:val="0"/>
          <w:divBdr>
            <w:top w:val="none" w:sz="0" w:space="0" w:color="auto"/>
            <w:left w:val="none" w:sz="0" w:space="0" w:color="auto"/>
            <w:bottom w:val="none" w:sz="0" w:space="0" w:color="auto"/>
            <w:right w:val="none" w:sz="0" w:space="0" w:color="auto"/>
          </w:divBdr>
          <w:divsChild>
            <w:div w:id="1207794330">
              <w:marLeft w:val="0"/>
              <w:marRight w:val="0"/>
              <w:marTop w:val="0"/>
              <w:marBottom w:val="0"/>
              <w:divBdr>
                <w:top w:val="none" w:sz="0" w:space="0" w:color="auto"/>
                <w:left w:val="none" w:sz="0" w:space="0" w:color="auto"/>
                <w:bottom w:val="none" w:sz="0" w:space="0" w:color="auto"/>
                <w:right w:val="none" w:sz="0" w:space="0" w:color="auto"/>
              </w:divBdr>
            </w:div>
          </w:divsChild>
        </w:div>
        <w:div w:id="271089499">
          <w:marLeft w:val="0"/>
          <w:marRight w:val="0"/>
          <w:marTop w:val="0"/>
          <w:marBottom w:val="0"/>
          <w:divBdr>
            <w:top w:val="none" w:sz="0" w:space="0" w:color="auto"/>
            <w:left w:val="none" w:sz="0" w:space="0" w:color="auto"/>
            <w:bottom w:val="none" w:sz="0" w:space="0" w:color="auto"/>
            <w:right w:val="none" w:sz="0" w:space="0" w:color="auto"/>
          </w:divBdr>
          <w:divsChild>
            <w:div w:id="638338707">
              <w:marLeft w:val="0"/>
              <w:marRight w:val="0"/>
              <w:marTop w:val="0"/>
              <w:marBottom w:val="0"/>
              <w:divBdr>
                <w:top w:val="none" w:sz="0" w:space="0" w:color="auto"/>
                <w:left w:val="none" w:sz="0" w:space="0" w:color="auto"/>
                <w:bottom w:val="none" w:sz="0" w:space="0" w:color="auto"/>
                <w:right w:val="none" w:sz="0" w:space="0" w:color="auto"/>
              </w:divBdr>
            </w:div>
          </w:divsChild>
        </w:div>
        <w:div w:id="272251698">
          <w:marLeft w:val="0"/>
          <w:marRight w:val="0"/>
          <w:marTop w:val="0"/>
          <w:marBottom w:val="0"/>
          <w:divBdr>
            <w:top w:val="none" w:sz="0" w:space="0" w:color="auto"/>
            <w:left w:val="none" w:sz="0" w:space="0" w:color="auto"/>
            <w:bottom w:val="none" w:sz="0" w:space="0" w:color="auto"/>
            <w:right w:val="none" w:sz="0" w:space="0" w:color="auto"/>
          </w:divBdr>
          <w:divsChild>
            <w:div w:id="857894463">
              <w:marLeft w:val="0"/>
              <w:marRight w:val="0"/>
              <w:marTop w:val="0"/>
              <w:marBottom w:val="0"/>
              <w:divBdr>
                <w:top w:val="none" w:sz="0" w:space="0" w:color="auto"/>
                <w:left w:val="none" w:sz="0" w:space="0" w:color="auto"/>
                <w:bottom w:val="none" w:sz="0" w:space="0" w:color="auto"/>
                <w:right w:val="none" w:sz="0" w:space="0" w:color="auto"/>
              </w:divBdr>
            </w:div>
          </w:divsChild>
        </w:div>
        <w:div w:id="290331835">
          <w:marLeft w:val="0"/>
          <w:marRight w:val="0"/>
          <w:marTop w:val="0"/>
          <w:marBottom w:val="0"/>
          <w:divBdr>
            <w:top w:val="none" w:sz="0" w:space="0" w:color="auto"/>
            <w:left w:val="none" w:sz="0" w:space="0" w:color="auto"/>
            <w:bottom w:val="none" w:sz="0" w:space="0" w:color="auto"/>
            <w:right w:val="none" w:sz="0" w:space="0" w:color="auto"/>
          </w:divBdr>
          <w:divsChild>
            <w:div w:id="400639942">
              <w:marLeft w:val="0"/>
              <w:marRight w:val="0"/>
              <w:marTop w:val="0"/>
              <w:marBottom w:val="0"/>
              <w:divBdr>
                <w:top w:val="none" w:sz="0" w:space="0" w:color="auto"/>
                <w:left w:val="none" w:sz="0" w:space="0" w:color="auto"/>
                <w:bottom w:val="none" w:sz="0" w:space="0" w:color="auto"/>
                <w:right w:val="none" w:sz="0" w:space="0" w:color="auto"/>
              </w:divBdr>
            </w:div>
          </w:divsChild>
        </w:div>
        <w:div w:id="317002235">
          <w:marLeft w:val="0"/>
          <w:marRight w:val="0"/>
          <w:marTop w:val="0"/>
          <w:marBottom w:val="0"/>
          <w:divBdr>
            <w:top w:val="none" w:sz="0" w:space="0" w:color="auto"/>
            <w:left w:val="none" w:sz="0" w:space="0" w:color="auto"/>
            <w:bottom w:val="none" w:sz="0" w:space="0" w:color="auto"/>
            <w:right w:val="none" w:sz="0" w:space="0" w:color="auto"/>
          </w:divBdr>
          <w:divsChild>
            <w:div w:id="868646538">
              <w:marLeft w:val="0"/>
              <w:marRight w:val="0"/>
              <w:marTop w:val="0"/>
              <w:marBottom w:val="0"/>
              <w:divBdr>
                <w:top w:val="none" w:sz="0" w:space="0" w:color="auto"/>
                <w:left w:val="none" w:sz="0" w:space="0" w:color="auto"/>
                <w:bottom w:val="none" w:sz="0" w:space="0" w:color="auto"/>
                <w:right w:val="none" w:sz="0" w:space="0" w:color="auto"/>
              </w:divBdr>
            </w:div>
          </w:divsChild>
        </w:div>
        <w:div w:id="337125915">
          <w:marLeft w:val="0"/>
          <w:marRight w:val="0"/>
          <w:marTop w:val="0"/>
          <w:marBottom w:val="0"/>
          <w:divBdr>
            <w:top w:val="none" w:sz="0" w:space="0" w:color="auto"/>
            <w:left w:val="none" w:sz="0" w:space="0" w:color="auto"/>
            <w:bottom w:val="none" w:sz="0" w:space="0" w:color="auto"/>
            <w:right w:val="none" w:sz="0" w:space="0" w:color="auto"/>
          </w:divBdr>
          <w:divsChild>
            <w:div w:id="364335514">
              <w:marLeft w:val="0"/>
              <w:marRight w:val="0"/>
              <w:marTop w:val="0"/>
              <w:marBottom w:val="0"/>
              <w:divBdr>
                <w:top w:val="none" w:sz="0" w:space="0" w:color="auto"/>
                <w:left w:val="none" w:sz="0" w:space="0" w:color="auto"/>
                <w:bottom w:val="none" w:sz="0" w:space="0" w:color="auto"/>
                <w:right w:val="none" w:sz="0" w:space="0" w:color="auto"/>
              </w:divBdr>
            </w:div>
          </w:divsChild>
        </w:div>
        <w:div w:id="341319394">
          <w:marLeft w:val="0"/>
          <w:marRight w:val="0"/>
          <w:marTop w:val="0"/>
          <w:marBottom w:val="0"/>
          <w:divBdr>
            <w:top w:val="none" w:sz="0" w:space="0" w:color="auto"/>
            <w:left w:val="none" w:sz="0" w:space="0" w:color="auto"/>
            <w:bottom w:val="none" w:sz="0" w:space="0" w:color="auto"/>
            <w:right w:val="none" w:sz="0" w:space="0" w:color="auto"/>
          </w:divBdr>
          <w:divsChild>
            <w:div w:id="277568352">
              <w:marLeft w:val="0"/>
              <w:marRight w:val="0"/>
              <w:marTop w:val="0"/>
              <w:marBottom w:val="0"/>
              <w:divBdr>
                <w:top w:val="none" w:sz="0" w:space="0" w:color="auto"/>
                <w:left w:val="none" w:sz="0" w:space="0" w:color="auto"/>
                <w:bottom w:val="none" w:sz="0" w:space="0" w:color="auto"/>
                <w:right w:val="none" w:sz="0" w:space="0" w:color="auto"/>
              </w:divBdr>
            </w:div>
          </w:divsChild>
        </w:div>
        <w:div w:id="376130563">
          <w:marLeft w:val="0"/>
          <w:marRight w:val="0"/>
          <w:marTop w:val="0"/>
          <w:marBottom w:val="0"/>
          <w:divBdr>
            <w:top w:val="none" w:sz="0" w:space="0" w:color="auto"/>
            <w:left w:val="none" w:sz="0" w:space="0" w:color="auto"/>
            <w:bottom w:val="none" w:sz="0" w:space="0" w:color="auto"/>
            <w:right w:val="none" w:sz="0" w:space="0" w:color="auto"/>
          </w:divBdr>
          <w:divsChild>
            <w:div w:id="2010794577">
              <w:marLeft w:val="0"/>
              <w:marRight w:val="0"/>
              <w:marTop w:val="0"/>
              <w:marBottom w:val="0"/>
              <w:divBdr>
                <w:top w:val="none" w:sz="0" w:space="0" w:color="auto"/>
                <w:left w:val="none" w:sz="0" w:space="0" w:color="auto"/>
                <w:bottom w:val="none" w:sz="0" w:space="0" w:color="auto"/>
                <w:right w:val="none" w:sz="0" w:space="0" w:color="auto"/>
              </w:divBdr>
            </w:div>
          </w:divsChild>
        </w:div>
        <w:div w:id="391848784">
          <w:marLeft w:val="0"/>
          <w:marRight w:val="0"/>
          <w:marTop w:val="0"/>
          <w:marBottom w:val="0"/>
          <w:divBdr>
            <w:top w:val="none" w:sz="0" w:space="0" w:color="auto"/>
            <w:left w:val="none" w:sz="0" w:space="0" w:color="auto"/>
            <w:bottom w:val="none" w:sz="0" w:space="0" w:color="auto"/>
            <w:right w:val="none" w:sz="0" w:space="0" w:color="auto"/>
          </w:divBdr>
          <w:divsChild>
            <w:div w:id="924459585">
              <w:marLeft w:val="0"/>
              <w:marRight w:val="0"/>
              <w:marTop w:val="0"/>
              <w:marBottom w:val="0"/>
              <w:divBdr>
                <w:top w:val="none" w:sz="0" w:space="0" w:color="auto"/>
                <w:left w:val="none" w:sz="0" w:space="0" w:color="auto"/>
                <w:bottom w:val="none" w:sz="0" w:space="0" w:color="auto"/>
                <w:right w:val="none" w:sz="0" w:space="0" w:color="auto"/>
              </w:divBdr>
            </w:div>
          </w:divsChild>
        </w:div>
        <w:div w:id="414672882">
          <w:marLeft w:val="0"/>
          <w:marRight w:val="0"/>
          <w:marTop w:val="0"/>
          <w:marBottom w:val="0"/>
          <w:divBdr>
            <w:top w:val="none" w:sz="0" w:space="0" w:color="auto"/>
            <w:left w:val="none" w:sz="0" w:space="0" w:color="auto"/>
            <w:bottom w:val="none" w:sz="0" w:space="0" w:color="auto"/>
            <w:right w:val="none" w:sz="0" w:space="0" w:color="auto"/>
          </w:divBdr>
          <w:divsChild>
            <w:div w:id="1855849152">
              <w:marLeft w:val="0"/>
              <w:marRight w:val="0"/>
              <w:marTop w:val="0"/>
              <w:marBottom w:val="0"/>
              <w:divBdr>
                <w:top w:val="none" w:sz="0" w:space="0" w:color="auto"/>
                <w:left w:val="none" w:sz="0" w:space="0" w:color="auto"/>
                <w:bottom w:val="none" w:sz="0" w:space="0" w:color="auto"/>
                <w:right w:val="none" w:sz="0" w:space="0" w:color="auto"/>
              </w:divBdr>
            </w:div>
          </w:divsChild>
        </w:div>
        <w:div w:id="420835310">
          <w:marLeft w:val="0"/>
          <w:marRight w:val="0"/>
          <w:marTop w:val="0"/>
          <w:marBottom w:val="0"/>
          <w:divBdr>
            <w:top w:val="none" w:sz="0" w:space="0" w:color="auto"/>
            <w:left w:val="none" w:sz="0" w:space="0" w:color="auto"/>
            <w:bottom w:val="none" w:sz="0" w:space="0" w:color="auto"/>
            <w:right w:val="none" w:sz="0" w:space="0" w:color="auto"/>
          </w:divBdr>
          <w:divsChild>
            <w:div w:id="1921526054">
              <w:marLeft w:val="0"/>
              <w:marRight w:val="0"/>
              <w:marTop w:val="0"/>
              <w:marBottom w:val="0"/>
              <w:divBdr>
                <w:top w:val="none" w:sz="0" w:space="0" w:color="auto"/>
                <w:left w:val="none" w:sz="0" w:space="0" w:color="auto"/>
                <w:bottom w:val="none" w:sz="0" w:space="0" w:color="auto"/>
                <w:right w:val="none" w:sz="0" w:space="0" w:color="auto"/>
              </w:divBdr>
            </w:div>
          </w:divsChild>
        </w:div>
        <w:div w:id="429471082">
          <w:marLeft w:val="0"/>
          <w:marRight w:val="0"/>
          <w:marTop w:val="0"/>
          <w:marBottom w:val="0"/>
          <w:divBdr>
            <w:top w:val="none" w:sz="0" w:space="0" w:color="auto"/>
            <w:left w:val="none" w:sz="0" w:space="0" w:color="auto"/>
            <w:bottom w:val="none" w:sz="0" w:space="0" w:color="auto"/>
            <w:right w:val="none" w:sz="0" w:space="0" w:color="auto"/>
          </w:divBdr>
          <w:divsChild>
            <w:div w:id="1890418597">
              <w:marLeft w:val="0"/>
              <w:marRight w:val="0"/>
              <w:marTop w:val="0"/>
              <w:marBottom w:val="0"/>
              <w:divBdr>
                <w:top w:val="none" w:sz="0" w:space="0" w:color="auto"/>
                <w:left w:val="none" w:sz="0" w:space="0" w:color="auto"/>
                <w:bottom w:val="none" w:sz="0" w:space="0" w:color="auto"/>
                <w:right w:val="none" w:sz="0" w:space="0" w:color="auto"/>
              </w:divBdr>
            </w:div>
          </w:divsChild>
        </w:div>
        <w:div w:id="434253957">
          <w:marLeft w:val="0"/>
          <w:marRight w:val="0"/>
          <w:marTop w:val="0"/>
          <w:marBottom w:val="0"/>
          <w:divBdr>
            <w:top w:val="none" w:sz="0" w:space="0" w:color="auto"/>
            <w:left w:val="none" w:sz="0" w:space="0" w:color="auto"/>
            <w:bottom w:val="none" w:sz="0" w:space="0" w:color="auto"/>
            <w:right w:val="none" w:sz="0" w:space="0" w:color="auto"/>
          </w:divBdr>
          <w:divsChild>
            <w:div w:id="1891843020">
              <w:marLeft w:val="0"/>
              <w:marRight w:val="0"/>
              <w:marTop w:val="0"/>
              <w:marBottom w:val="0"/>
              <w:divBdr>
                <w:top w:val="none" w:sz="0" w:space="0" w:color="auto"/>
                <w:left w:val="none" w:sz="0" w:space="0" w:color="auto"/>
                <w:bottom w:val="none" w:sz="0" w:space="0" w:color="auto"/>
                <w:right w:val="none" w:sz="0" w:space="0" w:color="auto"/>
              </w:divBdr>
            </w:div>
          </w:divsChild>
        </w:div>
        <w:div w:id="435448626">
          <w:marLeft w:val="0"/>
          <w:marRight w:val="0"/>
          <w:marTop w:val="0"/>
          <w:marBottom w:val="0"/>
          <w:divBdr>
            <w:top w:val="none" w:sz="0" w:space="0" w:color="auto"/>
            <w:left w:val="none" w:sz="0" w:space="0" w:color="auto"/>
            <w:bottom w:val="none" w:sz="0" w:space="0" w:color="auto"/>
            <w:right w:val="none" w:sz="0" w:space="0" w:color="auto"/>
          </w:divBdr>
          <w:divsChild>
            <w:div w:id="1886526280">
              <w:marLeft w:val="0"/>
              <w:marRight w:val="0"/>
              <w:marTop w:val="0"/>
              <w:marBottom w:val="0"/>
              <w:divBdr>
                <w:top w:val="none" w:sz="0" w:space="0" w:color="auto"/>
                <w:left w:val="none" w:sz="0" w:space="0" w:color="auto"/>
                <w:bottom w:val="none" w:sz="0" w:space="0" w:color="auto"/>
                <w:right w:val="none" w:sz="0" w:space="0" w:color="auto"/>
              </w:divBdr>
            </w:div>
          </w:divsChild>
        </w:div>
        <w:div w:id="447554141">
          <w:marLeft w:val="0"/>
          <w:marRight w:val="0"/>
          <w:marTop w:val="0"/>
          <w:marBottom w:val="0"/>
          <w:divBdr>
            <w:top w:val="none" w:sz="0" w:space="0" w:color="auto"/>
            <w:left w:val="none" w:sz="0" w:space="0" w:color="auto"/>
            <w:bottom w:val="none" w:sz="0" w:space="0" w:color="auto"/>
            <w:right w:val="none" w:sz="0" w:space="0" w:color="auto"/>
          </w:divBdr>
          <w:divsChild>
            <w:div w:id="1263608722">
              <w:marLeft w:val="0"/>
              <w:marRight w:val="0"/>
              <w:marTop w:val="0"/>
              <w:marBottom w:val="0"/>
              <w:divBdr>
                <w:top w:val="none" w:sz="0" w:space="0" w:color="auto"/>
                <w:left w:val="none" w:sz="0" w:space="0" w:color="auto"/>
                <w:bottom w:val="none" w:sz="0" w:space="0" w:color="auto"/>
                <w:right w:val="none" w:sz="0" w:space="0" w:color="auto"/>
              </w:divBdr>
            </w:div>
          </w:divsChild>
        </w:div>
        <w:div w:id="497690922">
          <w:marLeft w:val="0"/>
          <w:marRight w:val="0"/>
          <w:marTop w:val="0"/>
          <w:marBottom w:val="0"/>
          <w:divBdr>
            <w:top w:val="none" w:sz="0" w:space="0" w:color="auto"/>
            <w:left w:val="none" w:sz="0" w:space="0" w:color="auto"/>
            <w:bottom w:val="none" w:sz="0" w:space="0" w:color="auto"/>
            <w:right w:val="none" w:sz="0" w:space="0" w:color="auto"/>
          </w:divBdr>
          <w:divsChild>
            <w:div w:id="1665432255">
              <w:marLeft w:val="0"/>
              <w:marRight w:val="0"/>
              <w:marTop w:val="0"/>
              <w:marBottom w:val="0"/>
              <w:divBdr>
                <w:top w:val="none" w:sz="0" w:space="0" w:color="auto"/>
                <w:left w:val="none" w:sz="0" w:space="0" w:color="auto"/>
                <w:bottom w:val="none" w:sz="0" w:space="0" w:color="auto"/>
                <w:right w:val="none" w:sz="0" w:space="0" w:color="auto"/>
              </w:divBdr>
            </w:div>
          </w:divsChild>
        </w:div>
        <w:div w:id="505290142">
          <w:marLeft w:val="0"/>
          <w:marRight w:val="0"/>
          <w:marTop w:val="0"/>
          <w:marBottom w:val="0"/>
          <w:divBdr>
            <w:top w:val="none" w:sz="0" w:space="0" w:color="auto"/>
            <w:left w:val="none" w:sz="0" w:space="0" w:color="auto"/>
            <w:bottom w:val="none" w:sz="0" w:space="0" w:color="auto"/>
            <w:right w:val="none" w:sz="0" w:space="0" w:color="auto"/>
          </w:divBdr>
          <w:divsChild>
            <w:div w:id="1801025388">
              <w:marLeft w:val="0"/>
              <w:marRight w:val="0"/>
              <w:marTop w:val="0"/>
              <w:marBottom w:val="0"/>
              <w:divBdr>
                <w:top w:val="none" w:sz="0" w:space="0" w:color="auto"/>
                <w:left w:val="none" w:sz="0" w:space="0" w:color="auto"/>
                <w:bottom w:val="none" w:sz="0" w:space="0" w:color="auto"/>
                <w:right w:val="none" w:sz="0" w:space="0" w:color="auto"/>
              </w:divBdr>
            </w:div>
          </w:divsChild>
        </w:div>
        <w:div w:id="532769517">
          <w:marLeft w:val="0"/>
          <w:marRight w:val="0"/>
          <w:marTop w:val="0"/>
          <w:marBottom w:val="0"/>
          <w:divBdr>
            <w:top w:val="none" w:sz="0" w:space="0" w:color="auto"/>
            <w:left w:val="none" w:sz="0" w:space="0" w:color="auto"/>
            <w:bottom w:val="none" w:sz="0" w:space="0" w:color="auto"/>
            <w:right w:val="none" w:sz="0" w:space="0" w:color="auto"/>
          </w:divBdr>
          <w:divsChild>
            <w:div w:id="201093465">
              <w:marLeft w:val="0"/>
              <w:marRight w:val="0"/>
              <w:marTop w:val="0"/>
              <w:marBottom w:val="0"/>
              <w:divBdr>
                <w:top w:val="none" w:sz="0" w:space="0" w:color="auto"/>
                <w:left w:val="none" w:sz="0" w:space="0" w:color="auto"/>
                <w:bottom w:val="none" w:sz="0" w:space="0" w:color="auto"/>
                <w:right w:val="none" w:sz="0" w:space="0" w:color="auto"/>
              </w:divBdr>
            </w:div>
          </w:divsChild>
        </w:div>
        <w:div w:id="536355576">
          <w:marLeft w:val="0"/>
          <w:marRight w:val="0"/>
          <w:marTop w:val="0"/>
          <w:marBottom w:val="0"/>
          <w:divBdr>
            <w:top w:val="none" w:sz="0" w:space="0" w:color="auto"/>
            <w:left w:val="none" w:sz="0" w:space="0" w:color="auto"/>
            <w:bottom w:val="none" w:sz="0" w:space="0" w:color="auto"/>
            <w:right w:val="none" w:sz="0" w:space="0" w:color="auto"/>
          </w:divBdr>
          <w:divsChild>
            <w:div w:id="1010982632">
              <w:marLeft w:val="0"/>
              <w:marRight w:val="0"/>
              <w:marTop w:val="0"/>
              <w:marBottom w:val="0"/>
              <w:divBdr>
                <w:top w:val="none" w:sz="0" w:space="0" w:color="auto"/>
                <w:left w:val="none" w:sz="0" w:space="0" w:color="auto"/>
                <w:bottom w:val="none" w:sz="0" w:space="0" w:color="auto"/>
                <w:right w:val="none" w:sz="0" w:space="0" w:color="auto"/>
              </w:divBdr>
            </w:div>
          </w:divsChild>
        </w:div>
        <w:div w:id="542598994">
          <w:marLeft w:val="0"/>
          <w:marRight w:val="0"/>
          <w:marTop w:val="0"/>
          <w:marBottom w:val="0"/>
          <w:divBdr>
            <w:top w:val="none" w:sz="0" w:space="0" w:color="auto"/>
            <w:left w:val="none" w:sz="0" w:space="0" w:color="auto"/>
            <w:bottom w:val="none" w:sz="0" w:space="0" w:color="auto"/>
            <w:right w:val="none" w:sz="0" w:space="0" w:color="auto"/>
          </w:divBdr>
          <w:divsChild>
            <w:div w:id="1877429471">
              <w:marLeft w:val="0"/>
              <w:marRight w:val="0"/>
              <w:marTop w:val="0"/>
              <w:marBottom w:val="0"/>
              <w:divBdr>
                <w:top w:val="none" w:sz="0" w:space="0" w:color="auto"/>
                <w:left w:val="none" w:sz="0" w:space="0" w:color="auto"/>
                <w:bottom w:val="none" w:sz="0" w:space="0" w:color="auto"/>
                <w:right w:val="none" w:sz="0" w:space="0" w:color="auto"/>
              </w:divBdr>
            </w:div>
          </w:divsChild>
        </w:div>
        <w:div w:id="548105075">
          <w:marLeft w:val="0"/>
          <w:marRight w:val="0"/>
          <w:marTop w:val="0"/>
          <w:marBottom w:val="0"/>
          <w:divBdr>
            <w:top w:val="none" w:sz="0" w:space="0" w:color="auto"/>
            <w:left w:val="none" w:sz="0" w:space="0" w:color="auto"/>
            <w:bottom w:val="none" w:sz="0" w:space="0" w:color="auto"/>
            <w:right w:val="none" w:sz="0" w:space="0" w:color="auto"/>
          </w:divBdr>
          <w:divsChild>
            <w:div w:id="1334187060">
              <w:marLeft w:val="0"/>
              <w:marRight w:val="0"/>
              <w:marTop w:val="0"/>
              <w:marBottom w:val="0"/>
              <w:divBdr>
                <w:top w:val="none" w:sz="0" w:space="0" w:color="auto"/>
                <w:left w:val="none" w:sz="0" w:space="0" w:color="auto"/>
                <w:bottom w:val="none" w:sz="0" w:space="0" w:color="auto"/>
                <w:right w:val="none" w:sz="0" w:space="0" w:color="auto"/>
              </w:divBdr>
            </w:div>
          </w:divsChild>
        </w:div>
        <w:div w:id="552543309">
          <w:marLeft w:val="0"/>
          <w:marRight w:val="0"/>
          <w:marTop w:val="0"/>
          <w:marBottom w:val="0"/>
          <w:divBdr>
            <w:top w:val="none" w:sz="0" w:space="0" w:color="auto"/>
            <w:left w:val="none" w:sz="0" w:space="0" w:color="auto"/>
            <w:bottom w:val="none" w:sz="0" w:space="0" w:color="auto"/>
            <w:right w:val="none" w:sz="0" w:space="0" w:color="auto"/>
          </w:divBdr>
          <w:divsChild>
            <w:div w:id="1449471103">
              <w:marLeft w:val="0"/>
              <w:marRight w:val="0"/>
              <w:marTop w:val="0"/>
              <w:marBottom w:val="0"/>
              <w:divBdr>
                <w:top w:val="none" w:sz="0" w:space="0" w:color="auto"/>
                <w:left w:val="none" w:sz="0" w:space="0" w:color="auto"/>
                <w:bottom w:val="none" w:sz="0" w:space="0" w:color="auto"/>
                <w:right w:val="none" w:sz="0" w:space="0" w:color="auto"/>
              </w:divBdr>
            </w:div>
          </w:divsChild>
        </w:div>
        <w:div w:id="557206889">
          <w:marLeft w:val="0"/>
          <w:marRight w:val="0"/>
          <w:marTop w:val="0"/>
          <w:marBottom w:val="0"/>
          <w:divBdr>
            <w:top w:val="none" w:sz="0" w:space="0" w:color="auto"/>
            <w:left w:val="none" w:sz="0" w:space="0" w:color="auto"/>
            <w:bottom w:val="none" w:sz="0" w:space="0" w:color="auto"/>
            <w:right w:val="none" w:sz="0" w:space="0" w:color="auto"/>
          </w:divBdr>
          <w:divsChild>
            <w:div w:id="1333796473">
              <w:marLeft w:val="0"/>
              <w:marRight w:val="0"/>
              <w:marTop w:val="0"/>
              <w:marBottom w:val="0"/>
              <w:divBdr>
                <w:top w:val="none" w:sz="0" w:space="0" w:color="auto"/>
                <w:left w:val="none" w:sz="0" w:space="0" w:color="auto"/>
                <w:bottom w:val="none" w:sz="0" w:space="0" w:color="auto"/>
                <w:right w:val="none" w:sz="0" w:space="0" w:color="auto"/>
              </w:divBdr>
            </w:div>
          </w:divsChild>
        </w:div>
        <w:div w:id="557404209">
          <w:marLeft w:val="0"/>
          <w:marRight w:val="0"/>
          <w:marTop w:val="0"/>
          <w:marBottom w:val="0"/>
          <w:divBdr>
            <w:top w:val="none" w:sz="0" w:space="0" w:color="auto"/>
            <w:left w:val="none" w:sz="0" w:space="0" w:color="auto"/>
            <w:bottom w:val="none" w:sz="0" w:space="0" w:color="auto"/>
            <w:right w:val="none" w:sz="0" w:space="0" w:color="auto"/>
          </w:divBdr>
          <w:divsChild>
            <w:div w:id="1369065548">
              <w:marLeft w:val="0"/>
              <w:marRight w:val="0"/>
              <w:marTop w:val="0"/>
              <w:marBottom w:val="0"/>
              <w:divBdr>
                <w:top w:val="none" w:sz="0" w:space="0" w:color="auto"/>
                <w:left w:val="none" w:sz="0" w:space="0" w:color="auto"/>
                <w:bottom w:val="none" w:sz="0" w:space="0" w:color="auto"/>
                <w:right w:val="none" w:sz="0" w:space="0" w:color="auto"/>
              </w:divBdr>
            </w:div>
          </w:divsChild>
        </w:div>
        <w:div w:id="577594877">
          <w:marLeft w:val="0"/>
          <w:marRight w:val="0"/>
          <w:marTop w:val="0"/>
          <w:marBottom w:val="0"/>
          <w:divBdr>
            <w:top w:val="none" w:sz="0" w:space="0" w:color="auto"/>
            <w:left w:val="none" w:sz="0" w:space="0" w:color="auto"/>
            <w:bottom w:val="none" w:sz="0" w:space="0" w:color="auto"/>
            <w:right w:val="none" w:sz="0" w:space="0" w:color="auto"/>
          </w:divBdr>
          <w:divsChild>
            <w:div w:id="489567854">
              <w:marLeft w:val="0"/>
              <w:marRight w:val="0"/>
              <w:marTop w:val="0"/>
              <w:marBottom w:val="0"/>
              <w:divBdr>
                <w:top w:val="none" w:sz="0" w:space="0" w:color="auto"/>
                <w:left w:val="none" w:sz="0" w:space="0" w:color="auto"/>
                <w:bottom w:val="none" w:sz="0" w:space="0" w:color="auto"/>
                <w:right w:val="none" w:sz="0" w:space="0" w:color="auto"/>
              </w:divBdr>
            </w:div>
          </w:divsChild>
        </w:div>
        <w:div w:id="590748285">
          <w:marLeft w:val="0"/>
          <w:marRight w:val="0"/>
          <w:marTop w:val="0"/>
          <w:marBottom w:val="0"/>
          <w:divBdr>
            <w:top w:val="none" w:sz="0" w:space="0" w:color="auto"/>
            <w:left w:val="none" w:sz="0" w:space="0" w:color="auto"/>
            <w:bottom w:val="none" w:sz="0" w:space="0" w:color="auto"/>
            <w:right w:val="none" w:sz="0" w:space="0" w:color="auto"/>
          </w:divBdr>
          <w:divsChild>
            <w:div w:id="1317106233">
              <w:marLeft w:val="0"/>
              <w:marRight w:val="0"/>
              <w:marTop w:val="0"/>
              <w:marBottom w:val="0"/>
              <w:divBdr>
                <w:top w:val="none" w:sz="0" w:space="0" w:color="auto"/>
                <w:left w:val="none" w:sz="0" w:space="0" w:color="auto"/>
                <w:bottom w:val="none" w:sz="0" w:space="0" w:color="auto"/>
                <w:right w:val="none" w:sz="0" w:space="0" w:color="auto"/>
              </w:divBdr>
            </w:div>
          </w:divsChild>
        </w:div>
        <w:div w:id="606347950">
          <w:marLeft w:val="0"/>
          <w:marRight w:val="0"/>
          <w:marTop w:val="0"/>
          <w:marBottom w:val="0"/>
          <w:divBdr>
            <w:top w:val="none" w:sz="0" w:space="0" w:color="auto"/>
            <w:left w:val="none" w:sz="0" w:space="0" w:color="auto"/>
            <w:bottom w:val="none" w:sz="0" w:space="0" w:color="auto"/>
            <w:right w:val="none" w:sz="0" w:space="0" w:color="auto"/>
          </w:divBdr>
          <w:divsChild>
            <w:div w:id="1335493206">
              <w:marLeft w:val="0"/>
              <w:marRight w:val="0"/>
              <w:marTop w:val="0"/>
              <w:marBottom w:val="0"/>
              <w:divBdr>
                <w:top w:val="none" w:sz="0" w:space="0" w:color="auto"/>
                <w:left w:val="none" w:sz="0" w:space="0" w:color="auto"/>
                <w:bottom w:val="none" w:sz="0" w:space="0" w:color="auto"/>
                <w:right w:val="none" w:sz="0" w:space="0" w:color="auto"/>
              </w:divBdr>
            </w:div>
          </w:divsChild>
        </w:div>
        <w:div w:id="617882357">
          <w:marLeft w:val="0"/>
          <w:marRight w:val="0"/>
          <w:marTop w:val="0"/>
          <w:marBottom w:val="0"/>
          <w:divBdr>
            <w:top w:val="none" w:sz="0" w:space="0" w:color="auto"/>
            <w:left w:val="none" w:sz="0" w:space="0" w:color="auto"/>
            <w:bottom w:val="none" w:sz="0" w:space="0" w:color="auto"/>
            <w:right w:val="none" w:sz="0" w:space="0" w:color="auto"/>
          </w:divBdr>
          <w:divsChild>
            <w:div w:id="1513716719">
              <w:marLeft w:val="0"/>
              <w:marRight w:val="0"/>
              <w:marTop w:val="0"/>
              <w:marBottom w:val="0"/>
              <w:divBdr>
                <w:top w:val="none" w:sz="0" w:space="0" w:color="auto"/>
                <w:left w:val="none" w:sz="0" w:space="0" w:color="auto"/>
                <w:bottom w:val="none" w:sz="0" w:space="0" w:color="auto"/>
                <w:right w:val="none" w:sz="0" w:space="0" w:color="auto"/>
              </w:divBdr>
            </w:div>
          </w:divsChild>
        </w:div>
        <w:div w:id="618071943">
          <w:marLeft w:val="0"/>
          <w:marRight w:val="0"/>
          <w:marTop w:val="0"/>
          <w:marBottom w:val="0"/>
          <w:divBdr>
            <w:top w:val="none" w:sz="0" w:space="0" w:color="auto"/>
            <w:left w:val="none" w:sz="0" w:space="0" w:color="auto"/>
            <w:bottom w:val="none" w:sz="0" w:space="0" w:color="auto"/>
            <w:right w:val="none" w:sz="0" w:space="0" w:color="auto"/>
          </w:divBdr>
          <w:divsChild>
            <w:div w:id="1558198107">
              <w:marLeft w:val="0"/>
              <w:marRight w:val="0"/>
              <w:marTop w:val="0"/>
              <w:marBottom w:val="0"/>
              <w:divBdr>
                <w:top w:val="none" w:sz="0" w:space="0" w:color="auto"/>
                <w:left w:val="none" w:sz="0" w:space="0" w:color="auto"/>
                <w:bottom w:val="none" w:sz="0" w:space="0" w:color="auto"/>
                <w:right w:val="none" w:sz="0" w:space="0" w:color="auto"/>
              </w:divBdr>
            </w:div>
          </w:divsChild>
        </w:div>
        <w:div w:id="620306244">
          <w:marLeft w:val="0"/>
          <w:marRight w:val="0"/>
          <w:marTop w:val="0"/>
          <w:marBottom w:val="0"/>
          <w:divBdr>
            <w:top w:val="none" w:sz="0" w:space="0" w:color="auto"/>
            <w:left w:val="none" w:sz="0" w:space="0" w:color="auto"/>
            <w:bottom w:val="none" w:sz="0" w:space="0" w:color="auto"/>
            <w:right w:val="none" w:sz="0" w:space="0" w:color="auto"/>
          </w:divBdr>
          <w:divsChild>
            <w:div w:id="147064206">
              <w:marLeft w:val="0"/>
              <w:marRight w:val="0"/>
              <w:marTop w:val="0"/>
              <w:marBottom w:val="0"/>
              <w:divBdr>
                <w:top w:val="none" w:sz="0" w:space="0" w:color="auto"/>
                <w:left w:val="none" w:sz="0" w:space="0" w:color="auto"/>
                <w:bottom w:val="none" w:sz="0" w:space="0" w:color="auto"/>
                <w:right w:val="none" w:sz="0" w:space="0" w:color="auto"/>
              </w:divBdr>
            </w:div>
          </w:divsChild>
        </w:div>
        <w:div w:id="625507683">
          <w:marLeft w:val="0"/>
          <w:marRight w:val="0"/>
          <w:marTop w:val="0"/>
          <w:marBottom w:val="0"/>
          <w:divBdr>
            <w:top w:val="none" w:sz="0" w:space="0" w:color="auto"/>
            <w:left w:val="none" w:sz="0" w:space="0" w:color="auto"/>
            <w:bottom w:val="none" w:sz="0" w:space="0" w:color="auto"/>
            <w:right w:val="none" w:sz="0" w:space="0" w:color="auto"/>
          </w:divBdr>
          <w:divsChild>
            <w:div w:id="857155404">
              <w:marLeft w:val="0"/>
              <w:marRight w:val="0"/>
              <w:marTop w:val="0"/>
              <w:marBottom w:val="0"/>
              <w:divBdr>
                <w:top w:val="none" w:sz="0" w:space="0" w:color="auto"/>
                <w:left w:val="none" w:sz="0" w:space="0" w:color="auto"/>
                <w:bottom w:val="none" w:sz="0" w:space="0" w:color="auto"/>
                <w:right w:val="none" w:sz="0" w:space="0" w:color="auto"/>
              </w:divBdr>
            </w:div>
          </w:divsChild>
        </w:div>
        <w:div w:id="647170515">
          <w:marLeft w:val="0"/>
          <w:marRight w:val="0"/>
          <w:marTop w:val="0"/>
          <w:marBottom w:val="0"/>
          <w:divBdr>
            <w:top w:val="none" w:sz="0" w:space="0" w:color="auto"/>
            <w:left w:val="none" w:sz="0" w:space="0" w:color="auto"/>
            <w:bottom w:val="none" w:sz="0" w:space="0" w:color="auto"/>
            <w:right w:val="none" w:sz="0" w:space="0" w:color="auto"/>
          </w:divBdr>
          <w:divsChild>
            <w:div w:id="1931234570">
              <w:marLeft w:val="0"/>
              <w:marRight w:val="0"/>
              <w:marTop w:val="0"/>
              <w:marBottom w:val="0"/>
              <w:divBdr>
                <w:top w:val="none" w:sz="0" w:space="0" w:color="auto"/>
                <w:left w:val="none" w:sz="0" w:space="0" w:color="auto"/>
                <w:bottom w:val="none" w:sz="0" w:space="0" w:color="auto"/>
                <w:right w:val="none" w:sz="0" w:space="0" w:color="auto"/>
              </w:divBdr>
            </w:div>
          </w:divsChild>
        </w:div>
        <w:div w:id="667710505">
          <w:marLeft w:val="0"/>
          <w:marRight w:val="0"/>
          <w:marTop w:val="0"/>
          <w:marBottom w:val="0"/>
          <w:divBdr>
            <w:top w:val="none" w:sz="0" w:space="0" w:color="auto"/>
            <w:left w:val="none" w:sz="0" w:space="0" w:color="auto"/>
            <w:bottom w:val="none" w:sz="0" w:space="0" w:color="auto"/>
            <w:right w:val="none" w:sz="0" w:space="0" w:color="auto"/>
          </w:divBdr>
          <w:divsChild>
            <w:div w:id="1768966754">
              <w:marLeft w:val="0"/>
              <w:marRight w:val="0"/>
              <w:marTop w:val="0"/>
              <w:marBottom w:val="0"/>
              <w:divBdr>
                <w:top w:val="none" w:sz="0" w:space="0" w:color="auto"/>
                <w:left w:val="none" w:sz="0" w:space="0" w:color="auto"/>
                <w:bottom w:val="none" w:sz="0" w:space="0" w:color="auto"/>
                <w:right w:val="none" w:sz="0" w:space="0" w:color="auto"/>
              </w:divBdr>
            </w:div>
          </w:divsChild>
        </w:div>
        <w:div w:id="673873587">
          <w:marLeft w:val="0"/>
          <w:marRight w:val="0"/>
          <w:marTop w:val="0"/>
          <w:marBottom w:val="0"/>
          <w:divBdr>
            <w:top w:val="none" w:sz="0" w:space="0" w:color="auto"/>
            <w:left w:val="none" w:sz="0" w:space="0" w:color="auto"/>
            <w:bottom w:val="none" w:sz="0" w:space="0" w:color="auto"/>
            <w:right w:val="none" w:sz="0" w:space="0" w:color="auto"/>
          </w:divBdr>
          <w:divsChild>
            <w:div w:id="865290376">
              <w:marLeft w:val="0"/>
              <w:marRight w:val="0"/>
              <w:marTop w:val="0"/>
              <w:marBottom w:val="0"/>
              <w:divBdr>
                <w:top w:val="none" w:sz="0" w:space="0" w:color="auto"/>
                <w:left w:val="none" w:sz="0" w:space="0" w:color="auto"/>
                <w:bottom w:val="none" w:sz="0" w:space="0" w:color="auto"/>
                <w:right w:val="none" w:sz="0" w:space="0" w:color="auto"/>
              </w:divBdr>
            </w:div>
          </w:divsChild>
        </w:div>
        <w:div w:id="679242064">
          <w:marLeft w:val="0"/>
          <w:marRight w:val="0"/>
          <w:marTop w:val="0"/>
          <w:marBottom w:val="0"/>
          <w:divBdr>
            <w:top w:val="none" w:sz="0" w:space="0" w:color="auto"/>
            <w:left w:val="none" w:sz="0" w:space="0" w:color="auto"/>
            <w:bottom w:val="none" w:sz="0" w:space="0" w:color="auto"/>
            <w:right w:val="none" w:sz="0" w:space="0" w:color="auto"/>
          </w:divBdr>
          <w:divsChild>
            <w:div w:id="935478938">
              <w:marLeft w:val="0"/>
              <w:marRight w:val="0"/>
              <w:marTop w:val="0"/>
              <w:marBottom w:val="0"/>
              <w:divBdr>
                <w:top w:val="none" w:sz="0" w:space="0" w:color="auto"/>
                <w:left w:val="none" w:sz="0" w:space="0" w:color="auto"/>
                <w:bottom w:val="none" w:sz="0" w:space="0" w:color="auto"/>
                <w:right w:val="none" w:sz="0" w:space="0" w:color="auto"/>
              </w:divBdr>
            </w:div>
          </w:divsChild>
        </w:div>
        <w:div w:id="680089855">
          <w:marLeft w:val="0"/>
          <w:marRight w:val="0"/>
          <w:marTop w:val="0"/>
          <w:marBottom w:val="0"/>
          <w:divBdr>
            <w:top w:val="none" w:sz="0" w:space="0" w:color="auto"/>
            <w:left w:val="none" w:sz="0" w:space="0" w:color="auto"/>
            <w:bottom w:val="none" w:sz="0" w:space="0" w:color="auto"/>
            <w:right w:val="none" w:sz="0" w:space="0" w:color="auto"/>
          </w:divBdr>
          <w:divsChild>
            <w:div w:id="526719399">
              <w:marLeft w:val="0"/>
              <w:marRight w:val="0"/>
              <w:marTop w:val="0"/>
              <w:marBottom w:val="0"/>
              <w:divBdr>
                <w:top w:val="none" w:sz="0" w:space="0" w:color="auto"/>
                <w:left w:val="none" w:sz="0" w:space="0" w:color="auto"/>
                <w:bottom w:val="none" w:sz="0" w:space="0" w:color="auto"/>
                <w:right w:val="none" w:sz="0" w:space="0" w:color="auto"/>
              </w:divBdr>
            </w:div>
          </w:divsChild>
        </w:div>
        <w:div w:id="683896419">
          <w:marLeft w:val="0"/>
          <w:marRight w:val="0"/>
          <w:marTop w:val="0"/>
          <w:marBottom w:val="0"/>
          <w:divBdr>
            <w:top w:val="none" w:sz="0" w:space="0" w:color="auto"/>
            <w:left w:val="none" w:sz="0" w:space="0" w:color="auto"/>
            <w:bottom w:val="none" w:sz="0" w:space="0" w:color="auto"/>
            <w:right w:val="none" w:sz="0" w:space="0" w:color="auto"/>
          </w:divBdr>
          <w:divsChild>
            <w:div w:id="446193111">
              <w:marLeft w:val="0"/>
              <w:marRight w:val="0"/>
              <w:marTop w:val="0"/>
              <w:marBottom w:val="0"/>
              <w:divBdr>
                <w:top w:val="none" w:sz="0" w:space="0" w:color="auto"/>
                <w:left w:val="none" w:sz="0" w:space="0" w:color="auto"/>
                <w:bottom w:val="none" w:sz="0" w:space="0" w:color="auto"/>
                <w:right w:val="none" w:sz="0" w:space="0" w:color="auto"/>
              </w:divBdr>
            </w:div>
          </w:divsChild>
        </w:div>
        <w:div w:id="692848403">
          <w:marLeft w:val="0"/>
          <w:marRight w:val="0"/>
          <w:marTop w:val="0"/>
          <w:marBottom w:val="0"/>
          <w:divBdr>
            <w:top w:val="none" w:sz="0" w:space="0" w:color="auto"/>
            <w:left w:val="none" w:sz="0" w:space="0" w:color="auto"/>
            <w:bottom w:val="none" w:sz="0" w:space="0" w:color="auto"/>
            <w:right w:val="none" w:sz="0" w:space="0" w:color="auto"/>
          </w:divBdr>
          <w:divsChild>
            <w:div w:id="333260614">
              <w:marLeft w:val="0"/>
              <w:marRight w:val="0"/>
              <w:marTop w:val="0"/>
              <w:marBottom w:val="0"/>
              <w:divBdr>
                <w:top w:val="none" w:sz="0" w:space="0" w:color="auto"/>
                <w:left w:val="none" w:sz="0" w:space="0" w:color="auto"/>
                <w:bottom w:val="none" w:sz="0" w:space="0" w:color="auto"/>
                <w:right w:val="none" w:sz="0" w:space="0" w:color="auto"/>
              </w:divBdr>
            </w:div>
          </w:divsChild>
        </w:div>
        <w:div w:id="693576396">
          <w:marLeft w:val="0"/>
          <w:marRight w:val="0"/>
          <w:marTop w:val="0"/>
          <w:marBottom w:val="0"/>
          <w:divBdr>
            <w:top w:val="none" w:sz="0" w:space="0" w:color="auto"/>
            <w:left w:val="none" w:sz="0" w:space="0" w:color="auto"/>
            <w:bottom w:val="none" w:sz="0" w:space="0" w:color="auto"/>
            <w:right w:val="none" w:sz="0" w:space="0" w:color="auto"/>
          </w:divBdr>
          <w:divsChild>
            <w:div w:id="292903700">
              <w:marLeft w:val="0"/>
              <w:marRight w:val="0"/>
              <w:marTop w:val="0"/>
              <w:marBottom w:val="0"/>
              <w:divBdr>
                <w:top w:val="none" w:sz="0" w:space="0" w:color="auto"/>
                <w:left w:val="none" w:sz="0" w:space="0" w:color="auto"/>
                <w:bottom w:val="none" w:sz="0" w:space="0" w:color="auto"/>
                <w:right w:val="none" w:sz="0" w:space="0" w:color="auto"/>
              </w:divBdr>
            </w:div>
          </w:divsChild>
        </w:div>
        <w:div w:id="693579203">
          <w:marLeft w:val="0"/>
          <w:marRight w:val="0"/>
          <w:marTop w:val="0"/>
          <w:marBottom w:val="0"/>
          <w:divBdr>
            <w:top w:val="none" w:sz="0" w:space="0" w:color="auto"/>
            <w:left w:val="none" w:sz="0" w:space="0" w:color="auto"/>
            <w:bottom w:val="none" w:sz="0" w:space="0" w:color="auto"/>
            <w:right w:val="none" w:sz="0" w:space="0" w:color="auto"/>
          </w:divBdr>
          <w:divsChild>
            <w:div w:id="1987780034">
              <w:marLeft w:val="0"/>
              <w:marRight w:val="0"/>
              <w:marTop w:val="0"/>
              <w:marBottom w:val="0"/>
              <w:divBdr>
                <w:top w:val="none" w:sz="0" w:space="0" w:color="auto"/>
                <w:left w:val="none" w:sz="0" w:space="0" w:color="auto"/>
                <w:bottom w:val="none" w:sz="0" w:space="0" w:color="auto"/>
                <w:right w:val="none" w:sz="0" w:space="0" w:color="auto"/>
              </w:divBdr>
            </w:div>
          </w:divsChild>
        </w:div>
        <w:div w:id="699011125">
          <w:marLeft w:val="0"/>
          <w:marRight w:val="0"/>
          <w:marTop w:val="0"/>
          <w:marBottom w:val="0"/>
          <w:divBdr>
            <w:top w:val="none" w:sz="0" w:space="0" w:color="auto"/>
            <w:left w:val="none" w:sz="0" w:space="0" w:color="auto"/>
            <w:bottom w:val="none" w:sz="0" w:space="0" w:color="auto"/>
            <w:right w:val="none" w:sz="0" w:space="0" w:color="auto"/>
          </w:divBdr>
          <w:divsChild>
            <w:div w:id="1191870120">
              <w:marLeft w:val="0"/>
              <w:marRight w:val="0"/>
              <w:marTop w:val="0"/>
              <w:marBottom w:val="0"/>
              <w:divBdr>
                <w:top w:val="none" w:sz="0" w:space="0" w:color="auto"/>
                <w:left w:val="none" w:sz="0" w:space="0" w:color="auto"/>
                <w:bottom w:val="none" w:sz="0" w:space="0" w:color="auto"/>
                <w:right w:val="none" w:sz="0" w:space="0" w:color="auto"/>
              </w:divBdr>
            </w:div>
          </w:divsChild>
        </w:div>
        <w:div w:id="703405413">
          <w:marLeft w:val="0"/>
          <w:marRight w:val="0"/>
          <w:marTop w:val="0"/>
          <w:marBottom w:val="0"/>
          <w:divBdr>
            <w:top w:val="none" w:sz="0" w:space="0" w:color="auto"/>
            <w:left w:val="none" w:sz="0" w:space="0" w:color="auto"/>
            <w:bottom w:val="none" w:sz="0" w:space="0" w:color="auto"/>
            <w:right w:val="none" w:sz="0" w:space="0" w:color="auto"/>
          </w:divBdr>
          <w:divsChild>
            <w:div w:id="1777484519">
              <w:marLeft w:val="0"/>
              <w:marRight w:val="0"/>
              <w:marTop w:val="0"/>
              <w:marBottom w:val="0"/>
              <w:divBdr>
                <w:top w:val="none" w:sz="0" w:space="0" w:color="auto"/>
                <w:left w:val="none" w:sz="0" w:space="0" w:color="auto"/>
                <w:bottom w:val="none" w:sz="0" w:space="0" w:color="auto"/>
                <w:right w:val="none" w:sz="0" w:space="0" w:color="auto"/>
              </w:divBdr>
            </w:div>
          </w:divsChild>
        </w:div>
        <w:div w:id="707415685">
          <w:marLeft w:val="0"/>
          <w:marRight w:val="0"/>
          <w:marTop w:val="0"/>
          <w:marBottom w:val="0"/>
          <w:divBdr>
            <w:top w:val="none" w:sz="0" w:space="0" w:color="auto"/>
            <w:left w:val="none" w:sz="0" w:space="0" w:color="auto"/>
            <w:bottom w:val="none" w:sz="0" w:space="0" w:color="auto"/>
            <w:right w:val="none" w:sz="0" w:space="0" w:color="auto"/>
          </w:divBdr>
          <w:divsChild>
            <w:div w:id="1255281723">
              <w:marLeft w:val="0"/>
              <w:marRight w:val="0"/>
              <w:marTop w:val="0"/>
              <w:marBottom w:val="0"/>
              <w:divBdr>
                <w:top w:val="none" w:sz="0" w:space="0" w:color="auto"/>
                <w:left w:val="none" w:sz="0" w:space="0" w:color="auto"/>
                <w:bottom w:val="none" w:sz="0" w:space="0" w:color="auto"/>
                <w:right w:val="none" w:sz="0" w:space="0" w:color="auto"/>
              </w:divBdr>
            </w:div>
          </w:divsChild>
        </w:div>
        <w:div w:id="729503576">
          <w:marLeft w:val="0"/>
          <w:marRight w:val="0"/>
          <w:marTop w:val="0"/>
          <w:marBottom w:val="0"/>
          <w:divBdr>
            <w:top w:val="none" w:sz="0" w:space="0" w:color="auto"/>
            <w:left w:val="none" w:sz="0" w:space="0" w:color="auto"/>
            <w:bottom w:val="none" w:sz="0" w:space="0" w:color="auto"/>
            <w:right w:val="none" w:sz="0" w:space="0" w:color="auto"/>
          </w:divBdr>
          <w:divsChild>
            <w:div w:id="1477143777">
              <w:marLeft w:val="0"/>
              <w:marRight w:val="0"/>
              <w:marTop w:val="0"/>
              <w:marBottom w:val="0"/>
              <w:divBdr>
                <w:top w:val="none" w:sz="0" w:space="0" w:color="auto"/>
                <w:left w:val="none" w:sz="0" w:space="0" w:color="auto"/>
                <w:bottom w:val="none" w:sz="0" w:space="0" w:color="auto"/>
                <w:right w:val="none" w:sz="0" w:space="0" w:color="auto"/>
              </w:divBdr>
            </w:div>
          </w:divsChild>
        </w:div>
        <w:div w:id="735277497">
          <w:marLeft w:val="0"/>
          <w:marRight w:val="0"/>
          <w:marTop w:val="0"/>
          <w:marBottom w:val="0"/>
          <w:divBdr>
            <w:top w:val="none" w:sz="0" w:space="0" w:color="auto"/>
            <w:left w:val="none" w:sz="0" w:space="0" w:color="auto"/>
            <w:bottom w:val="none" w:sz="0" w:space="0" w:color="auto"/>
            <w:right w:val="none" w:sz="0" w:space="0" w:color="auto"/>
          </w:divBdr>
          <w:divsChild>
            <w:div w:id="607811026">
              <w:marLeft w:val="0"/>
              <w:marRight w:val="0"/>
              <w:marTop w:val="0"/>
              <w:marBottom w:val="0"/>
              <w:divBdr>
                <w:top w:val="none" w:sz="0" w:space="0" w:color="auto"/>
                <w:left w:val="none" w:sz="0" w:space="0" w:color="auto"/>
                <w:bottom w:val="none" w:sz="0" w:space="0" w:color="auto"/>
                <w:right w:val="none" w:sz="0" w:space="0" w:color="auto"/>
              </w:divBdr>
            </w:div>
          </w:divsChild>
        </w:div>
        <w:div w:id="743379208">
          <w:marLeft w:val="0"/>
          <w:marRight w:val="0"/>
          <w:marTop w:val="0"/>
          <w:marBottom w:val="0"/>
          <w:divBdr>
            <w:top w:val="none" w:sz="0" w:space="0" w:color="auto"/>
            <w:left w:val="none" w:sz="0" w:space="0" w:color="auto"/>
            <w:bottom w:val="none" w:sz="0" w:space="0" w:color="auto"/>
            <w:right w:val="none" w:sz="0" w:space="0" w:color="auto"/>
          </w:divBdr>
          <w:divsChild>
            <w:div w:id="1677029338">
              <w:marLeft w:val="0"/>
              <w:marRight w:val="0"/>
              <w:marTop w:val="0"/>
              <w:marBottom w:val="0"/>
              <w:divBdr>
                <w:top w:val="none" w:sz="0" w:space="0" w:color="auto"/>
                <w:left w:val="none" w:sz="0" w:space="0" w:color="auto"/>
                <w:bottom w:val="none" w:sz="0" w:space="0" w:color="auto"/>
                <w:right w:val="none" w:sz="0" w:space="0" w:color="auto"/>
              </w:divBdr>
            </w:div>
          </w:divsChild>
        </w:div>
        <w:div w:id="748231535">
          <w:marLeft w:val="0"/>
          <w:marRight w:val="0"/>
          <w:marTop w:val="0"/>
          <w:marBottom w:val="0"/>
          <w:divBdr>
            <w:top w:val="none" w:sz="0" w:space="0" w:color="auto"/>
            <w:left w:val="none" w:sz="0" w:space="0" w:color="auto"/>
            <w:bottom w:val="none" w:sz="0" w:space="0" w:color="auto"/>
            <w:right w:val="none" w:sz="0" w:space="0" w:color="auto"/>
          </w:divBdr>
          <w:divsChild>
            <w:div w:id="265164776">
              <w:marLeft w:val="0"/>
              <w:marRight w:val="0"/>
              <w:marTop w:val="0"/>
              <w:marBottom w:val="0"/>
              <w:divBdr>
                <w:top w:val="none" w:sz="0" w:space="0" w:color="auto"/>
                <w:left w:val="none" w:sz="0" w:space="0" w:color="auto"/>
                <w:bottom w:val="none" w:sz="0" w:space="0" w:color="auto"/>
                <w:right w:val="none" w:sz="0" w:space="0" w:color="auto"/>
              </w:divBdr>
            </w:div>
          </w:divsChild>
        </w:div>
        <w:div w:id="752550598">
          <w:marLeft w:val="0"/>
          <w:marRight w:val="0"/>
          <w:marTop w:val="0"/>
          <w:marBottom w:val="0"/>
          <w:divBdr>
            <w:top w:val="none" w:sz="0" w:space="0" w:color="auto"/>
            <w:left w:val="none" w:sz="0" w:space="0" w:color="auto"/>
            <w:bottom w:val="none" w:sz="0" w:space="0" w:color="auto"/>
            <w:right w:val="none" w:sz="0" w:space="0" w:color="auto"/>
          </w:divBdr>
          <w:divsChild>
            <w:div w:id="1468429541">
              <w:marLeft w:val="0"/>
              <w:marRight w:val="0"/>
              <w:marTop w:val="0"/>
              <w:marBottom w:val="0"/>
              <w:divBdr>
                <w:top w:val="none" w:sz="0" w:space="0" w:color="auto"/>
                <w:left w:val="none" w:sz="0" w:space="0" w:color="auto"/>
                <w:bottom w:val="none" w:sz="0" w:space="0" w:color="auto"/>
                <w:right w:val="none" w:sz="0" w:space="0" w:color="auto"/>
              </w:divBdr>
            </w:div>
          </w:divsChild>
        </w:div>
        <w:div w:id="771167225">
          <w:marLeft w:val="0"/>
          <w:marRight w:val="0"/>
          <w:marTop w:val="0"/>
          <w:marBottom w:val="0"/>
          <w:divBdr>
            <w:top w:val="none" w:sz="0" w:space="0" w:color="auto"/>
            <w:left w:val="none" w:sz="0" w:space="0" w:color="auto"/>
            <w:bottom w:val="none" w:sz="0" w:space="0" w:color="auto"/>
            <w:right w:val="none" w:sz="0" w:space="0" w:color="auto"/>
          </w:divBdr>
          <w:divsChild>
            <w:div w:id="1111634205">
              <w:marLeft w:val="0"/>
              <w:marRight w:val="0"/>
              <w:marTop w:val="0"/>
              <w:marBottom w:val="0"/>
              <w:divBdr>
                <w:top w:val="none" w:sz="0" w:space="0" w:color="auto"/>
                <w:left w:val="none" w:sz="0" w:space="0" w:color="auto"/>
                <w:bottom w:val="none" w:sz="0" w:space="0" w:color="auto"/>
                <w:right w:val="none" w:sz="0" w:space="0" w:color="auto"/>
              </w:divBdr>
            </w:div>
          </w:divsChild>
        </w:div>
        <w:div w:id="787626956">
          <w:marLeft w:val="0"/>
          <w:marRight w:val="0"/>
          <w:marTop w:val="0"/>
          <w:marBottom w:val="0"/>
          <w:divBdr>
            <w:top w:val="none" w:sz="0" w:space="0" w:color="auto"/>
            <w:left w:val="none" w:sz="0" w:space="0" w:color="auto"/>
            <w:bottom w:val="none" w:sz="0" w:space="0" w:color="auto"/>
            <w:right w:val="none" w:sz="0" w:space="0" w:color="auto"/>
          </w:divBdr>
          <w:divsChild>
            <w:div w:id="44643453">
              <w:marLeft w:val="0"/>
              <w:marRight w:val="0"/>
              <w:marTop w:val="0"/>
              <w:marBottom w:val="0"/>
              <w:divBdr>
                <w:top w:val="none" w:sz="0" w:space="0" w:color="auto"/>
                <w:left w:val="none" w:sz="0" w:space="0" w:color="auto"/>
                <w:bottom w:val="none" w:sz="0" w:space="0" w:color="auto"/>
                <w:right w:val="none" w:sz="0" w:space="0" w:color="auto"/>
              </w:divBdr>
            </w:div>
          </w:divsChild>
        </w:div>
        <w:div w:id="802968166">
          <w:marLeft w:val="0"/>
          <w:marRight w:val="0"/>
          <w:marTop w:val="0"/>
          <w:marBottom w:val="0"/>
          <w:divBdr>
            <w:top w:val="none" w:sz="0" w:space="0" w:color="auto"/>
            <w:left w:val="none" w:sz="0" w:space="0" w:color="auto"/>
            <w:bottom w:val="none" w:sz="0" w:space="0" w:color="auto"/>
            <w:right w:val="none" w:sz="0" w:space="0" w:color="auto"/>
          </w:divBdr>
          <w:divsChild>
            <w:div w:id="2076857364">
              <w:marLeft w:val="0"/>
              <w:marRight w:val="0"/>
              <w:marTop w:val="0"/>
              <w:marBottom w:val="0"/>
              <w:divBdr>
                <w:top w:val="none" w:sz="0" w:space="0" w:color="auto"/>
                <w:left w:val="none" w:sz="0" w:space="0" w:color="auto"/>
                <w:bottom w:val="none" w:sz="0" w:space="0" w:color="auto"/>
                <w:right w:val="none" w:sz="0" w:space="0" w:color="auto"/>
              </w:divBdr>
            </w:div>
          </w:divsChild>
        </w:div>
        <w:div w:id="806240024">
          <w:marLeft w:val="0"/>
          <w:marRight w:val="0"/>
          <w:marTop w:val="0"/>
          <w:marBottom w:val="0"/>
          <w:divBdr>
            <w:top w:val="none" w:sz="0" w:space="0" w:color="auto"/>
            <w:left w:val="none" w:sz="0" w:space="0" w:color="auto"/>
            <w:bottom w:val="none" w:sz="0" w:space="0" w:color="auto"/>
            <w:right w:val="none" w:sz="0" w:space="0" w:color="auto"/>
          </w:divBdr>
          <w:divsChild>
            <w:div w:id="97334864">
              <w:marLeft w:val="0"/>
              <w:marRight w:val="0"/>
              <w:marTop w:val="0"/>
              <w:marBottom w:val="0"/>
              <w:divBdr>
                <w:top w:val="none" w:sz="0" w:space="0" w:color="auto"/>
                <w:left w:val="none" w:sz="0" w:space="0" w:color="auto"/>
                <w:bottom w:val="none" w:sz="0" w:space="0" w:color="auto"/>
                <w:right w:val="none" w:sz="0" w:space="0" w:color="auto"/>
              </w:divBdr>
            </w:div>
          </w:divsChild>
        </w:div>
        <w:div w:id="815225988">
          <w:marLeft w:val="0"/>
          <w:marRight w:val="0"/>
          <w:marTop w:val="0"/>
          <w:marBottom w:val="0"/>
          <w:divBdr>
            <w:top w:val="none" w:sz="0" w:space="0" w:color="auto"/>
            <w:left w:val="none" w:sz="0" w:space="0" w:color="auto"/>
            <w:bottom w:val="none" w:sz="0" w:space="0" w:color="auto"/>
            <w:right w:val="none" w:sz="0" w:space="0" w:color="auto"/>
          </w:divBdr>
          <w:divsChild>
            <w:div w:id="1790539609">
              <w:marLeft w:val="0"/>
              <w:marRight w:val="0"/>
              <w:marTop w:val="0"/>
              <w:marBottom w:val="0"/>
              <w:divBdr>
                <w:top w:val="none" w:sz="0" w:space="0" w:color="auto"/>
                <w:left w:val="none" w:sz="0" w:space="0" w:color="auto"/>
                <w:bottom w:val="none" w:sz="0" w:space="0" w:color="auto"/>
                <w:right w:val="none" w:sz="0" w:space="0" w:color="auto"/>
              </w:divBdr>
            </w:div>
          </w:divsChild>
        </w:div>
        <w:div w:id="830221476">
          <w:marLeft w:val="0"/>
          <w:marRight w:val="0"/>
          <w:marTop w:val="0"/>
          <w:marBottom w:val="0"/>
          <w:divBdr>
            <w:top w:val="none" w:sz="0" w:space="0" w:color="auto"/>
            <w:left w:val="none" w:sz="0" w:space="0" w:color="auto"/>
            <w:bottom w:val="none" w:sz="0" w:space="0" w:color="auto"/>
            <w:right w:val="none" w:sz="0" w:space="0" w:color="auto"/>
          </w:divBdr>
          <w:divsChild>
            <w:div w:id="920868961">
              <w:marLeft w:val="0"/>
              <w:marRight w:val="0"/>
              <w:marTop w:val="0"/>
              <w:marBottom w:val="0"/>
              <w:divBdr>
                <w:top w:val="none" w:sz="0" w:space="0" w:color="auto"/>
                <w:left w:val="none" w:sz="0" w:space="0" w:color="auto"/>
                <w:bottom w:val="none" w:sz="0" w:space="0" w:color="auto"/>
                <w:right w:val="none" w:sz="0" w:space="0" w:color="auto"/>
              </w:divBdr>
            </w:div>
          </w:divsChild>
        </w:div>
        <w:div w:id="913901535">
          <w:marLeft w:val="0"/>
          <w:marRight w:val="0"/>
          <w:marTop w:val="0"/>
          <w:marBottom w:val="0"/>
          <w:divBdr>
            <w:top w:val="none" w:sz="0" w:space="0" w:color="auto"/>
            <w:left w:val="none" w:sz="0" w:space="0" w:color="auto"/>
            <w:bottom w:val="none" w:sz="0" w:space="0" w:color="auto"/>
            <w:right w:val="none" w:sz="0" w:space="0" w:color="auto"/>
          </w:divBdr>
          <w:divsChild>
            <w:div w:id="1943295614">
              <w:marLeft w:val="0"/>
              <w:marRight w:val="0"/>
              <w:marTop w:val="0"/>
              <w:marBottom w:val="0"/>
              <w:divBdr>
                <w:top w:val="none" w:sz="0" w:space="0" w:color="auto"/>
                <w:left w:val="none" w:sz="0" w:space="0" w:color="auto"/>
                <w:bottom w:val="none" w:sz="0" w:space="0" w:color="auto"/>
                <w:right w:val="none" w:sz="0" w:space="0" w:color="auto"/>
              </w:divBdr>
            </w:div>
          </w:divsChild>
        </w:div>
        <w:div w:id="915431667">
          <w:marLeft w:val="0"/>
          <w:marRight w:val="0"/>
          <w:marTop w:val="0"/>
          <w:marBottom w:val="0"/>
          <w:divBdr>
            <w:top w:val="none" w:sz="0" w:space="0" w:color="auto"/>
            <w:left w:val="none" w:sz="0" w:space="0" w:color="auto"/>
            <w:bottom w:val="none" w:sz="0" w:space="0" w:color="auto"/>
            <w:right w:val="none" w:sz="0" w:space="0" w:color="auto"/>
          </w:divBdr>
          <w:divsChild>
            <w:div w:id="949775833">
              <w:marLeft w:val="0"/>
              <w:marRight w:val="0"/>
              <w:marTop w:val="0"/>
              <w:marBottom w:val="0"/>
              <w:divBdr>
                <w:top w:val="none" w:sz="0" w:space="0" w:color="auto"/>
                <w:left w:val="none" w:sz="0" w:space="0" w:color="auto"/>
                <w:bottom w:val="none" w:sz="0" w:space="0" w:color="auto"/>
                <w:right w:val="none" w:sz="0" w:space="0" w:color="auto"/>
              </w:divBdr>
            </w:div>
          </w:divsChild>
        </w:div>
        <w:div w:id="917858944">
          <w:marLeft w:val="0"/>
          <w:marRight w:val="0"/>
          <w:marTop w:val="0"/>
          <w:marBottom w:val="0"/>
          <w:divBdr>
            <w:top w:val="none" w:sz="0" w:space="0" w:color="auto"/>
            <w:left w:val="none" w:sz="0" w:space="0" w:color="auto"/>
            <w:bottom w:val="none" w:sz="0" w:space="0" w:color="auto"/>
            <w:right w:val="none" w:sz="0" w:space="0" w:color="auto"/>
          </w:divBdr>
          <w:divsChild>
            <w:div w:id="1316642193">
              <w:marLeft w:val="0"/>
              <w:marRight w:val="0"/>
              <w:marTop w:val="0"/>
              <w:marBottom w:val="0"/>
              <w:divBdr>
                <w:top w:val="none" w:sz="0" w:space="0" w:color="auto"/>
                <w:left w:val="none" w:sz="0" w:space="0" w:color="auto"/>
                <w:bottom w:val="none" w:sz="0" w:space="0" w:color="auto"/>
                <w:right w:val="none" w:sz="0" w:space="0" w:color="auto"/>
              </w:divBdr>
            </w:div>
          </w:divsChild>
        </w:div>
        <w:div w:id="947665192">
          <w:marLeft w:val="0"/>
          <w:marRight w:val="0"/>
          <w:marTop w:val="0"/>
          <w:marBottom w:val="0"/>
          <w:divBdr>
            <w:top w:val="none" w:sz="0" w:space="0" w:color="auto"/>
            <w:left w:val="none" w:sz="0" w:space="0" w:color="auto"/>
            <w:bottom w:val="none" w:sz="0" w:space="0" w:color="auto"/>
            <w:right w:val="none" w:sz="0" w:space="0" w:color="auto"/>
          </w:divBdr>
          <w:divsChild>
            <w:div w:id="1798136917">
              <w:marLeft w:val="0"/>
              <w:marRight w:val="0"/>
              <w:marTop w:val="0"/>
              <w:marBottom w:val="0"/>
              <w:divBdr>
                <w:top w:val="none" w:sz="0" w:space="0" w:color="auto"/>
                <w:left w:val="none" w:sz="0" w:space="0" w:color="auto"/>
                <w:bottom w:val="none" w:sz="0" w:space="0" w:color="auto"/>
                <w:right w:val="none" w:sz="0" w:space="0" w:color="auto"/>
              </w:divBdr>
            </w:div>
          </w:divsChild>
        </w:div>
        <w:div w:id="958100619">
          <w:marLeft w:val="0"/>
          <w:marRight w:val="0"/>
          <w:marTop w:val="0"/>
          <w:marBottom w:val="0"/>
          <w:divBdr>
            <w:top w:val="none" w:sz="0" w:space="0" w:color="auto"/>
            <w:left w:val="none" w:sz="0" w:space="0" w:color="auto"/>
            <w:bottom w:val="none" w:sz="0" w:space="0" w:color="auto"/>
            <w:right w:val="none" w:sz="0" w:space="0" w:color="auto"/>
          </w:divBdr>
          <w:divsChild>
            <w:div w:id="1745486543">
              <w:marLeft w:val="0"/>
              <w:marRight w:val="0"/>
              <w:marTop w:val="0"/>
              <w:marBottom w:val="0"/>
              <w:divBdr>
                <w:top w:val="none" w:sz="0" w:space="0" w:color="auto"/>
                <w:left w:val="none" w:sz="0" w:space="0" w:color="auto"/>
                <w:bottom w:val="none" w:sz="0" w:space="0" w:color="auto"/>
                <w:right w:val="none" w:sz="0" w:space="0" w:color="auto"/>
              </w:divBdr>
            </w:div>
          </w:divsChild>
        </w:div>
        <w:div w:id="974138927">
          <w:marLeft w:val="0"/>
          <w:marRight w:val="0"/>
          <w:marTop w:val="0"/>
          <w:marBottom w:val="0"/>
          <w:divBdr>
            <w:top w:val="none" w:sz="0" w:space="0" w:color="auto"/>
            <w:left w:val="none" w:sz="0" w:space="0" w:color="auto"/>
            <w:bottom w:val="none" w:sz="0" w:space="0" w:color="auto"/>
            <w:right w:val="none" w:sz="0" w:space="0" w:color="auto"/>
          </w:divBdr>
          <w:divsChild>
            <w:div w:id="1369646968">
              <w:marLeft w:val="0"/>
              <w:marRight w:val="0"/>
              <w:marTop w:val="0"/>
              <w:marBottom w:val="0"/>
              <w:divBdr>
                <w:top w:val="none" w:sz="0" w:space="0" w:color="auto"/>
                <w:left w:val="none" w:sz="0" w:space="0" w:color="auto"/>
                <w:bottom w:val="none" w:sz="0" w:space="0" w:color="auto"/>
                <w:right w:val="none" w:sz="0" w:space="0" w:color="auto"/>
              </w:divBdr>
            </w:div>
          </w:divsChild>
        </w:div>
        <w:div w:id="983194738">
          <w:marLeft w:val="0"/>
          <w:marRight w:val="0"/>
          <w:marTop w:val="0"/>
          <w:marBottom w:val="0"/>
          <w:divBdr>
            <w:top w:val="none" w:sz="0" w:space="0" w:color="auto"/>
            <w:left w:val="none" w:sz="0" w:space="0" w:color="auto"/>
            <w:bottom w:val="none" w:sz="0" w:space="0" w:color="auto"/>
            <w:right w:val="none" w:sz="0" w:space="0" w:color="auto"/>
          </w:divBdr>
          <w:divsChild>
            <w:div w:id="1582443738">
              <w:marLeft w:val="0"/>
              <w:marRight w:val="0"/>
              <w:marTop w:val="0"/>
              <w:marBottom w:val="0"/>
              <w:divBdr>
                <w:top w:val="none" w:sz="0" w:space="0" w:color="auto"/>
                <w:left w:val="none" w:sz="0" w:space="0" w:color="auto"/>
                <w:bottom w:val="none" w:sz="0" w:space="0" w:color="auto"/>
                <w:right w:val="none" w:sz="0" w:space="0" w:color="auto"/>
              </w:divBdr>
            </w:div>
          </w:divsChild>
        </w:div>
        <w:div w:id="984897258">
          <w:marLeft w:val="0"/>
          <w:marRight w:val="0"/>
          <w:marTop w:val="0"/>
          <w:marBottom w:val="0"/>
          <w:divBdr>
            <w:top w:val="none" w:sz="0" w:space="0" w:color="auto"/>
            <w:left w:val="none" w:sz="0" w:space="0" w:color="auto"/>
            <w:bottom w:val="none" w:sz="0" w:space="0" w:color="auto"/>
            <w:right w:val="none" w:sz="0" w:space="0" w:color="auto"/>
          </w:divBdr>
          <w:divsChild>
            <w:div w:id="343746461">
              <w:marLeft w:val="0"/>
              <w:marRight w:val="0"/>
              <w:marTop w:val="0"/>
              <w:marBottom w:val="0"/>
              <w:divBdr>
                <w:top w:val="none" w:sz="0" w:space="0" w:color="auto"/>
                <w:left w:val="none" w:sz="0" w:space="0" w:color="auto"/>
                <w:bottom w:val="none" w:sz="0" w:space="0" w:color="auto"/>
                <w:right w:val="none" w:sz="0" w:space="0" w:color="auto"/>
              </w:divBdr>
            </w:div>
          </w:divsChild>
        </w:div>
        <w:div w:id="986008347">
          <w:marLeft w:val="0"/>
          <w:marRight w:val="0"/>
          <w:marTop w:val="0"/>
          <w:marBottom w:val="0"/>
          <w:divBdr>
            <w:top w:val="none" w:sz="0" w:space="0" w:color="auto"/>
            <w:left w:val="none" w:sz="0" w:space="0" w:color="auto"/>
            <w:bottom w:val="none" w:sz="0" w:space="0" w:color="auto"/>
            <w:right w:val="none" w:sz="0" w:space="0" w:color="auto"/>
          </w:divBdr>
          <w:divsChild>
            <w:div w:id="1553956561">
              <w:marLeft w:val="0"/>
              <w:marRight w:val="0"/>
              <w:marTop w:val="0"/>
              <w:marBottom w:val="0"/>
              <w:divBdr>
                <w:top w:val="none" w:sz="0" w:space="0" w:color="auto"/>
                <w:left w:val="none" w:sz="0" w:space="0" w:color="auto"/>
                <w:bottom w:val="none" w:sz="0" w:space="0" w:color="auto"/>
                <w:right w:val="none" w:sz="0" w:space="0" w:color="auto"/>
              </w:divBdr>
            </w:div>
          </w:divsChild>
        </w:div>
        <w:div w:id="1002507247">
          <w:marLeft w:val="0"/>
          <w:marRight w:val="0"/>
          <w:marTop w:val="0"/>
          <w:marBottom w:val="0"/>
          <w:divBdr>
            <w:top w:val="none" w:sz="0" w:space="0" w:color="auto"/>
            <w:left w:val="none" w:sz="0" w:space="0" w:color="auto"/>
            <w:bottom w:val="none" w:sz="0" w:space="0" w:color="auto"/>
            <w:right w:val="none" w:sz="0" w:space="0" w:color="auto"/>
          </w:divBdr>
          <w:divsChild>
            <w:div w:id="65301530">
              <w:marLeft w:val="0"/>
              <w:marRight w:val="0"/>
              <w:marTop w:val="0"/>
              <w:marBottom w:val="0"/>
              <w:divBdr>
                <w:top w:val="none" w:sz="0" w:space="0" w:color="auto"/>
                <w:left w:val="none" w:sz="0" w:space="0" w:color="auto"/>
                <w:bottom w:val="none" w:sz="0" w:space="0" w:color="auto"/>
                <w:right w:val="none" w:sz="0" w:space="0" w:color="auto"/>
              </w:divBdr>
            </w:div>
          </w:divsChild>
        </w:div>
        <w:div w:id="1004165961">
          <w:marLeft w:val="0"/>
          <w:marRight w:val="0"/>
          <w:marTop w:val="0"/>
          <w:marBottom w:val="0"/>
          <w:divBdr>
            <w:top w:val="none" w:sz="0" w:space="0" w:color="auto"/>
            <w:left w:val="none" w:sz="0" w:space="0" w:color="auto"/>
            <w:bottom w:val="none" w:sz="0" w:space="0" w:color="auto"/>
            <w:right w:val="none" w:sz="0" w:space="0" w:color="auto"/>
          </w:divBdr>
          <w:divsChild>
            <w:div w:id="1598824648">
              <w:marLeft w:val="0"/>
              <w:marRight w:val="0"/>
              <w:marTop w:val="0"/>
              <w:marBottom w:val="0"/>
              <w:divBdr>
                <w:top w:val="none" w:sz="0" w:space="0" w:color="auto"/>
                <w:left w:val="none" w:sz="0" w:space="0" w:color="auto"/>
                <w:bottom w:val="none" w:sz="0" w:space="0" w:color="auto"/>
                <w:right w:val="none" w:sz="0" w:space="0" w:color="auto"/>
              </w:divBdr>
            </w:div>
          </w:divsChild>
        </w:div>
        <w:div w:id="1015765795">
          <w:marLeft w:val="0"/>
          <w:marRight w:val="0"/>
          <w:marTop w:val="0"/>
          <w:marBottom w:val="0"/>
          <w:divBdr>
            <w:top w:val="none" w:sz="0" w:space="0" w:color="auto"/>
            <w:left w:val="none" w:sz="0" w:space="0" w:color="auto"/>
            <w:bottom w:val="none" w:sz="0" w:space="0" w:color="auto"/>
            <w:right w:val="none" w:sz="0" w:space="0" w:color="auto"/>
          </w:divBdr>
          <w:divsChild>
            <w:div w:id="1704475977">
              <w:marLeft w:val="0"/>
              <w:marRight w:val="0"/>
              <w:marTop w:val="0"/>
              <w:marBottom w:val="0"/>
              <w:divBdr>
                <w:top w:val="none" w:sz="0" w:space="0" w:color="auto"/>
                <w:left w:val="none" w:sz="0" w:space="0" w:color="auto"/>
                <w:bottom w:val="none" w:sz="0" w:space="0" w:color="auto"/>
                <w:right w:val="none" w:sz="0" w:space="0" w:color="auto"/>
              </w:divBdr>
            </w:div>
          </w:divsChild>
        </w:div>
        <w:div w:id="1021277386">
          <w:marLeft w:val="0"/>
          <w:marRight w:val="0"/>
          <w:marTop w:val="0"/>
          <w:marBottom w:val="0"/>
          <w:divBdr>
            <w:top w:val="none" w:sz="0" w:space="0" w:color="auto"/>
            <w:left w:val="none" w:sz="0" w:space="0" w:color="auto"/>
            <w:bottom w:val="none" w:sz="0" w:space="0" w:color="auto"/>
            <w:right w:val="none" w:sz="0" w:space="0" w:color="auto"/>
          </w:divBdr>
          <w:divsChild>
            <w:div w:id="917860024">
              <w:marLeft w:val="0"/>
              <w:marRight w:val="0"/>
              <w:marTop w:val="0"/>
              <w:marBottom w:val="0"/>
              <w:divBdr>
                <w:top w:val="none" w:sz="0" w:space="0" w:color="auto"/>
                <w:left w:val="none" w:sz="0" w:space="0" w:color="auto"/>
                <w:bottom w:val="none" w:sz="0" w:space="0" w:color="auto"/>
                <w:right w:val="none" w:sz="0" w:space="0" w:color="auto"/>
              </w:divBdr>
            </w:div>
          </w:divsChild>
        </w:div>
        <w:div w:id="1024284807">
          <w:marLeft w:val="0"/>
          <w:marRight w:val="0"/>
          <w:marTop w:val="0"/>
          <w:marBottom w:val="0"/>
          <w:divBdr>
            <w:top w:val="none" w:sz="0" w:space="0" w:color="auto"/>
            <w:left w:val="none" w:sz="0" w:space="0" w:color="auto"/>
            <w:bottom w:val="none" w:sz="0" w:space="0" w:color="auto"/>
            <w:right w:val="none" w:sz="0" w:space="0" w:color="auto"/>
          </w:divBdr>
          <w:divsChild>
            <w:div w:id="808061634">
              <w:marLeft w:val="0"/>
              <w:marRight w:val="0"/>
              <w:marTop w:val="0"/>
              <w:marBottom w:val="0"/>
              <w:divBdr>
                <w:top w:val="none" w:sz="0" w:space="0" w:color="auto"/>
                <w:left w:val="none" w:sz="0" w:space="0" w:color="auto"/>
                <w:bottom w:val="none" w:sz="0" w:space="0" w:color="auto"/>
                <w:right w:val="none" w:sz="0" w:space="0" w:color="auto"/>
              </w:divBdr>
            </w:div>
          </w:divsChild>
        </w:div>
        <w:div w:id="1028262864">
          <w:marLeft w:val="0"/>
          <w:marRight w:val="0"/>
          <w:marTop w:val="0"/>
          <w:marBottom w:val="0"/>
          <w:divBdr>
            <w:top w:val="none" w:sz="0" w:space="0" w:color="auto"/>
            <w:left w:val="none" w:sz="0" w:space="0" w:color="auto"/>
            <w:bottom w:val="none" w:sz="0" w:space="0" w:color="auto"/>
            <w:right w:val="none" w:sz="0" w:space="0" w:color="auto"/>
          </w:divBdr>
          <w:divsChild>
            <w:div w:id="432559255">
              <w:marLeft w:val="0"/>
              <w:marRight w:val="0"/>
              <w:marTop w:val="0"/>
              <w:marBottom w:val="0"/>
              <w:divBdr>
                <w:top w:val="none" w:sz="0" w:space="0" w:color="auto"/>
                <w:left w:val="none" w:sz="0" w:space="0" w:color="auto"/>
                <w:bottom w:val="none" w:sz="0" w:space="0" w:color="auto"/>
                <w:right w:val="none" w:sz="0" w:space="0" w:color="auto"/>
              </w:divBdr>
            </w:div>
          </w:divsChild>
        </w:div>
        <w:div w:id="1031109690">
          <w:marLeft w:val="0"/>
          <w:marRight w:val="0"/>
          <w:marTop w:val="0"/>
          <w:marBottom w:val="0"/>
          <w:divBdr>
            <w:top w:val="none" w:sz="0" w:space="0" w:color="auto"/>
            <w:left w:val="none" w:sz="0" w:space="0" w:color="auto"/>
            <w:bottom w:val="none" w:sz="0" w:space="0" w:color="auto"/>
            <w:right w:val="none" w:sz="0" w:space="0" w:color="auto"/>
          </w:divBdr>
          <w:divsChild>
            <w:div w:id="2019191256">
              <w:marLeft w:val="0"/>
              <w:marRight w:val="0"/>
              <w:marTop w:val="0"/>
              <w:marBottom w:val="0"/>
              <w:divBdr>
                <w:top w:val="none" w:sz="0" w:space="0" w:color="auto"/>
                <w:left w:val="none" w:sz="0" w:space="0" w:color="auto"/>
                <w:bottom w:val="none" w:sz="0" w:space="0" w:color="auto"/>
                <w:right w:val="none" w:sz="0" w:space="0" w:color="auto"/>
              </w:divBdr>
            </w:div>
          </w:divsChild>
        </w:div>
        <w:div w:id="1034692447">
          <w:marLeft w:val="0"/>
          <w:marRight w:val="0"/>
          <w:marTop w:val="0"/>
          <w:marBottom w:val="0"/>
          <w:divBdr>
            <w:top w:val="none" w:sz="0" w:space="0" w:color="auto"/>
            <w:left w:val="none" w:sz="0" w:space="0" w:color="auto"/>
            <w:bottom w:val="none" w:sz="0" w:space="0" w:color="auto"/>
            <w:right w:val="none" w:sz="0" w:space="0" w:color="auto"/>
          </w:divBdr>
          <w:divsChild>
            <w:div w:id="517037428">
              <w:marLeft w:val="0"/>
              <w:marRight w:val="0"/>
              <w:marTop w:val="0"/>
              <w:marBottom w:val="0"/>
              <w:divBdr>
                <w:top w:val="none" w:sz="0" w:space="0" w:color="auto"/>
                <w:left w:val="none" w:sz="0" w:space="0" w:color="auto"/>
                <w:bottom w:val="none" w:sz="0" w:space="0" w:color="auto"/>
                <w:right w:val="none" w:sz="0" w:space="0" w:color="auto"/>
              </w:divBdr>
            </w:div>
          </w:divsChild>
        </w:div>
        <w:div w:id="1043676645">
          <w:marLeft w:val="0"/>
          <w:marRight w:val="0"/>
          <w:marTop w:val="0"/>
          <w:marBottom w:val="0"/>
          <w:divBdr>
            <w:top w:val="none" w:sz="0" w:space="0" w:color="auto"/>
            <w:left w:val="none" w:sz="0" w:space="0" w:color="auto"/>
            <w:bottom w:val="none" w:sz="0" w:space="0" w:color="auto"/>
            <w:right w:val="none" w:sz="0" w:space="0" w:color="auto"/>
          </w:divBdr>
          <w:divsChild>
            <w:div w:id="897474315">
              <w:marLeft w:val="0"/>
              <w:marRight w:val="0"/>
              <w:marTop w:val="0"/>
              <w:marBottom w:val="0"/>
              <w:divBdr>
                <w:top w:val="none" w:sz="0" w:space="0" w:color="auto"/>
                <w:left w:val="none" w:sz="0" w:space="0" w:color="auto"/>
                <w:bottom w:val="none" w:sz="0" w:space="0" w:color="auto"/>
                <w:right w:val="none" w:sz="0" w:space="0" w:color="auto"/>
              </w:divBdr>
            </w:div>
          </w:divsChild>
        </w:div>
        <w:div w:id="1044137290">
          <w:marLeft w:val="0"/>
          <w:marRight w:val="0"/>
          <w:marTop w:val="0"/>
          <w:marBottom w:val="0"/>
          <w:divBdr>
            <w:top w:val="none" w:sz="0" w:space="0" w:color="auto"/>
            <w:left w:val="none" w:sz="0" w:space="0" w:color="auto"/>
            <w:bottom w:val="none" w:sz="0" w:space="0" w:color="auto"/>
            <w:right w:val="none" w:sz="0" w:space="0" w:color="auto"/>
          </w:divBdr>
          <w:divsChild>
            <w:div w:id="1287347712">
              <w:marLeft w:val="0"/>
              <w:marRight w:val="0"/>
              <w:marTop w:val="0"/>
              <w:marBottom w:val="0"/>
              <w:divBdr>
                <w:top w:val="none" w:sz="0" w:space="0" w:color="auto"/>
                <w:left w:val="none" w:sz="0" w:space="0" w:color="auto"/>
                <w:bottom w:val="none" w:sz="0" w:space="0" w:color="auto"/>
                <w:right w:val="none" w:sz="0" w:space="0" w:color="auto"/>
              </w:divBdr>
            </w:div>
          </w:divsChild>
        </w:div>
        <w:div w:id="1062286706">
          <w:marLeft w:val="0"/>
          <w:marRight w:val="0"/>
          <w:marTop w:val="0"/>
          <w:marBottom w:val="0"/>
          <w:divBdr>
            <w:top w:val="none" w:sz="0" w:space="0" w:color="auto"/>
            <w:left w:val="none" w:sz="0" w:space="0" w:color="auto"/>
            <w:bottom w:val="none" w:sz="0" w:space="0" w:color="auto"/>
            <w:right w:val="none" w:sz="0" w:space="0" w:color="auto"/>
          </w:divBdr>
          <w:divsChild>
            <w:div w:id="1276907606">
              <w:marLeft w:val="0"/>
              <w:marRight w:val="0"/>
              <w:marTop w:val="0"/>
              <w:marBottom w:val="0"/>
              <w:divBdr>
                <w:top w:val="none" w:sz="0" w:space="0" w:color="auto"/>
                <w:left w:val="none" w:sz="0" w:space="0" w:color="auto"/>
                <w:bottom w:val="none" w:sz="0" w:space="0" w:color="auto"/>
                <w:right w:val="none" w:sz="0" w:space="0" w:color="auto"/>
              </w:divBdr>
            </w:div>
          </w:divsChild>
        </w:div>
        <w:div w:id="1066880150">
          <w:marLeft w:val="0"/>
          <w:marRight w:val="0"/>
          <w:marTop w:val="0"/>
          <w:marBottom w:val="0"/>
          <w:divBdr>
            <w:top w:val="none" w:sz="0" w:space="0" w:color="auto"/>
            <w:left w:val="none" w:sz="0" w:space="0" w:color="auto"/>
            <w:bottom w:val="none" w:sz="0" w:space="0" w:color="auto"/>
            <w:right w:val="none" w:sz="0" w:space="0" w:color="auto"/>
          </w:divBdr>
          <w:divsChild>
            <w:div w:id="1403983652">
              <w:marLeft w:val="0"/>
              <w:marRight w:val="0"/>
              <w:marTop w:val="0"/>
              <w:marBottom w:val="0"/>
              <w:divBdr>
                <w:top w:val="none" w:sz="0" w:space="0" w:color="auto"/>
                <w:left w:val="none" w:sz="0" w:space="0" w:color="auto"/>
                <w:bottom w:val="none" w:sz="0" w:space="0" w:color="auto"/>
                <w:right w:val="none" w:sz="0" w:space="0" w:color="auto"/>
              </w:divBdr>
            </w:div>
          </w:divsChild>
        </w:div>
        <w:div w:id="1104031956">
          <w:marLeft w:val="0"/>
          <w:marRight w:val="0"/>
          <w:marTop w:val="0"/>
          <w:marBottom w:val="0"/>
          <w:divBdr>
            <w:top w:val="none" w:sz="0" w:space="0" w:color="auto"/>
            <w:left w:val="none" w:sz="0" w:space="0" w:color="auto"/>
            <w:bottom w:val="none" w:sz="0" w:space="0" w:color="auto"/>
            <w:right w:val="none" w:sz="0" w:space="0" w:color="auto"/>
          </w:divBdr>
          <w:divsChild>
            <w:div w:id="388847470">
              <w:marLeft w:val="0"/>
              <w:marRight w:val="0"/>
              <w:marTop w:val="0"/>
              <w:marBottom w:val="0"/>
              <w:divBdr>
                <w:top w:val="none" w:sz="0" w:space="0" w:color="auto"/>
                <w:left w:val="none" w:sz="0" w:space="0" w:color="auto"/>
                <w:bottom w:val="none" w:sz="0" w:space="0" w:color="auto"/>
                <w:right w:val="none" w:sz="0" w:space="0" w:color="auto"/>
              </w:divBdr>
            </w:div>
          </w:divsChild>
        </w:div>
        <w:div w:id="1105657986">
          <w:marLeft w:val="0"/>
          <w:marRight w:val="0"/>
          <w:marTop w:val="0"/>
          <w:marBottom w:val="0"/>
          <w:divBdr>
            <w:top w:val="none" w:sz="0" w:space="0" w:color="auto"/>
            <w:left w:val="none" w:sz="0" w:space="0" w:color="auto"/>
            <w:bottom w:val="none" w:sz="0" w:space="0" w:color="auto"/>
            <w:right w:val="none" w:sz="0" w:space="0" w:color="auto"/>
          </w:divBdr>
          <w:divsChild>
            <w:div w:id="565845102">
              <w:marLeft w:val="0"/>
              <w:marRight w:val="0"/>
              <w:marTop w:val="0"/>
              <w:marBottom w:val="0"/>
              <w:divBdr>
                <w:top w:val="none" w:sz="0" w:space="0" w:color="auto"/>
                <w:left w:val="none" w:sz="0" w:space="0" w:color="auto"/>
                <w:bottom w:val="none" w:sz="0" w:space="0" w:color="auto"/>
                <w:right w:val="none" w:sz="0" w:space="0" w:color="auto"/>
              </w:divBdr>
            </w:div>
          </w:divsChild>
        </w:div>
        <w:div w:id="1117915855">
          <w:marLeft w:val="0"/>
          <w:marRight w:val="0"/>
          <w:marTop w:val="0"/>
          <w:marBottom w:val="0"/>
          <w:divBdr>
            <w:top w:val="none" w:sz="0" w:space="0" w:color="auto"/>
            <w:left w:val="none" w:sz="0" w:space="0" w:color="auto"/>
            <w:bottom w:val="none" w:sz="0" w:space="0" w:color="auto"/>
            <w:right w:val="none" w:sz="0" w:space="0" w:color="auto"/>
          </w:divBdr>
          <w:divsChild>
            <w:div w:id="1802452391">
              <w:marLeft w:val="0"/>
              <w:marRight w:val="0"/>
              <w:marTop w:val="0"/>
              <w:marBottom w:val="0"/>
              <w:divBdr>
                <w:top w:val="none" w:sz="0" w:space="0" w:color="auto"/>
                <w:left w:val="none" w:sz="0" w:space="0" w:color="auto"/>
                <w:bottom w:val="none" w:sz="0" w:space="0" w:color="auto"/>
                <w:right w:val="none" w:sz="0" w:space="0" w:color="auto"/>
              </w:divBdr>
            </w:div>
          </w:divsChild>
        </w:div>
        <w:div w:id="1122655354">
          <w:marLeft w:val="0"/>
          <w:marRight w:val="0"/>
          <w:marTop w:val="0"/>
          <w:marBottom w:val="0"/>
          <w:divBdr>
            <w:top w:val="none" w:sz="0" w:space="0" w:color="auto"/>
            <w:left w:val="none" w:sz="0" w:space="0" w:color="auto"/>
            <w:bottom w:val="none" w:sz="0" w:space="0" w:color="auto"/>
            <w:right w:val="none" w:sz="0" w:space="0" w:color="auto"/>
          </w:divBdr>
          <w:divsChild>
            <w:div w:id="1384065422">
              <w:marLeft w:val="0"/>
              <w:marRight w:val="0"/>
              <w:marTop w:val="0"/>
              <w:marBottom w:val="0"/>
              <w:divBdr>
                <w:top w:val="none" w:sz="0" w:space="0" w:color="auto"/>
                <w:left w:val="none" w:sz="0" w:space="0" w:color="auto"/>
                <w:bottom w:val="none" w:sz="0" w:space="0" w:color="auto"/>
                <w:right w:val="none" w:sz="0" w:space="0" w:color="auto"/>
              </w:divBdr>
            </w:div>
          </w:divsChild>
        </w:div>
        <w:div w:id="1123885807">
          <w:marLeft w:val="0"/>
          <w:marRight w:val="0"/>
          <w:marTop w:val="0"/>
          <w:marBottom w:val="0"/>
          <w:divBdr>
            <w:top w:val="none" w:sz="0" w:space="0" w:color="auto"/>
            <w:left w:val="none" w:sz="0" w:space="0" w:color="auto"/>
            <w:bottom w:val="none" w:sz="0" w:space="0" w:color="auto"/>
            <w:right w:val="none" w:sz="0" w:space="0" w:color="auto"/>
          </w:divBdr>
          <w:divsChild>
            <w:div w:id="408575982">
              <w:marLeft w:val="0"/>
              <w:marRight w:val="0"/>
              <w:marTop w:val="0"/>
              <w:marBottom w:val="0"/>
              <w:divBdr>
                <w:top w:val="none" w:sz="0" w:space="0" w:color="auto"/>
                <w:left w:val="none" w:sz="0" w:space="0" w:color="auto"/>
                <w:bottom w:val="none" w:sz="0" w:space="0" w:color="auto"/>
                <w:right w:val="none" w:sz="0" w:space="0" w:color="auto"/>
              </w:divBdr>
            </w:div>
          </w:divsChild>
        </w:div>
        <w:div w:id="1186557185">
          <w:marLeft w:val="0"/>
          <w:marRight w:val="0"/>
          <w:marTop w:val="0"/>
          <w:marBottom w:val="0"/>
          <w:divBdr>
            <w:top w:val="none" w:sz="0" w:space="0" w:color="auto"/>
            <w:left w:val="none" w:sz="0" w:space="0" w:color="auto"/>
            <w:bottom w:val="none" w:sz="0" w:space="0" w:color="auto"/>
            <w:right w:val="none" w:sz="0" w:space="0" w:color="auto"/>
          </w:divBdr>
          <w:divsChild>
            <w:div w:id="2016764590">
              <w:marLeft w:val="0"/>
              <w:marRight w:val="0"/>
              <w:marTop w:val="0"/>
              <w:marBottom w:val="0"/>
              <w:divBdr>
                <w:top w:val="none" w:sz="0" w:space="0" w:color="auto"/>
                <w:left w:val="none" w:sz="0" w:space="0" w:color="auto"/>
                <w:bottom w:val="none" w:sz="0" w:space="0" w:color="auto"/>
                <w:right w:val="none" w:sz="0" w:space="0" w:color="auto"/>
              </w:divBdr>
            </w:div>
          </w:divsChild>
        </w:div>
        <w:div w:id="1216893398">
          <w:marLeft w:val="0"/>
          <w:marRight w:val="0"/>
          <w:marTop w:val="0"/>
          <w:marBottom w:val="0"/>
          <w:divBdr>
            <w:top w:val="none" w:sz="0" w:space="0" w:color="auto"/>
            <w:left w:val="none" w:sz="0" w:space="0" w:color="auto"/>
            <w:bottom w:val="none" w:sz="0" w:space="0" w:color="auto"/>
            <w:right w:val="none" w:sz="0" w:space="0" w:color="auto"/>
          </w:divBdr>
          <w:divsChild>
            <w:div w:id="1908412659">
              <w:marLeft w:val="0"/>
              <w:marRight w:val="0"/>
              <w:marTop w:val="0"/>
              <w:marBottom w:val="0"/>
              <w:divBdr>
                <w:top w:val="none" w:sz="0" w:space="0" w:color="auto"/>
                <w:left w:val="none" w:sz="0" w:space="0" w:color="auto"/>
                <w:bottom w:val="none" w:sz="0" w:space="0" w:color="auto"/>
                <w:right w:val="none" w:sz="0" w:space="0" w:color="auto"/>
              </w:divBdr>
            </w:div>
          </w:divsChild>
        </w:div>
        <w:div w:id="1226181332">
          <w:marLeft w:val="0"/>
          <w:marRight w:val="0"/>
          <w:marTop w:val="0"/>
          <w:marBottom w:val="0"/>
          <w:divBdr>
            <w:top w:val="none" w:sz="0" w:space="0" w:color="auto"/>
            <w:left w:val="none" w:sz="0" w:space="0" w:color="auto"/>
            <w:bottom w:val="none" w:sz="0" w:space="0" w:color="auto"/>
            <w:right w:val="none" w:sz="0" w:space="0" w:color="auto"/>
          </w:divBdr>
          <w:divsChild>
            <w:div w:id="605699985">
              <w:marLeft w:val="0"/>
              <w:marRight w:val="0"/>
              <w:marTop w:val="0"/>
              <w:marBottom w:val="0"/>
              <w:divBdr>
                <w:top w:val="none" w:sz="0" w:space="0" w:color="auto"/>
                <w:left w:val="none" w:sz="0" w:space="0" w:color="auto"/>
                <w:bottom w:val="none" w:sz="0" w:space="0" w:color="auto"/>
                <w:right w:val="none" w:sz="0" w:space="0" w:color="auto"/>
              </w:divBdr>
            </w:div>
          </w:divsChild>
        </w:div>
        <w:div w:id="1229923149">
          <w:marLeft w:val="0"/>
          <w:marRight w:val="0"/>
          <w:marTop w:val="0"/>
          <w:marBottom w:val="0"/>
          <w:divBdr>
            <w:top w:val="none" w:sz="0" w:space="0" w:color="auto"/>
            <w:left w:val="none" w:sz="0" w:space="0" w:color="auto"/>
            <w:bottom w:val="none" w:sz="0" w:space="0" w:color="auto"/>
            <w:right w:val="none" w:sz="0" w:space="0" w:color="auto"/>
          </w:divBdr>
          <w:divsChild>
            <w:div w:id="1905218297">
              <w:marLeft w:val="0"/>
              <w:marRight w:val="0"/>
              <w:marTop w:val="0"/>
              <w:marBottom w:val="0"/>
              <w:divBdr>
                <w:top w:val="none" w:sz="0" w:space="0" w:color="auto"/>
                <w:left w:val="none" w:sz="0" w:space="0" w:color="auto"/>
                <w:bottom w:val="none" w:sz="0" w:space="0" w:color="auto"/>
                <w:right w:val="none" w:sz="0" w:space="0" w:color="auto"/>
              </w:divBdr>
            </w:div>
          </w:divsChild>
        </w:div>
        <w:div w:id="1230578718">
          <w:marLeft w:val="0"/>
          <w:marRight w:val="0"/>
          <w:marTop w:val="0"/>
          <w:marBottom w:val="0"/>
          <w:divBdr>
            <w:top w:val="none" w:sz="0" w:space="0" w:color="auto"/>
            <w:left w:val="none" w:sz="0" w:space="0" w:color="auto"/>
            <w:bottom w:val="none" w:sz="0" w:space="0" w:color="auto"/>
            <w:right w:val="none" w:sz="0" w:space="0" w:color="auto"/>
          </w:divBdr>
          <w:divsChild>
            <w:div w:id="1225525270">
              <w:marLeft w:val="0"/>
              <w:marRight w:val="0"/>
              <w:marTop w:val="0"/>
              <w:marBottom w:val="0"/>
              <w:divBdr>
                <w:top w:val="none" w:sz="0" w:space="0" w:color="auto"/>
                <w:left w:val="none" w:sz="0" w:space="0" w:color="auto"/>
                <w:bottom w:val="none" w:sz="0" w:space="0" w:color="auto"/>
                <w:right w:val="none" w:sz="0" w:space="0" w:color="auto"/>
              </w:divBdr>
            </w:div>
          </w:divsChild>
        </w:div>
        <w:div w:id="1237517847">
          <w:marLeft w:val="0"/>
          <w:marRight w:val="0"/>
          <w:marTop w:val="0"/>
          <w:marBottom w:val="0"/>
          <w:divBdr>
            <w:top w:val="none" w:sz="0" w:space="0" w:color="auto"/>
            <w:left w:val="none" w:sz="0" w:space="0" w:color="auto"/>
            <w:bottom w:val="none" w:sz="0" w:space="0" w:color="auto"/>
            <w:right w:val="none" w:sz="0" w:space="0" w:color="auto"/>
          </w:divBdr>
          <w:divsChild>
            <w:div w:id="869949542">
              <w:marLeft w:val="0"/>
              <w:marRight w:val="0"/>
              <w:marTop w:val="0"/>
              <w:marBottom w:val="0"/>
              <w:divBdr>
                <w:top w:val="none" w:sz="0" w:space="0" w:color="auto"/>
                <w:left w:val="none" w:sz="0" w:space="0" w:color="auto"/>
                <w:bottom w:val="none" w:sz="0" w:space="0" w:color="auto"/>
                <w:right w:val="none" w:sz="0" w:space="0" w:color="auto"/>
              </w:divBdr>
            </w:div>
          </w:divsChild>
        </w:div>
        <w:div w:id="1239944538">
          <w:marLeft w:val="0"/>
          <w:marRight w:val="0"/>
          <w:marTop w:val="0"/>
          <w:marBottom w:val="0"/>
          <w:divBdr>
            <w:top w:val="none" w:sz="0" w:space="0" w:color="auto"/>
            <w:left w:val="none" w:sz="0" w:space="0" w:color="auto"/>
            <w:bottom w:val="none" w:sz="0" w:space="0" w:color="auto"/>
            <w:right w:val="none" w:sz="0" w:space="0" w:color="auto"/>
          </w:divBdr>
          <w:divsChild>
            <w:div w:id="1022977213">
              <w:marLeft w:val="0"/>
              <w:marRight w:val="0"/>
              <w:marTop w:val="0"/>
              <w:marBottom w:val="0"/>
              <w:divBdr>
                <w:top w:val="none" w:sz="0" w:space="0" w:color="auto"/>
                <w:left w:val="none" w:sz="0" w:space="0" w:color="auto"/>
                <w:bottom w:val="none" w:sz="0" w:space="0" w:color="auto"/>
                <w:right w:val="none" w:sz="0" w:space="0" w:color="auto"/>
              </w:divBdr>
            </w:div>
          </w:divsChild>
        </w:div>
        <w:div w:id="1248684542">
          <w:marLeft w:val="0"/>
          <w:marRight w:val="0"/>
          <w:marTop w:val="0"/>
          <w:marBottom w:val="0"/>
          <w:divBdr>
            <w:top w:val="none" w:sz="0" w:space="0" w:color="auto"/>
            <w:left w:val="none" w:sz="0" w:space="0" w:color="auto"/>
            <w:bottom w:val="none" w:sz="0" w:space="0" w:color="auto"/>
            <w:right w:val="none" w:sz="0" w:space="0" w:color="auto"/>
          </w:divBdr>
          <w:divsChild>
            <w:div w:id="1191458725">
              <w:marLeft w:val="0"/>
              <w:marRight w:val="0"/>
              <w:marTop w:val="0"/>
              <w:marBottom w:val="0"/>
              <w:divBdr>
                <w:top w:val="none" w:sz="0" w:space="0" w:color="auto"/>
                <w:left w:val="none" w:sz="0" w:space="0" w:color="auto"/>
                <w:bottom w:val="none" w:sz="0" w:space="0" w:color="auto"/>
                <w:right w:val="none" w:sz="0" w:space="0" w:color="auto"/>
              </w:divBdr>
            </w:div>
          </w:divsChild>
        </w:div>
        <w:div w:id="1250043630">
          <w:marLeft w:val="0"/>
          <w:marRight w:val="0"/>
          <w:marTop w:val="0"/>
          <w:marBottom w:val="0"/>
          <w:divBdr>
            <w:top w:val="none" w:sz="0" w:space="0" w:color="auto"/>
            <w:left w:val="none" w:sz="0" w:space="0" w:color="auto"/>
            <w:bottom w:val="none" w:sz="0" w:space="0" w:color="auto"/>
            <w:right w:val="none" w:sz="0" w:space="0" w:color="auto"/>
          </w:divBdr>
          <w:divsChild>
            <w:div w:id="126818441">
              <w:marLeft w:val="0"/>
              <w:marRight w:val="0"/>
              <w:marTop w:val="0"/>
              <w:marBottom w:val="0"/>
              <w:divBdr>
                <w:top w:val="none" w:sz="0" w:space="0" w:color="auto"/>
                <w:left w:val="none" w:sz="0" w:space="0" w:color="auto"/>
                <w:bottom w:val="none" w:sz="0" w:space="0" w:color="auto"/>
                <w:right w:val="none" w:sz="0" w:space="0" w:color="auto"/>
              </w:divBdr>
            </w:div>
          </w:divsChild>
        </w:div>
        <w:div w:id="1262645102">
          <w:marLeft w:val="0"/>
          <w:marRight w:val="0"/>
          <w:marTop w:val="0"/>
          <w:marBottom w:val="0"/>
          <w:divBdr>
            <w:top w:val="none" w:sz="0" w:space="0" w:color="auto"/>
            <w:left w:val="none" w:sz="0" w:space="0" w:color="auto"/>
            <w:bottom w:val="none" w:sz="0" w:space="0" w:color="auto"/>
            <w:right w:val="none" w:sz="0" w:space="0" w:color="auto"/>
          </w:divBdr>
          <w:divsChild>
            <w:div w:id="1766149174">
              <w:marLeft w:val="0"/>
              <w:marRight w:val="0"/>
              <w:marTop w:val="0"/>
              <w:marBottom w:val="0"/>
              <w:divBdr>
                <w:top w:val="none" w:sz="0" w:space="0" w:color="auto"/>
                <w:left w:val="none" w:sz="0" w:space="0" w:color="auto"/>
                <w:bottom w:val="none" w:sz="0" w:space="0" w:color="auto"/>
                <w:right w:val="none" w:sz="0" w:space="0" w:color="auto"/>
              </w:divBdr>
            </w:div>
          </w:divsChild>
        </w:div>
        <w:div w:id="1266883282">
          <w:marLeft w:val="0"/>
          <w:marRight w:val="0"/>
          <w:marTop w:val="0"/>
          <w:marBottom w:val="0"/>
          <w:divBdr>
            <w:top w:val="none" w:sz="0" w:space="0" w:color="auto"/>
            <w:left w:val="none" w:sz="0" w:space="0" w:color="auto"/>
            <w:bottom w:val="none" w:sz="0" w:space="0" w:color="auto"/>
            <w:right w:val="none" w:sz="0" w:space="0" w:color="auto"/>
          </w:divBdr>
          <w:divsChild>
            <w:div w:id="1483738191">
              <w:marLeft w:val="0"/>
              <w:marRight w:val="0"/>
              <w:marTop w:val="0"/>
              <w:marBottom w:val="0"/>
              <w:divBdr>
                <w:top w:val="none" w:sz="0" w:space="0" w:color="auto"/>
                <w:left w:val="none" w:sz="0" w:space="0" w:color="auto"/>
                <w:bottom w:val="none" w:sz="0" w:space="0" w:color="auto"/>
                <w:right w:val="none" w:sz="0" w:space="0" w:color="auto"/>
              </w:divBdr>
            </w:div>
          </w:divsChild>
        </w:div>
        <w:div w:id="1273829505">
          <w:marLeft w:val="0"/>
          <w:marRight w:val="0"/>
          <w:marTop w:val="0"/>
          <w:marBottom w:val="0"/>
          <w:divBdr>
            <w:top w:val="none" w:sz="0" w:space="0" w:color="auto"/>
            <w:left w:val="none" w:sz="0" w:space="0" w:color="auto"/>
            <w:bottom w:val="none" w:sz="0" w:space="0" w:color="auto"/>
            <w:right w:val="none" w:sz="0" w:space="0" w:color="auto"/>
          </w:divBdr>
          <w:divsChild>
            <w:div w:id="1169519246">
              <w:marLeft w:val="0"/>
              <w:marRight w:val="0"/>
              <w:marTop w:val="0"/>
              <w:marBottom w:val="0"/>
              <w:divBdr>
                <w:top w:val="none" w:sz="0" w:space="0" w:color="auto"/>
                <w:left w:val="none" w:sz="0" w:space="0" w:color="auto"/>
                <w:bottom w:val="none" w:sz="0" w:space="0" w:color="auto"/>
                <w:right w:val="none" w:sz="0" w:space="0" w:color="auto"/>
              </w:divBdr>
            </w:div>
          </w:divsChild>
        </w:div>
        <w:div w:id="1289124866">
          <w:marLeft w:val="0"/>
          <w:marRight w:val="0"/>
          <w:marTop w:val="0"/>
          <w:marBottom w:val="0"/>
          <w:divBdr>
            <w:top w:val="none" w:sz="0" w:space="0" w:color="auto"/>
            <w:left w:val="none" w:sz="0" w:space="0" w:color="auto"/>
            <w:bottom w:val="none" w:sz="0" w:space="0" w:color="auto"/>
            <w:right w:val="none" w:sz="0" w:space="0" w:color="auto"/>
          </w:divBdr>
          <w:divsChild>
            <w:div w:id="1059742092">
              <w:marLeft w:val="0"/>
              <w:marRight w:val="0"/>
              <w:marTop w:val="0"/>
              <w:marBottom w:val="0"/>
              <w:divBdr>
                <w:top w:val="none" w:sz="0" w:space="0" w:color="auto"/>
                <w:left w:val="none" w:sz="0" w:space="0" w:color="auto"/>
                <w:bottom w:val="none" w:sz="0" w:space="0" w:color="auto"/>
                <w:right w:val="none" w:sz="0" w:space="0" w:color="auto"/>
              </w:divBdr>
            </w:div>
          </w:divsChild>
        </w:div>
        <w:div w:id="1300770149">
          <w:marLeft w:val="0"/>
          <w:marRight w:val="0"/>
          <w:marTop w:val="0"/>
          <w:marBottom w:val="0"/>
          <w:divBdr>
            <w:top w:val="none" w:sz="0" w:space="0" w:color="auto"/>
            <w:left w:val="none" w:sz="0" w:space="0" w:color="auto"/>
            <w:bottom w:val="none" w:sz="0" w:space="0" w:color="auto"/>
            <w:right w:val="none" w:sz="0" w:space="0" w:color="auto"/>
          </w:divBdr>
          <w:divsChild>
            <w:div w:id="1867059290">
              <w:marLeft w:val="0"/>
              <w:marRight w:val="0"/>
              <w:marTop w:val="0"/>
              <w:marBottom w:val="0"/>
              <w:divBdr>
                <w:top w:val="none" w:sz="0" w:space="0" w:color="auto"/>
                <w:left w:val="none" w:sz="0" w:space="0" w:color="auto"/>
                <w:bottom w:val="none" w:sz="0" w:space="0" w:color="auto"/>
                <w:right w:val="none" w:sz="0" w:space="0" w:color="auto"/>
              </w:divBdr>
            </w:div>
          </w:divsChild>
        </w:div>
        <w:div w:id="1310285659">
          <w:marLeft w:val="0"/>
          <w:marRight w:val="0"/>
          <w:marTop w:val="0"/>
          <w:marBottom w:val="0"/>
          <w:divBdr>
            <w:top w:val="none" w:sz="0" w:space="0" w:color="auto"/>
            <w:left w:val="none" w:sz="0" w:space="0" w:color="auto"/>
            <w:bottom w:val="none" w:sz="0" w:space="0" w:color="auto"/>
            <w:right w:val="none" w:sz="0" w:space="0" w:color="auto"/>
          </w:divBdr>
          <w:divsChild>
            <w:div w:id="857307113">
              <w:marLeft w:val="0"/>
              <w:marRight w:val="0"/>
              <w:marTop w:val="0"/>
              <w:marBottom w:val="0"/>
              <w:divBdr>
                <w:top w:val="none" w:sz="0" w:space="0" w:color="auto"/>
                <w:left w:val="none" w:sz="0" w:space="0" w:color="auto"/>
                <w:bottom w:val="none" w:sz="0" w:space="0" w:color="auto"/>
                <w:right w:val="none" w:sz="0" w:space="0" w:color="auto"/>
              </w:divBdr>
            </w:div>
          </w:divsChild>
        </w:div>
        <w:div w:id="1314334379">
          <w:marLeft w:val="0"/>
          <w:marRight w:val="0"/>
          <w:marTop w:val="0"/>
          <w:marBottom w:val="0"/>
          <w:divBdr>
            <w:top w:val="none" w:sz="0" w:space="0" w:color="auto"/>
            <w:left w:val="none" w:sz="0" w:space="0" w:color="auto"/>
            <w:bottom w:val="none" w:sz="0" w:space="0" w:color="auto"/>
            <w:right w:val="none" w:sz="0" w:space="0" w:color="auto"/>
          </w:divBdr>
          <w:divsChild>
            <w:div w:id="637951064">
              <w:marLeft w:val="0"/>
              <w:marRight w:val="0"/>
              <w:marTop w:val="0"/>
              <w:marBottom w:val="0"/>
              <w:divBdr>
                <w:top w:val="none" w:sz="0" w:space="0" w:color="auto"/>
                <w:left w:val="none" w:sz="0" w:space="0" w:color="auto"/>
                <w:bottom w:val="none" w:sz="0" w:space="0" w:color="auto"/>
                <w:right w:val="none" w:sz="0" w:space="0" w:color="auto"/>
              </w:divBdr>
            </w:div>
          </w:divsChild>
        </w:div>
        <w:div w:id="1315258425">
          <w:marLeft w:val="0"/>
          <w:marRight w:val="0"/>
          <w:marTop w:val="0"/>
          <w:marBottom w:val="0"/>
          <w:divBdr>
            <w:top w:val="none" w:sz="0" w:space="0" w:color="auto"/>
            <w:left w:val="none" w:sz="0" w:space="0" w:color="auto"/>
            <w:bottom w:val="none" w:sz="0" w:space="0" w:color="auto"/>
            <w:right w:val="none" w:sz="0" w:space="0" w:color="auto"/>
          </w:divBdr>
          <w:divsChild>
            <w:div w:id="792870688">
              <w:marLeft w:val="0"/>
              <w:marRight w:val="0"/>
              <w:marTop w:val="0"/>
              <w:marBottom w:val="0"/>
              <w:divBdr>
                <w:top w:val="none" w:sz="0" w:space="0" w:color="auto"/>
                <w:left w:val="none" w:sz="0" w:space="0" w:color="auto"/>
                <w:bottom w:val="none" w:sz="0" w:space="0" w:color="auto"/>
                <w:right w:val="none" w:sz="0" w:space="0" w:color="auto"/>
              </w:divBdr>
            </w:div>
          </w:divsChild>
        </w:div>
        <w:div w:id="1329168157">
          <w:marLeft w:val="0"/>
          <w:marRight w:val="0"/>
          <w:marTop w:val="0"/>
          <w:marBottom w:val="0"/>
          <w:divBdr>
            <w:top w:val="none" w:sz="0" w:space="0" w:color="auto"/>
            <w:left w:val="none" w:sz="0" w:space="0" w:color="auto"/>
            <w:bottom w:val="none" w:sz="0" w:space="0" w:color="auto"/>
            <w:right w:val="none" w:sz="0" w:space="0" w:color="auto"/>
          </w:divBdr>
          <w:divsChild>
            <w:div w:id="1307858598">
              <w:marLeft w:val="0"/>
              <w:marRight w:val="0"/>
              <w:marTop w:val="0"/>
              <w:marBottom w:val="0"/>
              <w:divBdr>
                <w:top w:val="none" w:sz="0" w:space="0" w:color="auto"/>
                <w:left w:val="none" w:sz="0" w:space="0" w:color="auto"/>
                <w:bottom w:val="none" w:sz="0" w:space="0" w:color="auto"/>
                <w:right w:val="none" w:sz="0" w:space="0" w:color="auto"/>
              </w:divBdr>
            </w:div>
          </w:divsChild>
        </w:div>
        <w:div w:id="1336420403">
          <w:marLeft w:val="0"/>
          <w:marRight w:val="0"/>
          <w:marTop w:val="0"/>
          <w:marBottom w:val="0"/>
          <w:divBdr>
            <w:top w:val="none" w:sz="0" w:space="0" w:color="auto"/>
            <w:left w:val="none" w:sz="0" w:space="0" w:color="auto"/>
            <w:bottom w:val="none" w:sz="0" w:space="0" w:color="auto"/>
            <w:right w:val="none" w:sz="0" w:space="0" w:color="auto"/>
          </w:divBdr>
          <w:divsChild>
            <w:div w:id="2115662308">
              <w:marLeft w:val="0"/>
              <w:marRight w:val="0"/>
              <w:marTop w:val="0"/>
              <w:marBottom w:val="0"/>
              <w:divBdr>
                <w:top w:val="none" w:sz="0" w:space="0" w:color="auto"/>
                <w:left w:val="none" w:sz="0" w:space="0" w:color="auto"/>
                <w:bottom w:val="none" w:sz="0" w:space="0" w:color="auto"/>
                <w:right w:val="none" w:sz="0" w:space="0" w:color="auto"/>
              </w:divBdr>
            </w:div>
          </w:divsChild>
        </w:div>
        <w:div w:id="1344435220">
          <w:marLeft w:val="0"/>
          <w:marRight w:val="0"/>
          <w:marTop w:val="0"/>
          <w:marBottom w:val="0"/>
          <w:divBdr>
            <w:top w:val="none" w:sz="0" w:space="0" w:color="auto"/>
            <w:left w:val="none" w:sz="0" w:space="0" w:color="auto"/>
            <w:bottom w:val="none" w:sz="0" w:space="0" w:color="auto"/>
            <w:right w:val="none" w:sz="0" w:space="0" w:color="auto"/>
          </w:divBdr>
          <w:divsChild>
            <w:div w:id="1420297565">
              <w:marLeft w:val="0"/>
              <w:marRight w:val="0"/>
              <w:marTop w:val="0"/>
              <w:marBottom w:val="0"/>
              <w:divBdr>
                <w:top w:val="none" w:sz="0" w:space="0" w:color="auto"/>
                <w:left w:val="none" w:sz="0" w:space="0" w:color="auto"/>
                <w:bottom w:val="none" w:sz="0" w:space="0" w:color="auto"/>
                <w:right w:val="none" w:sz="0" w:space="0" w:color="auto"/>
              </w:divBdr>
            </w:div>
          </w:divsChild>
        </w:div>
        <w:div w:id="1352875269">
          <w:marLeft w:val="0"/>
          <w:marRight w:val="0"/>
          <w:marTop w:val="0"/>
          <w:marBottom w:val="0"/>
          <w:divBdr>
            <w:top w:val="none" w:sz="0" w:space="0" w:color="auto"/>
            <w:left w:val="none" w:sz="0" w:space="0" w:color="auto"/>
            <w:bottom w:val="none" w:sz="0" w:space="0" w:color="auto"/>
            <w:right w:val="none" w:sz="0" w:space="0" w:color="auto"/>
          </w:divBdr>
          <w:divsChild>
            <w:div w:id="559176202">
              <w:marLeft w:val="0"/>
              <w:marRight w:val="0"/>
              <w:marTop w:val="0"/>
              <w:marBottom w:val="0"/>
              <w:divBdr>
                <w:top w:val="none" w:sz="0" w:space="0" w:color="auto"/>
                <w:left w:val="none" w:sz="0" w:space="0" w:color="auto"/>
                <w:bottom w:val="none" w:sz="0" w:space="0" w:color="auto"/>
                <w:right w:val="none" w:sz="0" w:space="0" w:color="auto"/>
              </w:divBdr>
            </w:div>
          </w:divsChild>
        </w:div>
        <w:div w:id="1362049012">
          <w:marLeft w:val="0"/>
          <w:marRight w:val="0"/>
          <w:marTop w:val="0"/>
          <w:marBottom w:val="0"/>
          <w:divBdr>
            <w:top w:val="none" w:sz="0" w:space="0" w:color="auto"/>
            <w:left w:val="none" w:sz="0" w:space="0" w:color="auto"/>
            <w:bottom w:val="none" w:sz="0" w:space="0" w:color="auto"/>
            <w:right w:val="none" w:sz="0" w:space="0" w:color="auto"/>
          </w:divBdr>
          <w:divsChild>
            <w:div w:id="1578711887">
              <w:marLeft w:val="0"/>
              <w:marRight w:val="0"/>
              <w:marTop w:val="0"/>
              <w:marBottom w:val="0"/>
              <w:divBdr>
                <w:top w:val="none" w:sz="0" w:space="0" w:color="auto"/>
                <w:left w:val="none" w:sz="0" w:space="0" w:color="auto"/>
                <w:bottom w:val="none" w:sz="0" w:space="0" w:color="auto"/>
                <w:right w:val="none" w:sz="0" w:space="0" w:color="auto"/>
              </w:divBdr>
            </w:div>
          </w:divsChild>
        </w:div>
        <w:div w:id="1365792939">
          <w:marLeft w:val="0"/>
          <w:marRight w:val="0"/>
          <w:marTop w:val="0"/>
          <w:marBottom w:val="0"/>
          <w:divBdr>
            <w:top w:val="none" w:sz="0" w:space="0" w:color="auto"/>
            <w:left w:val="none" w:sz="0" w:space="0" w:color="auto"/>
            <w:bottom w:val="none" w:sz="0" w:space="0" w:color="auto"/>
            <w:right w:val="none" w:sz="0" w:space="0" w:color="auto"/>
          </w:divBdr>
          <w:divsChild>
            <w:div w:id="1602034692">
              <w:marLeft w:val="0"/>
              <w:marRight w:val="0"/>
              <w:marTop w:val="0"/>
              <w:marBottom w:val="0"/>
              <w:divBdr>
                <w:top w:val="none" w:sz="0" w:space="0" w:color="auto"/>
                <w:left w:val="none" w:sz="0" w:space="0" w:color="auto"/>
                <w:bottom w:val="none" w:sz="0" w:space="0" w:color="auto"/>
                <w:right w:val="none" w:sz="0" w:space="0" w:color="auto"/>
              </w:divBdr>
            </w:div>
          </w:divsChild>
        </w:div>
        <w:div w:id="1375496161">
          <w:marLeft w:val="0"/>
          <w:marRight w:val="0"/>
          <w:marTop w:val="0"/>
          <w:marBottom w:val="0"/>
          <w:divBdr>
            <w:top w:val="none" w:sz="0" w:space="0" w:color="auto"/>
            <w:left w:val="none" w:sz="0" w:space="0" w:color="auto"/>
            <w:bottom w:val="none" w:sz="0" w:space="0" w:color="auto"/>
            <w:right w:val="none" w:sz="0" w:space="0" w:color="auto"/>
          </w:divBdr>
          <w:divsChild>
            <w:div w:id="346829036">
              <w:marLeft w:val="0"/>
              <w:marRight w:val="0"/>
              <w:marTop w:val="0"/>
              <w:marBottom w:val="0"/>
              <w:divBdr>
                <w:top w:val="none" w:sz="0" w:space="0" w:color="auto"/>
                <w:left w:val="none" w:sz="0" w:space="0" w:color="auto"/>
                <w:bottom w:val="none" w:sz="0" w:space="0" w:color="auto"/>
                <w:right w:val="none" w:sz="0" w:space="0" w:color="auto"/>
              </w:divBdr>
            </w:div>
          </w:divsChild>
        </w:div>
        <w:div w:id="1393698218">
          <w:marLeft w:val="0"/>
          <w:marRight w:val="0"/>
          <w:marTop w:val="0"/>
          <w:marBottom w:val="0"/>
          <w:divBdr>
            <w:top w:val="none" w:sz="0" w:space="0" w:color="auto"/>
            <w:left w:val="none" w:sz="0" w:space="0" w:color="auto"/>
            <w:bottom w:val="none" w:sz="0" w:space="0" w:color="auto"/>
            <w:right w:val="none" w:sz="0" w:space="0" w:color="auto"/>
          </w:divBdr>
          <w:divsChild>
            <w:div w:id="1885172629">
              <w:marLeft w:val="0"/>
              <w:marRight w:val="0"/>
              <w:marTop w:val="0"/>
              <w:marBottom w:val="0"/>
              <w:divBdr>
                <w:top w:val="none" w:sz="0" w:space="0" w:color="auto"/>
                <w:left w:val="none" w:sz="0" w:space="0" w:color="auto"/>
                <w:bottom w:val="none" w:sz="0" w:space="0" w:color="auto"/>
                <w:right w:val="none" w:sz="0" w:space="0" w:color="auto"/>
              </w:divBdr>
            </w:div>
          </w:divsChild>
        </w:div>
        <w:div w:id="1396969850">
          <w:marLeft w:val="0"/>
          <w:marRight w:val="0"/>
          <w:marTop w:val="0"/>
          <w:marBottom w:val="0"/>
          <w:divBdr>
            <w:top w:val="none" w:sz="0" w:space="0" w:color="auto"/>
            <w:left w:val="none" w:sz="0" w:space="0" w:color="auto"/>
            <w:bottom w:val="none" w:sz="0" w:space="0" w:color="auto"/>
            <w:right w:val="none" w:sz="0" w:space="0" w:color="auto"/>
          </w:divBdr>
          <w:divsChild>
            <w:div w:id="1150438894">
              <w:marLeft w:val="0"/>
              <w:marRight w:val="0"/>
              <w:marTop w:val="0"/>
              <w:marBottom w:val="0"/>
              <w:divBdr>
                <w:top w:val="none" w:sz="0" w:space="0" w:color="auto"/>
                <w:left w:val="none" w:sz="0" w:space="0" w:color="auto"/>
                <w:bottom w:val="none" w:sz="0" w:space="0" w:color="auto"/>
                <w:right w:val="none" w:sz="0" w:space="0" w:color="auto"/>
              </w:divBdr>
            </w:div>
          </w:divsChild>
        </w:div>
        <w:div w:id="1411779896">
          <w:marLeft w:val="0"/>
          <w:marRight w:val="0"/>
          <w:marTop w:val="0"/>
          <w:marBottom w:val="0"/>
          <w:divBdr>
            <w:top w:val="none" w:sz="0" w:space="0" w:color="auto"/>
            <w:left w:val="none" w:sz="0" w:space="0" w:color="auto"/>
            <w:bottom w:val="none" w:sz="0" w:space="0" w:color="auto"/>
            <w:right w:val="none" w:sz="0" w:space="0" w:color="auto"/>
          </w:divBdr>
          <w:divsChild>
            <w:div w:id="1246723159">
              <w:marLeft w:val="0"/>
              <w:marRight w:val="0"/>
              <w:marTop w:val="0"/>
              <w:marBottom w:val="0"/>
              <w:divBdr>
                <w:top w:val="none" w:sz="0" w:space="0" w:color="auto"/>
                <w:left w:val="none" w:sz="0" w:space="0" w:color="auto"/>
                <w:bottom w:val="none" w:sz="0" w:space="0" w:color="auto"/>
                <w:right w:val="none" w:sz="0" w:space="0" w:color="auto"/>
              </w:divBdr>
            </w:div>
          </w:divsChild>
        </w:div>
        <w:div w:id="1421871370">
          <w:marLeft w:val="0"/>
          <w:marRight w:val="0"/>
          <w:marTop w:val="0"/>
          <w:marBottom w:val="0"/>
          <w:divBdr>
            <w:top w:val="none" w:sz="0" w:space="0" w:color="auto"/>
            <w:left w:val="none" w:sz="0" w:space="0" w:color="auto"/>
            <w:bottom w:val="none" w:sz="0" w:space="0" w:color="auto"/>
            <w:right w:val="none" w:sz="0" w:space="0" w:color="auto"/>
          </w:divBdr>
          <w:divsChild>
            <w:div w:id="1302880969">
              <w:marLeft w:val="0"/>
              <w:marRight w:val="0"/>
              <w:marTop w:val="0"/>
              <w:marBottom w:val="0"/>
              <w:divBdr>
                <w:top w:val="none" w:sz="0" w:space="0" w:color="auto"/>
                <w:left w:val="none" w:sz="0" w:space="0" w:color="auto"/>
                <w:bottom w:val="none" w:sz="0" w:space="0" w:color="auto"/>
                <w:right w:val="none" w:sz="0" w:space="0" w:color="auto"/>
              </w:divBdr>
            </w:div>
          </w:divsChild>
        </w:div>
        <w:div w:id="1428161512">
          <w:marLeft w:val="0"/>
          <w:marRight w:val="0"/>
          <w:marTop w:val="0"/>
          <w:marBottom w:val="0"/>
          <w:divBdr>
            <w:top w:val="none" w:sz="0" w:space="0" w:color="auto"/>
            <w:left w:val="none" w:sz="0" w:space="0" w:color="auto"/>
            <w:bottom w:val="none" w:sz="0" w:space="0" w:color="auto"/>
            <w:right w:val="none" w:sz="0" w:space="0" w:color="auto"/>
          </w:divBdr>
          <w:divsChild>
            <w:div w:id="1945188765">
              <w:marLeft w:val="0"/>
              <w:marRight w:val="0"/>
              <w:marTop w:val="0"/>
              <w:marBottom w:val="0"/>
              <w:divBdr>
                <w:top w:val="none" w:sz="0" w:space="0" w:color="auto"/>
                <w:left w:val="none" w:sz="0" w:space="0" w:color="auto"/>
                <w:bottom w:val="none" w:sz="0" w:space="0" w:color="auto"/>
                <w:right w:val="none" w:sz="0" w:space="0" w:color="auto"/>
              </w:divBdr>
            </w:div>
          </w:divsChild>
        </w:div>
        <w:div w:id="1433743441">
          <w:marLeft w:val="0"/>
          <w:marRight w:val="0"/>
          <w:marTop w:val="0"/>
          <w:marBottom w:val="0"/>
          <w:divBdr>
            <w:top w:val="none" w:sz="0" w:space="0" w:color="auto"/>
            <w:left w:val="none" w:sz="0" w:space="0" w:color="auto"/>
            <w:bottom w:val="none" w:sz="0" w:space="0" w:color="auto"/>
            <w:right w:val="none" w:sz="0" w:space="0" w:color="auto"/>
          </w:divBdr>
          <w:divsChild>
            <w:div w:id="2096319959">
              <w:marLeft w:val="0"/>
              <w:marRight w:val="0"/>
              <w:marTop w:val="0"/>
              <w:marBottom w:val="0"/>
              <w:divBdr>
                <w:top w:val="none" w:sz="0" w:space="0" w:color="auto"/>
                <w:left w:val="none" w:sz="0" w:space="0" w:color="auto"/>
                <w:bottom w:val="none" w:sz="0" w:space="0" w:color="auto"/>
                <w:right w:val="none" w:sz="0" w:space="0" w:color="auto"/>
              </w:divBdr>
            </w:div>
          </w:divsChild>
        </w:div>
        <w:div w:id="1440105858">
          <w:marLeft w:val="0"/>
          <w:marRight w:val="0"/>
          <w:marTop w:val="0"/>
          <w:marBottom w:val="0"/>
          <w:divBdr>
            <w:top w:val="none" w:sz="0" w:space="0" w:color="auto"/>
            <w:left w:val="none" w:sz="0" w:space="0" w:color="auto"/>
            <w:bottom w:val="none" w:sz="0" w:space="0" w:color="auto"/>
            <w:right w:val="none" w:sz="0" w:space="0" w:color="auto"/>
          </w:divBdr>
          <w:divsChild>
            <w:div w:id="2088767978">
              <w:marLeft w:val="0"/>
              <w:marRight w:val="0"/>
              <w:marTop w:val="0"/>
              <w:marBottom w:val="0"/>
              <w:divBdr>
                <w:top w:val="none" w:sz="0" w:space="0" w:color="auto"/>
                <w:left w:val="none" w:sz="0" w:space="0" w:color="auto"/>
                <w:bottom w:val="none" w:sz="0" w:space="0" w:color="auto"/>
                <w:right w:val="none" w:sz="0" w:space="0" w:color="auto"/>
              </w:divBdr>
            </w:div>
          </w:divsChild>
        </w:div>
        <w:div w:id="1440643339">
          <w:marLeft w:val="0"/>
          <w:marRight w:val="0"/>
          <w:marTop w:val="0"/>
          <w:marBottom w:val="0"/>
          <w:divBdr>
            <w:top w:val="none" w:sz="0" w:space="0" w:color="auto"/>
            <w:left w:val="none" w:sz="0" w:space="0" w:color="auto"/>
            <w:bottom w:val="none" w:sz="0" w:space="0" w:color="auto"/>
            <w:right w:val="none" w:sz="0" w:space="0" w:color="auto"/>
          </w:divBdr>
          <w:divsChild>
            <w:div w:id="1895656041">
              <w:marLeft w:val="0"/>
              <w:marRight w:val="0"/>
              <w:marTop w:val="0"/>
              <w:marBottom w:val="0"/>
              <w:divBdr>
                <w:top w:val="none" w:sz="0" w:space="0" w:color="auto"/>
                <w:left w:val="none" w:sz="0" w:space="0" w:color="auto"/>
                <w:bottom w:val="none" w:sz="0" w:space="0" w:color="auto"/>
                <w:right w:val="none" w:sz="0" w:space="0" w:color="auto"/>
              </w:divBdr>
            </w:div>
          </w:divsChild>
        </w:div>
        <w:div w:id="1441872554">
          <w:marLeft w:val="0"/>
          <w:marRight w:val="0"/>
          <w:marTop w:val="0"/>
          <w:marBottom w:val="0"/>
          <w:divBdr>
            <w:top w:val="none" w:sz="0" w:space="0" w:color="auto"/>
            <w:left w:val="none" w:sz="0" w:space="0" w:color="auto"/>
            <w:bottom w:val="none" w:sz="0" w:space="0" w:color="auto"/>
            <w:right w:val="none" w:sz="0" w:space="0" w:color="auto"/>
          </w:divBdr>
          <w:divsChild>
            <w:div w:id="1354845061">
              <w:marLeft w:val="0"/>
              <w:marRight w:val="0"/>
              <w:marTop w:val="0"/>
              <w:marBottom w:val="0"/>
              <w:divBdr>
                <w:top w:val="none" w:sz="0" w:space="0" w:color="auto"/>
                <w:left w:val="none" w:sz="0" w:space="0" w:color="auto"/>
                <w:bottom w:val="none" w:sz="0" w:space="0" w:color="auto"/>
                <w:right w:val="none" w:sz="0" w:space="0" w:color="auto"/>
              </w:divBdr>
            </w:div>
          </w:divsChild>
        </w:div>
        <w:div w:id="1447237413">
          <w:marLeft w:val="0"/>
          <w:marRight w:val="0"/>
          <w:marTop w:val="0"/>
          <w:marBottom w:val="0"/>
          <w:divBdr>
            <w:top w:val="none" w:sz="0" w:space="0" w:color="auto"/>
            <w:left w:val="none" w:sz="0" w:space="0" w:color="auto"/>
            <w:bottom w:val="none" w:sz="0" w:space="0" w:color="auto"/>
            <w:right w:val="none" w:sz="0" w:space="0" w:color="auto"/>
          </w:divBdr>
          <w:divsChild>
            <w:div w:id="251862824">
              <w:marLeft w:val="0"/>
              <w:marRight w:val="0"/>
              <w:marTop w:val="0"/>
              <w:marBottom w:val="0"/>
              <w:divBdr>
                <w:top w:val="none" w:sz="0" w:space="0" w:color="auto"/>
                <w:left w:val="none" w:sz="0" w:space="0" w:color="auto"/>
                <w:bottom w:val="none" w:sz="0" w:space="0" w:color="auto"/>
                <w:right w:val="none" w:sz="0" w:space="0" w:color="auto"/>
              </w:divBdr>
            </w:div>
          </w:divsChild>
        </w:div>
        <w:div w:id="1450783489">
          <w:marLeft w:val="0"/>
          <w:marRight w:val="0"/>
          <w:marTop w:val="0"/>
          <w:marBottom w:val="0"/>
          <w:divBdr>
            <w:top w:val="none" w:sz="0" w:space="0" w:color="auto"/>
            <w:left w:val="none" w:sz="0" w:space="0" w:color="auto"/>
            <w:bottom w:val="none" w:sz="0" w:space="0" w:color="auto"/>
            <w:right w:val="none" w:sz="0" w:space="0" w:color="auto"/>
          </w:divBdr>
          <w:divsChild>
            <w:div w:id="1305549331">
              <w:marLeft w:val="0"/>
              <w:marRight w:val="0"/>
              <w:marTop w:val="0"/>
              <w:marBottom w:val="0"/>
              <w:divBdr>
                <w:top w:val="none" w:sz="0" w:space="0" w:color="auto"/>
                <w:left w:val="none" w:sz="0" w:space="0" w:color="auto"/>
                <w:bottom w:val="none" w:sz="0" w:space="0" w:color="auto"/>
                <w:right w:val="none" w:sz="0" w:space="0" w:color="auto"/>
              </w:divBdr>
            </w:div>
          </w:divsChild>
        </w:div>
        <w:div w:id="1456020838">
          <w:marLeft w:val="0"/>
          <w:marRight w:val="0"/>
          <w:marTop w:val="0"/>
          <w:marBottom w:val="0"/>
          <w:divBdr>
            <w:top w:val="none" w:sz="0" w:space="0" w:color="auto"/>
            <w:left w:val="none" w:sz="0" w:space="0" w:color="auto"/>
            <w:bottom w:val="none" w:sz="0" w:space="0" w:color="auto"/>
            <w:right w:val="none" w:sz="0" w:space="0" w:color="auto"/>
          </w:divBdr>
          <w:divsChild>
            <w:div w:id="1530876993">
              <w:marLeft w:val="0"/>
              <w:marRight w:val="0"/>
              <w:marTop w:val="0"/>
              <w:marBottom w:val="0"/>
              <w:divBdr>
                <w:top w:val="none" w:sz="0" w:space="0" w:color="auto"/>
                <w:left w:val="none" w:sz="0" w:space="0" w:color="auto"/>
                <w:bottom w:val="none" w:sz="0" w:space="0" w:color="auto"/>
                <w:right w:val="none" w:sz="0" w:space="0" w:color="auto"/>
              </w:divBdr>
            </w:div>
          </w:divsChild>
        </w:div>
        <w:div w:id="1462528507">
          <w:marLeft w:val="0"/>
          <w:marRight w:val="0"/>
          <w:marTop w:val="0"/>
          <w:marBottom w:val="0"/>
          <w:divBdr>
            <w:top w:val="none" w:sz="0" w:space="0" w:color="auto"/>
            <w:left w:val="none" w:sz="0" w:space="0" w:color="auto"/>
            <w:bottom w:val="none" w:sz="0" w:space="0" w:color="auto"/>
            <w:right w:val="none" w:sz="0" w:space="0" w:color="auto"/>
          </w:divBdr>
          <w:divsChild>
            <w:div w:id="211815200">
              <w:marLeft w:val="0"/>
              <w:marRight w:val="0"/>
              <w:marTop w:val="0"/>
              <w:marBottom w:val="0"/>
              <w:divBdr>
                <w:top w:val="none" w:sz="0" w:space="0" w:color="auto"/>
                <w:left w:val="none" w:sz="0" w:space="0" w:color="auto"/>
                <w:bottom w:val="none" w:sz="0" w:space="0" w:color="auto"/>
                <w:right w:val="none" w:sz="0" w:space="0" w:color="auto"/>
              </w:divBdr>
            </w:div>
          </w:divsChild>
        </w:div>
        <w:div w:id="1467312442">
          <w:marLeft w:val="0"/>
          <w:marRight w:val="0"/>
          <w:marTop w:val="0"/>
          <w:marBottom w:val="0"/>
          <w:divBdr>
            <w:top w:val="none" w:sz="0" w:space="0" w:color="auto"/>
            <w:left w:val="none" w:sz="0" w:space="0" w:color="auto"/>
            <w:bottom w:val="none" w:sz="0" w:space="0" w:color="auto"/>
            <w:right w:val="none" w:sz="0" w:space="0" w:color="auto"/>
          </w:divBdr>
          <w:divsChild>
            <w:div w:id="692615979">
              <w:marLeft w:val="0"/>
              <w:marRight w:val="0"/>
              <w:marTop w:val="0"/>
              <w:marBottom w:val="0"/>
              <w:divBdr>
                <w:top w:val="none" w:sz="0" w:space="0" w:color="auto"/>
                <w:left w:val="none" w:sz="0" w:space="0" w:color="auto"/>
                <w:bottom w:val="none" w:sz="0" w:space="0" w:color="auto"/>
                <w:right w:val="none" w:sz="0" w:space="0" w:color="auto"/>
              </w:divBdr>
            </w:div>
          </w:divsChild>
        </w:div>
        <w:div w:id="1486967885">
          <w:marLeft w:val="0"/>
          <w:marRight w:val="0"/>
          <w:marTop w:val="0"/>
          <w:marBottom w:val="0"/>
          <w:divBdr>
            <w:top w:val="none" w:sz="0" w:space="0" w:color="auto"/>
            <w:left w:val="none" w:sz="0" w:space="0" w:color="auto"/>
            <w:bottom w:val="none" w:sz="0" w:space="0" w:color="auto"/>
            <w:right w:val="none" w:sz="0" w:space="0" w:color="auto"/>
          </w:divBdr>
          <w:divsChild>
            <w:div w:id="892497503">
              <w:marLeft w:val="0"/>
              <w:marRight w:val="0"/>
              <w:marTop w:val="0"/>
              <w:marBottom w:val="0"/>
              <w:divBdr>
                <w:top w:val="none" w:sz="0" w:space="0" w:color="auto"/>
                <w:left w:val="none" w:sz="0" w:space="0" w:color="auto"/>
                <w:bottom w:val="none" w:sz="0" w:space="0" w:color="auto"/>
                <w:right w:val="none" w:sz="0" w:space="0" w:color="auto"/>
              </w:divBdr>
            </w:div>
          </w:divsChild>
        </w:div>
        <w:div w:id="1487553891">
          <w:marLeft w:val="0"/>
          <w:marRight w:val="0"/>
          <w:marTop w:val="0"/>
          <w:marBottom w:val="0"/>
          <w:divBdr>
            <w:top w:val="none" w:sz="0" w:space="0" w:color="auto"/>
            <w:left w:val="none" w:sz="0" w:space="0" w:color="auto"/>
            <w:bottom w:val="none" w:sz="0" w:space="0" w:color="auto"/>
            <w:right w:val="none" w:sz="0" w:space="0" w:color="auto"/>
          </w:divBdr>
          <w:divsChild>
            <w:div w:id="1026098115">
              <w:marLeft w:val="0"/>
              <w:marRight w:val="0"/>
              <w:marTop w:val="0"/>
              <w:marBottom w:val="0"/>
              <w:divBdr>
                <w:top w:val="none" w:sz="0" w:space="0" w:color="auto"/>
                <w:left w:val="none" w:sz="0" w:space="0" w:color="auto"/>
                <w:bottom w:val="none" w:sz="0" w:space="0" w:color="auto"/>
                <w:right w:val="none" w:sz="0" w:space="0" w:color="auto"/>
              </w:divBdr>
            </w:div>
          </w:divsChild>
        </w:div>
        <w:div w:id="1522664162">
          <w:marLeft w:val="0"/>
          <w:marRight w:val="0"/>
          <w:marTop w:val="0"/>
          <w:marBottom w:val="0"/>
          <w:divBdr>
            <w:top w:val="none" w:sz="0" w:space="0" w:color="auto"/>
            <w:left w:val="none" w:sz="0" w:space="0" w:color="auto"/>
            <w:bottom w:val="none" w:sz="0" w:space="0" w:color="auto"/>
            <w:right w:val="none" w:sz="0" w:space="0" w:color="auto"/>
          </w:divBdr>
          <w:divsChild>
            <w:div w:id="1197893184">
              <w:marLeft w:val="0"/>
              <w:marRight w:val="0"/>
              <w:marTop w:val="0"/>
              <w:marBottom w:val="0"/>
              <w:divBdr>
                <w:top w:val="none" w:sz="0" w:space="0" w:color="auto"/>
                <w:left w:val="none" w:sz="0" w:space="0" w:color="auto"/>
                <w:bottom w:val="none" w:sz="0" w:space="0" w:color="auto"/>
                <w:right w:val="none" w:sz="0" w:space="0" w:color="auto"/>
              </w:divBdr>
            </w:div>
          </w:divsChild>
        </w:div>
        <w:div w:id="1538619792">
          <w:marLeft w:val="0"/>
          <w:marRight w:val="0"/>
          <w:marTop w:val="0"/>
          <w:marBottom w:val="0"/>
          <w:divBdr>
            <w:top w:val="none" w:sz="0" w:space="0" w:color="auto"/>
            <w:left w:val="none" w:sz="0" w:space="0" w:color="auto"/>
            <w:bottom w:val="none" w:sz="0" w:space="0" w:color="auto"/>
            <w:right w:val="none" w:sz="0" w:space="0" w:color="auto"/>
          </w:divBdr>
          <w:divsChild>
            <w:div w:id="60325112">
              <w:marLeft w:val="0"/>
              <w:marRight w:val="0"/>
              <w:marTop w:val="0"/>
              <w:marBottom w:val="0"/>
              <w:divBdr>
                <w:top w:val="none" w:sz="0" w:space="0" w:color="auto"/>
                <w:left w:val="none" w:sz="0" w:space="0" w:color="auto"/>
                <w:bottom w:val="none" w:sz="0" w:space="0" w:color="auto"/>
                <w:right w:val="none" w:sz="0" w:space="0" w:color="auto"/>
              </w:divBdr>
            </w:div>
          </w:divsChild>
        </w:div>
        <w:div w:id="1545172526">
          <w:marLeft w:val="0"/>
          <w:marRight w:val="0"/>
          <w:marTop w:val="0"/>
          <w:marBottom w:val="0"/>
          <w:divBdr>
            <w:top w:val="none" w:sz="0" w:space="0" w:color="auto"/>
            <w:left w:val="none" w:sz="0" w:space="0" w:color="auto"/>
            <w:bottom w:val="none" w:sz="0" w:space="0" w:color="auto"/>
            <w:right w:val="none" w:sz="0" w:space="0" w:color="auto"/>
          </w:divBdr>
          <w:divsChild>
            <w:div w:id="898052389">
              <w:marLeft w:val="0"/>
              <w:marRight w:val="0"/>
              <w:marTop w:val="0"/>
              <w:marBottom w:val="0"/>
              <w:divBdr>
                <w:top w:val="none" w:sz="0" w:space="0" w:color="auto"/>
                <w:left w:val="none" w:sz="0" w:space="0" w:color="auto"/>
                <w:bottom w:val="none" w:sz="0" w:space="0" w:color="auto"/>
                <w:right w:val="none" w:sz="0" w:space="0" w:color="auto"/>
              </w:divBdr>
            </w:div>
          </w:divsChild>
        </w:div>
        <w:div w:id="1550146538">
          <w:marLeft w:val="0"/>
          <w:marRight w:val="0"/>
          <w:marTop w:val="0"/>
          <w:marBottom w:val="0"/>
          <w:divBdr>
            <w:top w:val="none" w:sz="0" w:space="0" w:color="auto"/>
            <w:left w:val="none" w:sz="0" w:space="0" w:color="auto"/>
            <w:bottom w:val="none" w:sz="0" w:space="0" w:color="auto"/>
            <w:right w:val="none" w:sz="0" w:space="0" w:color="auto"/>
          </w:divBdr>
          <w:divsChild>
            <w:div w:id="44640631">
              <w:marLeft w:val="0"/>
              <w:marRight w:val="0"/>
              <w:marTop w:val="0"/>
              <w:marBottom w:val="0"/>
              <w:divBdr>
                <w:top w:val="none" w:sz="0" w:space="0" w:color="auto"/>
                <w:left w:val="none" w:sz="0" w:space="0" w:color="auto"/>
                <w:bottom w:val="none" w:sz="0" w:space="0" w:color="auto"/>
                <w:right w:val="none" w:sz="0" w:space="0" w:color="auto"/>
              </w:divBdr>
            </w:div>
          </w:divsChild>
        </w:div>
        <w:div w:id="1572152384">
          <w:marLeft w:val="0"/>
          <w:marRight w:val="0"/>
          <w:marTop w:val="0"/>
          <w:marBottom w:val="0"/>
          <w:divBdr>
            <w:top w:val="none" w:sz="0" w:space="0" w:color="auto"/>
            <w:left w:val="none" w:sz="0" w:space="0" w:color="auto"/>
            <w:bottom w:val="none" w:sz="0" w:space="0" w:color="auto"/>
            <w:right w:val="none" w:sz="0" w:space="0" w:color="auto"/>
          </w:divBdr>
          <w:divsChild>
            <w:div w:id="1907719286">
              <w:marLeft w:val="0"/>
              <w:marRight w:val="0"/>
              <w:marTop w:val="0"/>
              <w:marBottom w:val="0"/>
              <w:divBdr>
                <w:top w:val="none" w:sz="0" w:space="0" w:color="auto"/>
                <w:left w:val="none" w:sz="0" w:space="0" w:color="auto"/>
                <w:bottom w:val="none" w:sz="0" w:space="0" w:color="auto"/>
                <w:right w:val="none" w:sz="0" w:space="0" w:color="auto"/>
              </w:divBdr>
            </w:div>
          </w:divsChild>
        </w:div>
        <w:div w:id="1577468948">
          <w:marLeft w:val="0"/>
          <w:marRight w:val="0"/>
          <w:marTop w:val="0"/>
          <w:marBottom w:val="0"/>
          <w:divBdr>
            <w:top w:val="none" w:sz="0" w:space="0" w:color="auto"/>
            <w:left w:val="none" w:sz="0" w:space="0" w:color="auto"/>
            <w:bottom w:val="none" w:sz="0" w:space="0" w:color="auto"/>
            <w:right w:val="none" w:sz="0" w:space="0" w:color="auto"/>
          </w:divBdr>
          <w:divsChild>
            <w:div w:id="852916505">
              <w:marLeft w:val="0"/>
              <w:marRight w:val="0"/>
              <w:marTop w:val="0"/>
              <w:marBottom w:val="0"/>
              <w:divBdr>
                <w:top w:val="none" w:sz="0" w:space="0" w:color="auto"/>
                <w:left w:val="none" w:sz="0" w:space="0" w:color="auto"/>
                <w:bottom w:val="none" w:sz="0" w:space="0" w:color="auto"/>
                <w:right w:val="none" w:sz="0" w:space="0" w:color="auto"/>
              </w:divBdr>
            </w:div>
          </w:divsChild>
        </w:div>
        <w:div w:id="1579633371">
          <w:marLeft w:val="0"/>
          <w:marRight w:val="0"/>
          <w:marTop w:val="0"/>
          <w:marBottom w:val="0"/>
          <w:divBdr>
            <w:top w:val="none" w:sz="0" w:space="0" w:color="auto"/>
            <w:left w:val="none" w:sz="0" w:space="0" w:color="auto"/>
            <w:bottom w:val="none" w:sz="0" w:space="0" w:color="auto"/>
            <w:right w:val="none" w:sz="0" w:space="0" w:color="auto"/>
          </w:divBdr>
          <w:divsChild>
            <w:div w:id="1423530396">
              <w:marLeft w:val="0"/>
              <w:marRight w:val="0"/>
              <w:marTop w:val="0"/>
              <w:marBottom w:val="0"/>
              <w:divBdr>
                <w:top w:val="none" w:sz="0" w:space="0" w:color="auto"/>
                <w:left w:val="none" w:sz="0" w:space="0" w:color="auto"/>
                <w:bottom w:val="none" w:sz="0" w:space="0" w:color="auto"/>
                <w:right w:val="none" w:sz="0" w:space="0" w:color="auto"/>
              </w:divBdr>
            </w:div>
          </w:divsChild>
        </w:div>
        <w:div w:id="1597516371">
          <w:marLeft w:val="0"/>
          <w:marRight w:val="0"/>
          <w:marTop w:val="0"/>
          <w:marBottom w:val="0"/>
          <w:divBdr>
            <w:top w:val="none" w:sz="0" w:space="0" w:color="auto"/>
            <w:left w:val="none" w:sz="0" w:space="0" w:color="auto"/>
            <w:bottom w:val="none" w:sz="0" w:space="0" w:color="auto"/>
            <w:right w:val="none" w:sz="0" w:space="0" w:color="auto"/>
          </w:divBdr>
          <w:divsChild>
            <w:div w:id="1924292704">
              <w:marLeft w:val="0"/>
              <w:marRight w:val="0"/>
              <w:marTop w:val="0"/>
              <w:marBottom w:val="0"/>
              <w:divBdr>
                <w:top w:val="none" w:sz="0" w:space="0" w:color="auto"/>
                <w:left w:val="none" w:sz="0" w:space="0" w:color="auto"/>
                <w:bottom w:val="none" w:sz="0" w:space="0" w:color="auto"/>
                <w:right w:val="none" w:sz="0" w:space="0" w:color="auto"/>
              </w:divBdr>
            </w:div>
          </w:divsChild>
        </w:div>
        <w:div w:id="1607225388">
          <w:marLeft w:val="0"/>
          <w:marRight w:val="0"/>
          <w:marTop w:val="0"/>
          <w:marBottom w:val="0"/>
          <w:divBdr>
            <w:top w:val="none" w:sz="0" w:space="0" w:color="auto"/>
            <w:left w:val="none" w:sz="0" w:space="0" w:color="auto"/>
            <w:bottom w:val="none" w:sz="0" w:space="0" w:color="auto"/>
            <w:right w:val="none" w:sz="0" w:space="0" w:color="auto"/>
          </w:divBdr>
          <w:divsChild>
            <w:div w:id="689333317">
              <w:marLeft w:val="0"/>
              <w:marRight w:val="0"/>
              <w:marTop w:val="0"/>
              <w:marBottom w:val="0"/>
              <w:divBdr>
                <w:top w:val="none" w:sz="0" w:space="0" w:color="auto"/>
                <w:left w:val="none" w:sz="0" w:space="0" w:color="auto"/>
                <w:bottom w:val="none" w:sz="0" w:space="0" w:color="auto"/>
                <w:right w:val="none" w:sz="0" w:space="0" w:color="auto"/>
              </w:divBdr>
            </w:div>
          </w:divsChild>
        </w:div>
        <w:div w:id="1616792180">
          <w:marLeft w:val="0"/>
          <w:marRight w:val="0"/>
          <w:marTop w:val="0"/>
          <w:marBottom w:val="0"/>
          <w:divBdr>
            <w:top w:val="none" w:sz="0" w:space="0" w:color="auto"/>
            <w:left w:val="none" w:sz="0" w:space="0" w:color="auto"/>
            <w:bottom w:val="none" w:sz="0" w:space="0" w:color="auto"/>
            <w:right w:val="none" w:sz="0" w:space="0" w:color="auto"/>
          </w:divBdr>
          <w:divsChild>
            <w:div w:id="1499881881">
              <w:marLeft w:val="0"/>
              <w:marRight w:val="0"/>
              <w:marTop w:val="0"/>
              <w:marBottom w:val="0"/>
              <w:divBdr>
                <w:top w:val="none" w:sz="0" w:space="0" w:color="auto"/>
                <w:left w:val="none" w:sz="0" w:space="0" w:color="auto"/>
                <w:bottom w:val="none" w:sz="0" w:space="0" w:color="auto"/>
                <w:right w:val="none" w:sz="0" w:space="0" w:color="auto"/>
              </w:divBdr>
            </w:div>
          </w:divsChild>
        </w:div>
        <w:div w:id="1623001364">
          <w:marLeft w:val="0"/>
          <w:marRight w:val="0"/>
          <w:marTop w:val="0"/>
          <w:marBottom w:val="0"/>
          <w:divBdr>
            <w:top w:val="none" w:sz="0" w:space="0" w:color="auto"/>
            <w:left w:val="none" w:sz="0" w:space="0" w:color="auto"/>
            <w:bottom w:val="none" w:sz="0" w:space="0" w:color="auto"/>
            <w:right w:val="none" w:sz="0" w:space="0" w:color="auto"/>
          </w:divBdr>
          <w:divsChild>
            <w:div w:id="53703247">
              <w:marLeft w:val="0"/>
              <w:marRight w:val="0"/>
              <w:marTop w:val="0"/>
              <w:marBottom w:val="0"/>
              <w:divBdr>
                <w:top w:val="none" w:sz="0" w:space="0" w:color="auto"/>
                <w:left w:val="none" w:sz="0" w:space="0" w:color="auto"/>
                <w:bottom w:val="none" w:sz="0" w:space="0" w:color="auto"/>
                <w:right w:val="none" w:sz="0" w:space="0" w:color="auto"/>
              </w:divBdr>
            </w:div>
          </w:divsChild>
        </w:div>
        <w:div w:id="1652708148">
          <w:marLeft w:val="0"/>
          <w:marRight w:val="0"/>
          <w:marTop w:val="0"/>
          <w:marBottom w:val="0"/>
          <w:divBdr>
            <w:top w:val="none" w:sz="0" w:space="0" w:color="auto"/>
            <w:left w:val="none" w:sz="0" w:space="0" w:color="auto"/>
            <w:bottom w:val="none" w:sz="0" w:space="0" w:color="auto"/>
            <w:right w:val="none" w:sz="0" w:space="0" w:color="auto"/>
          </w:divBdr>
          <w:divsChild>
            <w:div w:id="1264340506">
              <w:marLeft w:val="0"/>
              <w:marRight w:val="0"/>
              <w:marTop w:val="0"/>
              <w:marBottom w:val="0"/>
              <w:divBdr>
                <w:top w:val="none" w:sz="0" w:space="0" w:color="auto"/>
                <w:left w:val="none" w:sz="0" w:space="0" w:color="auto"/>
                <w:bottom w:val="none" w:sz="0" w:space="0" w:color="auto"/>
                <w:right w:val="none" w:sz="0" w:space="0" w:color="auto"/>
              </w:divBdr>
            </w:div>
          </w:divsChild>
        </w:div>
        <w:div w:id="1659066847">
          <w:marLeft w:val="0"/>
          <w:marRight w:val="0"/>
          <w:marTop w:val="0"/>
          <w:marBottom w:val="0"/>
          <w:divBdr>
            <w:top w:val="none" w:sz="0" w:space="0" w:color="auto"/>
            <w:left w:val="none" w:sz="0" w:space="0" w:color="auto"/>
            <w:bottom w:val="none" w:sz="0" w:space="0" w:color="auto"/>
            <w:right w:val="none" w:sz="0" w:space="0" w:color="auto"/>
          </w:divBdr>
          <w:divsChild>
            <w:div w:id="59138621">
              <w:marLeft w:val="0"/>
              <w:marRight w:val="0"/>
              <w:marTop w:val="0"/>
              <w:marBottom w:val="0"/>
              <w:divBdr>
                <w:top w:val="none" w:sz="0" w:space="0" w:color="auto"/>
                <w:left w:val="none" w:sz="0" w:space="0" w:color="auto"/>
                <w:bottom w:val="none" w:sz="0" w:space="0" w:color="auto"/>
                <w:right w:val="none" w:sz="0" w:space="0" w:color="auto"/>
              </w:divBdr>
            </w:div>
          </w:divsChild>
        </w:div>
        <w:div w:id="1662078125">
          <w:marLeft w:val="0"/>
          <w:marRight w:val="0"/>
          <w:marTop w:val="0"/>
          <w:marBottom w:val="0"/>
          <w:divBdr>
            <w:top w:val="none" w:sz="0" w:space="0" w:color="auto"/>
            <w:left w:val="none" w:sz="0" w:space="0" w:color="auto"/>
            <w:bottom w:val="none" w:sz="0" w:space="0" w:color="auto"/>
            <w:right w:val="none" w:sz="0" w:space="0" w:color="auto"/>
          </w:divBdr>
          <w:divsChild>
            <w:div w:id="350572702">
              <w:marLeft w:val="0"/>
              <w:marRight w:val="0"/>
              <w:marTop w:val="0"/>
              <w:marBottom w:val="0"/>
              <w:divBdr>
                <w:top w:val="none" w:sz="0" w:space="0" w:color="auto"/>
                <w:left w:val="none" w:sz="0" w:space="0" w:color="auto"/>
                <w:bottom w:val="none" w:sz="0" w:space="0" w:color="auto"/>
                <w:right w:val="none" w:sz="0" w:space="0" w:color="auto"/>
              </w:divBdr>
            </w:div>
          </w:divsChild>
        </w:div>
        <w:div w:id="1666666690">
          <w:marLeft w:val="0"/>
          <w:marRight w:val="0"/>
          <w:marTop w:val="0"/>
          <w:marBottom w:val="0"/>
          <w:divBdr>
            <w:top w:val="none" w:sz="0" w:space="0" w:color="auto"/>
            <w:left w:val="none" w:sz="0" w:space="0" w:color="auto"/>
            <w:bottom w:val="none" w:sz="0" w:space="0" w:color="auto"/>
            <w:right w:val="none" w:sz="0" w:space="0" w:color="auto"/>
          </w:divBdr>
          <w:divsChild>
            <w:div w:id="1215314083">
              <w:marLeft w:val="0"/>
              <w:marRight w:val="0"/>
              <w:marTop w:val="0"/>
              <w:marBottom w:val="0"/>
              <w:divBdr>
                <w:top w:val="none" w:sz="0" w:space="0" w:color="auto"/>
                <w:left w:val="none" w:sz="0" w:space="0" w:color="auto"/>
                <w:bottom w:val="none" w:sz="0" w:space="0" w:color="auto"/>
                <w:right w:val="none" w:sz="0" w:space="0" w:color="auto"/>
              </w:divBdr>
            </w:div>
          </w:divsChild>
        </w:div>
        <w:div w:id="1687174592">
          <w:marLeft w:val="0"/>
          <w:marRight w:val="0"/>
          <w:marTop w:val="0"/>
          <w:marBottom w:val="0"/>
          <w:divBdr>
            <w:top w:val="none" w:sz="0" w:space="0" w:color="auto"/>
            <w:left w:val="none" w:sz="0" w:space="0" w:color="auto"/>
            <w:bottom w:val="none" w:sz="0" w:space="0" w:color="auto"/>
            <w:right w:val="none" w:sz="0" w:space="0" w:color="auto"/>
          </w:divBdr>
          <w:divsChild>
            <w:div w:id="1858814620">
              <w:marLeft w:val="0"/>
              <w:marRight w:val="0"/>
              <w:marTop w:val="0"/>
              <w:marBottom w:val="0"/>
              <w:divBdr>
                <w:top w:val="none" w:sz="0" w:space="0" w:color="auto"/>
                <w:left w:val="none" w:sz="0" w:space="0" w:color="auto"/>
                <w:bottom w:val="none" w:sz="0" w:space="0" w:color="auto"/>
                <w:right w:val="none" w:sz="0" w:space="0" w:color="auto"/>
              </w:divBdr>
            </w:div>
          </w:divsChild>
        </w:div>
        <w:div w:id="1693453841">
          <w:marLeft w:val="0"/>
          <w:marRight w:val="0"/>
          <w:marTop w:val="0"/>
          <w:marBottom w:val="0"/>
          <w:divBdr>
            <w:top w:val="none" w:sz="0" w:space="0" w:color="auto"/>
            <w:left w:val="none" w:sz="0" w:space="0" w:color="auto"/>
            <w:bottom w:val="none" w:sz="0" w:space="0" w:color="auto"/>
            <w:right w:val="none" w:sz="0" w:space="0" w:color="auto"/>
          </w:divBdr>
          <w:divsChild>
            <w:div w:id="2015834515">
              <w:marLeft w:val="0"/>
              <w:marRight w:val="0"/>
              <w:marTop w:val="0"/>
              <w:marBottom w:val="0"/>
              <w:divBdr>
                <w:top w:val="none" w:sz="0" w:space="0" w:color="auto"/>
                <w:left w:val="none" w:sz="0" w:space="0" w:color="auto"/>
                <w:bottom w:val="none" w:sz="0" w:space="0" w:color="auto"/>
                <w:right w:val="none" w:sz="0" w:space="0" w:color="auto"/>
              </w:divBdr>
            </w:div>
          </w:divsChild>
        </w:div>
        <w:div w:id="1695032515">
          <w:marLeft w:val="0"/>
          <w:marRight w:val="0"/>
          <w:marTop w:val="0"/>
          <w:marBottom w:val="0"/>
          <w:divBdr>
            <w:top w:val="none" w:sz="0" w:space="0" w:color="auto"/>
            <w:left w:val="none" w:sz="0" w:space="0" w:color="auto"/>
            <w:bottom w:val="none" w:sz="0" w:space="0" w:color="auto"/>
            <w:right w:val="none" w:sz="0" w:space="0" w:color="auto"/>
          </w:divBdr>
          <w:divsChild>
            <w:div w:id="733897864">
              <w:marLeft w:val="0"/>
              <w:marRight w:val="0"/>
              <w:marTop w:val="0"/>
              <w:marBottom w:val="0"/>
              <w:divBdr>
                <w:top w:val="none" w:sz="0" w:space="0" w:color="auto"/>
                <w:left w:val="none" w:sz="0" w:space="0" w:color="auto"/>
                <w:bottom w:val="none" w:sz="0" w:space="0" w:color="auto"/>
                <w:right w:val="none" w:sz="0" w:space="0" w:color="auto"/>
              </w:divBdr>
            </w:div>
          </w:divsChild>
        </w:div>
        <w:div w:id="1729915240">
          <w:marLeft w:val="0"/>
          <w:marRight w:val="0"/>
          <w:marTop w:val="0"/>
          <w:marBottom w:val="0"/>
          <w:divBdr>
            <w:top w:val="none" w:sz="0" w:space="0" w:color="auto"/>
            <w:left w:val="none" w:sz="0" w:space="0" w:color="auto"/>
            <w:bottom w:val="none" w:sz="0" w:space="0" w:color="auto"/>
            <w:right w:val="none" w:sz="0" w:space="0" w:color="auto"/>
          </w:divBdr>
          <w:divsChild>
            <w:div w:id="394548796">
              <w:marLeft w:val="0"/>
              <w:marRight w:val="0"/>
              <w:marTop w:val="0"/>
              <w:marBottom w:val="0"/>
              <w:divBdr>
                <w:top w:val="none" w:sz="0" w:space="0" w:color="auto"/>
                <w:left w:val="none" w:sz="0" w:space="0" w:color="auto"/>
                <w:bottom w:val="none" w:sz="0" w:space="0" w:color="auto"/>
                <w:right w:val="none" w:sz="0" w:space="0" w:color="auto"/>
              </w:divBdr>
            </w:div>
          </w:divsChild>
        </w:div>
        <w:div w:id="1739471036">
          <w:marLeft w:val="0"/>
          <w:marRight w:val="0"/>
          <w:marTop w:val="0"/>
          <w:marBottom w:val="0"/>
          <w:divBdr>
            <w:top w:val="none" w:sz="0" w:space="0" w:color="auto"/>
            <w:left w:val="none" w:sz="0" w:space="0" w:color="auto"/>
            <w:bottom w:val="none" w:sz="0" w:space="0" w:color="auto"/>
            <w:right w:val="none" w:sz="0" w:space="0" w:color="auto"/>
          </w:divBdr>
          <w:divsChild>
            <w:div w:id="1816599393">
              <w:marLeft w:val="0"/>
              <w:marRight w:val="0"/>
              <w:marTop w:val="0"/>
              <w:marBottom w:val="0"/>
              <w:divBdr>
                <w:top w:val="none" w:sz="0" w:space="0" w:color="auto"/>
                <w:left w:val="none" w:sz="0" w:space="0" w:color="auto"/>
                <w:bottom w:val="none" w:sz="0" w:space="0" w:color="auto"/>
                <w:right w:val="none" w:sz="0" w:space="0" w:color="auto"/>
              </w:divBdr>
            </w:div>
          </w:divsChild>
        </w:div>
        <w:div w:id="1739937750">
          <w:marLeft w:val="0"/>
          <w:marRight w:val="0"/>
          <w:marTop w:val="0"/>
          <w:marBottom w:val="0"/>
          <w:divBdr>
            <w:top w:val="none" w:sz="0" w:space="0" w:color="auto"/>
            <w:left w:val="none" w:sz="0" w:space="0" w:color="auto"/>
            <w:bottom w:val="none" w:sz="0" w:space="0" w:color="auto"/>
            <w:right w:val="none" w:sz="0" w:space="0" w:color="auto"/>
          </w:divBdr>
          <w:divsChild>
            <w:div w:id="1625580784">
              <w:marLeft w:val="0"/>
              <w:marRight w:val="0"/>
              <w:marTop w:val="0"/>
              <w:marBottom w:val="0"/>
              <w:divBdr>
                <w:top w:val="none" w:sz="0" w:space="0" w:color="auto"/>
                <w:left w:val="none" w:sz="0" w:space="0" w:color="auto"/>
                <w:bottom w:val="none" w:sz="0" w:space="0" w:color="auto"/>
                <w:right w:val="none" w:sz="0" w:space="0" w:color="auto"/>
              </w:divBdr>
            </w:div>
          </w:divsChild>
        </w:div>
        <w:div w:id="1743211714">
          <w:marLeft w:val="0"/>
          <w:marRight w:val="0"/>
          <w:marTop w:val="0"/>
          <w:marBottom w:val="0"/>
          <w:divBdr>
            <w:top w:val="none" w:sz="0" w:space="0" w:color="auto"/>
            <w:left w:val="none" w:sz="0" w:space="0" w:color="auto"/>
            <w:bottom w:val="none" w:sz="0" w:space="0" w:color="auto"/>
            <w:right w:val="none" w:sz="0" w:space="0" w:color="auto"/>
          </w:divBdr>
          <w:divsChild>
            <w:div w:id="924412858">
              <w:marLeft w:val="0"/>
              <w:marRight w:val="0"/>
              <w:marTop w:val="0"/>
              <w:marBottom w:val="0"/>
              <w:divBdr>
                <w:top w:val="none" w:sz="0" w:space="0" w:color="auto"/>
                <w:left w:val="none" w:sz="0" w:space="0" w:color="auto"/>
                <w:bottom w:val="none" w:sz="0" w:space="0" w:color="auto"/>
                <w:right w:val="none" w:sz="0" w:space="0" w:color="auto"/>
              </w:divBdr>
            </w:div>
          </w:divsChild>
        </w:div>
        <w:div w:id="1748305970">
          <w:marLeft w:val="0"/>
          <w:marRight w:val="0"/>
          <w:marTop w:val="0"/>
          <w:marBottom w:val="0"/>
          <w:divBdr>
            <w:top w:val="none" w:sz="0" w:space="0" w:color="auto"/>
            <w:left w:val="none" w:sz="0" w:space="0" w:color="auto"/>
            <w:bottom w:val="none" w:sz="0" w:space="0" w:color="auto"/>
            <w:right w:val="none" w:sz="0" w:space="0" w:color="auto"/>
          </w:divBdr>
          <w:divsChild>
            <w:div w:id="1733771832">
              <w:marLeft w:val="0"/>
              <w:marRight w:val="0"/>
              <w:marTop w:val="0"/>
              <w:marBottom w:val="0"/>
              <w:divBdr>
                <w:top w:val="none" w:sz="0" w:space="0" w:color="auto"/>
                <w:left w:val="none" w:sz="0" w:space="0" w:color="auto"/>
                <w:bottom w:val="none" w:sz="0" w:space="0" w:color="auto"/>
                <w:right w:val="none" w:sz="0" w:space="0" w:color="auto"/>
              </w:divBdr>
            </w:div>
          </w:divsChild>
        </w:div>
        <w:div w:id="1749616800">
          <w:marLeft w:val="0"/>
          <w:marRight w:val="0"/>
          <w:marTop w:val="0"/>
          <w:marBottom w:val="0"/>
          <w:divBdr>
            <w:top w:val="none" w:sz="0" w:space="0" w:color="auto"/>
            <w:left w:val="none" w:sz="0" w:space="0" w:color="auto"/>
            <w:bottom w:val="none" w:sz="0" w:space="0" w:color="auto"/>
            <w:right w:val="none" w:sz="0" w:space="0" w:color="auto"/>
          </w:divBdr>
          <w:divsChild>
            <w:div w:id="2082176005">
              <w:marLeft w:val="0"/>
              <w:marRight w:val="0"/>
              <w:marTop w:val="0"/>
              <w:marBottom w:val="0"/>
              <w:divBdr>
                <w:top w:val="none" w:sz="0" w:space="0" w:color="auto"/>
                <w:left w:val="none" w:sz="0" w:space="0" w:color="auto"/>
                <w:bottom w:val="none" w:sz="0" w:space="0" w:color="auto"/>
                <w:right w:val="none" w:sz="0" w:space="0" w:color="auto"/>
              </w:divBdr>
            </w:div>
          </w:divsChild>
        </w:div>
        <w:div w:id="1755584328">
          <w:marLeft w:val="0"/>
          <w:marRight w:val="0"/>
          <w:marTop w:val="0"/>
          <w:marBottom w:val="0"/>
          <w:divBdr>
            <w:top w:val="none" w:sz="0" w:space="0" w:color="auto"/>
            <w:left w:val="none" w:sz="0" w:space="0" w:color="auto"/>
            <w:bottom w:val="none" w:sz="0" w:space="0" w:color="auto"/>
            <w:right w:val="none" w:sz="0" w:space="0" w:color="auto"/>
          </w:divBdr>
          <w:divsChild>
            <w:div w:id="369381377">
              <w:marLeft w:val="0"/>
              <w:marRight w:val="0"/>
              <w:marTop w:val="0"/>
              <w:marBottom w:val="0"/>
              <w:divBdr>
                <w:top w:val="none" w:sz="0" w:space="0" w:color="auto"/>
                <w:left w:val="none" w:sz="0" w:space="0" w:color="auto"/>
                <w:bottom w:val="none" w:sz="0" w:space="0" w:color="auto"/>
                <w:right w:val="none" w:sz="0" w:space="0" w:color="auto"/>
              </w:divBdr>
            </w:div>
          </w:divsChild>
        </w:div>
        <w:div w:id="1760131778">
          <w:marLeft w:val="0"/>
          <w:marRight w:val="0"/>
          <w:marTop w:val="0"/>
          <w:marBottom w:val="0"/>
          <w:divBdr>
            <w:top w:val="none" w:sz="0" w:space="0" w:color="auto"/>
            <w:left w:val="none" w:sz="0" w:space="0" w:color="auto"/>
            <w:bottom w:val="none" w:sz="0" w:space="0" w:color="auto"/>
            <w:right w:val="none" w:sz="0" w:space="0" w:color="auto"/>
          </w:divBdr>
          <w:divsChild>
            <w:div w:id="410195522">
              <w:marLeft w:val="0"/>
              <w:marRight w:val="0"/>
              <w:marTop w:val="0"/>
              <w:marBottom w:val="0"/>
              <w:divBdr>
                <w:top w:val="none" w:sz="0" w:space="0" w:color="auto"/>
                <w:left w:val="none" w:sz="0" w:space="0" w:color="auto"/>
                <w:bottom w:val="none" w:sz="0" w:space="0" w:color="auto"/>
                <w:right w:val="none" w:sz="0" w:space="0" w:color="auto"/>
              </w:divBdr>
            </w:div>
          </w:divsChild>
        </w:div>
        <w:div w:id="1761490196">
          <w:marLeft w:val="0"/>
          <w:marRight w:val="0"/>
          <w:marTop w:val="0"/>
          <w:marBottom w:val="0"/>
          <w:divBdr>
            <w:top w:val="none" w:sz="0" w:space="0" w:color="auto"/>
            <w:left w:val="none" w:sz="0" w:space="0" w:color="auto"/>
            <w:bottom w:val="none" w:sz="0" w:space="0" w:color="auto"/>
            <w:right w:val="none" w:sz="0" w:space="0" w:color="auto"/>
          </w:divBdr>
          <w:divsChild>
            <w:div w:id="1992442320">
              <w:marLeft w:val="0"/>
              <w:marRight w:val="0"/>
              <w:marTop w:val="0"/>
              <w:marBottom w:val="0"/>
              <w:divBdr>
                <w:top w:val="none" w:sz="0" w:space="0" w:color="auto"/>
                <w:left w:val="none" w:sz="0" w:space="0" w:color="auto"/>
                <w:bottom w:val="none" w:sz="0" w:space="0" w:color="auto"/>
                <w:right w:val="none" w:sz="0" w:space="0" w:color="auto"/>
              </w:divBdr>
            </w:div>
          </w:divsChild>
        </w:div>
        <w:div w:id="1778064685">
          <w:marLeft w:val="0"/>
          <w:marRight w:val="0"/>
          <w:marTop w:val="0"/>
          <w:marBottom w:val="0"/>
          <w:divBdr>
            <w:top w:val="none" w:sz="0" w:space="0" w:color="auto"/>
            <w:left w:val="none" w:sz="0" w:space="0" w:color="auto"/>
            <w:bottom w:val="none" w:sz="0" w:space="0" w:color="auto"/>
            <w:right w:val="none" w:sz="0" w:space="0" w:color="auto"/>
          </w:divBdr>
          <w:divsChild>
            <w:div w:id="443696045">
              <w:marLeft w:val="0"/>
              <w:marRight w:val="0"/>
              <w:marTop w:val="0"/>
              <w:marBottom w:val="0"/>
              <w:divBdr>
                <w:top w:val="none" w:sz="0" w:space="0" w:color="auto"/>
                <w:left w:val="none" w:sz="0" w:space="0" w:color="auto"/>
                <w:bottom w:val="none" w:sz="0" w:space="0" w:color="auto"/>
                <w:right w:val="none" w:sz="0" w:space="0" w:color="auto"/>
              </w:divBdr>
            </w:div>
          </w:divsChild>
        </w:div>
        <w:div w:id="1779527328">
          <w:marLeft w:val="0"/>
          <w:marRight w:val="0"/>
          <w:marTop w:val="0"/>
          <w:marBottom w:val="0"/>
          <w:divBdr>
            <w:top w:val="none" w:sz="0" w:space="0" w:color="auto"/>
            <w:left w:val="none" w:sz="0" w:space="0" w:color="auto"/>
            <w:bottom w:val="none" w:sz="0" w:space="0" w:color="auto"/>
            <w:right w:val="none" w:sz="0" w:space="0" w:color="auto"/>
          </w:divBdr>
          <w:divsChild>
            <w:div w:id="1805853744">
              <w:marLeft w:val="0"/>
              <w:marRight w:val="0"/>
              <w:marTop w:val="0"/>
              <w:marBottom w:val="0"/>
              <w:divBdr>
                <w:top w:val="none" w:sz="0" w:space="0" w:color="auto"/>
                <w:left w:val="none" w:sz="0" w:space="0" w:color="auto"/>
                <w:bottom w:val="none" w:sz="0" w:space="0" w:color="auto"/>
                <w:right w:val="none" w:sz="0" w:space="0" w:color="auto"/>
              </w:divBdr>
            </w:div>
          </w:divsChild>
        </w:div>
        <w:div w:id="1783959385">
          <w:marLeft w:val="0"/>
          <w:marRight w:val="0"/>
          <w:marTop w:val="0"/>
          <w:marBottom w:val="0"/>
          <w:divBdr>
            <w:top w:val="none" w:sz="0" w:space="0" w:color="auto"/>
            <w:left w:val="none" w:sz="0" w:space="0" w:color="auto"/>
            <w:bottom w:val="none" w:sz="0" w:space="0" w:color="auto"/>
            <w:right w:val="none" w:sz="0" w:space="0" w:color="auto"/>
          </w:divBdr>
          <w:divsChild>
            <w:div w:id="361706299">
              <w:marLeft w:val="0"/>
              <w:marRight w:val="0"/>
              <w:marTop w:val="0"/>
              <w:marBottom w:val="0"/>
              <w:divBdr>
                <w:top w:val="none" w:sz="0" w:space="0" w:color="auto"/>
                <w:left w:val="none" w:sz="0" w:space="0" w:color="auto"/>
                <w:bottom w:val="none" w:sz="0" w:space="0" w:color="auto"/>
                <w:right w:val="none" w:sz="0" w:space="0" w:color="auto"/>
              </w:divBdr>
            </w:div>
          </w:divsChild>
        </w:div>
        <w:div w:id="1785691965">
          <w:marLeft w:val="0"/>
          <w:marRight w:val="0"/>
          <w:marTop w:val="0"/>
          <w:marBottom w:val="0"/>
          <w:divBdr>
            <w:top w:val="none" w:sz="0" w:space="0" w:color="auto"/>
            <w:left w:val="none" w:sz="0" w:space="0" w:color="auto"/>
            <w:bottom w:val="none" w:sz="0" w:space="0" w:color="auto"/>
            <w:right w:val="none" w:sz="0" w:space="0" w:color="auto"/>
          </w:divBdr>
          <w:divsChild>
            <w:div w:id="737166577">
              <w:marLeft w:val="0"/>
              <w:marRight w:val="0"/>
              <w:marTop w:val="0"/>
              <w:marBottom w:val="0"/>
              <w:divBdr>
                <w:top w:val="none" w:sz="0" w:space="0" w:color="auto"/>
                <w:left w:val="none" w:sz="0" w:space="0" w:color="auto"/>
                <w:bottom w:val="none" w:sz="0" w:space="0" w:color="auto"/>
                <w:right w:val="none" w:sz="0" w:space="0" w:color="auto"/>
              </w:divBdr>
            </w:div>
          </w:divsChild>
        </w:div>
        <w:div w:id="1786853142">
          <w:marLeft w:val="0"/>
          <w:marRight w:val="0"/>
          <w:marTop w:val="0"/>
          <w:marBottom w:val="0"/>
          <w:divBdr>
            <w:top w:val="none" w:sz="0" w:space="0" w:color="auto"/>
            <w:left w:val="none" w:sz="0" w:space="0" w:color="auto"/>
            <w:bottom w:val="none" w:sz="0" w:space="0" w:color="auto"/>
            <w:right w:val="none" w:sz="0" w:space="0" w:color="auto"/>
          </w:divBdr>
          <w:divsChild>
            <w:div w:id="1657034447">
              <w:marLeft w:val="0"/>
              <w:marRight w:val="0"/>
              <w:marTop w:val="0"/>
              <w:marBottom w:val="0"/>
              <w:divBdr>
                <w:top w:val="none" w:sz="0" w:space="0" w:color="auto"/>
                <w:left w:val="none" w:sz="0" w:space="0" w:color="auto"/>
                <w:bottom w:val="none" w:sz="0" w:space="0" w:color="auto"/>
                <w:right w:val="none" w:sz="0" w:space="0" w:color="auto"/>
              </w:divBdr>
            </w:div>
          </w:divsChild>
        </w:div>
        <w:div w:id="1808163606">
          <w:marLeft w:val="0"/>
          <w:marRight w:val="0"/>
          <w:marTop w:val="0"/>
          <w:marBottom w:val="0"/>
          <w:divBdr>
            <w:top w:val="none" w:sz="0" w:space="0" w:color="auto"/>
            <w:left w:val="none" w:sz="0" w:space="0" w:color="auto"/>
            <w:bottom w:val="none" w:sz="0" w:space="0" w:color="auto"/>
            <w:right w:val="none" w:sz="0" w:space="0" w:color="auto"/>
          </w:divBdr>
          <w:divsChild>
            <w:div w:id="1622103372">
              <w:marLeft w:val="0"/>
              <w:marRight w:val="0"/>
              <w:marTop w:val="0"/>
              <w:marBottom w:val="0"/>
              <w:divBdr>
                <w:top w:val="none" w:sz="0" w:space="0" w:color="auto"/>
                <w:left w:val="none" w:sz="0" w:space="0" w:color="auto"/>
                <w:bottom w:val="none" w:sz="0" w:space="0" w:color="auto"/>
                <w:right w:val="none" w:sz="0" w:space="0" w:color="auto"/>
              </w:divBdr>
            </w:div>
          </w:divsChild>
        </w:div>
        <w:div w:id="1819608124">
          <w:marLeft w:val="0"/>
          <w:marRight w:val="0"/>
          <w:marTop w:val="0"/>
          <w:marBottom w:val="0"/>
          <w:divBdr>
            <w:top w:val="none" w:sz="0" w:space="0" w:color="auto"/>
            <w:left w:val="none" w:sz="0" w:space="0" w:color="auto"/>
            <w:bottom w:val="none" w:sz="0" w:space="0" w:color="auto"/>
            <w:right w:val="none" w:sz="0" w:space="0" w:color="auto"/>
          </w:divBdr>
          <w:divsChild>
            <w:div w:id="1881938975">
              <w:marLeft w:val="0"/>
              <w:marRight w:val="0"/>
              <w:marTop w:val="0"/>
              <w:marBottom w:val="0"/>
              <w:divBdr>
                <w:top w:val="none" w:sz="0" w:space="0" w:color="auto"/>
                <w:left w:val="none" w:sz="0" w:space="0" w:color="auto"/>
                <w:bottom w:val="none" w:sz="0" w:space="0" w:color="auto"/>
                <w:right w:val="none" w:sz="0" w:space="0" w:color="auto"/>
              </w:divBdr>
            </w:div>
          </w:divsChild>
        </w:div>
        <w:div w:id="1841457702">
          <w:marLeft w:val="0"/>
          <w:marRight w:val="0"/>
          <w:marTop w:val="0"/>
          <w:marBottom w:val="0"/>
          <w:divBdr>
            <w:top w:val="none" w:sz="0" w:space="0" w:color="auto"/>
            <w:left w:val="none" w:sz="0" w:space="0" w:color="auto"/>
            <w:bottom w:val="none" w:sz="0" w:space="0" w:color="auto"/>
            <w:right w:val="none" w:sz="0" w:space="0" w:color="auto"/>
          </w:divBdr>
          <w:divsChild>
            <w:div w:id="1300458576">
              <w:marLeft w:val="0"/>
              <w:marRight w:val="0"/>
              <w:marTop w:val="0"/>
              <w:marBottom w:val="0"/>
              <w:divBdr>
                <w:top w:val="none" w:sz="0" w:space="0" w:color="auto"/>
                <w:left w:val="none" w:sz="0" w:space="0" w:color="auto"/>
                <w:bottom w:val="none" w:sz="0" w:space="0" w:color="auto"/>
                <w:right w:val="none" w:sz="0" w:space="0" w:color="auto"/>
              </w:divBdr>
            </w:div>
          </w:divsChild>
        </w:div>
        <w:div w:id="1842231452">
          <w:marLeft w:val="0"/>
          <w:marRight w:val="0"/>
          <w:marTop w:val="0"/>
          <w:marBottom w:val="0"/>
          <w:divBdr>
            <w:top w:val="none" w:sz="0" w:space="0" w:color="auto"/>
            <w:left w:val="none" w:sz="0" w:space="0" w:color="auto"/>
            <w:bottom w:val="none" w:sz="0" w:space="0" w:color="auto"/>
            <w:right w:val="none" w:sz="0" w:space="0" w:color="auto"/>
          </w:divBdr>
          <w:divsChild>
            <w:div w:id="230969923">
              <w:marLeft w:val="0"/>
              <w:marRight w:val="0"/>
              <w:marTop w:val="0"/>
              <w:marBottom w:val="0"/>
              <w:divBdr>
                <w:top w:val="none" w:sz="0" w:space="0" w:color="auto"/>
                <w:left w:val="none" w:sz="0" w:space="0" w:color="auto"/>
                <w:bottom w:val="none" w:sz="0" w:space="0" w:color="auto"/>
                <w:right w:val="none" w:sz="0" w:space="0" w:color="auto"/>
              </w:divBdr>
            </w:div>
          </w:divsChild>
        </w:div>
        <w:div w:id="1848443043">
          <w:marLeft w:val="0"/>
          <w:marRight w:val="0"/>
          <w:marTop w:val="0"/>
          <w:marBottom w:val="0"/>
          <w:divBdr>
            <w:top w:val="none" w:sz="0" w:space="0" w:color="auto"/>
            <w:left w:val="none" w:sz="0" w:space="0" w:color="auto"/>
            <w:bottom w:val="none" w:sz="0" w:space="0" w:color="auto"/>
            <w:right w:val="none" w:sz="0" w:space="0" w:color="auto"/>
          </w:divBdr>
          <w:divsChild>
            <w:div w:id="1982154843">
              <w:marLeft w:val="0"/>
              <w:marRight w:val="0"/>
              <w:marTop w:val="0"/>
              <w:marBottom w:val="0"/>
              <w:divBdr>
                <w:top w:val="none" w:sz="0" w:space="0" w:color="auto"/>
                <w:left w:val="none" w:sz="0" w:space="0" w:color="auto"/>
                <w:bottom w:val="none" w:sz="0" w:space="0" w:color="auto"/>
                <w:right w:val="none" w:sz="0" w:space="0" w:color="auto"/>
              </w:divBdr>
            </w:div>
          </w:divsChild>
        </w:div>
        <w:div w:id="1869875160">
          <w:marLeft w:val="0"/>
          <w:marRight w:val="0"/>
          <w:marTop w:val="0"/>
          <w:marBottom w:val="0"/>
          <w:divBdr>
            <w:top w:val="none" w:sz="0" w:space="0" w:color="auto"/>
            <w:left w:val="none" w:sz="0" w:space="0" w:color="auto"/>
            <w:bottom w:val="none" w:sz="0" w:space="0" w:color="auto"/>
            <w:right w:val="none" w:sz="0" w:space="0" w:color="auto"/>
          </w:divBdr>
          <w:divsChild>
            <w:div w:id="26226224">
              <w:marLeft w:val="0"/>
              <w:marRight w:val="0"/>
              <w:marTop w:val="0"/>
              <w:marBottom w:val="0"/>
              <w:divBdr>
                <w:top w:val="none" w:sz="0" w:space="0" w:color="auto"/>
                <w:left w:val="none" w:sz="0" w:space="0" w:color="auto"/>
                <w:bottom w:val="none" w:sz="0" w:space="0" w:color="auto"/>
                <w:right w:val="none" w:sz="0" w:space="0" w:color="auto"/>
              </w:divBdr>
            </w:div>
          </w:divsChild>
        </w:div>
        <w:div w:id="1887981744">
          <w:marLeft w:val="0"/>
          <w:marRight w:val="0"/>
          <w:marTop w:val="0"/>
          <w:marBottom w:val="0"/>
          <w:divBdr>
            <w:top w:val="none" w:sz="0" w:space="0" w:color="auto"/>
            <w:left w:val="none" w:sz="0" w:space="0" w:color="auto"/>
            <w:bottom w:val="none" w:sz="0" w:space="0" w:color="auto"/>
            <w:right w:val="none" w:sz="0" w:space="0" w:color="auto"/>
          </w:divBdr>
          <w:divsChild>
            <w:div w:id="236404847">
              <w:marLeft w:val="0"/>
              <w:marRight w:val="0"/>
              <w:marTop w:val="0"/>
              <w:marBottom w:val="0"/>
              <w:divBdr>
                <w:top w:val="none" w:sz="0" w:space="0" w:color="auto"/>
                <w:left w:val="none" w:sz="0" w:space="0" w:color="auto"/>
                <w:bottom w:val="none" w:sz="0" w:space="0" w:color="auto"/>
                <w:right w:val="none" w:sz="0" w:space="0" w:color="auto"/>
              </w:divBdr>
            </w:div>
          </w:divsChild>
        </w:div>
        <w:div w:id="1895123210">
          <w:marLeft w:val="0"/>
          <w:marRight w:val="0"/>
          <w:marTop w:val="0"/>
          <w:marBottom w:val="0"/>
          <w:divBdr>
            <w:top w:val="none" w:sz="0" w:space="0" w:color="auto"/>
            <w:left w:val="none" w:sz="0" w:space="0" w:color="auto"/>
            <w:bottom w:val="none" w:sz="0" w:space="0" w:color="auto"/>
            <w:right w:val="none" w:sz="0" w:space="0" w:color="auto"/>
          </w:divBdr>
          <w:divsChild>
            <w:div w:id="948659777">
              <w:marLeft w:val="0"/>
              <w:marRight w:val="0"/>
              <w:marTop w:val="0"/>
              <w:marBottom w:val="0"/>
              <w:divBdr>
                <w:top w:val="none" w:sz="0" w:space="0" w:color="auto"/>
                <w:left w:val="none" w:sz="0" w:space="0" w:color="auto"/>
                <w:bottom w:val="none" w:sz="0" w:space="0" w:color="auto"/>
                <w:right w:val="none" w:sz="0" w:space="0" w:color="auto"/>
              </w:divBdr>
            </w:div>
          </w:divsChild>
        </w:div>
        <w:div w:id="1907184774">
          <w:marLeft w:val="0"/>
          <w:marRight w:val="0"/>
          <w:marTop w:val="0"/>
          <w:marBottom w:val="0"/>
          <w:divBdr>
            <w:top w:val="none" w:sz="0" w:space="0" w:color="auto"/>
            <w:left w:val="none" w:sz="0" w:space="0" w:color="auto"/>
            <w:bottom w:val="none" w:sz="0" w:space="0" w:color="auto"/>
            <w:right w:val="none" w:sz="0" w:space="0" w:color="auto"/>
          </w:divBdr>
          <w:divsChild>
            <w:div w:id="660891264">
              <w:marLeft w:val="0"/>
              <w:marRight w:val="0"/>
              <w:marTop w:val="0"/>
              <w:marBottom w:val="0"/>
              <w:divBdr>
                <w:top w:val="none" w:sz="0" w:space="0" w:color="auto"/>
                <w:left w:val="none" w:sz="0" w:space="0" w:color="auto"/>
                <w:bottom w:val="none" w:sz="0" w:space="0" w:color="auto"/>
                <w:right w:val="none" w:sz="0" w:space="0" w:color="auto"/>
              </w:divBdr>
            </w:div>
          </w:divsChild>
        </w:div>
        <w:div w:id="1909339838">
          <w:marLeft w:val="0"/>
          <w:marRight w:val="0"/>
          <w:marTop w:val="0"/>
          <w:marBottom w:val="0"/>
          <w:divBdr>
            <w:top w:val="none" w:sz="0" w:space="0" w:color="auto"/>
            <w:left w:val="none" w:sz="0" w:space="0" w:color="auto"/>
            <w:bottom w:val="none" w:sz="0" w:space="0" w:color="auto"/>
            <w:right w:val="none" w:sz="0" w:space="0" w:color="auto"/>
          </w:divBdr>
          <w:divsChild>
            <w:div w:id="1581212912">
              <w:marLeft w:val="0"/>
              <w:marRight w:val="0"/>
              <w:marTop w:val="0"/>
              <w:marBottom w:val="0"/>
              <w:divBdr>
                <w:top w:val="none" w:sz="0" w:space="0" w:color="auto"/>
                <w:left w:val="none" w:sz="0" w:space="0" w:color="auto"/>
                <w:bottom w:val="none" w:sz="0" w:space="0" w:color="auto"/>
                <w:right w:val="none" w:sz="0" w:space="0" w:color="auto"/>
              </w:divBdr>
            </w:div>
          </w:divsChild>
        </w:div>
        <w:div w:id="1913543396">
          <w:marLeft w:val="0"/>
          <w:marRight w:val="0"/>
          <w:marTop w:val="0"/>
          <w:marBottom w:val="0"/>
          <w:divBdr>
            <w:top w:val="none" w:sz="0" w:space="0" w:color="auto"/>
            <w:left w:val="none" w:sz="0" w:space="0" w:color="auto"/>
            <w:bottom w:val="none" w:sz="0" w:space="0" w:color="auto"/>
            <w:right w:val="none" w:sz="0" w:space="0" w:color="auto"/>
          </w:divBdr>
          <w:divsChild>
            <w:div w:id="1447652973">
              <w:marLeft w:val="0"/>
              <w:marRight w:val="0"/>
              <w:marTop w:val="0"/>
              <w:marBottom w:val="0"/>
              <w:divBdr>
                <w:top w:val="none" w:sz="0" w:space="0" w:color="auto"/>
                <w:left w:val="none" w:sz="0" w:space="0" w:color="auto"/>
                <w:bottom w:val="none" w:sz="0" w:space="0" w:color="auto"/>
                <w:right w:val="none" w:sz="0" w:space="0" w:color="auto"/>
              </w:divBdr>
            </w:div>
          </w:divsChild>
        </w:div>
        <w:div w:id="1932860038">
          <w:marLeft w:val="0"/>
          <w:marRight w:val="0"/>
          <w:marTop w:val="0"/>
          <w:marBottom w:val="0"/>
          <w:divBdr>
            <w:top w:val="none" w:sz="0" w:space="0" w:color="auto"/>
            <w:left w:val="none" w:sz="0" w:space="0" w:color="auto"/>
            <w:bottom w:val="none" w:sz="0" w:space="0" w:color="auto"/>
            <w:right w:val="none" w:sz="0" w:space="0" w:color="auto"/>
          </w:divBdr>
          <w:divsChild>
            <w:div w:id="1625112867">
              <w:marLeft w:val="0"/>
              <w:marRight w:val="0"/>
              <w:marTop w:val="0"/>
              <w:marBottom w:val="0"/>
              <w:divBdr>
                <w:top w:val="none" w:sz="0" w:space="0" w:color="auto"/>
                <w:left w:val="none" w:sz="0" w:space="0" w:color="auto"/>
                <w:bottom w:val="none" w:sz="0" w:space="0" w:color="auto"/>
                <w:right w:val="none" w:sz="0" w:space="0" w:color="auto"/>
              </w:divBdr>
            </w:div>
          </w:divsChild>
        </w:div>
        <w:div w:id="1937397769">
          <w:marLeft w:val="0"/>
          <w:marRight w:val="0"/>
          <w:marTop w:val="0"/>
          <w:marBottom w:val="0"/>
          <w:divBdr>
            <w:top w:val="none" w:sz="0" w:space="0" w:color="auto"/>
            <w:left w:val="none" w:sz="0" w:space="0" w:color="auto"/>
            <w:bottom w:val="none" w:sz="0" w:space="0" w:color="auto"/>
            <w:right w:val="none" w:sz="0" w:space="0" w:color="auto"/>
          </w:divBdr>
          <w:divsChild>
            <w:div w:id="1318998221">
              <w:marLeft w:val="0"/>
              <w:marRight w:val="0"/>
              <w:marTop w:val="0"/>
              <w:marBottom w:val="0"/>
              <w:divBdr>
                <w:top w:val="none" w:sz="0" w:space="0" w:color="auto"/>
                <w:left w:val="none" w:sz="0" w:space="0" w:color="auto"/>
                <w:bottom w:val="none" w:sz="0" w:space="0" w:color="auto"/>
                <w:right w:val="none" w:sz="0" w:space="0" w:color="auto"/>
              </w:divBdr>
            </w:div>
          </w:divsChild>
        </w:div>
        <w:div w:id="1937588782">
          <w:marLeft w:val="0"/>
          <w:marRight w:val="0"/>
          <w:marTop w:val="0"/>
          <w:marBottom w:val="0"/>
          <w:divBdr>
            <w:top w:val="none" w:sz="0" w:space="0" w:color="auto"/>
            <w:left w:val="none" w:sz="0" w:space="0" w:color="auto"/>
            <w:bottom w:val="none" w:sz="0" w:space="0" w:color="auto"/>
            <w:right w:val="none" w:sz="0" w:space="0" w:color="auto"/>
          </w:divBdr>
          <w:divsChild>
            <w:div w:id="1913466923">
              <w:marLeft w:val="0"/>
              <w:marRight w:val="0"/>
              <w:marTop w:val="0"/>
              <w:marBottom w:val="0"/>
              <w:divBdr>
                <w:top w:val="none" w:sz="0" w:space="0" w:color="auto"/>
                <w:left w:val="none" w:sz="0" w:space="0" w:color="auto"/>
                <w:bottom w:val="none" w:sz="0" w:space="0" w:color="auto"/>
                <w:right w:val="none" w:sz="0" w:space="0" w:color="auto"/>
              </w:divBdr>
            </w:div>
          </w:divsChild>
        </w:div>
        <w:div w:id="1940261389">
          <w:marLeft w:val="0"/>
          <w:marRight w:val="0"/>
          <w:marTop w:val="0"/>
          <w:marBottom w:val="0"/>
          <w:divBdr>
            <w:top w:val="none" w:sz="0" w:space="0" w:color="auto"/>
            <w:left w:val="none" w:sz="0" w:space="0" w:color="auto"/>
            <w:bottom w:val="none" w:sz="0" w:space="0" w:color="auto"/>
            <w:right w:val="none" w:sz="0" w:space="0" w:color="auto"/>
          </w:divBdr>
          <w:divsChild>
            <w:div w:id="990988403">
              <w:marLeft w:val="0"/>
              <w:marRight w:val="0"/>
              <w:marTop w:val="0"/>
              <w:marBottom w:val="0"/>
              <w:divBdr>
                <w:top w:val="none" w:sz="0" w:space="0" w:color="auto"/>
                <w:left w:val="none" w:sz="0" w:space="0" w:color="auto"/>
                <w:bottom w:val="none" w:sz="0" w:space="0" w:color="auto"/>
                <w:right w:val="none" w:sz="0" w:space="0" w:color="auto"/>
              </w:divBdr>
            </w:div>
          </w:divsChild>
        </w:div>
        <w:div w:id="1950893271">
          <w:marLeft w:val="0"/>
          <w:marRight w:val="0"/>
          <w:marTop w:val="0"/>
          <w:marBottom w:val="0"/>
          <w:divBdr>
            <w:top w:val="none" w:sz="0" w:space="0" w:color="auto"/>
            <w:left w:val="none" w:sz="0" w:space="0" w:color="auto"/>
            <w:bottom w:val="none" w:sz="0" w:space="0" w:color="auto"/>
            <w:right w:val="none" w:sz="0" w:space="0" w:color="auto"/>
          </w:divBdr>
          <w:divsChild>
            <w:div w:id="778381234">
              <w:marLeft w:val="0"/>
              <w:marRight w:val="0"/>
              <w:marTop w:val="0"/>
              <w:marBottom w:val="0"/>
              <w:divBdr>
                <w:top w:val="none" w:sz="0" w:space="0" w:color="auto"/>
                <w:left w:val="none" w:sz="0" w:space="0" w:color="auto"/>
                <w:bottom w:val="none" w:sz="0" w:space="0" w:color="auto"/>
                <w:right w:val="none" w:sz="0" w:space="0" w:color="auto"/>
              </w:divBdr>
            </w:div>
          </w:divsChild>
        </w:div>
        <w:div w:id="1956907537">
          <w:marLeft w:val="0"/>
          <w:marRight w:val="0"/>
          <w:marTop w:val="0"/>
          <w:marBottom w:val="0"/>
          <w:divBdr>
            <w:top w:val="none" w:sz="0" w:space="0" w:color="auto"/>
            <w:left w:val="none" w:sz="0" w:space="0" w:color="auto"/>
            <w:bottom w:val="none" w:sz="0" w:space="0" w:color="auto"/>
            <w:right w:val="none" w:sz="0" w:space="0" w:color="auto"/>
          </w:divBdr>
          <w:divsChild>
            <w:div w:id="1602907507">
              <w:marLeft w:val="0"/>
              <w:marRight w:val="0"/>
              <w:marTop w:val="0"/>
              <w:marBottom w:val="0"/>
              <w:divBdr>
                <w:top w:val="none" w:sz="0" w:space="0" w:color="auto"/>
                <w:left w:val="none" w:sz="0" w:space="0" w:color="auto"/>
                <w:bottom w:val="none" w:sz="0" w:space="0" w:color="auto"/>
                <w:right w:val="none" w:sz="0" w:space="0" w:color="auto"/>
              </w:divBdr>
            </w:div>
          </w:divsChild>
        </w:div>
        <w:div w:id="1995602879">
          <w:marLeft w:val="0"/>
          <w:marRight w:val="0"/>
          <w:marTop w:val="0"/>
          <w:marBottom w:val="0"/>
          <w:divBdr>
            <w:top w:val="none" w:sz="0" w:space="0" w:color="auto"/>
            <w:left w:val="none" w:sz="0" w:space="0" w:color="auto"/>
            <w:bottom w:val="none" w:sz="0" w:space="0" w:color="auto"/>
            <w:right w:val="none" w:sz="0" w:space="0" w:color="auto"/>
          </w:divBdr>
          <w:divsChild>
            <w:div w:id="1780493648">
              <w:marLeft w:val="0"/>
              <w:marRight w:val="0"/>
              <w:marTop w:val="0"/>
              <w:marBottom w:val="0"/>
              <w:divBdr>
                <w:top w:val="none" w:sz="0" w:space="0" w:color="auto"/>
                <w:left w:val="none" w:sz="0" w:space="0" w:color="auto"/>
                <w:bottom w:val="none" w:sz="0" w:space="0" w:color="auto"/>
                <w:right w:val="none" w:sz="0" w:space="0" w:color="auto"/>
              </w:divBdr>
            </w:div>
          </w:divsChild>
        </w:div>
        <w:div w:id="2003653616">
          <w:marLeft w:val="0"/>
          <w:marRight w:val="0"/>
          <w:marTop w:val="0"/>
          <w:marBottom w:val="0"/>
          <w:divBdr>
            <w:top w:val="none" w:sz="0" w:space="0" w:color="auto"/>
            <w:left w:val="none" w:sz="0" w:space="0" w:color="auto"/>
            <w:bottom w:val="none" w:sz="0" w:space="0" w:color="auto"/>
            <w:right w:val="none" w:sz="0" w:space="0" w:color="auto"/>
          </w:divBdr>
          <w:divsChild>
            <w:div w:id="474879658">
              <w:marLeft w:val="0"/>
              <w:marRight w:val="0"/>
              <w:marTop w:val="0"/>
              <w:marBottom w:val="0"/>
              <w:divBdr>
                <w:top w:val="none" w:sz="0" w:space="0" w:color="auto"/>
                <w:left w:val="none" w:sz="0" w:space="0" w:color="auto"/>
                <w:bottom w:val="none" w:sz="0" w:space="0" w:color="auto"/>
                <w:right w:val="none" w:sz="0" w:space="0" w:color="auto"/>
              </w:divBdr>
            </w:div>
          </w:divsChild>
        </w:div>
        <w:div w:id="2003699848">
          <w:marLeft w:val="0"/>
          <w:marRight w:val="0"/>
          <w:marTop w:val="0"/>
          <w:marBottom w:val="0"/>
          <w:divBdr>
            <w:top w:val="none" w:sz="0" w:space="0" w:color="auto"/>
            <w:left w:val="none" w:sz="0" w:space="0" w:color="auto"/>
            <w:bottom w:val="none" w:sz="0" w:space="0" w:color="auto"/>
            <w:right w:val="none" w:sz="0" w:space="0" w:color="auto"/>
          </w:divBdr>
          <w:divsChild>
            <w:div w:id="1321233892">
              <w:marLeft w:val="0"/>
              <w:marRight w:val="0"/>
              <w:marTop w:val="0"/>
              <w:marBottom w:val="0"/>
              <w:divBdr>
                <w:top w:val="none" w:sz="0" w:space="0" w:color="auto"/>
                <w:left w:val="none" w:sz="0" w:space="0" w:color="auto"/>
                <w:bottom w:val="none" w:sz="0" w:space="0" w:color="auto"/>
                <w:right w:val="none" w:sz="0" w:space="0" w:color="auto"/>
              </w:divBdr>
            </w:div>
          </w:divsChild>
        </w:div>
        <w:div w:id="2008749552">
          <w:marLeft w:val="0"/>
          <w:marRight w:val="0"/>
          <w:marTop w:val="0"/>
          <w:marBottom w:val="0"/>
          <w:divBdr>
            <w:top w:val="none" w:sz="0" w:space="0" w:color="auto"/>
            <w:left w:val="none" w:sz="0" w:space="0" w:color="auto"/>
            <w:bottom w:val="none" w:sz="0" w:space="0" w:color="auto"/>
            <w:right w:val="none" w:sz="0" w:space="0" w:color="auto"/>
          </w:divBdr>
          <w:divsChild>
            <w:div w:id="1465732558">
              <w:marLeft w:val="0"/>
              <w:marRight w:val="0"/>
              <w:marTop w:val="0"/>
              <w:marBottom w:val="0"/>
              <w:divBdr>
                <w:top w:val="none" w:sz="0" w:space="0" w:color="auto"/>
                <w:left w:val="none" w:sz="0" w:space="0" w:color="auto"/>
                <w:bottom w:val="none" w:sz="0" w:space="0" w:color="auto"/>
                <w:right w:val="none" w:sz="0" w:space="0" w:color="auto"/>
              </w:divBdr>
            </w:div>
          </w:divsChild>
        </w:div>
        <w:div w:id="2009820257">
          <w:marLeft w:val="0"/>
          <w:marRight w:val="0"/>
          <w:marTop w:val="0"/>
          <w:marBottom w:val="0"/>
          <w:divBdr>
            <w:top w:val="none" w:sz="0" w:space="0" w:color="auto"/>
            <w:left w:val="none" w:sz="0" w:space="0" w:color="auto"/>
            <w:bottom w:val="none" w:sz="0" w:space="0" w:color="auto"/>
            <w:right w:val="none" w:sz="0" w:space="0" w:color="auto"/>
          </w:divBdr>
          <w:divsChild>
            <w:div w:id="1077628903">
              <w:marLeft w:val="0"/>
              <w:marRight w:val="0"/>
              <w:marTop w:val="0"/>
              <w:marBottom w:val="0"/>
              <w:divBdr>
                <w:top w:val="none" w:sz="0" w:space="0" w:color="auto"/>
                <w:left w:val="none" w:sz="0" w:space="0" w:color="auto"/>
                <w:bottom w:val="none" w:sz="0" w:space="0" w:color="auto"/>
                <w:right w:val="none" w:sz="0" w:space="0" w:color="auto"/>
              </w:divBdr>
            </w:div>
          </w:divsChild>
        </w:div>
        <w:div w:id="2028755621">
          <w:marLeft w:val="0"/>
          <w:marRight w:val="0"/>
          <w:marTop w:val="0"/>
          <w:marBottom w:val="0"/>
          <w:divBdr>
            <w:top w:val="none" w:sz="0" w:space="0" w:color="auto"/>
            <w:left w:val="none" w:sz="0" w:space="0" w:color="auto"/>
            <w:bottom w:val="none" w:sz="0" w:space="0" w:color="auto"/>
            <w:right w:val="none" w:sz="0" w:space="0" w:color="auto"/>
          </w:divBdr>
          <w:divsChild>
            <w:div w:id="1715890350">
              <w:marLeft w:val="0"/>
              <w:marRight w:val="0"/>
              <w:marTop w:val="0"/>
              <w:marBottom w:val="0"/>
              <w:divBdr>
                <w:top w:val="none" w:sz="0" w:space="0" w:color="auto"/>
                <w:left w:val="none" w:sz="0" w:space="0" w:color="auto"/>
                <w:bottom w:val="none" w:sz="0" w:space="0" w:color="auto"/>
                <w:right w:val="none" w:sz="0" w:space="0" w:color="auto"/>
              </w:divBdr>
            </w:div>
          </w:divsChild>
        </w:div>
        <w:div w:id="2061855446">
          <w:marLeft w:val="0"/>
          <w:marRight w:val="0"/>
          <w:marTop w:val="0"/>
          <w:marBottom w:val="0"/>
          <w:divBdr>
            <w:top w:val="none" w:sz="0" w:space="0" w:color="auto"/>
            <w:left w:val="none" w:sz="0" w:space="0" w:color="auto"/>
            <w:bottom w:val="none" w:sz="0" w:space="0" w:color="auto"/>
            <w:right w:val="none" w:sz="0" w:space="0" w:color="auto"/>
          </w:divBdr>
          <w:divsChild>
            <w:div w:id="2072920322">
              <w:marLeft w:val="0"/>
              <w:marRight w:val="0"/>
              <w:marTop w:val="0"/>
              <w:marBottom w:val="0"/>
              <w:divBdr>
                <w:top w:val="none" w:sz="0" w:space="0" w:color="auto"/>
                <w:left w:val="none" w:sz="0" w:space="0" w:color="auto"/>
                <w:bottom w:val="none" w:sz="0" w:space="0" w:color="auto"/>
                <w:right w:val="none" w:sz="0" w:space="0" w:color="auto"/>
              </w:divBdr>
            </w:div>
          </w:divsChild>
        </w:div>
        <w:div w:id="2066836742">
          <w:marLeft w:val="0"/>
          <w:marRight w:val="0"/>
          <w:marTop w:val="0"/>
          <w:marBottom w:val="0"/>
          <w:divBdr>
            <w:top w:val="none" w:sz="0" w:space="0" w:color="auto"/>
            <w:left w:val="none" w:sz="0" w:space="0" w:color="auto"/>
            <w:bottom w:val="none" w:sz="0" w:space="0" w:color="auto"/>
            <w:right w:val="none" w:sz="0" w:space="0" w:color="auto"/>
          </w:divBdr>
          <w:divsChild>
            <w:div w:id="291445605">
              <w:marLeft w:val="0"/>
              <w:marRight w:val="0"/>
              <w:marTop w:val="0"/>
              <w:marBottom w:val="0"/>
              <w:divBdr>
                <w:top w:val="none" w:sz="0" w:space="0" w:color="auto"/>
                <w:left w:val="none" w:sz="0" w:space="0" w:color="auto"/>
                <w:bottom w:val="none" w:sz="0" w:space="0" w:color="auto"/>
                <w:right w:val="none" w:sz="0" w:space="0" w:color="auto"/>
              </w:divBdr>
            </w:div>
          </w:divsChild>
        </w:div>
        <w:div w:id="2076269449">
          <w:marLeft w:val="0"/>
          <w:marRight w:val="0"/>
          <w:marTop w:val="0"/>
          <w:marBottom w:val="0"/>
          <w:divBdr>
            <w:top w:val="none" w:sz="0" w:space="0" w:color="auto"/>
            <w:left w:val="none" w:sz="0" w:space="0" w:color="auto"/>
            <w:bottom w:val="none" w:sz="0" w:space="0" w:color="auto"/>
            <w:right w:val="none" w:sz="0" w:space="0" w:color="auto"/>
          </w:divBdr>
          <w:divsChild>
            <w:div w:id="1773893907">
              <w:marLeft w:val="0"/>
              <w:marRight w:val="0"/>
              <w:marTop w:val="0"/>
              <w:marBottom w:val="0"/>
              <w:divBdr>
                <w:top w:val="none" w:sz="0" w:space="0" w:color="auto"/>
                <w:left w:val="none" w:sz="0" w:space="0" w:color="auto"/>
                <w:bottom w:val="none" w:sz="0" w:space="0" w:color="auto"/>
                <w:right w:val="none" w:sz="0" w:space="0" w:color="auto"/>
              </w:divBdr>
            </w:div>
          </w:divsChild>
        </w:div>
        <w:div w:id="2095589287">
          <w:marLeft w:val="0"/>
          <w:marRight w:val="0"/>
          <w:marTop w:val="0"/>
          <w:marBottom w:val="0"/>
          <w:divBdr>
            <w:top w:val="none" w:sz="0" w:space="0" w:color="auto"/>
            <w:left w:val="none" w:sz="0" w:space="0" w:color="auto"/>
            <w:bottom w:val="none" w:sz="0" w:space="0" w:color="auto"/>
            <w:right w:val="none" w:sz="0" w:space="0" w:color="auto"/>
          </w:divBdr>
          <w:divsChild>
            <w:div w:id="942104259">
              <w:marLeft w:val="0"/>
              <w:marRight w:val="0"/>
              <w:marTop w:val="0"/>
              <w:marBottom w:val="0"/>
              <w:divBdr>
                <w:top w:val="none" w:sz="0" w:space="0" w:color="auto"/>
                <w:left w:val="none" w:sz="0" w:space="0" w:color="auto"/>
                <w:bottom w:val="none" w:sz="0" w:space="0" w:color="auto"/>
                <w:right w:val="none" w:sz="0" w:space="0" w:color="auto"/>
              </w:divBdr>
            </w:div>
          </w:divsChild>
        </w:div>
        <w:div w:id="2098818775">
          <w:marLeft w:val="0"/>
          <w:marRight w:val="0"/>
          <w:marTop w:val="0"/>
          <w:marBottom w:val="0"/>
          <w:divBdr>
            <w:top w:val="none" w:sz="0" w:space="0" w:color="auto"/>
            <w:left w:val="none" w:sz="0" w:space="0" w:color="auto"/>
            <w:bottom w:val="none" w:sz="0" w:space="0" w:color="auto"/>
            <w:right w:val="none" w:sz="0" w:space="0" w:color="auto"/>
          </w:divBdr>
          <w:divsChild>
            <w:div w:id="1505558841">
              <w:marLeft w:val="0"/>
              <w:marRight w:val="0"/>
              <w:marTop w:val="0"/>
              <w:marBottom w:val="0"/>
              <w:divBdr>
                <w:top w:val="none" w:sz="0" w:space="0" w:color="auto"/>
                <w:left w:val="none" w:sz="0" w:space="0" w:color="auto"/>
                <w:bottom w:val="none" w:sz="0" w:space="0" w:color="auto"/>
                <w:right w:val="none" w:sz="0" w:space="0" w:color="auto"/>
              </w:divBdr>
            </w:div>
          </w:divsChild>
        </w:div>
        <w:div w:id="2112503292">
          <w:marLeft w:val="0"/>
          <w:marRight w:val="0"/>
          <w:marTop w:val="0"/>
          <w:marBottom w:val="0"/>
          <w:divBdr>
            <w:top w:val="none" w:sz="0" w:space="0" w:color="auto"/>
            <w:left w:val="none" w:sz="0" w:space="0" w:color="auto"/>
            <w:bottom w:val="none" w:sz="0" w:space="0" w:color="auto"/>
            <w:right w:val="none" w:sz="0" w:space="0" w:color="auto"/>
          </w:divBdr>
          <w:divsChild>
            <w:div w:id="1646662971">
              <w:marLeft w:val="0"/>
              <w:marRight w:val="0"/>
              <w:marTop w:val="0"/>
              <w:marBottom w:val="0"/>
              <w:divBdr>
                <w:top w:val="none" w:sz="0" w:space="0" w:color="auto"/>
                <w:left w:val="none" w:sz="0" w:space="0" w:color="auto"/>
                <w:bottom w:val="none" w:sz="0" w:space="0" w:color="auto"/>
                <w:right w:val="none" w:sz="0" w:space="0" w:color="auto"/>
              </w:divBdr>
            </w:div>
          </w:divsChild>
        </w:div>
        <w:div w:id="2121489869">
          <w:marLeft w:val="0"/>
          <w:marRight w:val="0"/>
          <w:marTop w:val="0"/>
          <w:marBottom w:val="0"/>
          <w:divBdr>
            <w:top w:val="none" w:sz="0" w:space="0" w:color="auto"/>
            <w:left w:val="none" w:sz="0" w:space="0" w:color="auto"/>
            <w:bottom w:val="none" w:sz="0" w:space="0" w:color="auto"/>
            <w:right w:val="none" w:sz="0" w:space="0" w:color="auto"/>
          </w:divBdr>
          <w:divsChild>
            <w:div w:id="613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61">
      <w:bodyDiv w:val="1"/>
      <w:marLeft w:val="0"/>
      <w:marRight w:val="0"/>
      <w:marTop w:val="0"/>
      <w:marBottom w:val="0"/>
      <w:divBdr>
        <w:top w:val="none" w:sz="0" w:space="0" w:color="auto"/>
        <w:left w:val="none" w:sz="0" w:space="0" w:color="auto"/>
        <w:bottom w:val="none" w:sz="0" w:space="0" w:color="auto"/>
        <w:right w:val="none" w:sz="0" w:space="0" w:color="auto"/>
      </w:divBdr>
    </w:div>
    <w:div w:id="892040273">
      <w:bodyDiv w:val="1"/>
      <w:marLeft w:val="0"/>
      <w:marRight w:val="0"/>
      <w:marTop w:val="0"/>
      <w:marBottom w:val="0"/>
      <w:divBdr>
        <w:top w:val="none" w:sz="0" w:space="0" w:color="auto"/>
        <w:left w:val="none" w:sz="0" w:space="0" w:color="auto"/>
        <w:bottom w:val="none" w:sz="0" w:space="0" w:color="auto"/>
        <w:right w:val="none" w:sz="0" w:space="0" w:color="auto"/>
      </w:divBdr>
      <w:divsChild>
        <w:div w:id="77530839">
          <w:marLeft w:val="0"/>
          <w:marRight w:val="0"/>
          <w:marTop w:val="0"/>
          <w:marBottom w:val="0"/>
          <w:divBdr>
            <w:top w:val="none" w:sz="0" w:space="0" w:color="auto"/>
            <w:left w:val="none" w:sz="0" w:space="0" w:color="auto"/>
            <w:bottom w:val="none" w:sz="0" w:space="0" w:color="auto"/>
            <w:right w:val="none" w:sz="0" w:space="0" w:color="auto"/>
          </w:divBdr>
        </w:div>
        <w:div w:id="78985596">
          <w:marLeft w:val="0"/>
          <w:marRight w:val="0"/>
          <w:marTop w:val="0"/>
          <w:marBottom w:val="0"/>
          <w:divBdr>
            <w:top w:val="none" w:sz="0" w:space="0" w:color="auto"/>
            <w:left w:val="none" w:sz="0" w:space="0" w:color="auto"/>
            <w:bottom w:val="none" w:sz="0" w:space="0" w:color="auto"/>
            <w:right w:val="none" w:sz="0" w:space="0" w:color="auto"/>
          </w:divBdr>
        </w:div>
        <w:div w:id="81876797">
          <w:marLeft w:val="0"/>
          <w:marRight w:val="0"/>
          <w:marTop w:val="0"/>
          <w:marBottom w:val="0"/>
          <w:divBdr>
            <w:top w:val="none" w:sz="0" w:space="0" w:color="auto"/>
            <w:left w:val="none" w:sz="0" w:space="0" w:color="auto"/>
            <w:bottom w:val="none" w:sz="0" w:space="0" w:color="auto"/>
            <w:right w:val="none" w:sz="0" w:space="0" w:color="auto"/>
          </w:divBdr>
        </w:div>
        <w:div w:id="138765097">
          <w:marLeft w:val="0"/>
          <w:marRight w:val="0"/>
          <w:marTop w:val="0"/>
          <w:marBottom w:val="0"/>
          <w:divBdr>
            <w:top w:val="none" w:sz="0" w:space="0" w:color="auto"/>
            <w:left w:val="none" w:sz="0" w:space="0" w:color="auto"/>
            <w:bottom w:val="none" w:sz="0" w:space="0" w:color="auto"/>
            <w:right w:val="none" w:sz="0" w:space="0" w:color="auto"/>
          </w:divBdr>
        </w:div>
        <w:div w:id="149446816">
          <w:marLeft w:val="0"/>
          <w:marRight w:val="0"/>
          <w:marTop w:val="0"/>
          <w:marBottom w:val="0"/>
          <w:divBdr>
            <w:top w:val="none" w:sz="0" w:space="0" w:color="auto"/>
            <w:left w:val="none" w:sz="0" w:space="0" w:color="auto"/>
            <w:bottom w:val="none" w:sz="0" w:space="0" w:color="auto"/>
            <w:right w:val="none" w:sz="0" w:space="0" w:color="auto"/>
          </w:divBdr>
        </w:div>
        <w:div w:id="286667038">
          <w:marLeft w:val="0"/>
          <w:marRight w:val="0"/>
          <w:marTop w:val="0"/>
          <w:marBottom w:val="0"/>
          <w:divBdr>
            <w:top w:val="none" w:sz="0" w:space="0" w:color="auto"/>
            <w:left w:val="none" w:sz="0" w:space="0" w:color="auto"/>
            <w:bottom w:val="none" w:sz="0" w:space="0" w:color="auto"/>
            <w:right w:val="none" w:sz="0" w:space="0" w:color="auto"/>
          </w:divBdr>
          <w:divsChild>
            <w:div w:id="680354462">
              <w:marLeft w:val="0"/>
              <w:marRight w:val="0"/>
              <w:marTop w:val="0"/>
              <w:marBottom w:val="0"/>
              <w:divBdr>
                <w:top w:val="none" w:sz="0" w:space="0" w:color="auto"/>
                <w:left w:val="none" w:sz="0" w:space="0" w:color="auto"/>
                <w:bottom w:val="none" w:sz="0" w:space="0" w:color="auto"/>
                <w:right w:val="none" w:sz="0" w:space="0" w:color="auto"/>
              </w:divBdr>
            </w:div>
            <w:div w:id="1044062958">
              <w:marLeft w:val="0"/>
              <w:marRight w:val="0"/>
              <w:marTop w:val="0"/>
              <w:marBottom w:val="0"/>
              <w:divBdr>
                <w:top w:val="none" w:sz="0" w:space="0" w:color="auto"/>
                <w:left w:val="none" w:sz="0" w:space="0" w:color="auto"/>
                <w:bottom w:val="none" w:sz="0" w:space="0" w:color="auto"/>
                <w:right w:val="none" w:sz="0" w:space="0" w:color="auto"/>
              </w:divBdr>
            </w:div>
            <w:div w:id="1320303314">
              <w:marLeft w:val="0"/>
              <w:marRight w:val="0"/>
              <w:marTop w:val="0"/>
              <w:marBottom w:val="0"/>
              <w:divBdr>
                <w:top w:val="none" w:sz="0" w:space="0" w:color="auto"/>
                <w:left w:val="none" w:sz="0" w:space="0" w:color="auto"/>
                <w:bottom w:val="none" w:sz="0" w:space="0" w:color="auto"/>
                <w:right w:val="none" w:sz="0" w:space="0" w:color="auto"/>
              </w:divBdr>
            </w:div>
          </w:divsChild>
        </w:div>
        <w:div w:id="301422378">
          <w:marLeft w:val="0"/>
          <w:marRight w:val="0"/>
          <w:marTop w:val="0"/>
          <w:marBottom w:val="0"/>
          <w:divBdr>
            <w:top w:val="none" w:sz="0" w:space="0" w:color="auto"/>
            <w:left w:val="none" w:sz="0" w:space="0" w:color="auto"/>
            <w:bottom w:val="none" w:sz="0" w:space="0" w:color="auto"/>
            <w:right w:val="none" w:sz="0" w:space="0" w:color="auto"/>
          </w:divBdr>
        </w:div>
        <w:div w:id="314069897">
          <w:marLeft w:val="0"/>
          <w:marRight w:val="0"/>
          <w:marTop w:val="0"/>
          <w:marBottom w:val="0"/>
          <w:divBdr>
            <w:top w:val="none" w:sz="0" w:space="0" w:color="auto"/>
            <w:left w:val="none" w:sz="0" w:space="0" w:color="auto"/>
            <w:bottom w:val="none" w:sz="0" w:space="0" w:color="auto"/>
            <w:right w:val="none" w:sz="0" w:space="0" w:color="auto"/>
          </w:divBdr>
        </w:div>
        <w:div w:id="321859330">
          <w:marLeft w:val="0"/>
          <w:marRight w:val="0"/>
          <w:marTop w:val="0"/>
          <w:marBottom w:val="0"/>
          <w:divBdr>
            <w:top w:val="none" w:sz="0" w:space="0" w:color="auto"/>
            <w:left w:val="none" w:sz="0" w:space="0" w:color="auto"/>
            <w:bottom w:val="none" w:sz="0" w:space="0" w:color="auto"/>
            <w:right w:val="none" w:sz="0" w:space="0" w:color="auto"/>
          </w:divBdr>
        </w:div>
        <w:div w:id="336662497">
          <w:marLeft w:val="0"/>
          <w:marRight w:val="0"/>
          <w:marTop w:val="0"/>
          <w:marBottom w:val="0"/>
          <w:divBdr>
            <w:top w:val="none" w:sz="0" w:space="0" w:color="auto"/>
            <w:left w:val="none" w:sz="0" w:space="0" w:color="auto"/>
            <w:bottom w:val="none" w:sz="0" w:space="0" w:color="auto"/>
            <w:right w:val="none" w:sz="0" w:space="0" w:color="auto"/>
          </w:divBdr>
        </w:div>
        <w:div w:id="458645803">
          <w:marLeft w:val="0"/>
          <w:marRight w:val="0"/>
          <w:marTop w:val="0"/>
          <w:marBottom w:val="0"/>
          <w:divBdr>
            <w:top w:val="none" w:sz="0" w:space="0" w:color="auto"/>
            <w:left w:val="none" w:sz="0" w:space="0" w:color="auto"/>
            <w:bottom w:val="none" w:sz="0" w:space="0" w:color="auto"/>
            <w:right w:val="none" w:sz="0" w:space="0" w:color="auto"/>
          </w:divBdr>
        </w:div>
        <w:div w:id="472331454">
          <w:marLeft w:val="0"/>
          <w:marRight w:val="0"/>
          <w:marTop w:val="0"/>
          <w:marBottom w:val="0"/>
          <w:divBdr>
            <w:top w:val="none" w:sz="0" w:space="0" w:color="auto"/>
            <w:left w:val="none" w:sz="0" w:space="0" w:color="auto"/>
            <w:bottom w:val="none" w:sz="0" w:space="0" w:color="auto"/>
            <w:right w:val="none" w:sz="0" w:space="0" w:color="auto"/>
          </w:divBdr>
        </w:div>
        <w:div w:id="532422094">
          <w:marLeft w:val="0"/>
          <w:marRight w:val="0"/>
          <w:marTop w:val="0"/>
          <w:marBottom w:val="0"/>
          <w:divBdr>
            <w:top w:val="none" w:sz="0" w:space="0" w:color="auto"/>
            <w:left w:val="none" w:sz="0" w:space="0" w:color="auto"/>
            <w:bottom w:val="none" w:sz="0" w:space="0" w:color="auto"/>
            <w:right w:val="none" w:sz="0" w:space="0" w:color="auto"/>
          </w:divBdr>
        </w:div>
        <w:div w:id="871117355">
          <w:marLeft w:val="0"/>
          <w:marRight w:val="0"/>
          <w:marTop w:val="0"/>
          <w:marBottom w:val="0"/>
          <w:divBdr>
            <w:top w:val="none" w:sz="0" w:space="0" w:color="auto"/>
            <w:left w:val="none" w:sz="0" w:space="0" w:color="auto"/>
            <w:bottom w:val="none" w:sz="0" w:space="0" w:color="auto"/>
            <w:right w:val="none" w:sz="0" w:space="0" w:color="auto"/>
          </w:divBdr>
        </w:div>
        <w:div w:id="937757036">
          <w:marLeft w:val="0"/>
          <w:marRight w:val="0"/>
          <w:marTop w:val="0"/>
          <w:marBottom w:val="0"/>
          <w:divBdr>
            <w:top w:val="none" w:sz="0" w:space="0" w:color="auto"/>
            <w:left w:val="none" w:sz="0" w:space="0" w:color="auto"/>
            <w:bottom w:val="none" w:sz="0" w:space="0" w:color="auto"/>
            <w:right w:val="none" w:sz="0" w:space="0" w:color="auto"/>
          </w:divBdr>
        </w:div>
        <w:div w:id="943731671">
          <w:marLeft w:val="0"/>
          <w:marRight w:val="0"/>
          <w:marTop w:val="0"/>
          <w:marBottom w:val="0"/>
          <w:divBdr>
            <w:top w:val="none" w:sz="0" w:space="0" w:color="auto"/>
            <w:left w:val="none" w:sz="0" w:space="0" w:color="auto"/>
            <w:bottom w:val="none" w:sz="0" w:space="0" w:color="auto"/>
            <w:right w:val="none" w:sz="0" w:space="0" w:color="auto"/>
          </w:divBdr>
        </w:div>
        <w:div w:id="947199999">
          <w:marLeft w:val="0"/>
          <w:marRight w:val="0"/>
          <w:marTop w:val="0"/>
          <w:marBottom w:val="0"/>
          <w:divBdr>
            <w:top w:val="none" w:sz="0" w:space="0" w:color="auto"/>
            <w:left w:val="none" w:sz="0" w:space="0" w:color="auto"/>
            <w:bottom w:val="none" w:sz="0" w:space="0" w:color="auto"/>
            <w:right w:val="none" w:sz="0" w:space="0" w:color="auto"/>
          </w:divBdr>
        </w:div>
        <w:div w:id="987978057">
          <w:marLeft w:val="0"/>
          <w:marRight w:val="0"/>
          <w:marTop w:val="0"/>
          <w:marBottom w:val="0"/>
          <w:divBdr>
            <w:top w:val="none" w:sz="0" w:space="0" w:color="auto"/>
            <w:left w:val="none" w:sz="0" w:space="0" w:color="auto"/>
            <w:bottom w:val="none" w:sz="0" w:space="0" w:color="auto"/>
            <w:right w:val="none" w:sz="0" w:space="0" w:color="auto"/>
          </w:divBdr>
          <w:divsChild>
            <w:div w:id="88695527">
              <w:marLeft w:val="0"/>
              <w:marRight w:val="0"/>
              <w:marTop w:val="0"/>
              <w:marBottom w:val="0"/>
              <w:divBdr>
                <w:top w:val="none" w:sz="0" w:space="0" w:color="auto"/>
                <w:left w:val="none" w:sz="0" w:space="0" w:color="auto"/>
                <w:bottom w:val="none" w:sz="0" w:space="0" w:color="auto"/>
                <w:right w:val="none" w:sz="0" w:space="0" w:color="auto"/>
              </w:divBdr>
            </w:div>
            <w:div w:id="766460424">
              <w:marLeft w:val="0"/>
              <w:marRight w:val="0"/>
              <w:marTop w:val="0"/>
              <w:marBottom w:val="0"/>
              <w:divBdr>
                <w:top w:val="none" w:sz="0" w:space="0" w:color="auto"/>
                <w:left w:val="none" w:sz="0" w:space="0" w:color="auto"/>
                <w:bottom w:val="none" w:sz="0" w:space="0" w:color="auto"/>
                <w:right w:val="none" w:sz="0" w:space="0" w:color="auto"/>
              </w:divBdr>
            </w:div>
            <w:div w:id="969359391">
              <w:marLeft w:val="0"/>
              <w:marRight w:val="0"/>
              <w:marTop w:val="0"/>
              <w:marBottom w:val="0"/>
              <w:divBdr>
                <w:top w:val="none" w:sz="0" w:space="0" w:color="auto"/>
                <w:left w:val="none" w:sz="0" w:space="0" w:color="auto"/>
                <w:bottom w:val="none" w:sz="0" w:space="0" w:color="auto"/>
                <w:right w:val="none" w:sz="0" w:space="0" w:color="auto"/>
              </w:divBdr>
            </w:div>
            <w:div w:id="2025666942">
              <w:marLeft w:val="0"/>
              <w:marRight w:val="0"/>
              <w:marTop w:val="0"/>
              <w:marBottom w:val="0"/>
              <w:divBdr>
                <w:top w:val="none" w:sz="0" w:space="0" w:color="auto"/>
                <w:left w:val="none" w:sz="0" w:space="0" w:color="auto"/>
                <w:bottom w:val="none" w:sz="0" w:space="0" w:color="auto"/>
                <w:right w:val="none" w:sz="0" w:space="0" w:color="auto"/>
              </w:divBdr>
            </w:div>
          </w:divsChild>
        </w:div>
        <w:div w:id="1028605733">
          <w:marLeft w:val="0"/>
          <w:marRight w:val="0"/>
          <w:marTop w:val="0"/>
          <w:marBottom w:val="0"/>
          <w:divBdr>
            <w:top w:val="none" w:sz="0" w:space="0" w:color="auto"/>
            <w:left w:val="none" w:sz="0" w:space="0" w:color="auto"/>
            <w:bottom w:val="none" w:sz="0" w:space="0" w:color="auto"/>
            <w:right w:val="none" w:sz="0" w:space="0" w:color="auto"/>
          </w:divBdr>
          <w:divsChild>
            <w:div w:id="1410149954">
              <w:marLeft w:val="-75"/>
              <w:marRight w:val="0"/>
              <w:marTop w:val="30"/>
              <w:marBottom w:val="30"/>
              <w:divBdr>
                <w:top w:val="none" w:sz="0" w:space="0" w:color="auto"/>
                <w:left w:val="none" w:sz="0" w:space="0" w:color="auto"/>
                <w:bottom w:val="none" w:sz="0" w:space="0" w:color="auto"/>
                <w:right w:val="none" w:sz="0" w:space="0" w:color="auto"/>
              </w:divBdr>
              <w:divsChild>
                <w:div w:id="52583280">
                  <w:marLeft w:val="0"/>
                  <w:marRight w:val="0"/>
                  <w:marTop w:val="0"/>
                  <w:marBottom w:val="0"/>
                  <w:divBdr>
                    <w:top w:val="none" w:sz="0" w:space="0" w:color="auto"/>
                    <w:left w:val="none" w:sz="0" w:space="0" w:color="auto"/>
                    <w:bottom w:val="none" w:sz="0" w:space="0" w:color="auto"/>
                    <w:right w:val="none" w:sz="0" w:space="0" w:color="auto"/>
                  </w:divBdr>
                  <w:divsChild>
                    <w:div w:id="818494828">
                      <w:marLeft w:val="0"/>
                      <w:marRight w:val="0"/>
                      <w:marTop w:val="0"/>
                      <w:marBottom w:val="0"/>
                      <w:divBdr>
                        <w:top w:val="none" w:sz="0" w:space="0" w:color="auto"/>
                        <w:left w:val="none" w:sz="0" w:space="0" w:color="auto"/>
                        <w:bottom w:val="none" w:sz="0" w:space="0" w:color="auto"/>
                        <w:right w:val="none" w:sz="0" w:space="0" w:color="auto"/>
                      </w:divBdr>
                    </w:div>
                  </w:divsChild>
                </w:div>
                <w:div w:id="98916476">
                  <w:marLeft w:val="0"/>
                  <w:marRight w:val="0"/>
                  <w:marTop w:val="0"/>
                  <w:marBottom w:val="0"/>
                  <w:divBdr>
                    <w:top w:val="none" w:sz="0" w:space="0" w:color="auto"/>
                    <w:left w:val="none" w:sz="0" w:space="0" w:color="auto"/>
                    <w:bottom w:val="none" w:sz="0" w:space="0" w:color="auto"/>
                    <w:right w:val="none" w:sz="0" w:space="0" w:color="auto"/>
                  </w:divBdr>
                  <w:divsChild>
                    <w:div w:id="2060395653">
                      <w:marLeft w:val="0"/>
                      <w:marRight w:val="0"/>
                      <w:marTop w:val="0"/>
                      <w:marBottom w:val="0"/>
                      <w:divBdr>
                        <w:top w:val="none" w:sz="0" w:space="0" w:color="auto"/>
                        <w:left w:val="none" w:sz="0" w:space="0" w:color="auto"/>
                        <w:bottom w:val="none" w:sz="0" w:space="0" w:color="auto"/>
                        <w:right w:val="none" w:sz="0" w:space="0" w:color="auto"/>
                      </w:divBdr>
                    </w:div>
                  </w:divsChild>
                </w:div>
                <w:div w:id="124665593">
                  <w:marLeft w:val="0"/>
                  <w:marRight w:val="0"/>
                  <w:marTop w:val="0"/>
                  <w:marBottom w:val="0"/>
                  <w:divBdr>
                    <w:top w:val="none" w:sz="0" w:space="0" w:color="auto"/>
                    <w:left w:val="none" w:sz="0" w:space="0" w:color="auto"/>
                    <w:bottom w:val="none" w:sz="0" w:space="0" w:color="auto"/>
                    <w:right w:val="none" w:sz="0" w:space="0" w:color="auto"/>
                  </w:divBdr>
                  <w:divsChild>
                    <w:div w:id="1341541081">
                      <w:marLeft w:val="0"/>
                      <w:marRight w:val="0"/>
                      <w:marTop w:val="0"/>
                      <w:marBottom w:val="0"/>
                      <w:divBdr>
                        <w:top w:val="none" w:sz="0" w:space="0" w:color="auto"/>
                        <w:left w:val="none" w:sz="0" w:space="0" w:color="auto"/>
                        <w:bottom w:val="none" w:sz="0" w:space="0" w:color="auto"/>
                        <w:right w:val="none" w:sz="0" w:space="0" w:color="auto"/>
                      </w:divBdr>
                    </w:div>
                  </w:divsChild>
                </w:div>
                <w:div w:id="128325730">
                  <w:marLeft w:val="0"/>
                  <w:marRight w:val="0"/>
                  <w:marTop w:val="0"/>
                  <w:marBottom w:val="0"/>
                  <w:divBdr>
                    <w:top w:val="none" w:sz="0" w:space="0" w:color="auto"/>
                    <w:left w:val="none" w:sz="0" w:space="0" w:color="auto"/>
                    <w:bottom w:val="none" w:sz="0" w:space="0" w:color="auto"/>
                    <w:right w:val="none" w:sz="0" w:space="0" w:color="auto"/>
                  </w:divBdr>
                  <w:divsChild>
                    <w:div w:id="1054160032">
                      <w:marLeft w:val="0"/>
                      <w:marRight w:val="0"/>
                      <w:marTop w:val="0"/>
                      <w:marBottom w:val="0"/>
                      <w:divBdr>
                        <w:top w:val="none" w:sz="0" w:space="0" w:color="auto"/>
                        <w:left w:val="none" w:sz="0" w:space="0" w:color="auto"/>
                        <w:bottom w:val="none" w:sz="0" w:space="0" w:color="auto"/>
                        <w:right w:val="none" w:sz="0" w:space="0" w:color="auto"/>
                      </w:divBdr>
                    </w:div>
                  </w:divsChild>
                </w:div>
                <w:div w:id="189346344">
                  <w:marLeft w:val="0"/>
                  <w:marRight w:val="0"/>
                  <w:marTop w:val="0"/>
                  <w:marBottom w:val="0"/>
                  <w:divBdr>
                    <w:top w:val="none" w:sz="0" w:space="0" w:color="auto"/>
                    <w:left w:val="none" w:sz="0" w:space="0" w:color="auto"/>
                    <w:bottom w:val="none" w:sz="0" w:space="0" w:color="auto"/>
                    <w:right w:val="none" w:sz="0" w:space="0" w:color="auto"/>
                  </w:divBdr>
                  <w:divsChild>
                    <w:div w:id="1255820387">
                      <w:marLeft w:val="0"/>
                      <w:marRight w:val="0"/>
                      <w:marTop w:val="0"/>
                      <w:marBottom w:val="0"/>
                      <w:divBdr>
                        <w:top w:val="none" w:sz="0" w:space="0" w:color="auto"/>
                        <w:left w:val="none" w:sz="0" w:space="0" w:color="auto"/>
                        <w:bottom w:val="none" w:sz="0" w:space="0" w:color="auto"/>
                        <w:right w:val="none" w:sz="0" w:space="0" w:color="auto"/>
                      </w:divBdr>
                    </w:div>
                  </w:divsChild>
                </w:div>
                <w:div w:id="254946312">
                  <w:marLeft w:val="0"/>
                  <w:marRight w:val="0"/>
                  <w:marTop w:val="0"/>
                  <w:marBottom w:val="0"/>
                  <w:divBdr>
                    <w:top w:val="none" w:sz="0" w:space="0" w:color="auto"/>
                    <w:left w:val="none" w:sz="0" w:space="0" w:color="auto"/>
                    <w:bottom w:val="none" w:sz="0" w:space="0" w:color="auto"/>
                    <w:right w:val="none" w:sz="0" w:space="0" w:color="auto"/>
                  </w:divBdr>
                  <w:divsChild>
                    <w:div w:id="658457902">
                      <w:marLeft w:val="0"/>
                      <w:marRight w:val="0"/>
                      <w:marTop w:val="0"/>
                      <w:marBottom w:val="0"/>
                      <w:divBdr>
                        <w:top w:val="none" w:sz="0" w:space="0" w:color="auto"/>
                        <w:left w:val="none" w:sz="0" w:space="0" w:color="auto"/>
                        <w:bottom w:val="none" w:sz="0" w:space="0" w:color="auto"/>
                        <w:right w:val="none" w:sz="0" w:space="0" w:color="auto"/>
                      </w:divBdr>
                    </w:div>
                  </w:divsChild>
                </w:div>
                <w:div w:id="276645433">
                  <w:marLeft w:val="0"/>
                  <w:marRight w:val="0"/>
                  <w:marTop w:val="0"/>
                  <w:marBottom w:val="0"/>
                  <w:divBdr>
                    <w:top w:val="none" w:sz="0" w:space="0" w:color="auto"/>
                    <w:left w:val="none" w:sz="0" w:space="0" w:color="auto"/>
                    <w:bottom w:val="none" w:sz="0" w:space="0" w:color="auto"/>
                    <w:right w:val="none" w:sz="0" w:space="0" w:color="auto"/>
                  </w:divBdr>
                  <w:divsChild>
                    <w:div w:id="1631981272">
                      <w:marLeft w:val="0"/>
                      <w:marRight w:val="0"/>
                      <w:marTop w:val="0"/>
                      <w:marBottom w:val="0"/>
                      <w:divBdr>
                        <w:top w:val="none" w:sz="0" w:space="0" w:color="auto"/>
                        <w:left w:val="none" w:sz="0" w:space="0" w:color="auto"/>
                        <w:bottom w:val="none" w:sz="0" w:space="0" w:color="auto"/>
                        <w:right w:val="none" w:sz="0" w:space="0" w:color="auto"/>
                      </w:divBdr>
                    </w:div>
                  </w:divsChild>
                </w:div>
                <w:div w:id="284311323">
                  <w:marLeft w:val="0"/>
                  <w:marRight w:val="0"/>
                  <w:marTop w:val="0"/>
                  <w:marBottom w:val="0"/>
                  <w:divBdr>
                    <w:top w:val="none" w:sz="0" w:space="0" w:color="auto"/>
                    <w:left w:val="none" w:sz="0" w:space="0" w:color="auto"/>
                    <w:bottom w:val="none" w:sz="0" w:space="0" w:color="auto"/>
                    <w:right w:val="none" w:sz="0" w:space="0" w:color="auto"/>
                  </w:divBdr>
                  <w:divsChild>
                    <w:div w:id="1558397513">
                      <w:marLeft w:val="0"/>
                      <w:marRight w:val="0"/>
                      <w:marTop w:val="0"/>
                      <w:marBottom w:val="0"/>
                      <w:divBdr>
                        <w:top w:val="none" w:sz="0" w:space="0" w:color="auto"/>
                        <w:left w:val="none" w:sz="0" w:space="0" w:color="auto"/>
                        <w:bottom w:val="none" w:sz="0" w:space="0" w:color="auto"/>
                        <w:right w:val="none" w:sz="0" w:space="0" w:color="auto"/>
                      </w:divBdr>
                    </w:div>
                  </w:divsChild>
                </w:div>
                <w:div w:id="308941232">
                  <w:marLeft w:val="0"/>
                  <w:marRight w:val="0"/>
                  <w:marTop w:val="0"/>
                  <w:marBottom w:val="0"/>
                  <w:divBdr>
                    <w:top w:val="none" w:sz="0" w:space="0" w:color="auto"/>
                    <w:left w:val="none" w:sz="0" w:space="0" w:color="auto"/>
                    <w:bottom w:val="none" w:sz="0" w:space="0" w:color="auto"/>
                    <w:right w:val="none" w:sz="0" w:space="0" w:color="auto"/>
                  </w:divBdr>
                  <w:divsChild>
                    <w:div w:id="37903881">
                      <w:marLeft w:val="0"/>
                      <w:marRight w:val="0"/>
                      <w:marTop w:val="0"/>
                      <w:marBottom w:val="0"/>
                      <w:divBdr>
                        <w:top w:val="none" w:sz="0" w:space="0" w:color="auto"/>
                        <w:left w:val="none" w:sz="0" w:space="0" w:color="auto"/>
                        <w:bottom w:val="none" w:sz="0" w:space="0" w:color="auto"/>
                        <w:right w:val="none" w:sz="0" w:space="0" w:color="auto"/>
                      </w:divBdr>
                    </w:div>
                  </w:divsChild>
                </w:div>
                <w:div w:id="357971807">
                  <w:marLeft w:val="0"/>
                  <w:marRight w:val="0"/>
                  <w:marTop w:val="0"/>
                  <w:marBottom w:val="0"/>
                  <w:divBdr>
                    <w:top w:val="none" w:sz="0" w:space="0" w:color="auto"/>
                    <w:left w:val="none" w:sz="0" w:space="0" w:color="auto"/>
                    <w:bottom w:val="none" w:sz="0" w:space="0" w:color="auto"/>
                    <w:right w:val="none" w:sz="0" w:space="0" w:color="auto"/>
                  </w:divBdr>
                  <w:divsChild>
                    <w:div w:id="603919715">
                      <w:marLeft w:val="0"/>
                      <w:marRight w:val="0"/>
                      <w:marTop w:val="0"/>
                      <w:marBottom w:val="0"/>
                      <w:divBdr>
                        <w:top w:val="none" w:sz="0" w:space="0" w:color="auto"/>
                        <w:left w:val="none" w:sz="0" w:space="0" w:color="auto"/>
                        <w:bottom w:val="none" w:sz="0" w:space="0" w:color="auto"/>
                        <w:right w:val="none" w:sz="0" w:space="0" w:color="auto"/>
                      </w:divBdr>
                    </w:div>
                  </w:divsChild>
                </w:div>
                <w:div w:id="382680917">
                  <w:marLeft w:val="0"/>
                  <w:marRight w:val="0"/>
                  <w:marTop w:val="0"/>
                  <w:marBottom w:val="0"/>
                  <w:divBdr>
                    <w:top w:val="none" w:sz="0" w:space="0" w:color="auto"/>
                    <w:left w:val="none" w:sz="0" w:space="0" w:color="auto"/>
                    <w:bottom w:val="none" w:sz="0" w:space="0" w:color="auto"/>
                    <w:right w:val="none" w:sz="0" w:space="0" w:color="auto"/>
                  </w:divBdr>
                  <w:divsChild>
                    <w:div w:id="1892382088">
                      <w:marLeft w:val="0"/>
                      <w:marRight w:val="0"/>
                      <w:marTop w:val="0"/>
                      <w:marBottom w:val="0"/>
                      <w:divBdr>
                        <w:top w:val="none" w:sz="0" w:space="0" w:color="auto"/>
                        <w:left w:val="none" w:sz="0" w:space="0" w:color="auto"/>
                        <w:bottom w:val="none" w:sz="0" w:space="0" w:color="auto"/>
                        <w:right w:val="none" w:sz="0" w:space="0" w:color="auto"/>
                      </w:divBdr>
                    </w:div>
                  </w:divsChild>
                </w:div>
                <w:div w:id="426192042">
                  <w:marLeft w:val="0"/>
                  <w:marRight w:val="0"/>
                  <w:marTop w:val="0"/>
                  <w:marBottom w:val="0"/>
                  <w:divBdr>
                    <w:top w:val="none" w:sz="0" w:space="0" w:color="auto"/>
                    <w:left w:val="none" w:sz="0" w:space="0" w:color="auto"/>
                    <w:bottom w:val="none" w:sz="0" w:space="0" w:color="auto"/>
                    <w:right w:val="none" w:sz="0" w:space="0" w:color="auto"/>
                  </w:divBdr>
                  <w:divsChild>
                    <w:div w:id="281302173">
                      <w:marLeft w:val="0"/>
                      <w:marRight w:val="0"/>
                      <w:marTop w:val="0"/>
                      <w:marBottom w:val="0"/>
                      <w:divBdr>
                        <w:top w:val="none" w:sz="0" w:space="0" w:color="auto"/>
                        <w:left w:val="none" w:sz="0" w:space="0" w:color="auto"/>
                        <w:bottom w:val="none" w:sz="0" w:space="0" w:color="auto"/>
                        <w:right w:val="none" w:sz="0" w:space="0" w:color="auto"/>
                      </w:divBdr>
                    </w:div>
                  </w:divsChild>
                </w:div>
                <w:div w:id="444539308">
                  <w:marLeft w:val="0"/>
                  <w:marRight w:val="0"/>
                  <w:marTop w:val="0"/>
                  <w:marBottom w:val="0"/>
                  <w:divBdr>
                    <w:top w:val="none" w:sz="0" w:space="0" w:color="auto"/>
                    <w:left w:val="none" w:sz="0" w:space="0" w:color="auto"/>
                    <w:bottom w:val="none" w:sz="0" w:space="0" w:color="auto"/>
                    <w:right w:val="none" w:sz="0" w:space="0" w:color="auto"/>
                  </w:divBdr>
                  <w:divsChild>
                    <w:div w:id="1525172954">
                      <w:marLeft w:val="0"/>
                      <w:marRight w:val="0"/>
                      <w:marTop w:val="0"/>
                      <w:marBottom w:val="0"/>
                      <w:divBdr>
                        <w:top w:val="none" w:sz="0" w:space="0" w:color="auto"/>
                        <w:left w:val="none" w:sz="0" w:space="0" w:color="auto"/>
                        <w:bottom w:val="none" w:sz="0" w:space="0" w:color="auto"/>
                        <w:right w:val="none" w:sz="0" w:space="0" w:color="auto"/>
                      </w:divBdr>
                    </w:div>
                  </w:divsChild>
                </w:div>
                <w:div w:id="486362554">
                  <w:marLeft w:val="0"/>
                  <w:marRight w:val="0"/>
                  <w:marTop w:val="0"/>
                  <w:marBottom w:val="0"/>
                  <w:divBdr>
                    <w:top w:val="none" w:sz="0" w:space="0" w:color="auto"/>
                    <w:left w:val="none" w:sz="0" w:space="0" w:color="auto"/>
                    <w:bottom w:val="none" w:sz="0" w:space="0" w:color="auto"/>
                    <w:right w:val="none" w:sz="0" w:space="0" w:color="auto"/>
                  </w:divBdr>
                  <w:divsChild>
                    <w:div w:id="1784417241">
                      <w:marLeft w:val="0"/>
                      <w:marRight w:val="0"/>
                      <w:marTop w:val="0"/>
                      <w:marBottom w:val="0"/>
                      <w:divBdr>
                        <w:top w:val="none" w:sz="0" w:space="0" w:color="auto"/>
                        <w:left w:val="none" w:sz="0" w:space="0" w:color="auto"/>
                        <w:bottom w:val="none" w:sz="0" w:space="0" w:color="auto"/>
                        <w:right w:val="none" w:sz="0" w:space="0" w:color="auto"/>
                      </w:divBdr>
                    </w:div>
                  </w:divsChild>
                </w:div>
                <w:div w:id="505941713">
                  <w:marLeft w:val="0"/>
                  <w:marRight w:val="0"/>
                  <w:marTop w:val="0"/>
                  <w:marBottom w:val="0"/>
                  <w:divBdr>
                    <w:top w:val="none" w:sz="0" w:space="0" w:color="auto"/>
                    <w:left w:val="none" w:sz="0" w:space="0" w:color="auto"/>
                    <w:bottom w:val="none" w:sz="0" w:space="0" w:color="auto"/>
                    <w:right w:val="none" w:sz="0" w:space="0" w:color="auto"/>
                  </w:divBdr>
                  <w:divsChild>
                    <w:div w:id="1753425533">
                      <w:marLeft w:val="0"/>
                      <w:marRight w:val="0"/>
                      <w:marTop w:val="0"/>
                      <w:marBottom w:val="0"/>
                      <w:divBdr>
                        <w:top w:val="none" w:sz="0" w:space="0" w:color="auto"/>
                        <w:left w:val="none" w:sz="0" w:space="0" w:color="auto"/>
                        <w:bottom w:val="none" w:sz="0" w:space="0" w:color="auto"/>
                        <w:right w:val="none" w:sz="0" w:space="0" w:color="auto"/>
                      </w:divBdr>
                    </w:div>
                  </w:divsChild>
                </w:div>
                <w:div w:id="543177845">
                  <w:marLeft w:val="0"/>
                  <w:marRight w:val="0"/>
                  <w:marTop w:val="0"/>
                  <w:marBottom w:val="0"/>
                  <w:divBdr>
                    <w:top w:val="none" w:sz="0" w:space="0" w:color="auto"/>
                    <w:left w:val="none" w:sz="0" w:space="0" w:color="auto"/>
                    <w:bottom w:val="none" w:sz="0" w:space="0" w:color="auto"/>
                    <w:right w:val="none" w:sz="0" w:space="0" w:color="auto"/>
                  </w:divBdr>
                  <w:divsChild>
                    <w:div w:id="696809448">
                      <w:marLeft w:val="0"/>
                      <w:marRight w:val="0"/>
                      <w:marTop w:val="0"/>
                      <w:marBottom w:val="0"/>
                      <w:divBdr>
                        <w:top w:val="none" w:sz="0" w:space="0" w:color="auto"/>
                        <w:left w:val="none" w:sz="0" w:space="0" w:color="auto"/>
                        <w:bottom w:val="none" w:sz="0" w:space="0" w:color="auto"/>
                        <w:right w:val="none" w:sz="0" w:space="0" w:color="auto"/>
                      </w:divBdr>
                    </w:div>
                  </w:divsChild>
                </w:div>
                <w:div w:id="571236583">
                  <w:marLeft w:val="0"/>
                  <w:marRight w:val="0"/>
                  <w:marTop w:val="0"/>
                  <w:marBottom w:val="0"/>
                  <w:divBdr>
                    <w:top w:val="none" w:sz="0" w:space="0" w:color="auto"/>
                    <w:left w:val="none" w:sz="0" w:space="0" w:color="auto"/>
                    <w:bottom w:val="none" w:sz="0" w:space="0" w:color="auto"/>
                    <w:right w:val="none" w:sz="0" w:space="0" w:color="auto"/>
                  </w:divBdr>
                  <w:divsChild>
                    <w:div w:id="540365717">
                      <w:marLeft w:val="0"/>
                      <w:marRight w:val="0"/>
                      <w:marTop w:val="0"/>
                      <w:marBottom w:val="0"/>
                      <w:divBdr>
                        <w:top w:val="none" w:sz="0" w:space="0" w:color="auto"/>
                        <w:left w:val="none" w:sz="0" w:space="0" w:color="auto"/>
                        <w:bottom w:val="none" w:sz="0" w:space="0" w:color="auto"/>
                        <w:right w:val="none" w:sz="0" w:space="0" w:color="auto"/>
                      </w:divBdr>
                    </w:div>
                  </w:divsChild>
                </w:div>
                <w:div w:id="618682519">
                  <w:marLeft w:val="0"/>
                  <w:marRight w:val="0"/>
                  <w:marTop w:val="0"/>
                  <w:marBottom w:val="0"/>
                  <w:divBdr>
                    <w:top w:val="none" w:sz="0" w:space="0" w:color="auto"/>
                    <w:left w:val="none" w:sz="0" w:space="0" w:color="auto"/>
                    <w:bottom w:val="none" w:sz="0" w:space="0" w:color="auto"/>
                    <w:right w:val="none" w:sz="0" w:space="0" w:color="auto"/>
                  </w:divBdr>
                  <w:divsChild>
                    <w:div w:id="1576890290">
                      <w:marLeft w:val="0"/>
                      <w:marRight w:val="0"/>
                      <w:marTop w:val="0"/>
                      <w:marBottom w:val="0"/>
                      <w:divBdr>
                        <w:top w:val="none" w:sz="0" w:space="0" w:color="auto"/>
                        <w:left w:val="none" w:sz="0" w:space="0" w:color="auto"/>
                        <w:bottom w:val="none" w:sz="0" w:space="0" w:color="auto"/>
                        <w:right w:val="none" w:sz="0" w:space="0" w:color="auto"/>
                      </w:divBdr>
                    </w:div>
                  </w:divsChild>
                </w:div>
                <w:div w:id="631322942">
                  <w:marLeft w:val="0"/>
                  <w:marRight w:val="0"/>
                  <w:marTop w:val="0"/>
                  <w:marBottom w:val="0"/>
                  <w:divBdr>
                    <w:top w:val="none" w:sz="0" w:space="0" w:color="auto"/>
                    <w:left w:val="none" w:sz="0" w:space="0" w:color="auto"/>
                    <w:bottom w:val="none" w:sz="0" w:space="0" w:color="auto"/>
                    <w:right w:val="none" w:sz="0" w:space="0" w:color="auto"/>
                  </w:divBdr>
                  <w:divsChild>
                    <w:div w:id="153642409">
                      <w:marLeft w:val="0"/>
                      <w:marRight w:val="0"/>
                      <w:marTop w:val="0"/>
                      <w:marBottom w:val="0"/>
                      <w:divBdr>
                        <w:top w:val="none" w:sz="0" w:space="0" w:color="auto"/>
                        <w:left w:val="none" w:sz="0" w:space="0" w:color="auto"/>
                        <w:bottom w:val="none" w:sz="0" w:space="0" w:color="auto"/>
                        <w:right w:val="none" w:sz="0" w:space="0" w:color="auto"/>
                      </w:divBdr>
                    </w:div>
                  </w:divsChild>
                </w:div>
                <w:div w:id="636224436">
                  <w:marLeft w:val="0"/>
                  <w:marRight w:val="0"/>
                  <w:marTop w:val="0"/>
                  <w:marBottom w:val="0"/>
                  <w:divBdr>
                    <w:top w:val="none" w:sz="0" w:space="0" w:color="auto"/>
                    <w:left w:val="none" w:sz="0" w:space="0" w:color="auto"/>
                    <w:bottom w:val="none" w:sz="0" w:space="0" w:color="auto"/>
                    <w:right w:val="none" w:sz="0" w:space="0" w:color="auto"/>
                  </w:divBdr>
                  <w:divsChild>
                    <w:div w:id="1549418757">
                      <w:marLeft w:val="0"/>
                      <w:marRight w:val="0"/>
                      <w:marTop w:val="0"/>
                      <w:marBottom w:val="0"/>
                      <w:divBdr>
                        <w:top w:val="none" w:sz="0" w:space="0" w:color="auto"/>
                        <w:left w:val="none" w:sz="0" w:space="0" w:color="auto"/>
                        <w:bottom w:val="none" w:sz="0" w:space="0" w:color="auto"/>
                        <w:right w:val="none" w:sz="0" w:space="0" w:color="auto"/>
                      </w:divBdr>
                    </w:div>
                    <w:div w:id="1994328145">
                      <w:marLeft w:val="0"/>
                      <w:marRight w:val="0"/>
                      <w:marTop w:val="0"/>
                      <w:marBottom w:val="0"/>
                      <w:divBdr>
                        <w:top w:val="none" w:sz="0" w:space="0" w:color="auto"/>
                        <w:left w:val="none" w:sz="0" w:space="0" w:color="auto"/>
                        <w:bottom w:val="none" w:sz="0" w:space="0" w:color="auto"/>
                        <w:right w:val="none" w:sz="0" w:space="0" w:color="auto"/>
                      </w:divBdr>
                    </w:div>
                  </w:divsChild>
                </w:div>
                <w:div w:id="650184166">
                  <w:marLeft w:val="0"/>
                  <w:marRight w:val="0"/>
                  <w:marTop w:val="0"/>
                  <w:marBottom w:val="0"/>
                  <w:divBdr>
                    <w:top w:val="none" w:sz="0" w:space="0" w:color="auto"/>
                    <w:left w:val="none" w:sz="0" w:space="0" w:color="auto"/>
                    <w:bottom w:val="none" w:sz="0" w:space="0" w:color="auto"/>
                    <w:right w:val="none" w:sz="0" w:space="0" w:color="auto"/>
                  </w:divBdr>
                  <w:divsChild>
                    <w:div w:id="109664380">
                      <w:marLeft w:val="0"/>
                      <w:marRight w:val="0"/>
                      <w:marTop w:val="0"/>
                      <w:marBottom w:val="0"/>
                      <w:divBdr>
                        <w:top w:val="none" w:sz="0" w:space="0" w:color="auto"/>
                        <w:left w:val="none" w:sz="0" w:space="0" w:color="auto"/>
                        <w:bottom w:val="none" w:sz="0" w:space="0" w:color="auto"/>
                        <w:right w:val="none" w:sz="0" w:space="0" w:color="auto"/>
                      </w:divBdr>
                    </w:div>
                  </w:divsChild>
                </w:div>
                <w:div w:id="654993867">
                  <w:marLeft w:val="0"/>
                  <w:marRight w:val="0"/>
                  <w:marTop w:val="0"/>
                  <w:marBottom w:val="0"/>
                  <w:divBdr>
                    <w:top w:val="none" w:sz="0" w:space="0" w:color="auto"/>
                    <w:left w:val="none" w:sz="0" w:space="0" w:color="auto"/>
                    <w:bottom w:val="none" w:sz="0" w:space="0" w:color="auto"/>
                    <w:right w:val="none" w:sz="0" w:space="0" w:color="auto"/>
                  </w:divBdr>
                  <w:divsChild>
                    <w:div w:id="187834004">
                      <w:marLeft w:val="0"/>
                      <w:marRight w:val="0"/>
                      <w:marTop w:val="0"/>
                      <w:marBottom w:val="0"/>
                      <w:divBdr>
                        <w:top w:val="none" w:sz="0" w:space="0" w:color="auto"/>
                        <w:left w:val="none" w:sz="0" w:space="0" w:color="auto"/>
                        <w:bottom w:val="none" w:sz="0" w:space="0" w:color="auto"/>
                        <w:right w:val="none" w:sz="0" w:space="0" w:color="auto"/>
                      </w:divBdr>
                    </w:div>
                  </w:divsChild>
                </w:div>
                <w:div w:id="691223352">
                  <w:marLeft w:val="0"/>
                  <w:marRight w:val="0"/>
                  <w:marTop w:val="0"/>
                  <w:marBottom w:val="0"/>
                  <w:divBdr>
                    <w:top w:val="none" w:sz="0" w:space="0" w:color="auto"/>
                    <w:left w:val="none" w:sz="0" w:space="0" w:color="auto"/>
                    <w:bottom w:val="none" w:sz="0" w:space="0" w:color="auto"/>
                    <w:right w:val="none" w:sz="0" w:space="0" w:color="auto"/>
                  </w:divBdr>
                  <w:divsChild>
                    <w:div w:id="2076122899">
                      <w:marLeft w:val="0"/>
                      <w:marRight w:val="0"/>
                      <w:marTop w:val="0"/>
                      <w:marBottom w:val="0"/>
                      <w:divBdr>
                        <w:top w:val="none" w:sz="0" w:space="0" w:color="auto"/>
                        <w:left w:val="none" w:sz="0" w:space="0" w:color="auto"/>
                        <w:bottom w:val="none" w:sz="0" w:space="0" w:color="auto"/>
                        <w:right w:val="none" w:sz="0" w:space="0" w:color="auto"/>
                      </w:divBdr>
                    </w:div>
                  </w:divsChild>
                </w:div>
                <w:div w:id="756051396">
                  <w:marLeft w:val="0"/>
                  <w:marRight w:val="0"/>
                  <w:marTop w:val="0"/>
                  <w:marBottom w:val="0"/>
                  <w:divBdr>
                    <w:top w:val="none" w:sz="0" w:space="0" w:color="auto"/>
                    <w:left w:val="none" w:sz="0" w:space="0" w:color="auto"/>
                    <w:bottom w:val="none" w:sz="0" w:space="0" w:color="auto"/>
                    <w:right w:val="none" w:sz="0" w:space="0" w:color="auto"/>
                  </w:divBdr>
                  <w:divsChild>
                    <w:div w:id="1609502555">
                      <w:marLeft w:val="0"/>
                      <w:marRight w:val="0"/>
                      <w:marTop w:val="0"/>
                      <w:marBottom w:val="0"/>
                      <w:divBdr>
                        <w:top w:val="none" w:sz="0" w:space="0" w:color="auto"/>
                        <w:left w:val="none" w:sz="0" w:space="0" w:color="auto"/>
                        <w:bottom w:val="none" w:sz="0" w:space="0" w:color="auto"/>
                        <w:right w:val="none" w:sz="0" w:space="0" w:color="auto"/>
                      </w:divBdr>
                    </w:div>
                  </w:divsChild>
                </w:div>
                <w:div w:id="760446126">
                  <w:marLeft w:val="0"/>
                  <w:marRight w:val="0"/>
                  <w:marTop w:val="0"/>
                  <w:marBottom w:val="0"/>
                  <w:divBdr>
                    <w:top w:val="none" w:sz="0" w:space="0" w:color="auto"/>
                    <w:left w:val="none" w:sz="0" w:space="0" w:color="auto"/>
                    <w:bottom w:val="none" w:sz="0" w:space="0" w:color="auto"/>
                    <w:right w:val="none" w:sz="0" w:space="0" w:color="auto"/>
                  </w:divBdr>
                  <w:divsChild>
                    <w:div w:id="369576743">
                      <w:marLeft w:val="0"/>
                      <w:marRight w:val="0"/>
                      <w:marTop w:val="0"/>
                      <w:marBottom w:val="0"/>
                      <w:divBdr>
                        <w:top w:val="none" w:sz="0" w:space="0" w:color="auto"/>
                        <w:left w:val="none" w:sz="0" w:space="0" w:color="auto"/>
                        <w:bottom w:val="none" w:sz="0" w:space="0" w:color="auto"/>
                        <w:right w:val="none" w:sz="0" w:space="0" w:color="auto"/>
                      </w:divBdr>
                    </w:div>
                  </w:divsChild>
                </w:div>
                <w:div w:id="780759118">
                  <w:marLeft w:val="0"/>
                  <w:marRight w:val="0"/>
                  <w:marTop w:val="0"/>
                  <w:marBottom w:val="0"/>
                  <w:divBdr>
                    <w:top w:val="none" w:sz="0" w:space="0" w:color="auto"/>
                    <w:left w:val="none" w:sz="0" w:space="0" w:color="auto"/>
                    <w:bottom w:val="none" w:sz="0" w:space="0" w:color="auto"/>
                    <w:right w:val="none" w:sz="0" w:space="0" w:color="auto"/>
                  </w:divBdr>
                  <w:divsChild>
                    <w:div w:id="1913537589">
                      <w:marLeft w:val="0"/>
                      <w:marRight w:val="0"/>
                      <w:marTop w:val="0"/>
                      <w:marBottom w:val="0"/>
                      <w:divBdr>
                        <w:top w:val="none" w:sz="0" w:space="0" w:color="auto"/>
                        <w:left w:val="none" w:sz="0" w:space="0" w:color="auto"/>
                        <w:bottom w:val="none" w:sz="0" w:space="0" w:color="auto"/>
                        <w:right w:val="none" w:sz="0" w:space="0" w:color="auto"/>
                      </w:divBdr>
                    </w:div>
                  </w:divsChild>
                </w:div>
                <w:div w:id="815684347">
                  <w:marLeft w:val="0"/>
                  <w:marRight w:val="0"/>
                  <w:marTop w:val="0"/>
                  <w:marBottom w:val="0"/>
                  <w:divBdr>
                    <w:top w:val="none" w:sz="0" w:space="0" w:color="auto"/>
                    <w:left w:val="none" w:sz="0" w:space="0" w:color="auto"/>
                    <w:bottom w:val="none" w:sz="0" w:space="0" w:color="auto"/>
                    <w:right w:val="none" w:sz="0" w:space="0" w:color="auto"/>
                  </w:divBdr>
                  <w:divsChild>
                    <w:div w:id="1678456120">
                      <w:marLeft w:val="0"/>
                      <w:marRight w:val="0"/>
                      <w:marTop w:val="0"/>
                      <w:marBottom w:val="0"/>
                      <w:divBdr>
                        <w:top w:val="none" w:sz="0" w:space="0" w:color="auto"/>
                        <w:left w:val="none" w:sz="0" w:space="0" w:color="auto"/>
                        <w:bottom w:val="none" w:sz="0" w:space="0" w:color="auto"/>
                        <w:right w:val="none" w:sz="0" w:space="0" w:color="auto"/>
                      </w:divBdr>
                    </w:div>
                  </w:divsChild>
                </w:div>
                <w:div w:id="843127677">
                  <w:marLeft w:val="0"/>
                  <w:marRight w:val="0"/>
                  <w:marTop w:val="0"/>
                  <w:marBottom w:val="0"/>
                  <w:divBdr>
                    <w:top w:val="none" w:sz="0" w:space="0" w:color="auto"/>
                    <w:left w:val="none" w:sz="0" w:space="0" w:color="auto"/>
                    <w:bottom w:val="none" w:sz="0" w:space="0" w:color="auto"/>
                    <w:right w:val="none" w:sz="0" w:space="0" w:color="auto"/>
                  </w:divBdr>
                  <w:divsChild>
                    <w:div w:id="1331910710">
                      <w:marLeft w:val="0"/>
                      <w:marRight w:val="0"/>
                      <w:marTop w:val="0"/>
                      <w:marBottom w:val="0"/>
                      <w:divBdr>
                        <w:top w:val="none" w:sz="0" w:space="0" w:color="auto"/>
                        <w:left w:val="none" w:sz="0" w:space="0" w:color="auto"/>
                        <w:bottom w:val="none" w:sz="0" w:space="0" w:color="auto"/>
                        <w:right w:val="none" w:sz="0" w:space="0" w:color="auto"/>
                      </w:divBdr>
                    </w:div>
                  </w:divsChild>
                </w:div>
                <w:div w:id="844249848">
                  <w:marLeft w:val="0"/>
                  <w:marRight w:val="0"/>
                  <w:marTop w:val="0"/>
                  <w:marBottom w:val="0"/>
                  <w:divBdr>
                    <w:top w:val="none" w:sz="0" w:space="0" w:color="auto"/>
                    <w:left w:val="none" w:sz="0" w:space="0" w:color="auto"/>
                    <w:bottom w:val="none" w:sz="0" w:space="0" w:color="auto"/>
                    <w:right w:val="none" w:sz="0" w:space="0" w:color="auto"/>
                  </w:divBdr>
                  <w:divsChild>
                    <w:div w:id="504514092">
                      <w:marLeft w:val="0"/>
                      <w:marRight w:val="0"/>
                      <w:marTop w:val="0"/>
                      <w:marBottom w:val="0"/>
                      <w:divBdr>
                        <w:top w:val="none" w:sz="0" w:space="0" w:color="auto"/>
                        <w:left w:val="none" w:sz="0" w:space="0" w:color="auto"/>
                        <w:bottom w:val="none" w:sz="0" w:space="0" w:color="auto"/>
                        <w:right w:val="none" w:sz="0" w:space="0" w:color="auto"/>
                      </w:divBdr>
                    </w:div>
                  </w:divsChild>
                </w:div>
                <w:div w:id="925188041">
                  <w:marLeft w:val="0"/>
                  <w:marRight w:val="0"/>
                  <w:marTop w:val="0"/>
                  <w:marBottom w:val="0"/>
                  <w:divBdr>
                    <w:top w:val="none" w:sz="0" w:space="0" w:color="auto"/>
                    <w:left w:val="none" w:sz="0" w:space="0" w:color="auto"/>
                    <w:bottom w:val="none" w:sz="0" w:space="0" w:color="auto"/>
                    <w:right w:val="none" w:sz="0" w:space="0" w:color="auto"/>
                  </w:divBdr>
                  <w:divsChild>
                    <w:div w:id="458382460">
                      <w:marLeft w:val="0"/>
                      <w:marRight w:val="0"/>
                      <w:marTop w:val="0"/>
                      <w:marBottom w:val="0"/>
                      <w:divBdr>
                        <w:top w:val="none" w:sz="0" w:space="0" w:color="auto"/>
                        <w:left w:val="none" w:sz="0" w:space="0" w:color="auto"/>
                        <w:bottom w:val="none" w:sz="0" w:space="0" w:color="auto"/>
                        <w:right w:val="none" w:sz="0" w:space="0" w:color="auto"/>
                      </w:divBdr>
                    </w:div>
                  </w:divsChild>
                </w:div>
                <w:div w:id="996227675">
                  <w:marLeft w:val="0"/>
                  <w:marRight w:val="0"/>
                  <w:marTop w:val="0"/>
                  <w:marBottom w:val="0"/>
                  <w:divBdr>
                    <w:top w:val="none" w:sz="0" w:space="0" w:color="auto"/>
                    <w:left w:val="none" w:sz="0" w:space="0" w:color="auto"/>
                    <w:bottom w:val="none" w:sz="0" w:space="0" w:color="auto"/>
                    <w:right w:val="none" w:sz="0" w:space="0" w:color="auto"/>
                  </w:divBdr>
                  <w:divsChild>
                    <w:div w:id="1621184462">
                      <w:marLeft w:val="0"/>
                      <w:marRight w:val="0"/>
                      <w:marTop w:val="0"/>
                      <w:marBottom w:val="0"/>
                      <w:divBdr>
                        <w:top w:val="none" w:sz="0" w:space="0" w:color="auto"/>
                        <w:left w:val="none" w:sz="0" w:space="0" w:color="auto"/>
                        <w:bottom w:val="none" w:sz="0" w:space="0" w:color="auto"/>
                        <w:right w:val="none" w:sz="0" w:space="0" w:color="auto"/>
                      </w:divBdr>
                    </w:div>
                  </w:divsChild>
                </w:div>
                <w:div w:id="1058482600">
                  <w:marLeft w:val="0"/>
                  <w:marRight w:val="0"/>
                  <w:marTop w:val="0"/>
                  <w:marBottom w:val="0"/>
                  <w:divBdr>
                    <w:top w:val="none" w:sz="0" w:space="0" w:color="auto"/>
                    <w:left w:val="none" w:sz="0" w:space="0" w:color="auto"/>
                    <w:bottom w:val="none" w:sz="0" w:space="0" w:color="auto"/>
                    <w:right w:val="none" w:sz="0" w:space="0" w:color="auto"/>
                  </w:divBdr>
                  <w:divsChild>
                    <w:div w:id="767772158">
                      <w:marLeft w:val="0"/>
                      <w:marRight w:val="0"/>
                      <w:marTop w:val="0"/>
                      <w:marBottom w:val="0"/>
                      <w:divBdr>
                        <w:top w:val="none" w:sz="0" w:space="0" w:color="auto"/>
                        <w:left w:val="none" w:sz="0" w:space="0" w:color="auto"/>
                        <w:bottom w:val="none" w:sz="0" w:space="0" w:color="auto"/>
                        <w:right w:val="none" w:sz="0" w:space="0" w:color="auto"/>
                      </w:divBdr>
                    </w:div>
                  </w:divsChild>
                </w:div>
                <w:div w:id="1060789377">
                  <w:marLeft w:val="0"/>
                  <w:marRight w:val="0"/>
                  <w:marTop w:val="0"/>
                  <w:marBottom w:val="0"/>
                  <w:divBdr>
                    <w:top w:val="none" w:sz="0" w:space="0" w:color="auto"/>
                    <w:left w:val="none" w:sz="0" w:space="0" w:color="auto"/>
                    <w:bottom w:val="none" w:sz="0" w:space="0" w:color="auto"/>
                    <w:right w:val="none" w:sz="0" w:space="0" w:color="auto"/>
                  </w:divBdr>
                  <w:divsChild>
                    <w:div w:id="109859834">
                      <w:marLeft w:val="0"/>
                      <w:marRight w:val="0"/>
                      <w:marTop w:val="0"/>
                      <w:marBottom w:val="0"/>
                      <w:divBdr>
                        <w:top w:val="none" w:sz="0" w:space="0" w:color="auto"/>
                        <w:left w:val="none" w:sz="0" w:space="0" w:color="auto"/>
                        <w:bottom w:val="none" w:sz="0" w:space="0" w:color="auto"/>
                        <w:right w:val="none" w:sz="0" w:space="0" w:color="auto"/>
                      </w:divBdr>
                    </w:div>
                  </w:divsChild>
                </w:div>
                <w:div w:id="1084031469">
                  <w:marLeft w:val="0"/>
                  <w:marRight w:val="0"/>
                  <w:marTop w:val="0"/>
                  <w:marBottom w:val="0"/>
                  <w:divBdr>
                    <w:top w:val="none" w:sz="0" w:space="0" w:color="auto"/>
                    <w:left w:val="none" w:sz="0" w:space="0" w:color="auto"/>
                    <w:bottom w:val="none" w:sz="0" w:space="0" w:color="auto"/>
                    <w:right w:val="none" w:sz="0" w:space="0" w:color="auto"/>
                  </w:divBdr>
                  <w:divsChild>
                    <w:div w:id="630482476">
                      <w:marLeft w:val="0"/>
                      <w:marRight w:val="0"/>
                      <w:marTop w:val="0"/>
                      <w:marBottom w:val="0"/>
                      <w:divBdr>
                        <w:top w:val="none" w:sz="0" w:space="0" w:color="auto"/>
                        <w:left w:val="none" w:sz="0" w:space="0" w:color="auto"/>
                        <w:bottom w:val="none" w:sz="0" w:space="0" w:color="auto"/>
                        <w:right w:val="none" w:sz="0" w:space="0" w:color="auto"/>
                      </w:divBdr>
                    </w:div>
                    <w:div w:id="877477066">
                      <w:marLeft w:val="0"/>
                      <w:marRight w:val="0"/>
                      <w:marTop w:val="0"/>
                      <w:marBottom w:val="0"/>
                      <w:divBdr>
                        <w:top w:val="none" w:sz="0" w:space="0" w:color="auto"/>
                        <w:left w:val="none" w:sz="0" w:space="0" w:color="auto"/>
                        <w:bottom w:val="none" w:sz="0" w:space="0" w:color="auto"/>
                        <w:right w:val="none" w:sz="0" w:space="0" w:color="auto"/>
                      </w:divBdr>
                    </w:div>
                  </w:divsChild>
                </w:div>
                <w:div w:id="1098331402">
                  <w:marLeft w:val="0"/>
                  <w:marRight w:val="0"/>
                  <w:marTop w:val="0"/>
                  <w:marBottom w:val="0"/>
                  <w:divBdr>
                    <w:top w:val="none" w:sz="0" w:space="0" w:color="auto"/>
                    <w:left w:val="none" w:sz="0" w:space="0" w:color="auto"/>
                    <w:bottom w:val="none" w:sz="0" w:space="0" w:color="auto"/>
                    <w:right w:val="none" w:sz="0" w:space="0" w:color="auto"/>
                  </w:divBdr>
                  <w:divsChild>
                    <w:div w:id="1277638765">
                      <w:marLeft w:val="0"/>
                      <w:marRight w:val="0"/>
                      <w:marTop w:val="0"/>
                      <w:marBottom w:val="0"/>
                      <w:divBdr>
                        <w:top w:val="none" w:sz="0" w:space="0" w:color="auto"/>
                        <w:left w:val="none" w:sz="0" w:space="0" w:color="auto"/>
                        <w:bottom w:val="none" w:sz="0" w:space="0" w:color="auto"/>
                        <w:right w:val="none" w:sz="0" w:space="0" w:color="auto"/>
                      </w:divBdr>
                    </w:div>
                  </w:divsChild>
                </w:div>
                <w:div w:id="1102341846">
                  <w:marLeft w:val="0"/>
                  <w:marRight w:val="0"/>
                  <w:marTop w:val="0"/>
                  <w:marBottom w:val="0"/>
                  <w:divBdr>
                    <w:top w:val="none" w:sz="0" w:space="0" w:color="auto"/>
                    <w:left w:val="none" w:sz="0" w:space="0" w:color="auto"/>
                    <w:bottom w:val="none" w:sz="0" w:space="0" w:color="auto"/>
                    <w:right w:val="none" w:sz="0" w:space="0" w:color="auto"/>
                  </w:divBdr>
                  <w:divsChild>
                    <w:div w:id="831989494">
                      <w:marLeft w:val="0"/>
                      <w:marRight w:val="0"/>
                      <w:marTop w:val="0"/>
                      <w:marBottom w:val="0"/>
                      <w:divBdr>
                        <w:top w:val="none" w:sz="0" w:space="0" w:color="auto"/>
                        <w:left w:val="none" w:sz="0" w:space="0" w:color="auto"/>
                        <w:bottom w:val="none" w:sz="0" w:space="0" w:color="auto"/>
                        <w:right w:val="none" w:sz="0" w:space="0" w:color="auto"/>
                      </w:divBdr>
                    </w:div>
                  </w:divsChild>
                </w:div>
                <w:div w:id="1218274907">
                  <w:marLeft w:val="0"/>
                  <w:marRight w:val="0"/>
                  <w:marTop w:val="0"/>
                  <w:marBottom w:val="0"/>
                  <w:divBdr>
                    <w:top w:val="none" w:sz="0" w:space="0" w:color="auto"/>
                    <w:left w:val="none" w:sz="0" w:space="0" w:color="auto"/>
                    <w:bottom w:val="none" w:sz="0" w:space="0" w:color="auto"/>
                    <w:right w:val="none" w:sz="0" w:space="0" w:color="auto"/>
                  </w:divBdr>
                  <w:divsChild>
                    <w:div w:id="131364537">
                      <w:marLeft w:val="0"/>
                      <w:marRight w:val="0"/>
                      <w:marTop w:val="0"/>
                      <w:marBottom w:val="0"/>
                      <w:divBdr>
                        <w:top w:val="none" w:sz="0" w:space="0" w:color="auto"/>
                        <w:left w:val="none" w:sz="0" w:space="0" w:color="auto"/>
                        <w:bottom w:val="none" w:sz="0" w:space="0" w:color="auto"/>
                        <w:right w:val="none" w:sz="0" w:space="0" w:color="auto"/>
                      </w:divBdr>
                    </w:div>
                  </w:divsChild>
                </w:div>
                <w:div w:id="1309170147">
                  <w:marLeft w:val="0"/>
                  <w:marRight w:val="0"/>
                  <w:marTop w:val="0"/>
                  <w:marBottom w:val="0"/>
                  <w:divBdr>
                    <w:top w:val="none" w:sz="0" w:space="0" w:color="auto"/>
                    <w:left w:val="none" w:sz="0" w:space="0" w:color="auto"/>
                    <w:bottom w:val="none" w:sz="0" w:space="0" w:color="auto"/>
                    <w:right w:val="none" w:sz="0" w:space="0" w:color="auto"/>
                  </w:divBdr>
                  <w:divsChild>
                    <w:div w:id="1652949007">
                      <w:marLeft w:val="0"/>
                      <w:marRight w:val="0"/>
                      <w:marTop w:val="0"/>
                      <w:marBottom w:val="0"/>
                      <w:divBdr>
                        <w:top w:val="none" w:sz="0" w:space="0" w:color="auto"/>
                        <w:left w:val="none" w:sz="0" w:space="0" w:color="auto"/>
                        <w:bottom w:val="none" w:sz="0" w:space="0" w:color="auto"/>
                        <w:right w:val="none" w:sz="0" w:space="0" w:color="auto"/>
                      </w:divBdr>
                    </w:div>
                  </w:divsChild>
                </w:div>
                <w:div w:id="1353149320">
                  <w:marLeft w:val="0"/>
                  <w:marRight w:val="0"/>
                  <w:marTop w:val="0"/>
                  <w:marBottom w:val="0"/>
                  <w:divBdr>
                    <w:top w:val="none" w:sz="0" w:space="0" w:color="auto"/>
                    <w:left w:val="none" w:sz="0" w:space="0" w:color="auto"/>
                    <w:bottom w:val="none" w:sz="0" w:space="0" w:color="auto"/>
                    <w:right w:val="none" w:sz="0" w:space="0" w:color="auto"/>
                  </w:divBdr>
                  <w:divsChild>
                    <w:div w:id="860239004">
                      <w:marLeft w:val="0"/>
                      <w:marRight w:val="0"/>
                      <w:marTop w:val="0"/>
                      <w:marBottom w:val="0"/>
                      <w:divBdr>
                        <w:top w:val="none" w:sz="0" w:space="0" w:color="auto"/>
                        <w:left w:val="none" w:sz="0" w:space="0" w:color="auto"/>
                        <w:bottom w:val="none" w:sz="0" w:space="0" w:color="auto"/>
                        <w:right w:val="none" w:sz="0" w:space="0" w:color="auto"/>
                      </w:divBdr>
                    </w:div>
                  </w:divsChild>
                </w:div>
                <w:div w:id="1388843625">
                  <w:marLeft w:val="0"/>
                  <w:marRight w:val="0"/>
                  <w:marTop w:val="0"/>
                  <w:marBottom w:val="0"/>
                  <w:divBdr>
                    <w:top w:val="none" w:sz="0" w:space="0" w:color="auto"/>
                    <w:left w:val="none" w:sz="0" w:space="0" w:color="auto"/>
                    <w:bottom w:val="none" w:sz="0" w:space="0" w:color="auto"/>
                    <w:right w:val="none" w:sz="0" w:space="0" w:color="auto"/>
                  </w:divBdr>
                  <w:divsChild>
                    <w:div w:id="391588035">
                      <w:marLeft w:val="0"/>
                      <w:marRight w:val="0"/>
                      <w:marTop w:val="0"/>
                      <w:marBottom w:val="0"/>
                      <w:divBdr>
                        <w:top w:val="none" w:sz="0" w:space="0" w:color="auto"/>
                        <w:left w:val="none" w:sz="0" w:space="0" w:color="auto"/>
                        <w:bottom w:val="none" w:sz="0" w:space="0" w:color="auto"/>
                        <w:right w:val="none" w:sz="0" w:space="0" w:color="auto"/>
                      </w:divBdr>
                    </w:div>
                  </w:divsChild>
                </w:div>
                <w:div w:id="1391734772">
                  <w:marLeft w:val="0"/>
                  <w:marRight w:val="0"/>
                  <w:marTop w:val="0"/>
                  <w:marBottom w:val="0"/>
                  <w:divBdr>
                    <w:top w:val="none" w:sz="0" w:space="0" w:color="auto"/>
                    <w:left w:val="none" w:sz="0" w:space="0" w:color="auto"/>
                    <w:bottom w:val="none" w:sz="0" w:space="0" w:color="auto"/>
                    <w:right w:val="none" w:sz="0" w:space="0" w:color="auto"/>
                  </w:divBdr>
                  <w:divsChild>
                    <w:div w:id="1817603715">
                      <w:marLeft w:val="0"/>
                      <w:marRight w:val="0"/>
                      <w:marTop w:val="0"/>
                      <w:marBottom w:val="0"/>
                      <w:divBdr>
                        <w:top w:val="none" w:sz="0" w:space="0" w:color="auto"/>
                        <w:left w:val="none" w:sz="0" w:space="0" w:color="auto"/>
                        <w:bottom w:val="none" w:sz="0" w:space="0" w:color="auto"/>
                        <w:right w:val="none" w:sz="0" w:space="0" w:color="auto"/>
                      </w:divBdr>
                    </w:div>
                  </w:divsChild>
                </w:div>
                <w:div w:id="1415592520">
                  <w:marLeft w:val="0"/>
                  <w:marRight w:val="0"/>
                  <w:marTop w:val="0"/>
                  <w:marBottom w:val="0"/>
                  <w:divBdr>
                    <w:top w:val="none" w:sz="0" w:space="0" w:color="auto"/>
                    <w:left w:val="none" w:sz="0" w:space="0" w:color="auto"/>
                    <w:bottom w:val="none" w:sz="0" w:space="0" w:color="auto"/>
                    <w:right w:val="none" w:sz="0" w:space="0" w:color="auto"/>
                  </w:divBdr>
                  <w:divsChild>
                    <w:div w:id="1995645012">
                      <w:marLeft w:val="0"/>
                      <w:marRight w:val="0"/>
                      <w:marTop w:val="0"/>
                      <w:marBottom w:val="0"/>
                      <w:divBdr>
                        <w:top w:val="none" w:sz="0" w:space="0" w:color="auto"/>
                        <w:left w:val="none" w:sz="0" w:space="0" w:color="auto"/>
                        <w:bottom w:val="none" w:sz="0" w:space="0" w:color="auto"/>
                        <w:right w:val="none" w:sz="0" w:space="0" w:color="auto"/>
                      </w:divBdr>
                    </w:div>
                  </w:divsChild>
                </w:div>
                <w:div w:id="1616251200">
                  <w:marLeft w:val="0"/>
                  <w:marRight w:val="0"/>
                  <w:marTop w:val="0"/>
                  <w:marBottom w:val="0"/>
                  <w:divBdr>
                    <w:top w:val="none" w:sz="0" w:space="0" w:color="auto"/>
                    <w:left w:val="none" w:sz="0" w:space="0" w:color="auto"/>
                    <w:bottom w:val="none" w:sz="0" w:space="0" w:color="auto"/>
                    <w:right w:val="none" w:sz="0" w:space="0" w:color="auto"/>
                  </w:divBdr>
                  <w:divsChild>
                    <w:div w:id="1239098126">
                      <w:marLeft w:val="0"/>
                      <w:marRight w:val="0"/>
                      <w:marTop w:val="0"/>
                      <w:marBottom w:val="0"/>
                      <w:divBdr>
                        <w:top w:val="none" w:sz="0" w:space="0" w:color="auto"/>
                        <w:left w:val="none" w:sz="0" w:space="0" w:color="auto"/>
                        <w:bottom w:val="none" w:sz="0" w:space="0" w:color="auto"/>
                        <w:right w:val="none" w:sz="0" w:space="0" w:color="auto"/>
                      </w:divBdr>
                    </w:div>
                  </w:divsChild>
                </w:div>
                <w:div w:id="1617367389">
                  <w:marLeft w:val="0"/>
                  <w:marRight w:val="0"/>
                  <w:marTop w:val="0"/>
                  <w:marBottom w:val="0"/>
                  <w:divBdr>
                    <w:top w:val="none" w:sz="0" w:space="0" w:color="auto"/>
                    <w:left w:val="none" w:sz="0" w:space="0" w:color="auto"/>
                    <w:bottom w:val="none" w:sz="0" w:space="0" w:color="auto"/>
                    <w:right w:val="none" w:sz="0" w:space="0" w:color="auto"/>
                  </w:divBdr>
                  <w:divsChild>
                    <w:div w:id="1342389632">
                      <w:marLeft w:val="0"/>
                      <w:marRight w:val="0"/>
                      <w:marTop w:val="0"/>
                      <w:marBottom w:val="0"/>
                      <w:divBdr>
                        <w:top w:val="none" w:sz="0" w:space="0" w:color="auto"/>
                        <w:left w:val="none" w:sz="0" w:space="0" w:color="auto"/>
                        <w:bottom w:val="none" w:sz="0" w:space="0" w:color="auto"/>
                        <w:right w:val="none" w:sz="0" w:space="0" w:color="auto"/>
                      </w:divBdr>
                    </w:div>
                  </w:divsChild>
                </w:div>
                <w:div w:id="1644001219">
                  <w:marLeft w:val="0"/>
                  <w:marRight w:val="0"/>
                  <w:marTop w:val="0"/>
                  <w:marBottom w:val="0"/>
                  <w:divBdr>
                    <w:top w:val="none" w:sz="0" w:space="0" w:color="auto"/>
                    <w:left w:val="none" w:sz="0" w:space="0" w:color="auto"/>
                    <w:bottom w:val="none" w:sz="0" w:space="0" w:color="auto"/>
                    <w:right w:val="none" w:sz="0" w:space="0" w:color="auto"/>
                  </w:divBdr>
                  <w:divsChild>
                    <w:div w:id="79646858">
                      <w:marLeft w:val="0"/>
                      <w:marRight w:val="0"/>
                      <w:marTop w:val="0"/>
                      <w:marBottom w:val="0"/>
                      <w:divBdr>
                        <w:top w:val="none" w:sz="0" w:space="0" w:color="auto"/>
                        <w:left w:val="none" w:sz="0" w:space="0" w:color="auto"/>
                        <w:bottom w:val="none" w:sz="0" w:space="0" w:color="auto"/>
                        <w:right w:val="none" w:sz="0" w:space="0" w:color="auto"/>
                      </w:divBdr>
                    </w:div>
                  </w:divsChild>
                </w:div>
                <w:div w:id="1678728443">
                  <w:marLeft w:val="0"/>
                  <w:marRight w:val="0"/>
                  <w:marTop w:val="0"/>
                  <w:marBottom w:val="0"/>
                  <w:divBdr>
                    <w:top w:val="none" w:sz="0" w:space="0" w:color="auto"/>
                    <w:left w:val="none" w:sz="0" w:space="0" w:color="auto"/>
                    <w:bottom w:val="none" w:sz="0" w:space="0" w:color="auto"/>
                    <w:right w:val="none" w:sz="0" w:space="0" w:color="auto"/>
                  </w:divBdr>
                  <w:divsChild>
                    <w:div w:id="1534419210">
                      <w:marLeft w:val="0"/>
                      <w:marRight w:val="0"/>
                      <w:marTop w:val="0"/>
                      <w:marBottom w:val="0"/>
                      <w:divBdr>
                        <w:top w:val="none" w:sz="0" w:space="0" w:color="auto"/>
                        <w:left w:val="none" w:sz="0" w:space="0" w:color="auto"/>
                        <w:bottom w:val="none" w:sz="0" w:space="0" w:color="auto"/>
                        <w:right w:val="none" w:sz="0" w:space="0" w:color="auto"/>
                      </w:divBdr>
                    </w:div>
                  </w:divsChild>
                </w:div>
                <w:div w:id="1696803240">
                  <w:marLeft w:val="0"/>
                  <w:marRight w:val="0"/>
                  <w:marTop w:val="0"/>
                  <w:marBottom w:val="0"/>
                  <w:divBdr>
                    <w:top w:val="none" w:sz="0" w:space="0" w:color="auto"/>
                    <w:left w:val="none" w:sz="0" w:space="0" w:color="auto"/>
                    <w:bottom w:val="none" w:sz="0" w:space="0" w:color="auto"/>
                    <w:right w:val="none" w:sz="0" w:space="0" w:color="auto"/>
                  </w:divBdr>
                  <w:divsChild>
                    <w:div w:id="1659965016">
                      <w:marLeft w:val="0"/>
                      <w:marRight w:val="0"/>
                      <w:marTop w:val="0"/>
                      <w:marBottom w:val="0"/>
                      <w:divBdr>
                        <w:top w:val="none" w:sz="0" w:space="0" w:color="auto"/>
                        <w:left w:val="none" w:sz="0" w:space="0" w:color="auto"/>
                        <w:bottom w:val="none" w:sz="0" w:space="0" w:color="auto"/>
                        <w:right w:val="none" w:sz="0" w:space="0" w:color="auto"/>
                      </w:divBdr>
                    </w:div>
                  </w:divsChild>
                </w:div>
                <w:div w:id="1713111362">
                  <w:marLeft w:val="0"/>
                  <w:marRight w:val="0"/>
                  <w:marTop w:val="0"/>
                  <w:marBottom w:val="0"/>
                  <w:divBdr>
                    <w:top w:val="none" w:sz="0" w:space="0" w:color="auto"/>
                    <w:left w:val="none" w:sz="0" w:space="0" w:color="auto"/>
                    <w:bottom w:val="none" w:sz="0" w:space="0" w:color="auto"/>
                    <w:right w:val="none" w:sz="0" w:space="0" w:color="auto"/>
                  </w:divBdr>
                  <w:divsChild>
                    <w:div w:id="87039905">
                      <w:marLeft w:val="0"/>
                      <w:marRight w:val="0"/>
                      <w:marTop w:val="0"/>
                      <w:marBottom w:val="0"/>
                      <w:divBdr>
                        <w:top w:val="none" w:sz="0" w:space="0" w:color="auto"/>
                        <w:left w:val="none" w:sz="0" w:space="0" w:color="auto"/>
                        <w:bottom w:val="none" w:sz="0" w:space="0" w:color="auto"/>
                        <w:right w:val="none" w:sz="0" w:space="0" w:color="auto"/>
                      </w:divBdr>
                    </w:div>
                  </w:divsChild>
                </w:div>
                <w:div w:id="1722485077">
                  <w:marLeft w:val="0"/>
                  <w:marRight w:val="0"/>
                  <w:marTop w:val="0"/>
                  <w:marBottom w:val="0"/>
                  <w:divBdr>
                    <w:top w:val="none" w:sz="0" w:space="0" w:color="auto"/>
                    <w:left w:val="none" w:sz="0" w:space="0" w:color="auto"/>
                    <w:bottom w:val="none" w:sz="0" w:space="0" w:color="auto"/>
                    <w:right w:val="none" w:sz="0" w:space="0" w:color="auto"/>
                  </w:divBdr>
                  <w:divsChild>
                    <w:div w:id="1878198525">
                      <w:marLeft w:val="0"/>
                      <w:marRight w:val="0"/>
                      <w:marTop w:val="0"/>
                      <w:marBottom w:val="0"/>
                      <w:divBdr>
                        <w:top w:val="none" w:sz="0" w:space="0" w:color="auto"/>
                        <w:left w:val="none" w:sz="0" w:space="0" w:color="auto"/>
                        <w:bottom w:val="none" w:sz="0" w:space="0" w:color="auto"/>
                        <w:right w:val="none" w:sz="0" w:space="0" w:color="auto"/>
                      </w:divBdr>
                    </w:div>
                  </w:divsChild>
                </w:div>
                <w:div w:id="1728915905">
                  <w:marLeft w:val="0"/>
                  <w:marRight w:val="0"/>
                  <w:marTop w:val="0"/>
                  <w:marBottom w:val="0"/>
                  <w:divBdr>
                    <w:top w:val="none" w:sz="0" w:space="0" w:color="auto"/>
                    <w:left w:val="none" w:sz="0" w:space="0" w:color="auto"/>
                    <w:bottom w:val="none" w:sz="0" w:space="0" w:color="auto"/>
                    <w:right w:val="none" w:sz="0" w:space="0" w:color="auto"/>
                  </w:divBdr>
                  <w:divsChild>
                    <w:div w:id="1943610046">
                      <w:marLeft w:val="0"/>
                      <w:marRight w:val="0"/>
                      <w:marTop w:val="0"/>
                      <w:marBottom w:val="0"/>
                      <w:divBdr>
                        <w:top w:val="none" w:sz="0" w:space="0" w:color="auto"/>
                        <w:left w:val="none" w:sz="0" w:space="0" w:color="auto"/>
                        <w:bottom w:val="none" w:sz="0" w:space="0" w:color="auto"/>
                        <w:right w:val="none" w:sz="0" w:space="0" w:color="auto"/>
                      </w:divBdr>
                    </w:div>
                  </w:divsChild>
                </w:div>
                <w:div w:id="1733771049">
                  <w:marLeft w:val="0"/>
                  <w:marRight w:val="0"/>
                  <w:marTop w:val="0"/>
                  <w:marBottom w:val="0"/>
                  <w:divBdr>
                    <w:top w:val="none" w:sz="0" w:space="0" w:color="auto"/>
                    <w:left w:val="none" w:sz="0" w:space="0" w:color="auto"/>
                    <w:bottom w:val="none" w:sz="0" w:space="0" w:color="auto"/>
                    <w:right w:val="none" w:sz="0" w:space="0" w:color="auto"/>
                  </w:divBdr>
                  <w:divsChild>
                    <w:div w:id="977956684">
                      <w:marLeft w:val="0"/>
                      <w:marRight w:val="0"/>
                      <w:marTop w:val="0"/>
                      <w:marBottom w:val="0"/>
                      <w:divBdr>
                        <w:top w:val="none" w:sz="0" w:space="0" w:color="auto"/>
                        <w:left w:val="none" w:sz="0" w:space="0" w:color="auto"/>
                        <w:bottom w:val="none" w:sz="0" w:space="0" w:color="auto"/>
                        <w:right w:val="none" w:sz="0" w:space="0" w:color="auto"/>
                      </w:divBdr>
                    </w:div>
                  </w:divsChild>
                </w:div>
                <w:div w:id="1741174644">
                  <w:marLeft w:val="0"/>
                  <w:marRight w:val="0"/>
                  <w:marTop w:val="0"/>
                  <w:marBottom w:val="0"/>
                  <w:divBdr>
                    <w:top w:val="none" w:sz="0" w:space="0" w:color="auto"/>
                    <w:left w:val="none" w:sz="0" w:space="0" w:color="auto"/>
                    <w:bottom w:val="none" w:sz="0" w:space="0" w:color="auto"/>
                    <w:right w:val="none" w:sz="0" w:space="0" w:color="auto"/>
                  </w:divBdr>
                  <w:divsChild>
                    <w:div w:id="954752660">
                      <w:marLeft w:val="0"/>
                      <w:marRight w:val="0"/>
                      <w:marTop w:val="0"/>
                      <w:marBottom w:val="0"/>
                      <w:divBdr>
                        <w:top w:val="none" w:sz="0" w:space="0" w:color="auto"/>
                        <w:left w:val="none" w:sz="0" w:space="0" w:color="auto"/>
                        <w:bottom w:val="none" w:sz="0" w:space="0" w:color="auto"/>
                        <w:right w:val="none" w:sz="0" w:space="0" w:color="auto"/>
                      </w:divBdr>
                    </w:div>
                  </w:divsChild>
                </w:div>
                <w:div w:id="1841430777">
                  <w:marLeft w:val="0"/>
                  <w:marRight w:val="0"/>
                  <w:marTop w:val="0"/>
                  <w:marBottom w:val="0"/>
                  <w:divBdr>
                    <w:top w:val="none" w:sz="0" w:space="0" w:color="auto"/>
                    <w:left w:val="none" w:sz="0" w:space="0" w:color="auto"/>
                    <w:bottom w:val="none" w:sz="0" w:space="0" w:color="auto"/>
                    <w:right w:val="none" w:sz="0" w:space="0" w:color="auto"/>
                  </w:divBdr>
                  <w:divsChild>
                    <w:div w:id="716202207">
                      <w:marLeft w:val="0"/>
                      <w:marRight w:val="0"/>
                      <w:marTop w:val="0"/>
                      <w:marBottom w:val="0"/>
                      <w:divBdr>
                        <w:top w:val="none" w:sz="0" w:space="0" w:color="auto"/>
                        <w:left w:val="none" w:sz="0" w:space="0" w:color="auto"/>
                        <w:bottom w:val="none" w:sz="0" w:space="0" w:color="auto"/>
                        <w:right w:val="none" w:sz="0" w:space="0" w:color="auto"/>
                      </w:divBdr>
                    </w:div>
                  </w:divsChild>
                </w:div>
                <w:div w:id="1855728574">
                  <w:marLeft w:val="0"/>
                  <w:marRight w:val="0"/>
                  <w:marTop w:val="0"/>
                  <w:marBottom w:val="0"/>
                  <w:divBdr>
                    <w:top w:val="none" w:sz="0" w:space="0" w:color="auto"/>
                    <w:left w:val="none" w:sz="0" w:space="0" w:color="auto"/>
                    <w:bottom w:val="none" w:sz="0" w:space="0" w:color="auto"/>
                    <w:right w:val="none" w:sz="0" w:space="0" w:color="auto"/>
                  </w:divBdr>
                  <w:divsChild>
                    <w:div w:id="2055764663">
                      <w:marLeft w:val="0"/>
                      <w:marRight w:val="0"/>
                      <w:marTop w:val="0"/>
                      <w:marBottom w:val="0"/>
                      <w:divBdr>
                        <w:top w:val="none" w:sz="0" w:space="0" w:color="auto"/>
                        <w:left w:val="none" w:sz="0" w:space="0" w:color="auto"/>
                        <w:bottom w:val="none" w:sz="0" w:space="0" w:color="auto"/>
                        <w:right w:val="none" w:sz="0" w:space="0" w:color="auto"/>
                      </w:divBdr>
                    </w:div>
                  </w:divsChild>
                </w:div>
                <w:div w:id="1863780359">
                  <w:marLeft w:val="0"/>
                  <w:marRight w:val="0"/>
                  <w:marTop w:val="0"/>
                  <w:marBottom w:val="0"/>
                  <w:divBdr>
                    <w:top w:val="none" w:sz="0" w:space="0" w:color="auto"/>
                    <w:left w:val="none" w:sz="0" w:space="0" w:color="auto"/>
                    <w:bottom w:val="none" w:sz="0" w:space="0" w:color="auto"/>
                    <w:right w:val="none" w:sz="0" w:space="0" w:color="auto"/>
                  </w:divBdr>
                  <w:divsChild>
                    <w:div w:id="2010256502">
                      <w:marLeft w:val="0"/>
                      <w:marRight w:val="0"/>
                      <w:marTop w:val="0"/>
                      <w:marBottom w:val="0"/>
                      <w:divBdr>
                        <w:top w:val="none" w:sz="0" w:space="0" w:color="auto"/>
                        <w:left w:val="none" w:sz="0" w:space="0" w:color="auto"/>
                        <w:bottom w:val="none" w:sz="0" w:space="0" w:color="auto"/>
                        <w:right w:val="none" w:sz="0" w:space="0" w:color="auto"/>
                      </w:divBdr>
                    </w:div>
                  </w:divsChild>
                </w:div>
                <w:div w:id="1928884738">
                  <w:marLeft w:val="0"/>
                  <w:marRight w:val="0"/>
                  <w:marTop w:val="0"/>
                  <w:marBottom w:val="0"/>
                  <w:divBdr>
                    <w:top w:val="none" w:sz="0" w:space="0" w:color="auto"/>
                    <w:left w:val="none" w:sz="0" w:space="0" w:color="auto"/>
                    <w:bottom w:val="none" w:sz="0" w:space="0" w:color="auto"/>
                    <w:right w:val="none" w:sz="0" w:space="0" w:color="auto"/>
                  </w:divBdr>
                  <w:divsChild>
                    <w:div w:id="434711158">
                      <w:marLeft w:val="0"/>
                      <w:marRight w:val="0"/>
                      <w:marTop w:val="0"/>
                      <w:marBottom w:val="0"/>
                      <w:divBdr>
                        <w:top w:val="none" w:sz="0" w:space="0" w:color="auto"/>
                        <w:left w:val="none" w:sz="0" w:space="0" w:color="auto"/>
                        <w:bottom w:val="none" w:sz="0" w:space="0" w:color="auto"/>
                        <w:right w:val="none" w:sz="0" w:space="0" w:color="auto"/>
                      </w:divBdr>
                    </w:div>
                  </w:divsChild>
                </w:div>
                <w:div w:id="1943755707">
                  <w:marLeft w:val="0"/>
                  <w:marRight w:val="0"/>
                  <w:marTop w:val="0"/>
                  <w:marBottom w:val="0"/>
                  <w:divBdr>
                    <w:top w:val="none" w:sz="0" w:space="0" w:color="auto"/>
                    <w:left w:val="none" w:sz="0" w:space="0" w:color="auto"/>
                    <w:bottom w:val="none" w:sz="0" w:space="0" w:color="auto"/>
                    <w:right w:val="none" w:sz="0" w:space="0" w:color="auto"/>
                  </w:divBdr>
                  <w:divsChild>
                    <w:div w:id="1797019644">
                      <w:marLeft w:val="0"/>
                      <w:marRight w:val="0"/>
                      <w:marTop w:val="0"/>
                      <w:marBottom w:val="0"/>
                      <w:divBdr>
                        <w:top w:val="none" w:sz="0" w:space="0" w:color="auto"/>
                        <w:left w:val="none" w:sz="0" w:space="0" w:color="auto"/>
                        <w:bottom w:val="none" w:sz="0" w:space="0" w:color="auto"/>
                        <w:right w:val="none" w:sz="0" w:space="0" w:color="auto"/>
                      </w:divBdr>
                    </w:div>
                  </w:divsChild>
                </w:div>
                <w:div w:id="1946495718">
                  <w:marLeft w:val="0"/>
                  <w:marRight w:val="0"/>
                  <w:marTop w:val="0"/>
                  <w:marBottom w:val="0"/>
                  <w:divBdr>
                    <w:top w:val="none" w:sz="0" w:space="0" w:color="auto"/>
                    <w:left w:val="none" w:sz="0" w:space="0" w:color="auto"/>
                    <w:bottom w:val="none" w:sz="0" w:space="0" w:color="auto"/>
                    <w:right w:val="none" w:sz="0" w:space="0" w:color="auto"/>
                  </w:divBdr>
                  <w:divsChild>
                    <w:div w:id="547306616">
                      <w:marLeft w:val="0"/>
                      <w:marRight w:val="0"/>
                      <w:marTop w:val="0"/>
                      <w:marBottom w:val="0"/>
                      <w:divBdr>
                        <w:top w:val="none" w:sz="0" w:space="0" w:color="auto"/>
                        <w:left w:val="none" w:sz="0" w:space="0" w:color="auto"/>
                        <w:bottom w:val="none" w:sz="0" w:space="0" w:color="auto"/>
                        <w:right w:val="none" w:sz="0" w:space="0" w:color="auto"/>
                      </w:divBdr>
                    </w:div>
                  </w:divsChild>
                </w:div>
                <w:div w:id="1968001327">
                  <w:marLeft w:val="0"/>
                  <w:marRight w:val="0"/>
                  <w:marTop w:val="0"/>
                  <w:marBottom w:val="0"/>
                  <w:divBdr>
                    <w:top w:val="none" w:sz="0" w:space="0" w:color="auto"/>
                    <w:left w:val="none" w:sz="0" w:space="0" w:color="auto"/>
                    <w:bottom w:val="none" w:sz="0" w:space="0" w:color="auto"/>
                    <w:right w:val="none" w:sz="0" w:space="0" w:color="auto"/>
                  </w:divBdr>
                  <w:divsChild>
                    <w:div w:id="1856381263">
                      <w:marLeft w:val="0"/>
                      <w:marRight w:val="0"/>
                      <w:marTop w:val="0"/>
                      <w:marBottom w:val="0"/>
                      <w:divBdr>
                        <w:top w:val="none" w:sz="0" w:space="0" w:color="auto"/>
                        <w:left w:val="none" w:sz="0" w:space="0" w:color="auto"/>
                        <w:bottom w:val="none" w:sz="0" w:space="0" w:color="auto"/>
                        <w:right w:val="none" w:sz="0" w:space="0" w:color="auto"/>
                      </w:divBdr>
                    </w:div>
                  </w:divsChild>
                </w:div>
                <w:div w:id="2028411753">
                  <w:marLeft w:val="0"/>
                  <w:marRight w:val="0"/>
                  <w:marTop w:val="0"/>
                  <w:marBottom w:val="0"/>
                  <w:divBdr>
                    <w:top w:val="none" w:sz="0" w:space="0" w:color="auto"/>
                    <w:left w:val="none" w:sz="0" w:space="0" w:color="auto"/>
                    <w:bottom w:val="none" w:sz="0" w:space="0" w:color="auto"/>
                    <w:right w:val="none" w:sz="0" w:space="0" w:color="auto"/>
                  </w:divBdr>
                  <w:divsChild>
                    <w:div w:id="1015234381">
                      <w:marLeft w:val="0"/>
                      <w:marRight w:val="0"/>
                      <w:marTop w:val="0"/>
                      <w:marBottom w:val="0"/>
                      <w:divBdr>
                        <w:top w:val="none" w:sz="0" w:space="0" w:color="auto"/>
                        <w:left w:val="none" w:sz="0" w:space="0" w:color="auto"/>
                        <w:bottom w:val="none" w:sz="0" w:space="0" w:color="auto"/>
                        <w:right w:val="none" w:sz="0" w:space="0" w:color="auto"/>
                      </w:divBdr>
                    </w:div>
                  </w:divsChild>
                </w:div>
                <w:div w:id="2039818682">
                  <w:marLeft w:val="0"/>
                  <w:marRight w:val="0"/>
                  <w:marTop w:val="0"/>
                  <w:marBottom w:val="0"/>
                  <w:divBdr>
                    <w:top w:val="none" w:sz="0" w:space="0" w:color="auto"/>
                    <w:left w:val="none" w:sz="0" w:space="0" w:color="auto"/>
                    <w:bottom w:val="none" w:sz="0" w:space="0" w:color="auto"/>
                    <w:right w:val="none" w:sz="0" w:space="0" w:color="auto"/>
                  </w:divBdr>
                  <w:divsChild>
                    <w:div w:id="1757282711">
                      <w:marLeft w:val="0"/>
                      <w:marRight w:val="0"/>
                      <w:marTop w:val="0"/>
                      <w:marBottom w:val="0"/>
                      <w:divBdr>
                        <w:top w:val="none" w:sz="0" w:space="0" w:color="auto"/>
                        <w:left w:val="none" w:sz="0" w:space="0" w:color="auto"/>
                        <w:bottom w:val="none" w:sz="0" w:space="0" w:color="auto"/>
                        <w:right w:val="none" w:sz="0" w:space="0" w:color="auto"/>
                      </w:divBdr>
                    </w:div>
                  </w:divsChild>
                </w:div>
                <w:div w:id="2104833234">
                  <w:marLeft w:val="0"/>
                  <w:marRight w:val="0"/>
                  <w:marTop w:val="0"/>
                  <w:marBottom w:val="0"/>
                  <w:divBdr>
                    <w:top w:val="none" w:sz="0" w:space="0" w:color="auto"/>
                    <w:left w:val="none" w:sz="0" w:space="0" w:color="auto"/>
                    <w:bottom w:val="none" w:sz="0" w:space="0" w:color="auto"/>
                    <w:right w:val="none" w:sz="0" w:space="0" w:color="auto"/>
                  </w:divBdr>
                  <w:divsChild>
                    <w:div w:id="460924794">
                      <w:marLeft w:val="0"/>
                      <w:marRight w:val="0"/>
                      <w:marTop w:val="0"/>
                      <w:marBottom w:val="0"/>
                      <w:divBdr>
                        <w:top w:val="none" w:sz="0" w:space="0" w:color="auto"/>
                        <w:left w:val="none" w:sz="0" w:space="0" w:color="auto"/>
                        <w:bottom w:val="none" w:sz="0" w:space="0" w:color="auto"/>
                        <w:right w:val="none" w:sz="0" w:space="0" w:color="auto"/>
                      </w:divBdr>
                    </w:div>
                  </w:divsChild>
                </w:div>
                <w:div w:id="2125071297">
                  <w:marLeft w:val="0"/>
                  <w:marRight w:val="0"/>
                  <w:marTop w:val="0"/>
                  <w:marBottom w:val="0"/>
                  <w:divBdr>
                    <w:top w:val="none" w:sz="0" w:space="0" w:color="auto"/>
                    <w:left w:val="none" w:sz="0" w:space="0" w:color="auto"/>
                    <w:bottom w:val="none" w:sz="0" w:space="0" w:color="auto"/>
                    <w:right w:val="none" w:sz="0" w:space="0" w:color="auto"/>
                  </w:divBdr>
                  <w:divsChild>
                    <w:div w:id="50011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01950">
          <w:marLeft w:val="0"/>
          <w:marRight w:val="0"/>
          <w:marTop w:val="0"/>
          <w:marBottom w:val="0"/>
          <w:divBdr>
            <w:top w:val="none" w:sz="0" w:space="0" w:color="auto"/>
            <w:left w:val="none" w:sz="0" w:space="0" w:color="auto"/>
            <w:bottom w:val="none" w:sz="0" w:space="0" w:color="auto"/>
            <w:right w:val="none" w:sz="0" w:space="0" w:color="auto"/>
          </w:divBdr>
        </w:div>
        <w:div w:id="1270357405">
          <w:marLeft w:val="0"/>
          <w:marRight w:val="0"/>
          <w:marTop w:val="0"/>
          <w:marBottom w:val="0"/>
          <w:divBdr>
            <w:top w:val="none" w:sz="0" w:space="0" w:color="auto"/>
            <w:left w:val="none" w:sz="0" w:space="0" w:color="auto"/>
            <w:bottom w:val="none" w:sz="0" w:space="0" w:color="auto"/>
            <w:right w:val="none" w:sz="0" w:space="0" w:color="auto"/>
          </w:divBdr>
        </w:div>
        <w:div w:id="1357654153">
          <w:marLeft w:val="0"/>
          <w:marRight w:val="0"/>
          <w:marTop w:val="0"/>
          <w:marBottom w:val="0"/>
          <w:divBdr>
            <w:top w:val="none" w:sz="0" w:space="0" w:color="auto"/>
            <w:left w:val="none" w:sz="0" w:space="0" w:color="auto"/>
            <w:bottom w:val="none" w:sz="0" w:space="0" w:color="auto"/>
            <w:right w:val="none" w:sz="0" w:space="0" w:color="auto"/>
          </w:divBdr>
        </w:div>
        <w:div w:id="1477070497">
          <w:marLeft w:val="0"/>
          <w:marRight w:val="0"/>
          <w:marTop w:val="0"/>
          <w:marBottom w:val="0"/>
          <w:divBdr>
            <w:top w:val="none" w:sz="0" w:space="0" w:color="auto"/>
            <w:left w:val="none" w:sz="0" w:space="0" w:color="auto"/>
            <w:bottom w:val="none" w:sz="0" w:space="0" w:color="auto"/>
            <w:right w:val="none" w:sz="0" w:space="0" w:color="auto"/>
          </w:divBdr>
          <w:divsChild>
            <w:div w:id="491336874">
              <w:marLeft w:val="0"/>
              <w:marRight w:val="0"/>
              <w:marTop w:val="0"/>
              <w:marBottom w:val="0"/>
              <w:divBdr>
                <w:top w:val="none" w:sz="0" w:space="0" w:color="auto"/>
                <w:left w:val="none" w:sz="0" w:space="0" w:color="auto"/>
                <w:bottom w:val="none" w:sz="0" w:space="0" w:color="auto"/>
                <w:right w:val="none" w:sz="0" w:space="0" w:color="auto"/>
              </w:divBdr>
            </w:div>
            <w:div w:id="1818449768">
              <w:marLeft w:val="0"/>
              <w:marRight w:val="0"/>
              <w:marTop w:val="0"/>
              <w:marBottom w:val="0"/>
              <w:divBdr>
                <w:top w:val="none" w:sz="0" w:space="0" w:color="auto"/>
                <w:left w:val="none" w:sz="0" w:space="0" w:color="auto"/>
                <w:bottom w:val="none" w:sz="0" w:space="0" w:color="auto"/>
                <w:right w:val="none" w:sz="0" w:space="0" w:color="auto"/>
              </w:divBdr>
            </w:div>
            <w:div w:id="2104571469">
              <w:marLeft w:val="0"/>
              <w:marRight w:val="0"/>
              <w:marTop w:val="0"/>
              <w:marBottom w:val="0"/>
              <w:divBdr>
                <w:top w:val="none" w:sz="0" w:space="0" w:color="auto"/>
                <w:left w:val="none" w:sz="0" w:space="0" w:color="auto"/>
                <w:bottom w:val="none" w:sz="0" w:space="0" w:color="auto"/>
                <w:right w:val="none" w:sz="0" w:space="0" w:color="auto"/>
              </w:divBdr>
            </w:div>
          </w:divsChild>
        </w:div>
        <w:div w:id="1540700425">
          <w:marLeft w:val="0"/>
          <w:marRight w:val="0"/>
          <w:marTop w:val="0"/>
          <w:marBottom w:val="0"/>
          <w:divBdr>
            <w:top w:val="none" w:sz="0" w:space="0" w:color="auto"/>
            <w:left w:val="none" w:sz="0" w:space="0" w:color="auto"/>
            <w:bottom w:val="none" w:sz="0" w:space="0" w:color="auto"/>
            <w:right w:val="none" w:sz="0" w:space="0" w:color="auto"/>
          </w:divBdr>
        </w:div>
        <w:div w:id="1546722003">
          <w:marLeft w:val="0"/>
          <w:marRight w:val="0"/>
          <w:marTop w:val="0"/>
          <w:marBottom w:val="0"/>
          <w:divBdr>
            <w:top w:val="none" w:sz="0" w:space="0" w:color="auto"/>
            <w:left w:val="none" w:sz="0" w:space="0" w:color="auto"/>
            <w:bottom w:val="none" w:sz="0" w:space="0" w:color="auto"/>
            <w:right w:val="none" w:sz="0" w:space="0" w:color="auto"/>
          </w:divBdr>
        </w:div>
        <w:div w:id="1629434183">
          <w:marLeft w:val="0"/>
          <w:marRight w:val="0"/>
          <w:marTop w:val="0"/>
          <w:marBottom w:val="0"/>
          <w:divBdr>
            <w:top w:val="none" w:sz="0" w:space="0" w:color="auto"/>
            <w:left w:val="none" w:sz="0" w:space="0" w:color="auto"/>
            <w:bottom w:val="none" w:sz="0" w:space="0" w:color="auto"/>
            <w:right w:val="none" w:sz="0" w:space="0" w:color="auto"/>
          </w:divBdr>
        </w:div>
        <w:div w:id="1745302334">
          <w:marLeft w:val="0"/>
          <w:marRight w:val="0"/>
          <w:marTop w:val="0"/>
          <w:marBottom w:val="0"/>
          <w:divBdr>
            <w:top w:val="none" w:sz="0" w:space="0" w:color="auto"/>
            <w:left w:val="none" w:sz="0" w:space="0" w:color="auto"/>
            <w:bottom w:val="none" w:sz="0" w:space="0" w:color="auto"/>
            <w:right w:val="none" w:sz="0" w:space="0" w:color="auto"/>
          </w:divBdr>
        </w:div>
        <w:div w:id="1755323302">
          <w:marLeft w:val="0"/>
          <w:marRight w:val="0"/>
          <w:marTop w:val="0"/>
          <w:marBottom w:val="0"/>
          <w:divBdr>
            <w:top w:val="none" w:sz="0" w:space="0" w:color="auto"/>
            <w:left w:val="none" w:sz="0" w:space="0" w:color="auto"/>
            <w:bottom w:val="none" w:sz="0" w:space="0" w:color="auto"/>
            <w:right w:val="none" w:sz="0" w:space="0" w:color="auto"/>
          </w:divBdr>
        </w:div>
        <w:div w:id="1804038621">
          <w:marLeft w:val="0"/>
          <w:marRight w:val="0"/>
          <w:marTop w:val="0"/>
          <w:marBottom w:val="0"/>
          <w:divBdr>
            <w:top w:val="none" w:sz="0" w:space="0" w:color="auto"/>
            <w:left w:val="none" w:sz="0" w:space="0" w:color="auto"/>
            <w:bottom w:val="none" w:sz="0" w:space="0" w:color="auto"/>
            <w:right w:val="none" w:sz="0" w:space="0" w:color="auto"/>
          </w:divBdr>
        </w:div>
        <w:div w:id="1840383223">
          <w:marLeft w:val="0"/>
          <w:marRight w:val="0"/>
          <w:marTop w:val="0"/>
          <w:marBottom w:val="0"/>
          <w:divBdr>
            <w:top w:val="none" w:sz="0" w:space="0" w:color="auto"/>
            <w:left w:val="none" w:sz="0" w:space="0" w:color="auto"/>
            <w:bottom w:val="none" w:sz="0" w:space="0" w:color="auto"/>
            <w:right w:val="none" w:sz="0" w:space="0" w:color="auto"/>
          </w:divBdr>
        </w:div>
        <w:div w:id="1862694790">
          <w:marLeft w:val="0"/>
          <w:marRight w:val="0"/>
          <w:marTop w:val="0"/>
          <w:marBottom w:val="0"/>
          <w:divBdr>
            <w:top w:val="none" w:sz="0" w:space="0" w:color="auto"/>
            <w:left w:val="none" w:sz="0" w:space="0" w:color="auto"/>
            <w:bottom w:val="none" w:sz="0" w:space="0" w:color="auto"/>
            <w:right w:val="none" w:sz="0" w:space="0" w:color="auto"/>
          </w:divBdr>
        </w:div>
        <w:div w:id="1863589851">
          <w:marLeft w:val="0"/>
          <w:marRight w:val="0"/>
          <w:marTop w:val="0"/>
          <w:marBottom w:val="0"/>
          <w:divBdr>
            <w:top w:val="none" w:sz="0" w:space="0" w:color="auto"/>
            <w:left w:val="none" w:sz="0" w:space="0" w:color="auto"/>
            <w:bottom w:val="none" w:sz="0" w:space="0" w:color="auto"/>
            <w:right w:val="none" w:sz="0" w:space="0" w:color="auto"/>
          </w:divBdr>
        </w:div>
        <w:div w:id="1942639410">
          <w:marLeft w:val="0"/>
          <w:marRight w:val="0"/>
          <w:marTop w:val="0"/>
          <w:marBottom w:val="0"/>
          <w:divBdr>
            <w:top w:val="none" w:sz="0" w:space="0" w:color="auto"/>
            <w:left w:val="none" w:sz="0" w:space="0" w:color="auto"/>
            <w:bottom w:val="none" w:sz="0" w:space="0" w:color="auto"/>
            <w:right w:val="none" w:sz="0" w:space="0" w:color="auto"/>
          </w:divBdr>
        </w:div>
        <w:div w:id="1958834748">
          <w:marLeft w:val="0"/>
          <w:marRight w:val="0"/>
          <w:marTop w:val="0"/>
          <w:marBottom w:val="0"/>
          <w:divBdr>
            <w:top w:val="none" w:sz="0" w:space="0" w:color="auto"/>
            <w:left w:val="none" w:sz="0" w:space="0" w:color="auto"/>
            <w:bottom w:val="none" w:sz="0" w:space="0" w:color="auto"/>
            <w:right w:val="none" w:sz="0" w:space="0" w:color="auto"/>
          </w:divBdr>
        </w:div>
        <w:div w:id="2126270473">
          <w:marLeft w:val="0"/>
          <w:marRight w:val="0"/>
          <w:marTop w:val="0"/>
          <w:marBottom w:val="0"/>
          <w:divBdr>
            <w:top w:val="none" w:sz="0" w:space="0" w:color="auto"/>
            <w:left w:val="none" w:sz="0" w:space="0" w:color="auto"/>
            <w:bottom w:val="none" w:sz="0" w:space="0" w:color="auto"/>
            <w:right w:val="none" w:sz="0" w:space="0" w:color="auto"/>
          </w:divBdr>
        </w:div>
      </w:divsChild>
    </w:div>
    <w:div w:id="912473490">
      <w:bodyDiv w:val="1"/>
      <w:marLeft w:val="0"/>
      <w:marRight w:val="0"/>
      <w:marTop w:val="0"/>
      <w:marBottom w:val="0"/>
      <w:divBdr>
        <w:top w:val="none" w:sz="0" w:space="0" w:color="auto"/>
        <w:left w:val="none" w:sz="0" w:space="0" w:color="auto"/>
        <w:bottom w:val="none" w:sz="0" w:space="0" w:color="auto"/>
        <w:right w:val="none" w:sz="0" w:space="0" w:color="auto"/>
      </w:divBdr>
    </w:div>
    <w:div w:id="917786043">
      <w:bodyDiv w:val="1"/>
      <w:marLeft w:val="0"/>
      <w:marRight w:val="0"/>
      <w:marTop w:val="0"/>
      <w:marBottom w:val="0"/>
      <w:divBdr>
        <w:top w:val="none" w:sz="0" w:space="0" w:color="auto"/>
        <w:left w:val="none" w:sz="0" w:space="0" w:color="auto"/>
        <w:bottom w:val="none" w:sz="0" w:space="0" w:color="auto"/>
        <w:right w:val="none" w:sz="0" w:space="0" w:color="auto"/>
      </w:divBdr>
    </w:div>
    <w:div w:id="1012072620">
      <w:bodyDiv w:val="1"/>
      <w:marLeft w:val="0"/>
      <w:marRight w:val="0"/>
      <w:marTop w:val="0"/>
      <w:marBottom w:val="0"/>
      <w:divBdr>
        <w:top w:val="none" w:sz="0" w:space="0" w:color="auto"/>
        <w:left w:val="none" w:sz="0" w:space="0" w:color="auto"/>
        <w:bottom w:val="none" w:sz="0" w:space="0" w:color="auto"/>
        <w:right w:val="none" w:sz="0" w:space="0" w:color="auto"/>
      </w:divBdr>
    </w:div>
    <w:div w:id="1029986793">
      <w:bodyDiv w:val="1"/>
      <w:marLeft w:val="0"/>
      <w:marRight w:val="0"/>
      <w:marTop w:val="0"/>
      <w:marBottom w:val="0"/>
      <w:divBdr>
        <w:top w:val="none" w:sz="0" w:space="0" w:color="auto"/>
        <w:left w:val="none" w:sz="0" w:space="0" w:color="auto"/>
        <w:bottom w:val="none" w:sz="0" w:space="0" w:color="auto"/>
        <w:right w:val="none" w:sz="0" w:space="0" w:color="auto"/>
      </w:divBdr>
      <w:divsChild>
        <w:div w:id="108669254">
          <w:marLeft w:val="0"/>
          <w:marRight w:val="0"/>
          <w:marTop w:val="0"/>
          <w:marBottom w:val="0"/>
          <w:divBdr>
            <w:top w:val="none" w:sz="0" w:space="0" w:color="auto"/>
            <w:left w:val="none" w:sz="0" w:space="0" w:color="auto"/>
            <w:bottom w:val="none" w:sz="0" w:space="0" w:color="auto"/>
            <w:right w:val="none" w:sz="0" w:space="0" w:color="auto"/>
          </w:divBdr>
        </w:div>
        <w:div w:id="313484512">
          <w:marLeft w:val="0"/>
          <w:marRight w:val="0"/>
          <w:marTop w:val="0"/>
          <w:marBottom w:val="0"/>
          <w:divBdr>
            <w:top w:val="none" w:sz="0" w:space="0" w:color="auto"/>
            <w:left w:val="none" w:sz="0" w:space="0" w:color="auto"/>
            <w:bottom w:val="none" w:sz="0" w:space="0" w:color="auto"/>
            <w:right w:val="none" w:sz="0" w:space="0" w:color="auto"/>
          </w:divBdr>
        </w:div>
        <w:div w:id="580413213">
          <w:marLeft w:val="0"/>
          <w:marRight w:val="0"/>
          <w:marTop w:val="0"/>
          <w:marBottom w:val="0"/>
          <w:divBdr>
            <w:top w:val="none" w:sz="0" w:space="0" w:color="auto"/>
            <w:left w:val="none" w:sz="0" w:space="0" w:color="auto"/>
            <w:bottom w:val="none" w:sz="0" w:space="0" w:color="auto"/>
            <w:right w:val="none" w:sz="0" w:space="0" w:color="auto"/>
          </w:divBdr>
          <w:divsChild>
            <w:div w:id="932203376">
              <w:marLeft w:val="-75"/>
              <w:marRight w:val="0"/>
              <w:marTop w:val="30"/>
              <w:marBottom w:val="30"/>
              <w:divBdr>
                <w:top w:val="none" w:sz="0" w:space="0" w:color="auto"/>
                <w:left w:val="none" w:sz="0" w:space="0" w:color="auto"/>
                <w:bottom w:val="none" w:sz="0" w:space="0" w:color="auto"/>
                <w:right w:val="none" w:sz="0" w:space="0" w:color="auto"/>
              </w:divBdr>
              <w:divsChild>
                <w:div w:id="208691606">
                  <w:marLeft w:val="0"/>
                  <w:marRight w:val="0"/>
                  <w:marTop w:val="0"/>
                  <w:marBottom w:val="0"/>
                  <w:divBdr>
                    <w:top w:val="none" w:sz="0" w:space="0" w:color="auto"/>
                    <w:left w:val="none" w:sz="0" w:space="0" w:color="auto"/>
                    <w:bottom w:val="none" w:sz="0" w:space="0" w:color="auto"/>
                    <w:right w:val="none" w:sz="0" w:space="0" w:color="auto"/>
                  </w:divBdr>
                  <w:divsChild>
                    <w:div w:id="470246534">
                      <w:marLeft w:val="0"/>
                      <w:marRight w:val="0"/>
                      <w:marTop w:val="0"/>
                      <w:marBottom w:val="0"/>
                      <w:divBdr>
                        <w:top w:val="none" w:sz="0" w:space="0" w:color="auto"/>
                        <w:left w:val="none" w:sz="0" w:space="0" w:color="auto"/>
                        <w:bottom w:val="none" w:sz="0" w:space="0" w:color="auto"/>
                        <w:right w:val="none" w:sz="0" w:space="0" w:color="auto"/>
                      </w:divBdr>
                    </w:div>
                  </w:divsChild>
                </w:div>
                <w:div w:id="252669847">
                  <w:marLeft w:val="0"/>
                  <w:marRight w:val="0"/>
                  <w:marTop w:val="0"/>
                  <w:marBottom w:val="0"/>
                  <w:divBdr>
                    <w:top w:val="none" w:sz="0" w:space="0" w:color="auto"/>
                    <w:left w:val="none" w:sz="0" w:space="0" w:color="auto"/>
                    <w:bottom w:val="none" w:sz="0" w:space="0" w:color="auto"/>
                    <w:right w:val="none" w:sz="0" w:space="0" w:color="auto"/>
                  </w:divBdr>
                  <w:divsChild>
                    <w:div w:id="611477832">
                      <w:marLeft w:val="0"/>
                      <w:marRight w:val="0"/>
                      <w:marTop w:val="0"/>
                      <w:marBottom w:val="0"/>
                      <w:divBdr>
                        <w:top w:val="none" w:sz="0" w:space="0" w:color="auto"/>
                        <w:left w:val="none" w:sz="0" w:space="0" w:color="auto"/>
                        <w:bottom w:val="none" w:sz="0" w:space="0" w:color="auto"/>
                        <w:right w:val="none" w:sz="0" w:space="0" w:color="auto"/>
                      </w:divBdr>
                    </w:div>
                  </w:divsChild>
                </w:div>
                <w:div w:id="336810869">
                  <w:marLeft w:val="0"/>
                  <w:marRight w:val="0"/>
                  <w:marTop w:val="0"/>
                  <w:marBottom w:val="0"/>
                  <w:divBdr>
                    <w:top w:val="none" w:sz="0" w:space="0" w:color="auto"/>
                    <w:left w:val="none" w:sz="0" w:space="0" w:color="auto"/>
                    <w:bottom w:val="none" w:sz="0" w:space="0" w:color="auto"/>
                    <w:right w:val="none" w:sz="0" w:space="0" w:color="auto"/>
                  </w:divBdr>
                  <w:divsChild>
                    <w:div w:id="1944026608">
                      <w:marLeft w:val="0"/>
                      <w:marRight w:val="0"/>
                      <w:marTop w:val="0"/>
                      <w:marBottom w:val="0"/>
                      <w:divBdr>
                        <w:top w:val="none" w:sz="0" w:space="0" w:color="auto"/>
                        <w:left w:val="none" w:sz="0" w:space="0" w:color="auto"/>
                        <w:bottom w:val="none" w:sz="0" w:space="0" w:color="auto"/>
                        <w:right w:val="none" w:sz="0" w:space="0" w:color="auto"/>
                      </w:divBdr>
                    </w:div>
                  </w:divsChild>
                </w:div>
                <w:div w:id="337924946">
                  <w:marLeft w:val="0"/>
                  <w:marRight w:val="0"/>
                  <w:marTop w:val="0"/>
                  <w:marBottom w:val="0"/>
                  <w:divBdr>
                    <w:top w:val="none" w:sz="0" w:space="0" w:color="auto"/>
                    <w:left w:val="none" w:sz="0" w:space="0" w:color="auto"/>
                    <w:bottom w:val="none" w:sz="0" w:space="0" w:color="auto"/>
                    <w:right w:val="none" w:sz="0" w:space="0" w:color="auto"/>
                  </w:divBdr>
                  <w:divsChild>
                    <w:div w:id="635455517">
                      <w:marLeft w:val="0"/>
                      <w:marRight w:val="0"/>
                      <w:marTop w:val="0"/>
                      <w:marBottom w:val="0"/>
                      <w:divBdr>
                        <w:top w:val="none" w:sz="0" w:space="0" w:color="auto"/>
                        <w:left w:val="none" w:sz="0" w:space="0" w:color="auto"/>
                        <w:bottom w:val="none" w:sz="0" w:space="0" w:color="auto"/>
                        <w:right w:val="none" w:sz="0" w:space="0" w:color="auto"/>
                      </w:divBdr>
                    </w:div>
                  </w:divsChild>
                </w:div>
                <w:div w:id="353769529">
                  <w:marLeft w:val="0"/>
                  <w:marRight w:val="0"/>
                  <w:marTop w:val="0"/>
                  <w:marBottom w:val="0"/>
                  <w:divBdr>
                    <w:top w:val="none" w:sz="0" w:space="0" w:color="auto"/>
                    <w:left w:val="none" w:sz="0" w:space="0" w:color="auto"/>
                    <w:bottom w:val="none" w:sz="0" w:space="0" w:color="auto"/>
                    <w:right w:val="none" w:sz="0" w:space="0" w:color="auto"/>
                  </w:divBdr>
                  <w:divsChild>
                    <w:div w:id="962418298">
                      <w:marLeft w:val="0"/>
                      <w:marRight w:val="0"/>
                      <w:marTop w:val="0"/>
                      <w:marBottom w:val="0"/>
                      <w:divBdr>
                        <w:top w:val="none" w:sz="0" w:space="0" w:color="auto"/>
                        <w:left w:val="none" w:sz="0" w:space="0" w:color="auto"/>
                        <w:bottom w:val="none" w:sz="0" w:space="0" w:color="auto"/>
                        <w:right w:val="none" w:sz="0" w:space="0" w:color="auto"/>
                      </w:divBdr>
                    </w:div>
                  </w:divsChild>
                </w:div>
                <w:div w:id="472261739">
                  <w:marLeft w:val="0"/>
                  <w:marRight w:val="0"/>
                  <w:marTop w:val="0"/>
                  <w:marBottom w:val="0"/>
                  <w:divBdr>
                    <w:top w:val="none" w:sz="0" w:space="0" w:color="auto"/>
                    <w:left w:val="none" w:sz="0" w:space="0" w:color="auto"/>
                    <w:bottom w:val="none" w:sz="0" w:space="0" w:color="auto"/>
                    <w:right w:val="none" w:sz="0" w:space="0" w:color="auto"/>
                  </w:divBdr>
                  <w:divsChild>
                    <w:div w:id="1446852996">
                      <w:marLeft w:val="0"/>
                      <w:marRight w:val="0"/>
                      <w:marTop w:val="0"/>
                      <w:marBottom w:val="0"/>
                      <w:divBdr>
                        <w:top w:val="none" w:sz="0" w:space="0" w:color="auto"/>
                        <w:left w:val="none" w:sz="0" w:space="0" w:color="auto"/>
                        <w:bottom w:val="none" w:sz="0" w:space="0" w:color="auto"/>
                        <w:right w:val="none" w:sz="0" w:space="0" w:color="auto"/>
                      </w:divBdr>
                    </w:div>
                  </w:divsChild>
                </w:div>
                <w:div w:id="477456605">
                  <w:marLeft w:val="0"/>
                  <w:marRight w:val="0"/>
                  <w:marTop w:val="0"/>
                  <w:marBottom w:val="0"/>
                  <w:divBdr>
                    <w:top w:val="none" w:sz="0" w:space="0" w:color="auto"/>
                    <w:left w:val="none" w:sz="0" w:space="0" w:color="auto"/>
                    <w:bottom w:val="none" w:sz="0" w:space="0" w:color="auto"/>
                    <w:right w:val="none" w:sz="0" w:space="0" w:color="auto"/>
                  </w:divBdr>
                  <w:divsChild>
                    <w:div w:id="1408727823">
                      <w:marLeft w:val="0"/>
                      <w:marRight w:val="0"/>
                      <w:marTop w:val="0"/>
                      <w:marBottom w:val="0"/>
                      <w:divBdr>
                        <w:top w:val="none" w:sz="0" w:space="0" w:color="auto"/>
                        <w:left w:val="none" w:sz="0" w:space="0" w:color="auto"/>
                        <w:bottom w:val="none" w:sz="0" w:space="0" w:color="auto"/>
                        <w:right w:val="none" w:sz="0" w:space="0" w:color="auto"/>
                      </w:divBdr>
                    </w:div>
                  </w:divsChild>
                </w:div>
                <w:div w:id="633291914">
                  <w:marLeft w:val="0"/>
                  <w:marRight w:val="0"/>
                  <w:marTop w:val="0"/>
                  <w:marBottom w:val="0"/>
                  <w:divBdr>
                    <w:top w:val="none" w:sz="0" w:space="0" w:color="auto"/>
                    <w:left w:val="none" w:sz="0" w:space="0" w:color="auto"/>
                    <w:bottom w:val="none" w:sz="0" w:space="0" w:color="auto"/>
                    <w:right w:val="none" w:sz="0" w:space="0" w:color="auto"/>
                  </w:divBdr>
                  <w:divsChild>
                    <w:div w:id="540240521">
                      <w:marLeft w:val="0"/>
                      <w:marRight w:val="0"/>
                      <w:marTop w:val="0"/>
                      <w:marBottom w:val="0"/>
                      <w:divBdr>
                        <w:top w:val="none" w:sz="0" w:space="0" w:color="auto"/>
                        <w:left w:val="none" w:sz="0" w:space="0" w:color="auto"/>
                        <w:bottom w:val="none" w:sz="0" w:space="0" w:color="auto"/>
                        <w:right w:val="none" w:sz="0" w:space="0" w:color="auto"/>
                      </w:divBdr>
                    </w:div>
                  </w:divsChild>
                </w:div>
                <w:div w:id="643313741">
                  <w:marLeft w:val="0"/>
                  <w:marRight w:val="0"/>
                  <w:marTop w:val="0"/>
                  <w:marBottom w:val="0"/>
                  <w:divBdr>
                    <w:top w:val="none" w:sz="0" w:space="0" w:color="auto"/>
                    <w:left w:val="none" w:sz="0" w:space="0" w:color="auto"/>
                    <w:bottom w:val="none" w:sz="0" w:space="0" w:color="auto"/>
                    <w:right w:val="none" w:sz="0" w:space="0" w:color="auto"/>
                  </w:divBdr>
                  <w:divsChild>
                    <w:div w:id="554315146">
                      <w:marLeft w:val="0"/>
                      <w:marRight w:val="0"/>
                      <w:marTop w:val="0"/>
                      <w:marBottom w:val="0"/>
                      <w:divBdr>
                        <w:top w:val="none" w:sz="0" w:space="0" w:color="auto"/>
                        <w:left w:val="none" w:sz="0" w:space="0" w:color="auto"/>
                        <w:bottom w:val="none" w:sz="0" w:space="0" w:color="auto"/>
                        <w:right w:val="none" w:sz="0" w:space="0" w:color="auto"/>
                      </w:divBdr>
                    </w:div>
                  </w:divsChild>
                </w:div>
                <w:div w:id="692724866">
                  <w:marLeft w:val="0"/>
                  <w:marRight w:val="0"/>
                  <w:marTop w:val="0"/>
                  <w:marBottom w:val="0"/>
                  <w:divBdr>
                    <w:top w:val="none" w:sz="0" w:space="0" w:color="auto"/>
                    <w:left w:val="none" w:sz="0" w:space="0" w:color="auto"/>
                    <w:bottom w:val="none" w:sz="0" w:space="0" w:color="auto"/>
                    <w:right w:val="none" w:sz="0" w:space="0" w:color="auto"/>
                  </w:divBdr>
                  <w:divsChild>
                    <w:div w:id="1180512547">
                      <w:marLeft w:val="0"/>
                      <w:marRight w:val="0"/>
                      <w:marTop w:val="0"/>
                      <w:marBottom w:val="0"/>
                      <w:divBdr>
                        <w:top w:val="none" w:sz="0" w:space="0" w:color="auto"/>
                        <w:left w:val="none" w:sz="0" w:space="0" w:color="auto"/>
                        <w:bottom w:val="none" w:sz="0" w:space="0" w:color="auto"/>
                        <w:right w:val="none" w:sz="0" w:space="0" w:color="auto"/>
                      </w:divBdr>
                    </w:div>
                  </w:divsChild>
                </w:div>
                <w:div w:id="799344245">
                  <w:marLeft w:val="0"/>
                  <w:marRight w:val="0"/>
                  <w:marTop w:val="0"/>
                  <w:marBottom w:val="0"/>
                  <w:divBdr>
                    <w:top w:val="none" w:sz="0" w:space="0" w:color="auto"/>
                    <w:left w:val="none" w:sz="0" w:space="0" w:color="auto"/>
                    <w:bottom w:val="none" w:sz="0" w:space="0" w:color="auto"/>
                    <w:right w:val="none" w:sz="0" w:space="0" w:color="auto"/>
                  </w:divBdr>
                  <w:divsChild>
                    <w:div w:id="1434787666">
                      <w:marLeft w:val="0"/>
                      <w:marRight w:val="0"/>
                      <w:marTop w:val="0"/>
                      <w:marBottom w:val="0"/>
                      <w:divBdr>
                        <w:top w:val="none" w:sz="0" w:space="0" w:color="auto"/>
                        <w:left w:val="none" w:sz="0" w:space="0" w:color="auto"/>
                        <w:bottom w:val="none" w:sz="0" w:space="0" w:color="auto"/>
                        <w:right w:val="none" w:sz="0" w:space="0" w:color="auto"/>
                      </w:divBdr>
                    </w:div>
                  </w:divsChild>
                </w:div>
                <w:div w:id="985932330">
                  <w:marLeft w:val="0"/>
                  <w:marRight w:val="0"/>
                  <w:marTop w:val="0"/>
                  <w:marBottom w:val="0"/>
                  <w:divBdr>
                    <w:top w:val="none" w:sz="0" w:space="0" w:color="auto"/>
                    <w:left w:val="none" w:sz="0" w:space="0" w:color="auto"/>
                    <w:bottom w:val="none" w:sz="0" w:space="0" w:color="auto"/>
                    <w:right w:val="none" w:sz="0" w:space="0" w:color="auto"/>
                  </w:divBdr>
                  <w:divsChild>
                    <w:div w:id="254099505">
                      <w:marLeft w:val="0"/>
                      <w:marRight w:val="0"/>
                      <w:marTop w:val="0"/>
                      <w:marBottom w:val="0"/>
                      <w:divBdr>
                        <w:top w:val="none" w:sz="0" w:space="0" w:color="auto"/>
                        <w:left w:val="none" w:sz="0" w:space="0" w:color="auto"/>
                        <w:bottom w:val="none" w:sz="0" w:space="0" w:color="auto"/>
                        <w:right w:val="none" w:sz="0" w:space="0" w:color="auto"/>
                      </w:divBdr>
                    </w:div>
                  </w:divsChild>
                </w:div>
                <w:div w:id="1069184993">
                  <w:marLeft w:val="0"/>
                  <w:marRight w:val="0"/>
                  <w:marTop w:val="0"/>
                  <w:marBottom w:val="0"/>
                  <w:divBdr>
                    <w:top w:val="none" w:sz="0" w:space="0" w:color="auto"/>
                    <w:left w:val="none" w:sz="0" w:space="0" w:color="auto"/>
                    <w:bottom w:val="none" w:sz="0" w:space="0" w:color="auto"/>
                    <w:right w:val="none" w:sz="0" w:space="0" w:color="auto"/>
                  </w:divBdr>
                  <w:divsChild>
                    <w:div w:id="1815179183">
                      <w:marLeft w:val="0"/>
                      <w:marRight w:val="0"/>
                      <w:marTop w:val="0"/>
                      <w:marBottom w:val="0"/>
                      <w:divBdr>
                        <w:top w:val="none" w:sz="0" w:space="0" w:color="auto"/>
                        <w:left w:val="none" w:sz="0" w:space="0" w:color="auto"/>
                        <w:bottom w:val="none" w:sz="0" w:space="0" w:color="auto"/>
                        <w:right w:val="none" w:sz="0" w:space="0" w:color="auto"/>
                      </w:divBdr>
                    </w:div>
                  </w:divsChild>
                </w:div>
                <w:div w:id="1107433645">
                  <w:marLeft w:val="0"/>
                  <w:marRight w:val="0"/>
                  <w:marTop w:val="0"/>
                  <w:marBottom w:val="0"/>
                  <w:divBdr>
                    <w:top w:val="none" w:sz="0" w:space="0" w:color="auto"/>
                    <w:left w:val="none" w:sz="0" w:space="0" w:color="auto"/>
                    <w:bottom w:val="none" w:sz="0" w:space="0" w:color="auto"/>
                    <w:right w:val="none" w:sz="0" w:space="0" w:color="auto"/>
                  </w:divBdr>
                  <w:divsChild>
                    <w:div w:id="651561816">
                      <w:marLeft w:val="0"/>
                      <w:marRight w:val="0"/>
                      <w:marTop w:val="0"/>
                      <w:marBottom w:val="0"/>
                      <w:divBdr>
                        <w:top w:val="none" w:sz="0" w:space="0" w:color="auto"/>
                        <w:left w:val="none" w:sz="0" w:space="0" w:color="auto"/>
                        <w:bottom w:val="none" w:sz="0" w:space="0" w:color="auto"/>
                        <w:right w:val="none" w:sz="0" w:space="0" w:color="auto"/>
                      </w:divBdr>
                    </w:div>
                  </w:divsChild>
                </w:div>
                <w:div w:id="1182743801">
                  <w:marLeft w:val="0"/>
                  <w:marRight w:val="0"/>
                  <w:marTop w:val="0"/>
                  <w:marBottom w:val="0"/>
                  <w:divBdr>
                    <w:top w:val="none" w:sz="0" w:space="0" w:color="auto"/>
                    <w:left w:val="none" w:sz="0" w:space="0" w:color="auto"/>
                    <w:bottom w:val="none" w:sz="0" w:space="0" w:color="auto"/>
                    <w:right w:val="none" w:sz="0" w:space="0" w:color="auto"/>
                  </w:divBdr>
                  <w:divsChild>
                    <w:div w:id="257492734">
                      <w:marLeft w:val="0"/>
                      <w:marRight w:val="0"/>
                      <w:marTop w:val="0"/>
                      <w:marBottom w:val="0"/>
                      <w:divBdr>
                        <w:top w:val="none" w:sz="0" w:space="0" w:color="auto"/>
                        <w:left w:val="none" w:sz="0" w:space="0" w:color="auto"/>
                        <w:bottom w:val="none" w:sz="0" w:space="0" w:color="auto"/>
                        <w:right w:val="none" w:sz="0" w:space="0" w:color="auto"/>
                      </w:divBdr>
                    </w:div>
                  </w:divsChild>
                </w:div>
                <w:div w:id="1309213822">
                  <w:marLeft w:val="0"/>
                  <w:marRight w:val="0"/>
                  <w:marTop w:val="0"/>
                  <w:marBottom w:val="0"/>
                  <w:divBdr>
                    <w:top w:val="none" w:sz="0" w:space="0" w:color="auto"/>
                    <w:left w:val="none" w:sz="0" w:space="0" w:color="auto"/>
                    <w:bottom w:val="none" w:sz="0" w:space="0" w:color="auto"/>
                    <w:right w:val="none" w:sz="0" w:space="0" w:color="auto"/>
                  </w:divBdr>
                  <w:divsChild>
                    <w:div w:id="261647146">
                      <w:marLeft w:val="0"/>
                      <w:marRight w:val="0"/>
                      <w:marTop w:val="0"/>
                      <w:marBottom w:val="0"/>
                      <w:divBdr>
                        <w:top w:val="none" w:sz="0" w:space="0" w:color="auto"/>
                        <w:left w:val="none" w:sz="0" w:space="0" w:color="auto"/>
                        <w:bottom w:val="none" w:sz="0" w:space="0" w:color="auto"/>
                        <w:right w:val="none" w:sz="0" w:space="0" w:color="auto"/>
                      </w:divBdr>
                    </w:div>
                  </w:divsChild>
                </w:div>
                <w:div w:id="1334068883">
                  <w:marLeft w:val="0"/>
                  <w:marRight w:val="0"/>
                  <w:marTop w:val="0"/>
                  <w:marBottom w:val="0"/>
                  <w:divBdr>
                    <w:top w:val="none" w:sz="0" w:space="0" w:color="auto"/>
                    <w:left w:val="none" w:sz="0" w:space="0" w:color="auto"/>
                    <w:bottom w:val="none" w:sz="0" w:space="0" w:color="auto"/>
                    <w:right w:val="none" w:sz="0" w:space="0" w:color="auto"/>
                  </w:divBdr>
                  <w:divsChild>
                    <w:div w:id="114906447">
                      <w:marLeft w:val="0"/>
                      <w:marRight w:val="0"/>
                      <w:marTop w:val="0"/>
                      <w:marBottom w:val="0"/>
                      <w:divBdr>
                        <w:top w:val="none" w:sz="0" w:space="0" w:color="auto"/>
                        <w:left w:val="none" w:sz="0" w:space="0" w:color="auto"/>
                        <w:bottom w:val="none" w:sz="0" w:space="0" w:color="auto"/>
                        <w:right w:val="none" w:sz="0" w:space="0" w:color="auto"/>
                      </w:divBdr>
                    </w:div>
                  </w:divsChild>
                </w:div>
                <w:div w:id="1459179892">
                  <w:marLeft w:val="0"/>
                  <w:marRight w:val="0"/>
                  <w:marTop w:val="0"/>
                  <w:marBottom w:val="0"/>
                  <w:divBdr>
                    <w:top w:val="none" w:sz="0" w:space="0" w:color="auto"/>
                    <w:left w:val="none" w:sz="0" w:space="0" w:color="auto"/>
                    <w:bottom w:val="none" w:sz="0" w:space="0" w:color="auto"/>
                    <w:right w:val="none" w:sz="0" w:space="0" w:color="auto"/>
                  </w:divBdr>
                  <w:divsChild>
                    <w:div w:id="374817412">
                      <w:marLeft w:val="0"/>
                      <w:marRight w:val="0"/>
                      <w:marTop w:val="0"/>
                      <w:marBottom w:val="0"/>
                      <w:divBdr>
                        <w:top w:val="none" w:sz="0" w:space="0" w:color="auto"/>
                        <w:left w:val="none" w:sz="0" w:space="0" w:color="auto"/>
                        <w:bottom w:val="none" w:sz="0" w:space="0" w:color="auto"/>
                        <w:right w:val="none" w:sz="0" w:space="0" w:color="auto"/>
                      </w:divBdr>
                    </w:div>
                  </w:divsChild>
                </w:div>
                <w:div w:id="1486583960">
                  <w:marLeft w:val="0"/>
                  <w:marRight w:val="0"/>
                  <w:marTop w:val="0"/>
                  <w:marBottom w:val="0"/>
                  <w:divBdr>
                    <w:top w:val="none" w:sz="0" w:space="0" w:color="auto"/>
                    <w:left w:val="none" w:sz="0" w:space="0" w:color="auto"/>
                    <w:bottom w:val="none" w:sz="0" w:space="0" w:color="auto"/>
                    <w:right w:val="none" w:sz="0" w:space="0" w:color="auto"/>
                  </w:divBdr>
                  <w:divsChild>
                    <w:div w:id="718211592">
                      <w:marLeft w:val="0"/>
                      <w:marRight w:val="0"/>
                      <w:marTop w:val="0"/>
                      <w:marBottom w:val="0"/>
                      <w:divBdr>
                        <w:top w:val="none" w:sz="0" w:space="0" w:color="auto"/>
                        <w:left w:val="none" w:sz="0" w:space="0" w:color="auto"/>
                        <w:bottom w:val="none" w:sz="0" w:space="0" w:color="auto"/>
                        <w:right w:val="none" w:sz="0" w:space="0" w:color="auto"/>
                      </w:divBdr>
                    </w:div>
                  </w:divsChild>
                </w:div>
                <w:div w:id="1648899943">
                  <w:marLeft w:val="0"/>
                  <w:marRight w:val="0"/>
                  <w:marTop w:val="0"/>
                  <w:marBottom w:val="0"/>
                  <w:divBdr>
                    <w:top w:val="none" w:sz="0" w:space="0" w:color="auto"/>
                    <w:left w:val="none" w:sz="0" w:space="0" w:color="auto"/>
                    <w:bottom w:val="none" w:sz="0" w:space="0" w:color="auto"/>
                    <w:right w:val="none" w:sz="0" w:space="0" w:color="auto"/>
                  </w:divBdr>
                  <w:divsChild>
                    <w:div w:id="968432961">
                      <w:marLeft w:val="0"/>
                      <w:marRight w:val="0"/>
                      <w:marTop w:val="0"/>
                      <w:marBottom w:val="0"/>
                      <w:divBdr>
                        <w:top w:val="none" w:sz="0" w:space="0" w:color="auto"/>
                        <w:left w:val="none" w:sz="0" w:space="0" w:color="auto"/>
                        <w:bottom w:val="none" w:sz="0" w:space="0" w:color="auto"/>
                        <w:right w:val="none" w:sz="0" w:space="0" w:color="auto"/>
                      </w:divBdr>
                    </w:div>
                  </w:divsChild>
                </w:div>
                <w:div w:id="1664821462">
                  <w:marLeft w:val="0"/>
                  <w:marRight w:val="0"/>
                  <w:marTop w:val="0"/>
                  <w:marBottom w:val="0"/>
                  <w:divBdr>
                    <w:top w:val="none" w:sz="0" w:space="0" w:color="auto"/>
                    <w:left w:val="none" w:sz="0" w:space="0" w:color="auto"/>
                    <w:bottom w:val="none" w:sz="0" w:space="0" w:color="auto"/>
                    <w:right w:val="none" w:sz="0" w:space="0" w:color="auto"/>
                  </w:divBdr>
                  <w:divsChild>
                    <w:div w:id="151332933">
                      <w:marLeft w:val="0"/>
                      <w:marRight w:val="0"/>
                      <w:marTop w:val="0"/>
                      <w:marBottom w:val="0"/>
                      <w:divBdr>
                        <w:top w:val="none" w:sz="0" w:space="0" w:color="auto"/>
                        <w:left w:val="none" w:sz="0" w:space="0" w:color="auto"/>
                        <w:bottom w:val="none" w:sz="0" w:space="0" w:color="auto"/>
                        <w:right w:val="none" w:sz="0" w:space="0" w:color="auto"/>
                      </w:divBdr>
                    </w:div>
                  </w:divsChild>
                </w:div>
                <w:div w:id="1672417239">
                  <w:marLeft w:val="0"/>
                  <w:marRight w:val="0"/>
                  <w:marTop w:val="0"/>
                  <w:marBottom w:val="0"/>
                  <w:divBdr>
                    <w:top w:val="none" w:sz="0" w:space="0" w:color="auto"/>
                    <w:left w:val="none" w:sz="0" w:space="0" w:color="auto"/>
                    <w:bottom w:val="none" w:sz="0" w:space="0" w:color="auto"/>
                    <w:right w:val="none" w:sz="0" w:space="0" w:color="auto"/>
                  </w:divBdr>
                  <w:divsChild>
                    <w:div w:id="683703000">
                      <w:marLeft w:val="0"/>
                      <w:marRight w:val="0"/>
                      <w:marTop w:val="0"/>
                      <w:marBottom w:val="0"/>
                      <w:divBdr>
                        <w:top w:val="none" w:sz="0" w:space="0" w:color="auto"/>
                        <w:left w:val="none" w:sz="0" w:space="0" w:color="auto"/>
                        <w:bottom w:val="none" w:sz="0" w:space="0" w:color="auto"/>
                        <w:right w:val="none" w:sz="0" w:space="0" w:color="auto"/>
                      </w:divBdr>
                    </w:div>
                  </w:divsChild>
                </w:div>
                <w:div w:id="1675298211">
                  <w:marLeft w:val="0"/>
                  <w:marRight w:val="0"/>
                  <w:marTop w:val="0"/>
                  <w:marBottom w:val="0"/>
                  <w:divBdr>
                    <w:top w:val="none" w:sz="0" w:space="0" w:color="auto"/>
                    <w:left w:val="none" w:sz="0" w:space="0" w:color="auto"/>
                    <w:bottom w:val="none" w:sz="0" w:space="0" w:color="auto"/>
                    <w:right w:val="none" w:sz="0" w:space="0" w:color="auto"/>
                  </w:divBdr>
                  <w:divsChild>
                    <w:div w:id="1570923843">
                      <w:marLeft w:val="0"/>
                      <w:marRight w:val="0"/>
                      <w:marTop w:val="0"/>
                      <w:marBottom w:val="0"/>
                      <w:divBdr>
                        <w:top w:val="none" w:sz="0" w:space="0" w:color="auto"/>
                        <w:left w:val="none" w:sz="0" w:space="0" w:color="auto"/>
                        <w:bottom w:val="none" w:sz="0" w:space="0" w:color="auto"/>
                        <w:right w:val="none" w:sz="0" w:space="0" w:color="auto"/>
                      </w:divBdr>
                    </w:div>
                  </w:divsChild>
                </w:div>
                <w:div w:id="1684088715">
                  <w:marLeft w:val="0"/>
                  <w:marRight w:val="0"/>
                  <w:marTop w:val="0"/>
                  <w:marBottom w:val="0"/>
                  <w:divBdr>
                    <w:top w:val="none" w:sz="0" w:space="0" w:color="auto"/>
                    <w:left w:val="none" w:sz="0" w:space="0" w:color="auto"/>
                    <w:bottom w:val="none" w:sz="0" w:space="0" w:color="auto"/>
                    <w:right w:val="none" w:sz="0" w:space="0" w:color="auto"/>
                  </w:divBdr>
                  <w:divsChild>
                    <w:div w:id="1338314325">
                      <w:marLeft w:val="0"/>
                      <w:marRight w:val="0"/>
                      <w:marTop w:val="0"/>
                      <w:marBottom w:val="0"/>
                      <w:divBdr>
                        <w:top w:val="none" w:sz="0" w:space="0" w:color="auto"/>
                        <w:left w:val="none" w:sz="0" w:space="0" w:color="auto"/>
                        <w:bottom w:val="none" w:sz="0" w:space="0" w:color="auto"/>
                        <w:right w:val="none" w:sz="0" w:space="0" w:color="auto"/>
                      </w:divBdr>
                    </w:div>
                  </w:divsChild>
                </w:div>
                <w:div w:id="1704480535">
                  <w:marLeft w:val="0"/>
                  <w:marRight w:val="0"/>
                  <w:marTop w:val="0"/>
                  <w:marBottom w:val="0"/>
                  <w:divBdr>
                    <w:top w:val="none" w:sz="0" w:space="0" w:color="auto"/>
                    <w:left w:val="none" w:sz="0" w:space="0" w:color="auto"/>
                    <w:bottom w:val="none" w:sz="0" w:space="0" w:color="auto"/>
                    <w:right w:val="none" w:sz="0" w:space="0" w:color="auto"/>
                  </w:divBdr>
                  <w:divsChild>
                    <w:div w:id="1144354453">
                      <w:marLeft w:val="0"/>
                      <w:marRight w:val="0"/>
                      <w:marTop w:val="0"/>
                      <w:marBottom w:val="0"/>
                      <w:divBdr>
                        <w:top w:val="none" w:sz="0" w:space="0" w:color="auto"/>
                        <w:left w:val="none" w:sz="0" w:space="0" w:color="auto"/>
                        <w:bottom w:val="none" w:sz="0" w:space="0" w:color="auto"/>
                        <w:right w:val="none" w:sz="0" w:space="0" w:color="auto"/>
                      </w:divBdr>
                    </w:div>
                  </w:divsChild>
                </w:div>
                <w:div w:id="1786540137">
                  <w:marLeft w:val="0"/>
                  <w:marRight w:val="0"/>
                  <w:marTop w:val="0"/>
                  <w:marBottom w:val="0"/>
                  <w:divBdr>
                    <w:top w:val="none" w:sz="0" w:space="0" w:color="auto"/>
                    <w:left w:val="none" w:sz="0" w:space="0" w:color="auto"/>
                    <w:bottom w:val="none" w:sz="0" w:space="0" w:color="auto"/>
                    <w:right w:val="none" w:sz="0" w:space="0" w:color="auto"/>
                  </w:divBdr>
                  <w:divsChild>
                    <w:div w:id="1016686325">
                      <w:marLeft w:val="0"/>
                      <w:marRight w:val="0"/>
                      <w:marTop w:val="0"/>
                      <w:marBottom w:val="0"/>
                      <w:divBdr>
                        <w:top w:val="none" w:sz="0" w:space="0" w:color="auto"/>
                        <w:left w:val="none" w:sz="0" w:space="0" w:color="auto"/>
                        <w:bottom w:val="none" w:sz="0" w:space="0" w:color="auto"/>
                        <w:right w:val="none" w:sz="0" w:space="0" w:color="auto"/>
                      </w:divBdr>
                    </w:div>
                  </w:divsChild>
                </w:div>
                <w:div w:id="1813132884">
                  <w:marLeft w:val="0"/>
                  <w:marRight w:val="0"/>
                  <w:marTop w:val="0"/>
                  <w:marBottom w:val="0"/>
                  <w:divBdr>
                    <w:top w:val="none" w:sz="0" w:space="0" w:color="auto"/>
                    <w:left w:val="none" w:sz="0" w:space="0" w:color="auto"/>
                    <w:bottom w:val="none" w:sz="0" w:space="0" w:color="auto"/>
                    <w:right w:val="none" w:sz="0" w:space="0" w:color="auto"/>
                  </w:divBdr>
                  <w:divsChild>
                    <w:div w:id="1809085614">
                      <w:marLeft w:val="0"/>
                      <w:marRight w:val="0"/>
                      <w:marTop w:val="0"/>
                      <w:marBottom w:val="0"/>
                      <w:divBdr>
                        <w:top w:val="none" w:sz="0" w:space="0" w:color="auto"/>
                        <w:left w:val="none" w:sz="0" w:space="0" w:color="auto"/>
                        <w:bottom w:val="none" w:sz="0" w:space="0" w:color="auto"/>
                        <w:right w:val="none" w:sz="0" w:space="0" w:color="auto"/>
                      </w:divBdr>
                    </w:div>
                  </w:divsChild>
                </w:div>
                <w:div w:id="1966810786">
                  <w:marLeft w:val="0"/>
                  <w:marRight w:val="0"/>
                  <w:marTop w:val="0"/>
                  <w:marBottom w:val="0"/>
                  <w:divBdr>
                    <w:top w:val="none" w:sz="0" w:space="0" w:color="auto"/>
                    <w:left w:val="none" w:sz="0" w:space="0" w:color="auto"/>
                    <w:bottom w:val="none" w:sz="0" w:space="0" w:color="auto"/>
                    <w:right w:val="none" w:sz="0" w:space="0" w:color="auto"/>
                  </w:divBdr>
                  <w:divsChild>
                    <w:div w:id="92211447">
                      <w:marLeft w:val="0"/>
                      <w:marRight w:val="0"/>
                      <w:marTop w:val="0"/>
                      <w:marBottom w:val="0"/>
                      <w:divBdr>
                        <w:top w:val="none" w:sz="0" w:space="0" w:color="auto"/>
                        <w:left w:val="none" w:sz="0" w:space="0" w:color="auto"/>
                        <w:bottom w:val="none" w:sz="0" w:space="0" w:color="auto"/>
                        <w:right w:val="none" w:sz="0" w:space="0" w:color="auto"/>
                      </w:divBdr>
                    </w:div>
                  </w:divsChild>
                </w:div>
                <w:div w:id="2085568284">
                  <w:marLeft w:val="0"/>
                  <w:marRight w:val="0"/>
                  <w:marTop w:val="0"/>
                  <w:marBottom w:val="0"/>
                  <w:divBdr>
                    <w:top w:val="none" w:sz="0" w:space="0" w:color="auto"/>
                    <w:left w:val="none" w:sz="0" w:space="0" w:color="auto"/>
                    <w:bottom w:val="none" w:sz="0" w:space="0" w:color="auto"/>
                    <w:right w:val="none" w:sz="0" w:space="0" w:color="auto"/>
                  </w:divBdr>
                  <w:divsChild>
                    <w:div w:id="980498549">
                      <w:marLeft w:val="0"/>
                      <w:marRight w:val="0"/>
                      <w:marTop w:val="0"/>
                      <w:marBottom w:val="0"/>
                      <w:divBdr>
                        <w:top w:val="none" w:sz="0" w:space="0" w:color="auto"/>
                        <w:left w:val="none" w:sz="0" w:space="0" w:color="auto"/>
                        <w:bottom w:val="none" w:sz="0" w:space="0" w:color="auto"/>
                        <w:right w:val="none" w:sz="0" w:space="0" w:color="auto"/>
                      </w:divBdr>
                    </w:div>
                  </w:divsChild>
                </w:div>
                <w:div w:id="2143963233">
                  <w:marLeft w:val="0"/>
                  <w:marRight w:val="0"/>
                  <w:marTop w:val="0"/>
                  <w:marBottom w:val="0"/>
                  <w:divBdr>
                    <w:top w:val="none" w:sz="0" w:space="0" w:color="auto"/>
                    <w:left w:val="none" w:sz="0" w:space="0" w:color="auto"/>
                    <w:bottom w:val="none" w:sz="0" w:space="0" w:color="auto"/>
                    <w:right w:val="none" w:sz="0" w:space="0" w:color="auto"/>
                  </w:divBdr>
                  <w:divsChild>
                    <w:div w:id="4046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3491">
          <w:marLeft w:val="0"/>
          <w:marRight w:val="0"/>
          <w:marTop w:val="0"/>
          <w:marBottom w:val="0"/>
          <w:divBdr>
            <w:top w:val="none" w:sz="0" w:space="0" w:color="auto"/>
            <w:left w:val="none" w:sz="0" w:space="0" w:color="auto"/>
            <w:bottom w:val="none" w:sz="0" w:space="0" w:color="auto"/>
            <w:right w:val="none" w:sz="0" w:space="0" w:color="auto"/>
          </w:divBdr>
          <w:divsChild>
            <w:div w:id="83771915">
              <w:marLeft w:val="-75"/>
              <w:marRight w:val="0"/>
              <w:marTop w:val="30"/>
              <w:marBottom w:val="30"/>
              <w:divBdr>
                <w:top w:val="none" w:sz="0" w:space="0" w:color="auto"/>
                <w:left w:val="none" w:sz="0" w:space="0" w:color="auto"/>
                <w:bottom w:val="none" w:sz="0" w:space="0" w:color="auto"/>
                <w:right w:val="none" w:sz="0" w:space="0" w:color="auto"/>
              </w:divBdr>
              <w:divsChild>
                <w:div w:id="23022778">
                  <w:marLeft w:val="0"/>
                  <w:marRight w:val="0"/>
                  <w:marTop w:val="0"/>
                  <w:marBottom w:val="0"/>
                  <w:divBdr>
                    <w:top w:val="none" w:sz="0" w:space="0" w:color="auto"/>
                    <w:left w:val="none" w:sz="0" w:space="0" w:color="auto"/>
                    <w:bottom w:val="none" w:sz="0" w:space="0" w:color="auto"/>
                    <w:right w:val="none" w:sz="0" w:space="0" w:color="auto"/>
                  </w:divBdr>
                  <w:divsChild>
                    <w:div w:id="1416173213">
                      <w:marLeft w:val="0"/>
                      <w:marRight w:val="0"/>
                      <w:marTop w:val="0"/>
                      <w:marBottom w:val="0"/>
                      <w:divBdr>
                        <w:top w:val="none" w:sz="0" w:space="0" w:color="auto"/>
                        <w:left w:val="none" w:sz="0" w:space="0" w:color="auto"/>
                        <w:bottom w:val="none" w:sz="0" w:space="0" w:color="auto"/>
                        <w:right w:val="none" w:sz="0" w:space="0" w:color="auto"/>
                      </w:divBdr>
                    </w:div>
                  </w:divsChild>
                </w:div>
                <w:div w:id="176893898">
                  <w:marLeft w:val="0"/>
                  <w:marRight w:val="0"/>
                  <w:marTop w:val="0"/>
                  <w:marBottom w:val="0"/>
                  <w:divBdr>
                    <w:top w:val="none" w:sz="0" w:space="0" w:color="auto"/>
                    <w:left w:val="none" w:sz="0" w:space="0" w:color="auto"/>
                    <w:bottom w:val="none" w:sz="0" w:space="0" w:color="auto"/>
                    <w:right w:val="none" w:sz="0" w:space="0" w:color="auto"/>
                  </w:divBdr>
                  <w:divsChild>
                    <w:div w:id="726219006">
                      <w:marLeft w:val="0"/>
                      <w:marRight w:val="0"/>
                      <w:marTop w:val="0"/>
                      <w:marBottom w:val="0"/>
                      <w:divBdr>
                        <w:top w:val="none" w:sz="0" w:space="0" w:color="auto"/>
                        <w:left w:val="none" w:sz="0" w:space="0" w:color="auto"/>
                        <w:bottom w:val="none" w:sz="0" w:space="0" w:color="auto"/>
                        <w:right w:val="none" w:sz="0" w:space="0" w:color="auto"/>
                      </w:divBdr>
                    </w:div>
                  </w:divsChild>
                </w:div>
                <w:div w:id="184291403">
                  <w:marLeft w:val="0"/>
                  <w:marRight w:val="0"/>
                  <w:marTop w:val="0"/>
                  <w:marBottom w:val="0"/>
                  <w:divBdr>
                    <w:top w:val="none" w:sz="0" w:space="0" w:color="auto"/>
                    <w:left w:val="none" w:sz="0" w:space="0" w:color="auto"/>
                    <w:bottom w:val="none" w:sz="0" w:space="0" w:color="auto"/>
                    <w:right w:val="none" w:sz="0" w:space="0" w:color="auto"/>
                  </w:divBdr>
                  <w:divsChild>
                    <w:div w:id="2084908299">
                      <w:marLeft w:val="0"/>
                      <w:marRight w:val="0"/>
                      <w:marTop w:val="0"/>
                      <w:marBottom w:val="0"/>
                      <w:divBdr>
                        <w:top w:val="none" w:sz="0" w:space="0" w:color="auto"/>
                        <w:left w:val="none" w:sz="0" w:space="0" w:color="auto"/>
                        <w:bottom w:val="none" w:sz="0" w:space="0" w:color="auto"/>
                        <w:right w:val="none" w:sz="0" w:space="0" w:color="auto"/>
                      </w:divBdr>
                    </w:div>
                  </w:divsChild>
                </w:div>
                <w:div w:id="260651576">
                  <w:marLeft w:val="0"/>
                  <w:marRight w:val="0"/>
                  <w:marTop w:val="0"/>
                  <w:marBottom w:val="0"/>
                  <w:divBdr>
                    <w:top w:val="none" w:sz="0" w:space="0" w:color="auto"/>
                    <w:left w:val="none" w:sz="0" w:space="0" w:color="auto"/>
                    <w:bottom w:val="none" w:sz="0" w:space="0" w:color="auto"/>
                    <w:right w:val="none" w:sz="0" w:space="0" w:color="auto"/>
                  </w:divBdr>
                  <w:divsChild>
                    <w:div w:id="933049008">
                      <w:marLeft w:val="0"/>
                      <w:marRight w:val="0"/>
                      <w:marTop w:val="0"/>
                      <w:marBottom w:val="0"/>
                      <w:divBdr>
                        <w:top w:val="none" w:sz="0" w:space="0" w:color="auto"/>
                        <w:left w:val="none" w:sz="0" w:space="0" w:color="auto"/>
                        <w:bottom w:val="none" w:sz="0" w:space="0" w:color="auto"/>
                        <w:right w:val="none" w:sz="0" w:space="0" w:color="auto"/>
                      </w:divBdr>
                    </w:div>
                  </w:divsChild>
                </w:div>
                <w:div w:id="413160881">
                  <w:marLeft w:val="0"/>
                  <w:marRight w:val="0"/>
                  <w:marTop w:val="0"/>
                  <w:marBottom w:val="0"/>
                  <w:divBdr>
                    <w:top w:val="none" w:sz="0" w:space="0" w:color="auto"/>
                    <w:left w:val="none" w:sz="0" w:space="0" w:color="auto"/>
                    <w:bottom w:val="none" w:sz="0" w:space="0" w:color="auto"/>
                    <w:right w:val="none" w:sz="0" w:space="0" w:color="auto"/>
                  </w:divBdr>
                  <w:divsChild>
                    <w:div w:id="1864896510">
                      <w:marLeft w:val="0"/>
                      <w:marRight w:val="0"/>
                      <w:marTop w:val="0"/>
                      <w:marBottom w:val="0"/>
                      <w:divBdr>
                        <w:top w:val="none" w:sz="0" w:space="0" w:color="auto"/>
                        <w:left w:val="none" w:sz="0" w:space="0" w:color="auto"/>
                        <w:bottom w:val="none" w:sz="0" w:space="0" w:color="auto"/>
                        <w:right w:val="none" w:sz="0" w:space="0" w:color="auto"/>
                      </w:divBdr>
                    </w:div>
                  </w:divsChild>
                </w:div>
                <w:div w:id="421681492">
                  <w:marLeft w:val="0"/>
                  <w:marRight w:val="0"/>
                  <w:marTop w:val="0"/>
                  <w:marBottom w:val="0"/>
                  <w:divBdr>
                    <w:top w:val="none" w:sz="0" w:space="0" w:color="auto"/>
                    <w:left w:val="none" w:sz="0" w:space="0" w:color="auto"/>
                    <w:bottom w:val="none" w:sz="0" w:space="0" w:color="auto"/>
                    <w:right w:val="none" w:sz="0" w:space="0" w:color="auto"/>
                  </w:divBdr>
                  <w:divsChild>
                    <w:div w:id="105317951">
                      <w:marLeft w:val="0"/>
                      <w:marRight w:val="0"/>
                      <w:marTop w:val="0"/>
                      <w:marBottom w:val="0"/>
                      <w:divBdr>
                        <w:top w:val="none" w:sz="0" w:space="0" w:color="auto"/>
                        <w:left w:val="none" w:sz="0" w:space="0" w:color="auto"/>
                        <w:bottom w:val="none" w:sz="0" w:space="0" w:color="auto"/>
                        <w:right w:val="none" w:sz="0" w:space="0" w:color="auto"/>
                      </w:divBdr>
                    </w:div>
                  </w:divsChild>
                </w:div>
                <w:div w:id="492993452">
                  <w:marLeft w:val="0"/>
                  <w:marRight w:val="0"/>
                  <w:marTop w:val="0"/>
                  <w:marBottom w:val="0"/>
                  <w:divBdr>
                    <w:top w:val="none" w:sz="0" w:space="0" w:color="auto"/>
                    <w:left w:val="none" w:sz="0" w:space="0" w:color="auto"/>
                    <w:bottom w:val="none" w:sz="0" w:space="0" w:color="auto"/>
                    <w:right w:val="none" w:sz="0" w:space="0" w:color="auto"/>
                  </w:divBdr>
                  <w:divsChild>
                    <w:div w:id="543759639">
                      <w:marLeft w:val="0"/>
                      <w:marRight w:val="0"/>
                      <w:marTop w:val="0"/>
                      <w:marBottom w:val="0"/>
                      <w:divBdr>
                        <w:top w:val="none" w:sz="0" w:space="0" w:color="auto"/>
                        <w:left w:val="none" w:sz="0" w:space="0" w:color="auto"/>
                        <w:bottom w:val="none" w:sz="0" w:space="0" w:color="auto"/>
                        <w:right w:val="none" w:sz="0" w:space="0" w:color="auto"/>
                      </w:divBdr>
                    </w:div>
                  </w:divsChild>
                </w:div>
                <w:div w:id="543367982">
                  <w:marLeft w:val="0"/>
                  <w:marRight w:val="0"/>
                  <w:marTop w:val="0"/>
                  <w:marBottom w:val="0"/>
                  <w:divBdr>
                    <w:top w:val="none" w:sz="0" w:space="0" w:color="auto"/>
                    <w:left w:val="none" w:sz="0" w:space="0" w:color="auto"/>
                    <w:bottom w:val="none" w:sz="0" w:space="0" w:color="auto"/>
                    <w:right w:val="none" w:sz="0" w:space="0" w:color="auto"/>
                  </w:divBdr>
                  <w:divsChild>
                    <w:div w:id="1033580868">
                      <w:marLeft w:val="0"/>
                      <w:marRight w:val="0"/>
                      <w:marTop w:val="0"/>
                      <w:marBottom w:val="0"/>
                      <w:divBdr>
                        <w:top w:val="none" w:sz="0" w:space="0" w:color="auto"/>
                        <w:left w:val="none" w:sz="0" w:space="0" w:color="auto"/>
                        <w:bottom w:val="none" w:sz="0" w:space="0" w:color="auto"/>
                        <w:right w:val="none" w:sz="0" w:space="0" w:color="auto"/>
                      </w:divBdr>
                    </w:div>
                  </w:divsChild>
                </w:div>
                <w:div w:id="650259118">
                  <w:marLeft w:val="0"/>
                  <w:marRight w:val="0"/>
                  <w:marTop w:val="0"/>
                  <w:marBottom w:val="0"/>
                  <w:divBdr>
                    <w:top w:val="none" w:sz="0" w:space="0" w:color="auto"/>
                    <w:left w:val="none" w:sz="0" w:space="0" w:color="auto"/>
                    <w:bottom w:val="none" w:sz="0" w:space="0" w:color="auto"/>
                    <w:right w:val="none" w:sz="0" w:space="0" w:color="auto"/>
                  </w:divBdr>
                  <w:divsChild>
                    <w:div w:id="878930489">
                      <w:marLeft w:val="0"/>
                      <w:marRight w:val="0"/>
                      <w:marTop w:val="0"/>
                      <w:marBottom w:val="0"/>
                      <w:divBdr>
                        <w:top w:val="none" w:sz="0" w:space="0" w:color="auto"/>
                        <w:left w:val="none" w:sz="0" w:space="0" w:color="auto"/>
                        <w:bottom w:val="none" w:sz="0" w:space="0" w:color="auto"/>
                        <w:right w:val="none" w:sz="0" w:space="0" w:color="auto"/>
                      </w:divBdr>
                    </w:div>
                  </w:divsChild>
                </w:div>
                <w:div w:id="718745700">
                  <w:marLeft w:val="0"/>
                  <w:marRight w:val="0"/>
                  <w:marTop w:val="0"/>
                  <w:marBottom w:val="0"/>
                  <w:divBdr>
                    <w:top w:val="none" w:sz="0" w:space="0" w:color="auto"/>
                    <w:left w:val="none" w:sz="0" w:space="0" w:color="auto"/>
                    <w:bottom w:val="none" w:sz="0" w:space="0" w:color="auto"/>
                    <w:right w:val="none" w:sz="0" w:space="0" w:color="auto"/>
                  </w:divBdr>
                  <w:divsChild>
                    <w:div w:id="83066433">
                      <w:marLeft w:val="0"/>
                      <w:marRight w:val="0"/>
                      <w:marTop w:val="0"/>
                      <w:marBottom w:val="0"/>
                      <w:divBdr>
                        <w:top w:val="none" w:sz="0" w:space="0" w:color="auto"/>
                        <w:left w:val="none" w:sz="0" w:space="0" w:color="auto"/>
                        <w:bottom w:val="none" w:sz="0" w:space="0" w:color="auto"/>
                        <w:right w:val="none" w:sz="0" w:space="0" w:color="auto"/>
                      </w:divBdr>
                    </w:div>
                    <w:div w:id="712533416">
                      <w:marLeft w:val="0"/>
                      <w:marRight w:val="0"/>
                      <w:marTop w:val="0"/>
                      <w:marBottom w:val="0"/>
                      <w:divBdr>
                        <w:top w:val="none" w:sz="0" w:space="0" w:color="auto"/>
                        <w:left w:val="none" w:sz="0" w:space="0" w:color="auto"/>
                        <w:bottom w:val="none" w:sz="0" w:space="0" w:color="auto"/>
                        <w:right w:val="none" w:sz="0" w:space="0" w:color="auto"/>
                      </w:divBdr>
                      <w:divsChild>
                        <w:div w:id="1410466560">
                          <w:marLeft w:val="0"/>
                          <w:marRight w:val="0"/>
                          <w:marTop w:val="30"/>
                          <w:marBottom w:val="30"/>
                          <w:divBdr>
                            <w:top w:val="none" w:sz="0" w:space="0" w:color="auto"/>
                            <w:left w:val="none" w:sz="0" w:space="0" w:color="auto"/>
                            <w:bottom w:val="none" w:sz="0" w:space="0" w:color="auto"/>
                            <w:right w:val="none" w:sz="0" w:space="0" w:color="auto"/>
                          </w:divBdr>
                          <w:divsChild>
                            <w:div w:id="6756415">
                              <w:marLeft w:val="0"/>
                              <w:marRight w:val="0"/>
                              <w:marTop w:val="0"/>
                              <w:marBottom w:val="0"/>
                              <w:divBdr>
                                <w:top w:val="none" w:sz="0" w:space="0" w:color="auto"/>
                                <w:left w:val="none" w:sz="0" w:space="0" w:color="auto"/>
                                <w:bottom w:val="none" w:sz="0" w:space="0" w:color="auto"/>
                                <w:right w:val="none" w:sz="0" w:space="0" w:color="auto"/>
                              </w:divBdr>
                              <w:divsChild>
                                <w:div w:id="1287270567">
                                  <w:marLeft w:val="0"/>
                                  <w:marRight w:val="0"/>
                                  <w:marTop w:val="0"/>
                                  <w:marBottom w:val="0"/>
                                  <w:divBdr>
                                    <w:top w:val="none" w:sz="0" w:space="0" w:color="auto"/>
                                    <w:left w:val="none" w:sz="0" w:space="0" w:color="auto"/>
                                    <w:bottom w:val="none" w:sz="0" w:space="0" w:color="auto"/>
                                    <w:right w:val="none" w:sz="0" w:space="0" w:color="auto"/>
                                  </w:divBdr>
                                </w:div>
                              </w:divsChild>
                            </w:div>
                            <w:div w:id="36198224">
                              <w:marLeft w:val="0"/>
                              <w:marRight w:val="0"/>
                              <w:marTop w:val="0"/>
                              <w:marBottom w:val="0"/>
                              <w:divBdr>
                                <w:top w:val="none" w:sz="0" w:space="0" w:color="auto"/>
                                <w:left w:val="none" w:sz="0" w:space="0" w:color="auto"/>
                                <w:bottom w:val="none" w:sz="0" w:space="0" w:color="auto"/>
                                <w:right w:val="none" w:sz="0" w:space="0" w:color="auto"/>
                              </w:divBdr>
                              <w:divsChild>
                                <w:div w:id="1427071400">
                                  <w:marLeft w:val="0"/>
                                  <w:marRight w:val="0"/>
                                  <w:marTop w:val="0"/>
                                  <w:marBottom w:val="0"/>
                                  <w:divBdr>
                                    <w:top w:val="none" w:sz="0" w:space="0" w:color="auto"/>
                                    <w:left w:val="none" w:sz="0" w:space="0" w:color="auto"/>
                                    <w:bottom w:val="none" w:sz="0" w:space="0" w:color="auto"/>
                                    <w:right w:val="none" w:sz="0" w:space="0" w:color="auto"/>
                                  </w:divBdr>
                                </w:div>
                              </w:divsChild>
                            </w:div>
                            <w:div w:id="142701402">
                              <w:marLeft w:val="0"/>
                              <w:marRight w:val="0"/>
                              <w:marTop w:val="0"/>
                              <w:marBottom w:val="0"/>
                              <w:divBdr>
                                <w:top w:val="none" w:sz="0" w:space="0" w:color="auto"/>
                                <w:left w:val="none" w:sz="0" w:space="0" w:color="auto"/>
                                <w:bottom w:val="none" w:sz="0" w:space="0" w:color="auto"/>
                                <w:right w:val="none" w:sz="0" w:space="0" w:color="auto"/>
                              </w:divBdr>
                              <w:divsChild>
                                <w:div w:id="758795560">
                                  <w:marLeft w:val="0"/>
                                  <w:marRight w:val="0"/>
                                  <w:marTop w:val="0"/>
                                  <w:marBottom w:val="0"/>
                                  <w:divBdr>
                                    <w:top w:val="none" w:sz="0" w:space="0" w:color="auto"/>
                                    <w:left w:val="none" w:sz="0" w:space="0" w:color="auto"/>
                                    <w:bottom w:val="none" w:sz="0" w:space="0" w:color="auto"/>
                                    <w:right w:val="none" w:sz="0" w:space="0" w:color="auto"/>
                                  </w:divBdr>
                                </w:div>
                              </w:divsChild>
                            </w:div>
                            <w:div w:id="157620140">
                              <w:marLeft w:val="0"/>
                              <w:marRight w:val="0"/>
                              <w:marTop w:val="0"/>
                              <w:marBottom w:val="0"/>
                              <w:divBdr>
                                <w:top w:val="none" w:sz="0" w:space="0" w:color="auto"/>
                                <w:left w:val="none" w:sz="0" w:space="0" w:color="auto"/>
                                <w:bottom w:val="none" w:sz="0" w:space="0" w:color="auto"/>
                                <w:right w:val="none" w:sz="0" w:space="0" w:color="auto"/>
                              </w:divBdr>
                              <w:divsChild>
                                <w:div w:id="1940479406">
                                  <w:marLeft w:val="0"/>
                                  <w:marRight w:val="0"/>
                                  <w:marTop w:val="0"/>
                                  <w:marBottom w:val="0"/>
                                  <w:divBdr>
                                    <w:top w:val="none" w:sz="0" w:space="0" w:color="auto"/>
                                    <w:left w:val="none" w:sz="0" w:space="0" w:color="auto"/>
                                    <w:bottom w:val="none" w:sz="0" w:space="0" w:color="auto"/>
                                    <w:right w:val="none" w:sz="0" w:space="0" w:color="auto"/>
                                  </w:divBdr>
                                </w:div>
                              </w:divsChild>
                            </w:div>
                            <w:div w:id="237862063">
                              <w:marLeft w:val="0"/>
                              <w:marRight w:val="0"/>
                              <w:marTop w:val="0"/>
                              <w:marBottom w:val="0"/>
                              <w:divBdr>
                                <w:top w:val="none" w:sz="0" w:space="0" w:color="auto"/>
                                <w:left w:val="none" w:sz="0" w:space="0" w:color="auto"/>
                                <w:bottom w:val="none" w:sz="0" w:space="0" w:color="auto"/>
                                <w:right w:val="none" w:sz="0" w:space="0" w:color="auto"/>
                              </w:divBdr>
                              <w:divsChild>
                                <w:div w:id="345905187">
                                  <w:marLeft w:val="0"/>
                                  <w:marRight w:val="0"/>
                                  <w:marTop w:val="0"/>
                                  <w:marBottom w:val="0"/>
                                  <w:divBdr>
                                    <w:top w:val="none" w:sz="0" w:space="0" w:color="auto"/>
                                    <w:left w:val="none" w:sz="0" w:space="0" w:color="auto"/>
                                    <w:bottom w:val="none" w:sz="0" w:space="0" w:color="auto"/>
                                    <w:right w:val="none" w:sz="0" w:space="0" w:color="auto"/>
                                  </w:divBdr>
                                </w:div>
                              </w:divsChild>
                            </w:div>
                            <w:div w:id="284311623">
                              <w:marLeft w:val="0"/>
                              <w:marRight w:val="0"/>
                              <w:marTop w:val="0"/>
                              <w:marBottom w:val="0"/>
                              <w:divBdr>
                                <w:top w:val="none" w:sz="0" w:space="0" w:color="auto"/>
                                <w:left w:val="none" w:sz="0" w:space="0" w:color="auto"/>
                                <w:bottom w:val="none" w:sz="0" w:space="0" w:color="auto"/>
                                <w:right w:val="none" w:sz="0" w:space="0" w:color="auto"/>
                              </w:divBdr>
                              <w:divsChild>
                                <w:div w:id="2098090560">
                                  <w:marLeft w:val="0"/>
                                  <w:marRight w:val="0"/>
                                  <w:marTop w:val="0"/>
                                  <w:marBottom w:val="0"/>
                                  <w:divBdr>
                                    <w:top w:val="none" w:sz="0" w:space="0" w:color="auto"/>
                                    <w:left w:val="none" w:sz="0" w:space="0" w:color="auto"/>
                                    <w:bottom w:val="none" w:sz="0" w:space="0" w:color="auto"/>
                                    <w:right w:val="none" w:sz="0" w:space="0" w:color="auto"/>
                                  </w:divBdr>
                                </w:div>
                              </w:divsChild>
                            </w:div>
                            <w:div w:id="286740108">
                              <w:marLeft w:val="0"/>
                              <w:marRight w:val="0"/>
                              <w:marTop w:val="0"/>
                              <w:marBottom w:val="0"/>
                              <w:divBdr>
                                <w:top w:val="none" w:sz="0" w:space="0" w:color="auto"/>
                                <w:left w:val="none" w:sz="0" w:space="0" w:color="auto"/>
                                <w:bottom w:val="none" w:sz="0" w:space="0" w:color="auto"/>
                                <w:right w:val="none" w:sz="0" w:space="0" w:color="auto"/>
                              </w:divBdr>
                              <w:divsChild>
                                <w:div w:id="457989170">
                                  <w:marLeft w:val="0"/>
                                  <w:marRight w:val="0"/>
                                  <w:marTop w:val="0"/>
                                  <w:marBottom w:val="0"/>
                                  <w:divBdr>
                                    <w:top w:val="none" w:sz="0" w:space="0" w:color="auto"/>
                                    <w:left w:val="none" w:sz="0" w:space="0" w:color="auto"/>
                                    <w:bottom w:val="none" w:sz="0" w:space="0" w:color="auto"/>
                                    <w:right w:val="none" w:sz="0" w:space="0" w:color="auto"/>
                                  </w:divBdr>
                                </w:div>
                              </w:divsChild>
                            </w:div>
                            <w:div w:id="309139714">
                              <w:marLeft w:val="0"/>
                              <w:marRight w:val="0"/>
                              <w:marTop w:val="0"/>
                              <w:marBottom w:val="0"/>
                              <w:divBdr>
                                <w:top w:val="none" w:sz="0" w:space="0" w:color="auto"/>
                                <w:left w:val="none" w:sz="0" w:space="0" w:color="auto"/>
                                <w:bottom w:val="none" w:sz="0" w:space="0" w:color="auto"/>
                                <w:right w:val="none" w:sz="0" w:space="0" w:color="auto"/>
                              </w:divBdr>
                              <w:divsChild>
                                <w:div w:id="1605073378">
                                  <w:marLeft w:val="0"/>
                                  <w:marRight w:val="0"/>
                                  <w:marTop w:val="0"/>
                                  <w:marBottom w:val="0"/>
                                  <w:divBdr>
                                    <w:top w:val="none" w:sz="0" w:space="0" w:color="auto"/>
                                    <w:left w:val="none" w:sz="0" w:space="0" w:color="auto"/>
                                    <w:bottom w:val="none" w:sz="0" w:space="0" w:color="auto"/>
                                    <w:right w:val="none" w:sz="0" w:space="0" w:color="auto"/>
                                  </w:divBdr>
                                </w:div>
                              </w:divsChild>
                            </w:div>
                            <w:div w:id="348677011">
                              <w:marLeft w:val="0"/>
                              <w:marRight w:val="0"/>
                              <w:marTop w:val="0"/>
                              <w:marBottom w:val="0"/>
                              <w:divBdr>
                                <w:top w:val="none" w:sz="0" w:space="0" w:color="auto"/>
                                <w:left w:val="none" w:sz="0" w:space="0" w:color="auto"/>
                                <w:bottom w:val="none" w:sz="0" w:space="0" w:color="auto"/>
                                <w:right w:val="none" w:sz="0" w:space="0" w:color="auto"/>
                              </w:divBdr>
                              <w:divsChild>
                                <w:div w:id="198590516">
                                  <w:marLeft w:val="0"/>
                                  <w:marRight w:val="0"/>
                                  <w:marTop w:val="0"/>
                                  <w:marBottom w:val="0"/>
                                  <w:divBdr>
                                    <w:top w:val="none" w:sz="0" w:space="0" w:color="auto"/>
                                    <w:left w:val="none" w:sz="0" w:space="0" w:color="auto"/>
                                    <w:bottom w:val="none" w:sz="0" w:space="0" w:color="auto"/>
                                    <w:right w:val="none" w:sz="0" w:space="0" w:color="auto"/>
                                  </w:divBdr>
                                </w:div>
                              </w:divsChild>
                            </w:div>
                            <w:div w:id="504170980">
                              <w:marLeft w:val="0"/>
                              <w:marRight w:val="0"/>
                              <w:marTop w:val="0"/>
                              <w:marBottom w:val="0"/>
                              <w:divBdr>
                                <w:top w:val="none" w:sz="0" w:space="0" w:color="auto"/>
                                <w:left w:val="none" w:sz="0" w:space="0" w:color="auto"/>
                                <w:bottom w:val="none" w:sz="0" w:space="0" w:color="auto"/>
                                <w:right w:val="none" w:sz="0" w:space="0" w:color="auto"/>
                              </w:divBdr>
                              <w:divsChild>
                                <w:div w:id="1661084365">
                                  <w:marLeft w:val="0"/>
                                  <w:marRight w:val="0"/>
                                  <w:marTop w:val="0"/>
                                  <w:marBottom w:val="0"/>
                                  <w:divBdr>
                                    <w:top w:val="none" w:sz="0" w:space="0" w:color="auto"/>
                                    <w:left w:val="none" w:sz="0" w:space="0" w:color="auto"/>
                                    <w:bottom w:val="none" w:sz="0" w:space="0" w:color="auto"/>
                                    <w:right w:val="none" w:sz="0" w:space="0" w:color="auto"/>
                                  </w:divBdr>
                                </w:div>
                              </w:divsChild>
                            </w:div>
                            <w:div w:id="595601287">
                              <w:marLeft w:val="0"/>
                              <w:marRight w:val="0"/>
                              <w:marTop w:val="0"/>
                              <w:marBottom w:val="0"/>
                              <w:divBdr>
                                <w:top w:val="none" w:sz="0" w:space="0" w:color="auto"/>
                                <w:left w:val="none" w:sz="0" w:space="0" w:color="auto"/>
                                <w:bottom w:val="none" w:sz="0" w:space="0" w:color="auto"/>
                                <w:right w:val="none" w:sz="0" w:space="0" w:color="auto"/>
                              </w:divBdr>
                              <w:divsChild>
                                <w:div w:id="310990878">
                                  <w:marLeft w:val="0"/>
                                  <w:marRight w:val="0"/>
                                  <w:marTop w:val="0"/>
                                  <w:marBottom w:val="0"/>
                                  <w:divBdr>
                                    <w:top w:val="none" w:sz="0" w:space="0" w:color="auto"/>
                                    <w:left w:val="none" w:sz="0" w:space="0" w:color="auto"/>
                                    <w:bottom w:val="none" w:sz="0" w:space="0" w:color="auto"/>
                                    <w:right w:val="none" w:sz="0" w:space="0" w:color="auto"/>
                                  </w:divBdr>
                                </w:div>
                              </w:divsChild>
                            </w:div>
                            <w:div w:id="603074322">
                              <w:marLeft w:val="0"/>
                              <w:marRight w:val="0"/>
                              <w:marTop w:val="0"/>
                              <w:marBottom w:val="0"/>
                              <w:divBdr>
                                <w:top w:val="none" w:sz="0" w:space="0" w:color="auto"/>
                                <w:left w:val="none" w:sz="0" w:space="0" w:color="auto"/>
                                <w:bottom w:val="none" w:sz="0" w:space="0" w:color="auto"/>
                                <w:right w:val="none" w:sz="0" w:space="0" w:color="auto"/>
                              </w:divBdr>
                              <w:divsChild>
                                <w:div w:id="124740879">
                                  <w:marLeft w:val="0"/>
                                  <w:marRight w:val="0"/>
                                  <w:marTop w:val="0"/>
                                  <w:marBottom w:val="0"/>
                                  <w:divBdr>
                                    <w:top w:val="none" w:sz="0" w:space="0" w:color="auto"/>
                                    <w:left w:val="none" w:sz="0" w:space="0" w:color="auto"/>
                                    <w:bottom w:val="none" w:sz="0" w:space="0" w:color="auto"/>
                                    <w:right w:val="none" w:sz="0" w:space="0" w:color="auto"/>
                                  </w:divBdr>
                                </w:div>
                              </w:divsChild>
                            </w:div>
                            <w:div w:id="610741019">
                              <w:marLeft w:val="0"/>
                              <w:marRight w:val="0"/>
                              <w:marTop w:val="0"/>
                              <w:marBottom w:val="0"/>
                              <w:divBdr>
                                <w:top w:val="none" w:sz="0" w:space="0" w:color="auto"/>
                                <w:left w:val="none" w:sz="0" w:space="0" w:color="auto"/>
                                <w:bottom w:val="none" w:sz="0" w:space="0" w:color="auto"/>
                                <w:right w:val="none" w:sz="0" w:space="0" w:color="auto"/>
                              </w:divBdr>
                              <w:divsChild>
                                <w:div w:id="279802802">
                                  <w:marLeft w:val="0"/>
                                  <w:marRight w:val="0"/>
                                  <w:marTop w:val="0"/>
                                  <w:marBottom w:val="0"/>
                                  <w:divBdr>
                                    <w:top w:val="none" w:sz="0" w:space="0" w:color="auto"/>
                                    <w:left w:val="none" w:sz="0" w:space="0" w:color="auto"/>
                                    <w:bottom w:val="none" w:sz="0" w:space="0" w:color="auto"/>
                                    <w:right w:val="none" w:sz="0" w:space="0" w:color="auto"/>
                                  </w:divBdr>
                                </w:div>
                              </w:divsChild>
                            </w:div>
                            <w:div w:id="677391981">
                              <w:marLeft w:val="0"/>
                              <w:marRight w:val="0"/>
                              <w:marTop w:val="0"/>
                              <w:marBottom w:val="0"/>
                              <w:divBdr>
                                <w:top w:val="none" w:sz="0" w:space="0" w:color="auto"/>
                                <w:left w:val="none" w:sz="0" w:space="0" w:color="auto"/>
                                <w:bottom w:val="none" w:sz="0" w:space="0" w:color="auto"/>
                                <w:right w:val="none" w:sz="0" w:space="0" w:color="auto"/>
                              </w:divBdr>
                              <w:divsChild>
                                <w:div w:id="2014870814">
                                  <w:marLeft w:val="0"/>
                                  <w:marRight w:val="0"/>
                                  <w:marTop w:val="0"/>
                                  <w:marBottom w:val="0"/>
                                  <w:divBdr>
                                    <w:top w:val="none" w:sz="0" w:space="0" w:color="auto"/>
                                    <w:left w:val="none" w:sz="0" w:space="0" w:color="auto"/>
                                    <w:bottom w:val="none" w:sz="0" w:space="0" w:color="auto"/>
                                    <w:right w:val="none" w:sz="0" w:space="0" w:color="auto"/>
                                  </w:divBdr>
                                </w:div>
                              </w:divsChild>
                            </w:div>
                            <w:div w:id="690842767">
                              <w:marLeft w:val="0"/>
                              <w:marRight w:val="0"/>
                              <w:marTop w:val="0"/>
                              <w:marBottom w:val="0"/>
                              <w:divBdr>
                                <w:top w:val="none" w:sz="0" w:space="0" w:color="auto"/>
                                <w:left w:val="none" w:sz="0" w:space="0" w:color="auto"/>
                                <w:bottom w:val="none" w:sz="0" w:space="0" w:color="auto"/>
                                <w:right w:val="none" w:sz="0" w:space="0" w:color="auto"/>
                              </w:divBdr>
                              <w:divsChild>
                                <w:div w:id="1555003351">
                                  <w:marLeft w:val="0"/>
                                  <w:marRight w:val="0"/>
                                  <w:marTop w:val="0"/>
                                  <w:marBottom w:val="0"/>
                                  <w:divBdr>
                                    <w:top w:val="none" w:sz="0" w:space="0" w:color="auto"/>
                                    <w:left w:val="none" w:sz="0" w:space="0" w:color="auto"/>
                                    <w:bottom w:val="none" w:sz="0" w:space="0" w:color="auto"/>
                                    <w:right w:val="none" w:sz="0" w:space="0" w:color="auto"/>
                                  </w:divBdr>
                                </w:div>
                              </w:divsChild>
                            </w:div>
                            <w:div w:id="735932313">
                              <w:marLeft w:val="0"/>
                              <w:marRight w:val="0"/>
                              <w:marTop w:val="0"/>
                              <w:marBottom w:val="0"/>
                              <w:divBdr>
                                <w:top w:val="none" w:sz="0" w:space="0" w:color="auto"/>
                                <w:left w:val="none" w:sz="0" w:space="0" w:color="auto"/>
                                <w:bottom w:val="none" w:sz="0" w:space="0" w:color="auto"/>
                                <w:right w:val="none" w:sz="0" w:space="0" w:color="auto"/>
                              </w:divBdr>
                              <w:divsChild>
                                <w:div w:id="1009674482">
                                  <w:marLeft w:val="0"/>
                                  <w:marRight w:val="0"/>
                                  <w:marTop w:val="0"/>
                                  <w:marBottom w:val="0"/>
                                  <w:divBdr>
                                    <w:top w:val="none" w:sz="0" w:space="0" w:color="auto"/>
                                    <w:left w:val="none" w:sz="0" w:space="0" w:color="auto"/>
                                    <w:bottom w:val="none" w:sz="0" w:space="0" w:color="auto"/>
                                    <w:right w:val="none" w:sz="0" w:space="0" w:color="auto"/>
                                  </w:divBdr>
                                </w:div>
                              </w:divsChild>
                            </w:div>
                            <w:div w:id="757018611">
                              <w:marLeft w:val="0"/>
                              <w:marRight w:val="0"/>
                              <w:marTop w:val="0"/>
                              <w:marBottom w:val="0"/>
                              <w:divBdr>
                                <w:top w:val="none" w:sz="0" w:space="0" w:color="auto"/>
                                <w:left w:val="none" w:sz="0" w:space="0" w:color="auto"/>
                                <w:bottom w:val="none" w:sz="0" w:space="0" w:color="auto"/>
                                <w:right w:val="none" w:sz="0" w:space="0" w:color="auto"/>
                              </w:divBdr>
                              <w:divsChild>
                                <w:div w:id="841160637">
                                  <w:marLeft w:val="0"/>
                                  <w:marRight w:val="0"/>
                                  <w:marTop w:val="0"/>
                                  <w:marBottom w:val="0"/>
                                  <w:divBdr>
                                    <w:top w:val="none" w:sz="0" w:space="0" w:color="auto"/>
                                    <w:left w:val="none" w:sz="0" w:space="0" w:color="auto"/>
                                    <w:bottom w:val="none" w:sz="0" w:space="0" w:color="auto"/>
                                    <w:right w:val="none" w:sz="0" w:space="0" w:color="auto"/>
                                  </w:divBdr>
                                </w:div>
                              </w:divsChild>
                            </w:div>
                            <w:div w:id="777942905">
                              <w:marLeft w:val="0"/>
                              <w:marRight w:val="0"/>
                              <w:marTop w:val="0"/>
                              <w:marBottom w:val="0"/>
                              <w:divBdr>
                                <w:top w:val="none" w:sz="0" w:space="0" w:color="auto"/>
                                <w:left w:val="none" w:sz="0" w:space="0" w:color="auto"/>
                                <w:bottom w:val="none" w:sz="0" w:space="0" w:color="auto"/>
                                <w:right w:val="none" w:sz="0" w:space="0" w:color="auto"/>
                              </w:divBdr>
                              <w:divsChild>
                                <w:div w:id="1007950591">
                                  <w:marLeft w:val="0"/>
                                  <w:marRight w:val="0"/>
                                  <w:marTop w:val="0"/>
                                  <w:marBottom w:val="0"/>
                                  <w:divBdr>
                                    <w:top w:val="none" w:sz="0" w:space="0" w:color="auto"/>
                                    <w:left w:val="none" w:sz="0" w:space="0" w:color="auto"/>
                                    <w:bottom w:val="none" w:sz="0" w:space="0" w:color="auto"/>
                                    <w:right w:val="none" w:sz="0" w:space="0" w:color="auto"/>
                                  </w:divBdr>
                                </w:div>
                              </w:divsChild>
                            </w:div>
                            <w:div w:id="810291061">
                              <w:marLeft w:val="0"/>
                              <w:marRight w:val="0"/>
                              <w:marTop w:val="0"/>
                              <w:marBottom w:val="0"/>
                              <w:divBdr>
                                <w:top w:val="none" w:sz="0" w:space="0" w:color="auto"/>
                                <w:left w:val="none" w:sz="0" w:space="0" w:color="auto"/>
                                <w:bottom w:val="none" w:sz="0" w:space="0" w:color="auto"/>
                                <w:right w:val="none" w:sz="0" w:space="0" w:color="auto"/>
                              </w:divBdr>
                              <w:divsChild>
                                <w:div w:id="2111311167">
                                  <w:marLeft w:val="0"/>
                                  <w:marRight w:val="0"/>
                                  <w:marTop w:val="0"/>
                                  <w:marBottom w:val="0"/>
                                  <w:divBdr>
                                    <w:top w:val="none" w:sz="0" w:space="0" w:color="auto"/>
                                    <w:left w:val="none" w:sz="0" w:space="0" w:color="auto"/>
                                    <w:bottom w:val="none" w:sz="0" w:space="0" w:color="auto"/>
                                    <w:right w:val="none" w:sz="0" w:space="0" w:color="auto"/>
                                  </w:divBdr>
                                </w:div>
                              </w:divsChild>
                            </w:div>
                            <w:div w:id="853223531">
                              <w:marLeft w:val="0"/>
                              <w:marRight w:val="0"/>
                              <w:marTop w:val="0"/>
                              <w:marBottom w:val="0"/>
                              <w:divBdr>
                                <w:top w:val="none" w:sz="0" w:space="0" w:color="auto"/>
                                <w:left w:val="none" w:sz="0" w:space="0" w:color="auto"/>
                                <w:bottom w:val="none" w:sz="0" w:space="0" w:color="auto"/>
                                <w:right w:val="none" w:sz="0" w:space="0" w:color="auto"/>
                              </w:divBdr>
                              <w:divsChild>
                                <w:div w:id="1922332361">
                                  <w:marLeft w:val="0"/>
                                  <w:marRight w:val="0"/>
                                  <w:marTop w:val="0"/>
                                  <w:marBottom w:val="0"/>
                                  <w:divBdr>
                                    <w:top w:val="none" w:sz="0" w:space="0" w:color="auto"/>
                                    <w:left w:val="none" w:sz="0" w:space="0" w:color="auto"/>
                                    <w:bottom w:val="none" w:sz="0" w:space="0" w:color="auto"/>
                                    <w:right w:val="none" w:sz="0" w:space="0" w:color="auto"/>
                                  </w:divBdr>
                                </w:div>
                              </w:divsChild>
                            </w:div>
                            <w:div w:id="865945531">
                              <w:marLeft w:val="0"/>
                              <w:marRight w:val="0"/>
                              <w:marTop w:val="0"/>
                              <w:marBottom w:val="0"/>
                              <w:divBdr>
                                <w:top w:val="none" w:sz="0" w:space="0" w:color="auto"/>
                                <w:left w:val="none" w:sz="0" w:space="0" w:color="auto"/>
                                <w:bottom w:val="none" w:sz="0" w:space="0" w:color="auto"/>
                                <w:right w:val="none" w:sz="0" w:space="0" w:color="auto"/>
                              </w:divBdr>
                              <w:divsChild>
                                <w:div w:id="408382963">
                                  <w:marLeft w:val="0"/>
                                  <w:marRight w:val="0"/>
                                  <w:marTop w:val="0"/>
                                  <w:marBottom w:val="0"/>
                                  <w:divBdr>
                                    <w:top w:val="none" w:sz="0" w:space="0" w:color="auto"/>
                                    <w:left w:val="none" w:sz="0" w:space="0" w:color="auto"/>
                                    <w:bottom w:val="none" w:sz="0" w:space="0" w:color="auto"/>
                                    <w:right w:val="none" w:sz="0" w:space="0" w:color="auto"/>
                                  </w:divBdr>
                                </w:div>
                              </w:divsChild>
                            </w:div>
                            <w:div w:id="965349821">
                              <w:marLeft w:val="0"/>
                              <w:marRight w:val="0"/>
                              <w:marTop w:val="0"/>
                              <w:marBottom w:val="0"/>
                              <w:divBdr>
                                <w:top w:val="none" w:sz="0" w:space="0" w:color="auto"/>
                                <w:left w:val="none" w:sz="0" w:space="0" w:color="auto"/>
                                <w:bottom w:val="none" w:sz="0" w:space="0" w:color="auto"/>
                                <w:right w:val="none" w:sz="0" w:space="0" w:color="auto"/>
                              </w:divBdr>
                              <w:divsChild>
                                <w:div w:id="1994210760">
                                  <w:marLeft w:val="0"/>
                                  <w:marRight w:val="0"/>
                                  <w:marTop w:val="0"/>
                                  <w:marBottom w:val="0"/>
                                  <w:divBdr>
                                    <w:top w:val="none" w:sz="0" w:space="0" w:color="auto"/>
                                    <w:left w:val="none" w:sz="0" w:space="0" w:color="auto"/>
                                    <w:bottom w:val="none" w:sz="0" w:space="0" w:color="auto"/>
                                    <w:right w:val="none" w:sz="0" w:space="0" w:color="auto"/>
                                  </w:divBdr>
                                </w:div>
                              </w:divsChild>
                            </w:div>
                            <w:div w:id="992029896">
                              <w:marLeft w:val="0"/>
                              <w:marRight w:val="0"/>
                              <w:marTop w:val="0"/>
                              <w:marBottom w:val="0"/>
                              <w:divBdr>
                                <w:top w:val="none" w:sz="0" w:space="0" w:color="auto"/>
                                <w:left w:val="none" w:sz="0" w:space="0" w:color="auto"/>
                                <w:bottom w:val="none" w:sz="0" w:space="0" w:color="auto"/>
                                <w:right w:val="none" w:sz="0" w:space="0" w:color="auto"/>
                              </w:divBdr>
                              <w:divsChild>
                                <w:div w:id="2095010780">
                                  <w:marLeft w:val="0"/>
                                  <w:marRight w:val="0"/>
                                  <w:marTop w:val="0"/>
                                  <w:marBottom w:val="0"/>
                                  <w:divBdr>
                                    <w:top w:val="none" w:sz="0" w:space="0" w:color="auto"/>
                                    <w:left w:val="none" w:sz="0" w:space="0" w:color="auto"/>
                                    <w:bottom w:val="none" w:sz="0" w:space="0" w:color="auto"/>
                                    <w:right w:val="none" w:sz="0" w:space="0" w:color="auto"/>
                                  </w:divBdr>
                                </w:div>
                              </w:divsChild>
                            </w:div>
                            <w:div w:id="995307991">
                              <w:marLeft w:val="0"/>
                              <w:marRight w:val="0"/>
                              <w:marTop w:val="0"/>
                              <w:marBottom w:val="0"/>
                              <w:divBdr>
                                <w:top w:val="none" w:sz="0" w:space="0" w:color="auto"/>
                                <w:left w:val="none" w:sz="0" w:space="0" w:color="auto"/>
                                <w:bottom w:val="none" w:sz="0" w:space="0" w:color="auto"/>
                                <w:right w:val="none" w:sz="0" w:space="0" w:color="auto"/>
                              </w:divBdr>
                              <w:divsChild>
                                <w:div w:id="701786441">
                                  <w:marLeft w:val="0"/>
                                  <w:marRight w:val="0"/>
                                  <w:marTop w:val="0"/>
                                  <w:marBottom w:val="0"/>
                                  <w:divBdr>
                                    <w:top w:val="none" w:sz="0" w:space="0" w:color="auto"/>
                                    <w:left w:val="none" w:sz="0" w:space="0" w:color="auto"/>
                                    <w:bottom w:val="none" w:sz="0" w:space="0" w:color="auto"/>
                                    <w:right w:val="none" w:sz="0" w:space="0" w:color="auto"/>
                                  </w:divBdr>
                                </w:div>
                              </w:divsChild>
                            </w:div>
                            <w:div w:id="1344943048">
                              <w:marLeft w:val="0"/>
                              <w:marRight w:val="0"/>
                              <w:marTop w:val="0"/>
                              <w:marBottom w:val="0"/>
                              <w:divBdr>
                                <w:top w:val="none" w:sz="0" w:space="0" w:color="auto"/>
                                <w:left w:val="none" w:sz="0" w:space="0" w:color="auto"/>
                                <w:bottom w:val="none" w:sz="0" w:space="0" w:color="auto"/>
                                <w:right w:val="none" w:sz="0" w:space="0" w:color="auto"/>
                              </w:divBdr>
                              <w:divsChild>
                                <w:div w:id="9138106">
                                  <w:marLeft w:val="0"/>
                                  <w:marRight w:val="0"/>
                                  <w:marTop w:val="0"/>
                                  <w:marBottom w:val="0"/>
                                  <w:divBdr>
                                    <w:top w:val="none" w:sz="0" w:space="0" w:color="auto"/>
                                    <w:left w:val="none" w:sz="0" w:space="0" w:color="auto"/>
                                    <w:bottom w:val="none" w:sz="0" w:space="0" w:color="auto"/>
                                    <w:right w:val="none" w:sz="0" w:space="0" w:color="auto"/>
                                  </w:divBdr>
                                </w:div>
                              </w:divsChild>
                            </w:div>
                            <w:div w:id="1347293948">
                              <w:marLeft w:val="0"/>
                              <w:marRight w:val="0"/>
                              <w:marTop w:val="0"/>
                              <w:marBottom w:val="0"/>
                              <w:divBdr>
                                <w:top w:val="none" w:sz="0" w:space="0" w:color="auto"/>
                                <w:left w:val="none" w:sz="0" w:space="0" w:color="auto"/>
                                <w:bottom w:val="none" w:sz="0" w:space="0" w:color="auto"/>
                                <w:right w:val="none" w:sz="0" w:space="0" w:color="auto"/>
                              </w:divBdr>
                              <w:divsChild>
                                <w:div w:id="2034576296">
                                  <w:marLeft w:val="0"/>
                                  <w:marRight w:val="0"/>
                                  <w:marTop w:val="0"/>
                                  <w:marBottom w:val="0"/>
                                  <w:divBdr>
                                    <w:top w:val="none" w:sz="0" w:space="0" w:color="auto"/>
                                    <w:left w:val="none" w:sz="0" w:space="0" w:color="auto"/>
                                    <w:bottom w:val="none" w:sz="0" w:space="0" w:color="auto"/>
                                    <w:right w:val="none" w:sz="0" w:space="0" w:color="auto"/>
                                  </w:divBdr>
                                </w:div>
                              </w:divsChild>
                            </w:div>
                            <w:div w:id="1365980874">
                              <w:marLeft w:val="0"/>
                              <w:marRight w:val="0"/>
                              <w:marTop w:val="0"/>
                              <w:marBottom w:val="0"/>
                              <w:divBdr>
                                <w:top w:val="none" w:sz="0" w:space="0" w:color="auto"/>
                                <w:left w:val="none" w:sz="0" w:space="0" w:color="auto"/>
                                <w:bottom w:val="none" w:sz="0" w:space="0" w:color="auto"/>
                                <w:right w:val="none" w:sz="0" w:space="0" w:color="auto"/>
                              </w:divBdr>
                              <w:divsChild>
                                <w:div w:id="1709407163">
                                  <w:marLeft w:val="0"/>
                                  <w:marRight w:val="0"/>
                                  <w:marTop w:val="0"/>
                                  <w:marBottom w:val="0"/>
                                  <w:divBdr>
                                    <w:top w:val="none" w:sz="0" w:space="0" w:color="auto"/>
                                    <w:left w:val="none" w:sz="0" w:space="0" w:color="auto"/>
                                    <w:bottom w:val="none" w:sz="0" w:space="0" w:color="auto"/>
                                    <w:right w:val="none" w:sz="0" w:space="0" w:color="auto"/>
                                  </w:divBdr>
                                </w:div>
                              </w:divsChild>
                            </w:div>
                            <w:div w:id="1598827752">
                              <w:marLeft w:val="0"/>
                              <w:marRight w:val="0"/>
                              <w:marTop w:val="0"/>
                              <w:marBottom w:val="0"/>
                              <w:divBdr>
                                <w:top w:val="none" w:sz="0" w:space="0" w:color="auto"/>
                                <w:left w:val="none" w:sz="0" w:space="0" w:color="auto"/>
                                <w:bottom w:val="none" w:sz="0" w:space="0" w:color="auto"/>
                                <w:right w:val="none" w:sz="0" w:space="0" w:color="auto"/>
                              </w:divBdr>
                              <w:divsChild>
                                <w:div w:id="919371163">
                                  <w:marLeft w:val="0"/>
                                  <w:marRight w:val="0"/>
                                  <w:marTop w:val="0"/>
                                  <w:marBottom w:val="0"/>
                                  <w:divBdr>
                                    <w:top w:val="none" w:sz="0" w:space="0" w:color="auto"/>
                                    <w:left w:val="none" w:sz="0" w:space="0" w:color="auto"/>
                                    <w:bottom w:val="none" w:sz="0" w:space="0" w:color="auto"/>
                                    <w:right w:val="none" w:sz="0" w:space="0" w:color="auto"/>
                                  </w:divBdr>
                                </w:div>
                              </w:divsChild>
                            </w:div>
                            <w:div w:id="1703165079">
                              <w:marLeft w:val="0"/>
                              <w:marRight w:val="0"/>
                              <w:marTop w:val="0"/>
                              <w:marBottom w:val="0"/>
                              <w:divBdr>
                                <w:top w:val="none" w:sz="0" w:space="0" w:color="auto"/>
                                <w:left w:val="none" w:sz="0" w:space="0" w:color="auto"/>
                                <w:bottom w:val="none" w:sz="0" w:space="0" w:color="auto"/>
                                <w:right w:val="none" w:sz="0" w:space="0" w:color="auto"/>
                              </w:divBdr>
                              <w:divsChild>
                                <w:div w:id="1269510674">
                                  <w:marLeft w:val="0"/>
                                  <w:marRight w:val="0"/>
                                  <w:marTop w:val="0"/>
                                  <w:marBottom w:val="0"/>
                                  <w:divBdr>
                                    <w:top w:val="none" w:sz="0" w:space="0" w:color="auto"/>
                                    <w:left w:val="none" w:sz="0" w:space="0" w:color="auto"/>
                                    <w:bottom w:val="none" w:sz="0" w:space="0" w:color="auto"/>
                                    <w:right w:val="none" w:sz="0" w:space="0" w:color="auto"/>
                                  </w:divBdr>
                                </w:div>
                              </w:divsChild>
                            </w:div>
                            <w:div w:id="1752190510">
                              <w:marLeft w:val="0"/>
                              <w:marRight w:val="0"/>
                              <w:marTop w:val="0"/>
                              <w:marBottom w:val="0"/>
                              <w:divBdr>
                                <w:top w:val="none" w:sz="0" w:space="0" w:color="auto"/>
                                <w:left w:val="none" w:sz="0" w:space="0" w:color="auto"/>
                                <w:bottom w:val="none" w:sz="0" w:space="0" w:color="auto"/>
                                <w:right w:val="none" w:sz="0" w:space="0" w:color="auto"/>
                              </w:divBdr>
                              <w:divsChild>
                                <w:div w:id="45497878">
                                  <w:marLeft w:val="0"/>
                                  <w:marRight w:val="0"/>
                                  <w:marTop w:val="0"/>
                                  <w:marBottom w:val="0"/>
                                  <w:divBdr>
                                    <w:top w:val="none" w:sz="0" w:space="0" w:color="auto"/>
                                    <w:left w:val="none" w:sz="0" w:space="0" w:color="auto"/>
                                    <w:bottom w:val="none" w:sz="0" w:space="0" w:color="auto"/>
                                    <w:right w:val="none" w:sz="0" w:space="0" w:color="auto"/>
                                  </w:divBdr>
                                </w:div>
                              </w:divsChild>
                            </w:div>
                            <w:div w:id="1775589479">
                              <w:marLeft w:val="0"/>
                              <w:marRight w:val="0"/>
                              <w:marTop w:val="0"/>
                              <w:marBottom w:val="0"/>
                              <w:divBdr>
                                <w:top w:val="none" w:sz="0" w:space="0" w:color="auto"/>
                                <w:left w:val="none" w:sz="0" w:space="0" w:color="auto"/>
                                <w:bottom w:val="none" w:sz="0" w:space="0" w:color="auto"/>
                                <w:right w:val="none" w:sz="0" w:space="0" w:color="auto"/>
                              </w:divBdr>
                              <w:divsChild>
                                <w:div w:id="423384833">
                                  <w:marLeft w:val="0"/>
                                  <w:marRight w:val="0"/>
                                  <w:marTop w:val="0"/>
                                  <w:marBottom w:val="0"/>
                                  <w:divBdr>
                                    <w:top w:val="none" w:sz="0" w:space="0" w:color="auto"/>
                                    <w:left w:val="none" w:sz="0" w:space="0" w:color="auto"/>
                                    <w:bottom w:val="none" w:sz="0" w:space="0" w:color="auto"/>
                                    <w:right w:val="none" w:sz="0" w:space="0" w:color="auto"/>
                                  </w:divBdr>
                                </w:div>
                              </w:divsChild>
                            </w:div>
                            <w:div w:id="1776245426">
                              <w:marLeft w:val="0"/>
                              <w:marRight w:val="0"/>
                              <w:marTop w:val="0"/>
                              <w:marBottom w:val="0"/>
                              <w:divBdr>
                                <w:top w:val="none" w:sz="0" w:space="0" w:color="auto"/>
                                <w:left w:val="none" w:sz="0" w:space="0" w:color="auto"/>
                                <w:bottom w:val="none" w:sz="0" w:space="0" w:color="auto"/>
                                <w:right w:val="none" w:sz="0" w:space="0" w:color="auto"/>
                              </w:divBdr>
                              <w:divsChild>
                                <w:div w:id="1806389847">
                                  <w:marLeft w:val="0"/>
                                  <w:marRight w:val="0"/>
                                  <w:marTop w:val="0"/>
                                  <w:marBottom w:val="0"/>
                                  <w:divBdr>
                                    <w:top w:val="none" w:sz="0" w:space="0" w:color="auto"/>
                                    <w:left w:val="none" w:sz="0" w:space="0" w:color="auto"/>
                                    <w:bottom w:val="none" w:sz="0" w:space="0" w:color="auto"/>
                                    <w:right w:val="none" w:sz="0" w:space="0" w:color="auto"/>
                                  </w:divBdr>
                                </w:div>
                              </w:divsChild>
                            </w:div>
                            <w:div w:id="1852842013">
                              <w:marLeft w:val="0"/>
                              <w:marRight w:val="0"/>
                              <w:marTop w:val="0"/>
                              <w:marBottom w:val="0"/>
                              <w:divBdr>
                                <w:top w:val="none" w:sz="0" w:space="0" w:color="auto"/>
                                <w:left w:val="none" w:sz="0" w:space="0" w:color="auto"/>
                                <w:bottom w:val="none" w:sz="0" w:space="0" w:color="auto"/>
                                <w:right w:val="none" w:sz="0" w:space="0" w:color="auto"/>
                              </w:divBdr>
                              <w:divsChild>
                                <w:div w:id="1377044854">
                                  <w:marLeft w:val="0"/>
                                  <w:marRight w:val="0"/>
                                  <w:marTop w:val="0"/>
                                  <w:marBottom w:val="0"/>
                                  <w:divBdr>
                                    <w:top w:val="none" w:sz="0" w:space="0" w:color="auto"/>
                                    <w:left w:val="none" w:sz="0" w:space="0" w:color="auto"/>
                                    <w:bottom w:val="none" w:sz="0" w:space="0" w:color="auto"/>
                                    <w:right w:val="none" w:sz="0" w:space="0" w:color="auto"/>
                                  </w:divBdr>
                                </w:div>
                              </w:divsChild>
                            </w:div>
                            <w:div w:id="1860699111">
                              <w:marLeft w:val="0"/>
                              <w:marRight w:val="0"/>
                              <w:marTop w:val="0"/>
                              <w:marBottom w:val="0"/>
                              <w:divBdr>
                                <w:top w:val="none" w:sz="0" w:space="0" w:color="auto"/>
                                <w:left w:val="none" w:sz="0" w:space="0" w:color="auto"/>
                                <w:bottom w:val="none" w:sz="0" w:space="0" w:color="auto"/>
                                <w:right w:val="none" w:sz="0" w:space="0" w:color="auto"/>
                              </w:divBdr>
                              <w:divsChild>
                                <w:div w:id="996222982">
                                  <w:marLeft w:val="0"/>
                                  <w:marRight w:val="0"/>
                                  <w:marTop w:val="0"/>
                                  <w:marBottom w:val="0"/>
                                  <w:divBdr>
                                    <w:top w:val="none" w:sz="0" w:space="0" w:color="auto"/>
                                    <w:left w:val="none" w:sz="0" w:space="0" w:color="auto"/>
                                    <w:bottom w:val="none" w:sz="0" w:space="0" w:color="auto"/>
                                    <w:right w:val="none" w:sz="0" w:space="0" w:color="auto"/>
                                  </w:divBdr>
                                </w:div>
                              </w:divsChild>
                            </w:div>
                            <w:div w:id="1878464185">
                              <w:marLeft w:val="0"/>
                              <w:marRight w:val="0"/>
                              <w:marTop w:val="0"/>
                              <w:marBottom w:val="0"/>
                              <w:divBdr>
                                <w:top w:val="none" w:sz="0" w:space="0" w:color="auto"/>
                                <w:left w:val="none" w:sz="0" w:space="0" w:color="auto"/>
                                <w:bottom w:val="none" w:sz="0" w:space="0" w:color="auto"/>
                                <w:right w:val="none" w:sz="0" w:space="0" w:color="auto"/>
                              </w:divBdr>
                              <w:divsChild>
                                <w:div w:id="472916377">
                                  <w:marLeft w:val="0"/>
                                  <w:marRight w:val="0"/>
                                  <w:marTop w:val="0"/>
                                  <w:marBottom w:val="0"/>
                                  <w:divBdr>
                                    <w:top w:val="none" w:sz="0" w:space="0" w:color="auto"/>
                                    <w:left w:val="none" w:sz="0" w:space="0" w:color="auto"/>
                                    <w:bottom w:val="none" w:sz="0" w:space="0" w:color="auto"/>
                                    <w:right w:val="none" w:sz="0" w:space="0" w:color="auto"/>
                                  </w:divBdr>
                                </w:div>
                              </w:divsChild>
                            </w:div>
                            <w:div w:id="1913001361">
                              <w:marLeft w:val="0"/>
                              <w:marRight w:val="0"/>
                              <w:marTop w:val="0"/>
                              <w:marBottom w:val="0"/>
                              <w:divBdr>
                                <w:top w:val="none" w:sz="0" w:space="0" w:color="auto"/>
                                <w:left w:val="none" w:sz="0" w:space="0" w:color="auto"/>
                                <w:bottom w:val="none" w:sz="0" w:space="0" w:color="auto"/>
                                <w:right w:val="none" w:sz="0" w:space="0" w:color="auto"/>
                              </w:divBdr>
                              <w:divsChild>
                                <w:div w:id="1110972974">
                                  <w:marLeft w:val="0"/>
                                  <w:marRight w:val="0"/>
                                  <w:marTop w:val="0"/>
                                  <w:marBottom w:val="0"/>
                                  <w:divBdr>
                                    <w:top w:val="none" w:sz="0" w:space="0" w:color="auto"/>
                                    <w:left w:val="none" w:sz="0" w:space="0" w:color="auto"/>
                                    <w:bottom w:val="none" w:sz="0" w:space="0" w:color="auto"/>
                                    <w:right w:val="none" w:sz="0" w:space="0" w:color="auto"/>
                                  </w:divBdr>
                                </w:div>
                              </w:divsChild>
                            </w:div>
                            <w:div w:id="1924562116">
                              <w:marLeft w:val="0"/>
                              <w:marRight w:val="0"/>
                              <w:marTop w:val="0"/>
                              <w:marBottom w:val="0"/>
                              <w:divBdr>
                                <w:top w:val="none" w:sz="0" w:space="0" w:color="auto"/>
                                <w:left w:val="none" w:sz="0" w:space="0" w:color="auto"/>
                                <w:bottom w:val="none" w:sz="0" w:space="0" w:color="auto"/>
                                <w:right w:val="none" w:sz="0" w:space="0" w:color="auto"/>
                              </w:divBdr>
                              <w:divsChild>
                                <w:div w:id="588775934">
                                  <w:marLeft w:val="0"/>
                                  <w:marRight w:val="0"/>
                                  <w:marTop w:val="0"/>
                                  <w:marBottom w:val="0"/>
                                  <w:divBdr>
                                    <w:top w:val="none" w:sz="0" w:space="0" w:color="auto"/>
                                    <w:left w:val="none" w:sz="0" w:space="0" w:color="auto"/>
                                    <w:bottom w:val="none" w:sz="0" w:space="0" w:color="auto"/>
                                    <w:right w:val="none" w:sz="0" w:space="0" w:color="auto"/>
                                  </w:divBdr>
                                </w:div>
                              </w:divsChild>
                            </w:div>
                            <w:div w:id="1950695610">
                              <w:marLeft w:val="0"/>
                              <w:marRight w:val="0"/>
                              <w:marTop w:val="0"/>
                              <w:marBottom w:val="0"/>
                              <w:divBdr>
                                <w:top w:val="none" w:sz="0" w:space="0" w:color="auto"/>
                                <w:left w:val="none" w:sz="0" w:space="0" w:color="auto"/>
                                <w:bottom w:val="none" w:sz="0" w:space="0" w:color="auto"/>
                                <w:right w:val="none" w:sz="0" w:space="0" w:color="auto"/>
                              </w:divBdr>
                              <w:divsChild>
                                <w:div w:id="154995095">
                                  <w:marLeft w:val="0"/>
                                  <w:marRight w:val="0"/>
                                  <w:marTop w:val="0"/>
                                  <w:marBottom w:val="0"/>
                                  <w:divBdr>
                                    <w:top w:val="none" w:sz="0" w:space="0" w:color="auto"/>
                                    <w:left w:val="none" w:sz="0" w:space="0" w:color="auto"/>
                                    <w:bottom w:val="none" w:sz="0" w:space="0" w:color="auto"/>
                                    <w:right w:val="none" w:sz="0" w:space="0" w:color="auto"/>
                                  </w:divBdr>
                                </w:div>
                              </w:divsChild>
                            </w:div>
                            <w:div w:id="1989705485">
                              <w:marLeft w:val="0"/>
                              <w:marRight w:val="0"/>
                              <w:marTop w:val="0"/>
                              <w:marBottom w:val="0"/>
                              <w:divBdr>
                                <w:top w:val="none" w:sz="0" w:space="0" w:color="auto"/>
                                <w:left w:val="none" w:sz="0" w:space="0" w:color="auto"/>
                                <w:bottom w:val="none" w:sz="0" w:space="0" w:color="auto"/>
                                <w:right w:val="none" w:sz="0" w:space="0" w:color="auto"/>
                              </w:divBdr>
                              <w:divsChild>
                                <w:div w:id="1362362608">
                                  <w:marLeft w:val="0"/>
                                  <w:marRight w:val="0"/>
                                  <w:marTop w:val="0"/>
                                  <w:marBottom w:val="0"/>
                                  <w:divBdr>
                                    <w:top w:val="none" w:sz="0" w:space="0" w:color="auto"/>
                                    <w:left w:val="none" w:sz="0" w:space="0" w:color="auto"/>
                                    <w:bottom w:val="none" w:sz="0" w:space="0" w:color="auto"/>
                                    <w:right w:val="none" w:sz="0" w:space="0" w:color="auto"/>
                                  </w:divBdr>
                                </w:div>
                              </w:divsChild>
                            </w:div>
                            <w:div w:id="2095276168">
                              <w:marLeft w:val="0"/>
                              <w:marRight w:val="0"/>
                              <w:marTop w:val="0"/>
                              <w:marBottom w:val="0"/>
                              <w:divBdr>
                                <w:top w:val="none" w:sz="0" w:space="0" w:color="auto"/>
                                <w:left w:val="none" w:sz="0" w:space="0" w:color="auto"/>
                                <w:bottom w:val="none" w:sz="0" w:space="0" w:color="auto"/>
                                <w:right w:val="none" w:sz="0" w:space="0" w:color="auto"/>
                              </w:divBdr>
                              <w:divsChild>
                                <w:div w:id="2086144190">
                                  <w:marLeft w:val="0"/>
                                  <w:marRight w:val="0"/>
                                  <w:marTop w:val="0"/>
                                  <w:marBottom w:val="0"/>
                                  <w:divBdr>
                                    <w:top w:val="none" w:sz="0" w:space="0" w:color="auto"/>
                                    <w:left w:val="none" w:sz="0" w:space="0" w:color="auto"/>
                                    <w:bottom w:val="none" w:sz="0" w:space="0" w:color="auto"/>
                                    <w:right w:val="none" w:sz="0" w:space="0" w:color="auto"/>
                                  </w:divBdr>
                                </w:div>
                              </w:divsChild>
                            </w:div>
                            <w:div w:id="2100830546">
                              <w:marLeft w:val="0"/>
                              <w:marRight w:val="0"/>
                              <w:marTop w:val="0"/>
                              <w:marBottom w:val="0"/>
                              <w:divBdr>
                                <w:top w:val="none" w:sz="0" w:space="0" w:color="auto"/>
                                <w:left w:val="none" w:sz="0" w:space="0" w:color="auto"/>
                                <w:bottom w:val="none" w:sz="0" w:space="0" w:color="auto"/>
                                <w:right w:val="none" w:sz="0" w:space="0" w:color="auto"/>
                              </w:divBdr>
                              <w:divsChild>
                                <w:div w:id="1100369195">
                                  <w:marLeft w:val="0"/>
                                  <w:marRight w:val="0"/>
                                  <w:marTop w:val="0"/>
                                  <w:marBottom w:val="0"/>
                                  <w:divBdr>
                                    <w:top w:val="none" w:sz="0" w:space="0" w:color="auto"/>
                                    <w:left w:val="none" w:sz="0" w:space="0" w:color="auto"/>
                                    <w:bottom w:val="none" w:sz="0" w:space="0" w:color="auto"/>
                                    <w:right w:val="none" w:sz="0" w:space="0" w:color="auto"/>
                                  </w:divBdr>
                                </w:div>
                              </w:divsChild>
                            </w:div>
                            <w:div w:id="2129666067">
                              <w:marLeft w:val="0"/>
                              <w:marRight w:val="0"/>
                              <w:marTop w:val="0"/>
                              <w:marBottom w:val="0"/>
                              <w:divBdr>
                                <w:top w:val="none" w:sz="0" w:space="0" w:color="auto"/>
                                <w:left w:val="none" w:sz="0" w:space="0" w:color="auto"/>
                                <w:bottom w:val="none" w:sz="0" w:space="0" w:color="auto"/>
                                <w:right w:val="none" w:sz="0" w:space="0" w:color="auto"/>
                              </w:divBdr>
                              <w:divsChild>
                                <w:div w:id="174556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409294">
                  <w:marLeft w:val="0"/>
                  <w:marRight w:val="0"/>
                  <w:marTop w:val="0"/>
                  <w:marBottom w:val="0"/>
                  <w:divBdr>
                    <w:top w:val="none" w:sz="0" w:space="0" w:color="auto"/>
                    <w:left w:val="none" w:sz="0" w:space="0" w:color="auto"/>
                    <w:bottom w:val="none" w:sz="0" w:space="0" w:color="auto"/>
                    <w:right w:val="none" w:sz="0" w:space="0" w:color="auto"/>
                  </w:divBdr>
                  <w:divsChild>
                    <w:div w:id="22219437">
                      <w:marLeft w:val="0"/>
                      <w:marRight w:val="0"/>
                      <w:marTop w:val="0"/>
                      <w:marBottom w:val="0"/>
                      <w:divBdr>
                        <w:top w:val="none" w:sz="0" w:space="0" w:color="auto"/>
                        <w:left w:val="none" w:sz="0" w:space="0" w:color="auto"/>
                        <w:bottom w:val="none" w:sz="0" w:space="0" w:color="auto"/>
                        <w:right w:val="none" w:sz="0" w:space="0" w:color="auto"/>
                      </w:divBdr>
                    </w:div>
                  </w:divsChild>
                </w:div>
                <w:div w:id="737941312">
                  <w:marLeft w:val="0"/>
                  <w:marRight w:val="0"/>
                  <w:marTop w:val="0"/>
                  <w:marBottom w:val="0"/>
                  <w:divBdr>
                    <w:top w:val="none" w:sz="0" w:space="0" w:color="auto"/>
                    <w:left w:val="none" w:sz="0" w:space="0" w:color="auto"/>
                    <w:bottom w:val="none" w:sz="0" w:space="0" w:color="auto"/>
                    <w:right w:val="none" w:sz="0" w:space="0" w:color="auto"/>
                  </w:divBdr>
                  <w:divsChild>
                    <w:div w:id="2004893228">
                      <w:marLeft w:val="0"/>
                      <w:marRight w:val="0"/>
                      <w:marTop w:val="0"/>
                      <w:marBottom w:val="0"/>
                      <w:divBdr>
                        <w:top w:val="none" w:sz="0" w:space="0" w:color="auto"/>
                        <w:left w:val="none" w:sz="0" w:space="0" w:color="auto"/>
                        <w:bottom w:val="none" w:sz="0" w:space="0" w:color="auto"/>
                        <w:right w:val="none" w:sz="0" w:space="0" w:color="auto"/>
                      </w:divBdr>
                    </w:div>
                  </w:divsChild>
                </w:div>
                <w:div w:id="749809000">
                  <w:marLeft w:val="0"/>
                  <w:marRight w:val="0"/>
                  <w:marTop w:val="0"/>
                  <w:marBottom w:val="0"/>
                  <w:divBdr>
                    <w:top w:val="none" w:sz="0" w:space="0" w:color="auto"/>
                    <w:left w:val="none" w:sz="0" w:space="0" w:color="auto"/>
                    <w:bottom w:val="none" w:sz="0" w:space="0" w:color="auto"/>
                    <w:right w:val="none" w:sz="0" w:space="0" w:color="auto"/>
                  </w:divBdr>
                  <w:divsChild>
                    <w:div w:id="333459797">
                      <w:marLeft w:val="0"/>
                      <w:marRight w:val="0"/>
                      <w:marTop w:val="0"/>
                      <w:marBottom w:val="0"/>
                      <w:divBdr>
                        <w:top w:val="none" w:sz="0" w:space="0" w:color="auto"/>
                        <w:left w:val="none" w:sz="0" w:space="0" w:color="auto"/>
                        <w:bottom w:val="none" w:sz="0" w:space="0" w:color="auto"/>
                        <w:right w:val="none" w:sz="0" w:space="0" w:color="auto"/>
                      </w:divBdr>
                    </w:div>
                  </w:divsChild>
                </w:div>
                <w:div w:id="788934189">
                  <w:marLeft w:val="0"/>
                  <w:marRight w:val="0"/>
                  <w:marTop w:val="0"/>
                  <w:marBottom w:val="0"/>
                  <w:divBdr>
                    <w:top w:val="none" w:sz="0" w:space="0" w:color="auto"/>
                    <w:left w:val="none" w:sz="0" w:space="0" w:color="auto"/>
                    <w:bottom w:val="none" w:sz="0" w:space="0" w:color="auto"/>
                    <w:right w:val="none" w:sz="0" w:space="0" w:color="auto"/>
                  </w:divBdr>
                  <w:divsChild>
                    <w:div w:id="638145059">
                      <w:marLeft w:val="0"/>
                      <w:marRight w:val="0"/>
                      <w:marTop w:val="0"/>
                      <w:marBottom w:val="0"/>
                      <w:divBdr>
                        <w:top w:val="none" w:sz="0" w:space="0" w:color="auto"/>
                        <w:left w:val="none" w:sz="0" w:space="0" w:color="auto"/>
                        <w:bottom w:val="none" w:sz="0" w:space="0" w:color="auto"/>
                        <w:right w:val="none" w:sz="0" w:space="0" w:color="auto"/>
                      </w:divBdr>
                    </w:div>
                  </w:divsChild>
                </w:div>
                <w:div w:id="832455401">
                  <w:marLeft w:val="0"/>
                  <w:marRight w:val="0"/>
                  <w:marTop w:val="0"/>
                  <w:marBottom w:val="0"/>
                  <w:divBdr>
                    <w:top w:val="none" w:sz="0" w:space="0" w:color="auto"/>
                    <w:left w:val="none" w:sz="0" w:space="0" w:color="auto"/>
                    <w:bottom w:val="none" w:sz="0" w:space="0" w:color="auto"/>
                    <w:right w:val="none" w:sz="0" w:space="0" w:color="auto"/>
                  </w:divBdr>
                  <w:divsChild>
                    <w:div w:id="1687515939">
                      <w:marLeft w:val="0"/>
                      <w:marRight w:val="0"/>
                      <w:marTop w:val="0"/>
                      <w:marBottom w:val="0"/>
                      <w:divBdr>
                        <w:top w:val="none" w:sz="0" w:space="0" w:color="auto"/>
                        <w:left w:val="none" w:sz="0" w:space="0" w:color="auto"/>
                        <w:bottom w:val="none" w:sz="0" w:space="0" w:color="auto"/>
                        <w:right w:val="none" w:sz="0" w:space="0" w:color="auto"/>
                      </w:divBdr>
                    </w:div>
                  </w:divsChild>
                </w:div>
                <w:div w:id="916091777">
                  <w:marLeft w:val="0"/>
                  <w:marRight w:val="0"/>
                  <w:marTop w:val="0"/>
                  <w:marBottom w:val="0"/>
                  <w:divBdr>
                    <w:top w:val="none" w:sz="0" w:space="0" w:color="auto"/>
                    <w:left w:val="none" w:sz="0" w:space="0" w:color="auto"/>
                    <w:bottom w:val="none" w:sz="0" w:space="0" w:color="auto"/>
                    <w:right w:val="none" w:sz="0" w:space="0" w:color="auto"/>
                  </w:divBdr>
                  <w:divsChild>
                    <w:div w:id="1922062734">
                      <w:marLeft w:val="0"/>
                      <w:marRight w:val="0"/>
                      <w:marTop w:val="0"/>
                      <w:marBottom w:val="0"/>
                      <w:divBdr>
                        <w:top w:val="none" w:sz="0" w:space="0" w:color="auto"/>
                        <w:left w:val="none" w:sz="0" w:space="0" w:color="auto"/>
                        <w:bottom w:val="none" w:sz="0" w:space="0" w:color="auto"/>
                        <w:right w:val="none" w:sz="0" w:space="0" w:color="auto"/>
                      </w:divBdr>
                    </w:div>
                  </w:divsChild>
                </w:div>
                <w:div w:id="955218716">
                  <w:marLeft w:val="0"/>
                  <w:marRight w:val="0"/>
                  <w:marTop w:val="0"/>
                  <w:marBottom w:val="0"/>
                  <w:divBdr>
                    <w:top w:val="none" w:sz="0" w:space="0" w:color="auto"/>
                    <w:left w:val="none" w:sz="0" w:space="0" w:color="auto"/>
                    <w:bottom w:val="none" w:sz="0" w:space="0" w:color="auto"/>
                    <w:right w:val="none" w:sz="0" w:space="0" w:color="auto"/>
                  </w:divBdr>
                  <w:divsChild>
                    <w:div w:id="2054688257">
                      <w:marLeft w:val="0"/>
                      <w:marRight w:val="0"/>
                      <w:marTop w:val="0"/>
                      <w:marBottom w:val="0"/>
                      <w:divBdr>
                        <w:top w:val="none" w:sz="0" w:space="0" w:color="auto"/>
                        <w:left w:val="none" w:sz="0" w:space="0" w:color="auto"/>
                        <w:bottom w:val="none" w:sz="0" w:space="0" w:color="auto"/>
                        <w:right w:val="none" w:sz="0" w:space="0" w:color="auto"/>
                      </w:divBdr>
                    </w:div>
                  </w:divsChild>
                </w:div>
                <w:div w:id="980500995">
                  <w:marLeft w:val="0"/>
                  <w:marRight w:val="0"/>
                  <w:marTop w:val="0"/>
                  <w:marBottom w:val="0"/>
                  <w:divBdr>
                    <w:top w:val="none" w:sz="0" w:space="0" w:color="auto"/>
                    <w:left w:val="none" w:sz="0" w:space="0" w:color="auto"/>
                    <w:bottom w:val="none" w:sz="0" w:space="0" w:color="auto"/>
                    <w:right w:val="none" w:sz="0" w:space="0" w:color="auto"/>
                  </w:divBdr>
                  <w:divsChild>
                    <w:div w:id="491221942">
                      <w:marLeft w:val="0"/>
                      <w:marRight w:val="0"/>
                      <w:marTop w:val="0"/>
                      <w:marBottom w:val="0"/>
                      <w:divBdr>
                        <w:top w:val="none" w:sz="0" w:space="0" w:color="auto"/>
                        <w:left w:val="none" w:sz="0" w:space="0" w:color="auto"/>
                        <w:bottom w:val="none" w:sz="0" w:space="0" w:color="auto"/>
                        <w:right w:val="none" w:sz="0" w:space="0" w:color="auto"/>
                      </w:divBdr>
                    </w:div>
                  </w:divsChild>
                </w:div>
                <w:div w:id="987594590">
                  <w:marLeft w:val="0"/>
                  <w:marRight w:val="0"/>
                  <w:marTop w:val="0"/>
                  <w:marBottom w:val="0"/>
                  <w:divBdr>
                    <w:top w:val="none" w:sz="0" w:space="0" w:color="auto"/>
                    <w:left w:val="none" w:sz="0" w:space="0" w:color="auto"/>
                    <w:bottom w:val="none" w:sz="0" w:space="0" w:color="auto"/>
                    <w:right w:val="none" w:sz="0" w:space="0" w:color="auto"/>
                  </w:divBdr>
                  <w:divsChild>
                    <w:div w:id="74399820">
                      <w:marLeft w:val="0"/>
                      <w:marRight w:val="0"/>
                      <w:marTop w:val="0"/>
                      <w:marBottom w:val="0"/>
                      <w:divBdr>
                        <w:top w:val="none" w:sz="0" w:space="0" w:color="auto"/>
                        <w:left w:val="none" w:sz="0" w:space="0" w:color="auto"/>
                        <w:bottom w:val="none" w:sz="0" w:space="0" w:color="auto"/>
                        <w:right w:val="none" w:sz="0" w:space="0" w:color="auto"/>
                      </w:divBdr>
                    </w:div>
                  </w:divsChild>
                </w:div>
                <w:div w:id="1013384764">
                  <w:marLeft w:val="0"/>
                  <w:marRight w:val="0"/>
                  <w:marTop w:val="0"/>
                  <w:marBottom w:val="0"/>
                  <w:divBdr>
                    <w:top w:val="none" w:sz="0" w:space="0" w:color="auto"/>
                    <w:left w:val="none" w:sz="0" w:space="0" w:color="auto"/>
                    <w:bottom w:val="none" w:sz="0" w:space="0" w:color="auto"/>
                    <w:right w:val="none" w:sz="0" w:space="0" w:color="auto"/>
                  </w:divBdr>
                  <w:divsChild>
                    <w:div w:id="1489130026">
                      <w:marLeft w:val="0"/>
                      <w:marRight w:val="0"/>
                      <w:marTop w:val="0"/>
                      <w:marBottom w:val="0"/>
                      <w:divBdr>
                        <w:top w:val="none" w:sz="0" w:space="0" w:color="auto"/>
                        <w:left w:val="none" w:sz="0" w:space="0" w:color="auto"/>
                        <w:bottom w:val="none" w:sz="0" w:space="0" w:color="auto"/>
                        <w:right w:val="none" w:sz="0" w:space="0" w:color="auto"/>
                      </w:divBdr>
                    </w:div>
                  </w:divsChild>
                </w:div>
                <w:div w:id="1149249746">
                  <w:marLeft w:val="0"/>
                  <w:marRight w:val="0"/>
                  <w:marTop w:val="0"/>
                  <w:marBottom w:val="0"/>
                  <w:divBdr>
                    <w:top w:val="none" w:sz="0" w:space="0" w:color="auto"/>
                    <w:left w:val="none" w:sz="0" w:space="0" w:color="auto"/>
                    <w:bottom w:val="none" w:sz="0" w:space="0" w:color="auto"/>
                    <w:right w:val="none" w:sz="0" w:space="0" w:color="auto"/>
                  </w:divBdr>
                  <w:divsChild>
                    <w:div w:id="36200446">
                      <w:marLeft w:val="0"/>
                      <w:marRight w:val="0"/>
                      <w:marTop w:val="0"/>
                      <w:marBottom w:val="0"/>
                      <w:divBdr>
                        <w:top w:val="none" w:sz="0" w:space="0" w:color="auto"/>
                        <w:left w:val="none" w:sz="0" w:space="0" w:color="auto"/>
                        <w:bottom w:val="none" w:sz="0" w:space="0" w:color="auto"/>
                        <w:right w:val="none" w:sz="0" w:space="0" w:color="auto"/>
                      </w:divBdr>
                    </w:div>
                  </w:divsChild>
                </w:div>
                <w:div w:id="1212307637">
                  <w:marLeft w:val="0"/>
                  <w:marRight w:val="0"/>
                  <w:marTop w:val="0"/>
                  <w:marBottom w:val="0"/>
                  <w:divBdr>
                    <w:top w:val="none" w:sz="0" w:space="0" w:color="auto"/>
                    <w:left w:val="none" w:sz="0" w:space="0" w:color="auto"/>
                    <w:bottom w:val="none" w:sz="0" w:space="0" w:color="auto"/>
                    <w:right w:val="none" w:sz="0" w:space="0" w:color="auto"/>
                  </w:divBdr>
                  <w:divsChild>
                    <w:div w:id="1268731798">
                      <w:marLeft w:val="0"/>
                      <w:marRight w:val="0"/>
                      <w:marTop w:val="0"/>
                      <w:marBottom w:val="0"/>
                      <w:divBdr>
                        <w:top w:val="none" w:sz="0" w:space="0" w:color="auto"/>
                        <w:left w:val="none" w:sz="0" w:space="0" w:color="auto"/>
                        <w:bottom w:val="none" w:sz="0" w:space="0" w:color="auto"/>
                        <w:right w:val="none" w:sz="0" w:space="0" w:color="auto"/>
                      </w:divBdr>
                    </w:div>
                  </w:divsChild>
                </w:div>
                <w:div w:id="1264001079">
                  <w:marLeft w:val="0"/>
                  <w:marRight w:val="0"/>
                  <w:marTop w:val="0"/>
                  <w:marBottom w:val="0"/>
                  <w:divBdr>
                    <w:top w:val="none" w:sz="0" w:space="0" w:color="auto"/>
                    <w:left w:val="none" w:sz="0" w:space="0" w:color="auto"/>
                    <w:bottom w:val="none" w:sz="0" w:space="0" w:color="auto"/>
                    <w:right w:val="none" w:sz="0" w:space="0" w:color="auto"/>
                  </w:divBdr>
                  <w:divsChild>
                    <w:div w:id="397939822">
                      <w:marLeft w:val="0"/>
                      <w:marRight w:val="0"/>
                      <w:marTop w:val="0"/>
                      <w:marBottom w:val="0"/>
                      <w:divBdr>
                        <w:top w:val="none" w:sz="0" w:space="0" w:color="auto"/>
                        <w:left w:val="none" w:sz="0" w:space="0" w:color="auto"/>
                        <w:bottom w:val="none" w:sz="0" w:space="0" w:color="auto"/>
                        <w:right w:val="none" w:sz="0" w:space="0" w:color="auto"/>
                      </w:divBdr>
                    </w:div>
                  </w:divsChild>
                </w:div>
                <w:div w:id="1604217323">
                  <w:marLeft w:val="0"/>
                  <w:marRight w:val="0"/>
                  <w:marTop w:val="0"/>
                  <w:marBottom w:val="0"/>
                  <w:divBdr>
                    <w:top w:val="none" w:sz="0" w:space="0" w:color="auto"/>
                    <w:left w:val="none" w:sz="0" w:space="0" w:color="auto"/>
                    <w:bottom w:val="none" w:sz="0" w:space="0" w:color="auto"/>
                    <w:right w:val="none" w:sz="0" w:space="0" w:color="auto"/>
                  </w:divBdr>
                  <w:divsChild>
                    <w:div w:id="254361397">
                      <w:marLeft w:val="0"/>
                      <w:marRight w:val="0"/>
                      <w:marTop w:val="0"/>
                      <w:marBottom w:val="0"/>
                      <w:divBdr>
                        <w:top w:val="none" w:sz="0" w:space="0" w:color="auto"/>
                        <w:left w:val="none" w:sz="0" w:space="0" w:color="auto"/>
                        <w:bottom w:val="none" w:sz="0" w:space="0" w:color="auto"/>
                        <w:right w:val="none" w:sz="0" w:space="0" w:color="auto"/>
                      </w:divBdr>
                    </w:div>
                  </w:divsChild>
                </w:div>
                <w:div w:id="1671367698">
                  <w:marLeft w:val="0"/>
                  <w:marRight w:val="0"/>
                  <w:marTop w:val="0"/>
                  <w:marBottom w:val="0"/>
                  <w:divBdr>
                    <w:top w:val="none" w:sz="0" w:space="0" w:color="auto"/>
                    <w:left w:val="none" w:sz="0" w:space="0" w:color="auto"/>
                    <w:bottom w:val="none" w:sz="0" w:space="0" w:color="auto"/>
                    <w:right w:val="none" w:sz="0" w:space="0" w:color="auto"/>
                  </w:divBdr>
                  <w:divsChild>
                    <w:div w:id="2017073219">
                      <w:marLeft w:val="0"/>
                      <w:marRight w:val="0"/>
                      <w:marTop w:val="0"/>
                      <w:marBottom w:val="0"/>
                      <w:divBdr>
                        <w:top w:val="none" w:sz="0" w:space="0" w:color="auto"/>
                        <w:left w:val="none" w:sz="0" w:space="0" w:color="auto"/>
                        <w:bottom w:val="none" w:sz="0" w:space="0" w:color="auto"/>
                        <w:right w:val="none" w:sz="0" w:space="0" w:color="auto"/>
                      </w:divBdr>
                    </w:div>
                  </w:divsChild>
                </w:div>
                <w:div w:id="1695879686">
                  <w:marLeft w:val="0"/>
                  <w:marRight w:val="0"/>
                  <w:marTop w:val="0"/>
                  <w:marBottom w:val="0"/>
                  <w:divBdr>
                    <w:top w:val="none" w:sz="0" w:space="0" w:color="auto"/>
                    <w:left w:val="none" w:sz="0" w:space="0" w:color="auto"/>
                    <w:bottom w:val="none" w:sz="0" w:space="0" w:color="auto"/>
                    <w:right w:val="none" w:sz="0" w:space="0" w:color="auto"/>
                  </w:divBdr>
                  <w:divsChild>
                    <w:div w:id="609432642">
                      <w:marLeft w:val="0"/>
                      <w:marRight w:val="0"/>
                      <w:marTop w:val="0"/>
                      <w:marBottom w:val="0"/>
                      <w:divBdr>
                        <w:top w:val="none" w:sz="0" w:space="0" w:color="auto"/>
                        <w:left w:val="none" w:sz="0" w:space="0" w:color="auto"/>
                        <w:bottom w:val="none" w:sz="0" w:space="0" w:color="auto"/>
                        <w:right w:val="none" w:sz="0" w:space="0" w:color="auto"/>
                      </w:divBdr>
                    </w:div>
                  </w:divsChild>
                </w:div>
                <w:div w:id="1947076647">
                  <w:marLeft w:val="0"/>
                  <w:marRight w:val="0"/>
                  <w:marTop w:val="0"/>
                  <w:marBottom w:val="0"/>
                  <w:divBdr>
                    <w:top w:val="none" w:sz="0" w:space="0" w:color="auto"/>
                    <w:left w:val="none" w:sz="0" w:space="0" w:color="auto"/>
                    <w:bottom w:val="none" w:sz="0" w:space="0" w:color="auto"/>
                    <w:right w:val="none" w:sz="0" w:space="0" w:color="auto"/>
                  </w:divBdr>
                  <w:divsChild>
                    <w:div w:id="74742622">
                      <w:marLeft w:val="0"/>
                      <w:marRight w:val="0"/>
                      <w:marTop w:val="0"/>
                      <w:marBottom w:val="0"/>
                      <w:divBdr>
                        <w:top w:val="none" w:sz="0" w:space="0" w:color="auto"/>
                        <w:left w:val="none" w:sz="0" w:space="0" w:color="auto"/>
                        <w:bottom w:val="none" w:sz="0" w:space="0" w:color="auto"/>
                        <w:right w:val="none" w:sz="0" w:space="0" w:color="auto"/>
                      </w:divBdr>
                    </w:div>
                  </w:divsChild>
                </w:div>
                <w:div w:id="1975330210">
                  <w:marLeft w:val="0"/>
                  <w:marRight w:val="0"/>
                  <w:marTop w:val="0"/>
                  <w:marBottom w:val="0"/>
                  <w:divBdr>
                    <w:top w:val="none" w:sz="0" w:space="0" w:color="auto"/>
                    <w:left w:val="none" w:sz="0" w:space="0" w:color="auto"/>
                    <w:bottom w:val="none" w:sz="0" w:space="0" w:color="auto"/>
                    <w:right w:val="none" w:sz="0" w:space="0" w:color="auto"/>
                  </w:divBdr>
                  <w:divsChild>
                    <w:div w:id="2076277118">
                      <w:marLeft w:val="0"/>
                      <w:marRight w:val="0"/>
                      <w:marTop w:val="0"/>
                      <w:marBottom w:val="0"/>
                      <w:divBdr>
                        <w:top w:val="none" w:sz="0" w:space="0" w:color="auto"/>
                        <w:left w:val="none" w:sz="0" w:space="0" w:color="auto"/>
                        <w:bottom w:val="none" w:sz="0" w:space="0" w:color="auto"/>
                        <w:right w:val="none" w:sz="0" w:space="0" w:color="auto"/>
                      </w:divBdr>
                    </w:div>
                  </w:divsChild>
                </w:div>
                <w:div w:id="1982735485">
                  <w:marLeft w:val="0"/>
                  <w:marRight w:val="0"/>
                  <w:marTop w:val="0"/>
                  <w:marBottom w:val="0"/>
                  <w:divBdr>
                    <w:top w:val="none" w:sz="0" w:space="0" w:color="auto"/>
                    <w:left w:val="none" w:sz="0" w:space="0" w:color="auto"/>
                    <w:bottom w:val="none" w:sz="0" w:space="0" w:color="auto"/>
                    <w:right w:val="none" w:sz="0" w:space="0" w:color="auto"/>
                  </w:divBdr>
                  <w:divsChild>
                    <w:div w:id="60637151">
                      <w:marLeft w:val="0"/>
                      <w:marRight w:val="0"/>
                      <w:marTop w:val="0"/>
                      <w:marBottom w:val="0"/>
                      <w:divBdr>
                        <w:top w:val="none" w:sz="0" w:space="0" w:color="auto"/>
                        <w:left w:val="none" w:sz="0" w:space="0" w:color="auto"/>
                        <w:bottom w:val="none" w:sz="0" w:space="0" w:color="auto"/>
                        <w:right w:val="none" w:sz="0" w:space="0" w:color="auto"/>
                      </w:divBdr>
                    </w:div>
                  </w:divsChild>
                </w:div>
                <w:div w:id="2106074578">
                  <w:marLeft w:val="0"/>
                  <w:marRight w:val="0"/>
                  <w:marTop w:val="0"/>
                  <w:marBottom w:val="0"/>
                  <w:divBdr>
                    <w:top w:val="none" w:sz="0" w:space="0" w:color="auto"/>
                    <w:left w:val="none" w:sz="0" w:space="0" w:color="auto"/>
                    <w:bottom w:val="none" w:sz="0" w:space="0" w:color="auto"/>
                    <w:right w:val="none" w:sz="0" w:space="0" w:color="auto"/>
                  </w:divBdr>
                  <w:divsChild>
                    <w:div w:id="212862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4982">
          <w:marLeft w:val="0"/>
          <w:marRight w:val="0"/>
          <w:marTop w:val="0"/>
          <w:marBottom w:val="0"/>
          <w:divBdr>
            <w:top w:val="none" w:sz="0" w:space="0" w:color="auto"/>
            <w:left w:val="none" w:sz="0" w:space="0" w:color="auto"/>
            <w:bottom w:val="none" w:sz="0" w:space="0" w:color="auto"/>
            <w:right w:val="none" w:sz="0" w:space="0" w:color="auto"/>
          </w:divBdr>
        </w:div>
        <w:div w:id="1146043441">
          <w:marLeft w:val="0"/>
          <w:marRight w:val="0"/>
          <w:marTop w:val="0"/>
          <w:marBottom w:val="0"/>
          <w:divBdr>
            <w:top w:val="none" w:sz="0" w:space="0" w:color="auto"/>
            <w:left w:val="none" w:sz="0" w:space="0" w:color="auto"/>
            <w:bottom w:val="none" w:sz="0" w:space="0" w:color="auto"/>
            <w:right w:val="none" w:sz="0" w:space="0" w:color="auto"/>
          </w:divBdr>
        </w:div>
        <w:div w:id="1202980267">
          <w:marLeft w:val="0"/>
          <w:marRight w:val="0"/>
          <w:marTop w:val="0"/>
          <w:marBottom w:val="0"/>
          <w:divBdr>
            <w:top w:val="none" w:sz="0" w:space="0" w:color="auto"/>
            <w:left w:val="none" w:sz="0" w:space="0" w:color="auto"/>
            <w:bottom w:val="none" w:sz="0" w:space="0" w:color="auto"/>
            <w:right w:val="none" w:sz="0" w:space="0" w:color="auto"/>
          </w:divBdr>
        </w:div>
        <w:div w:id="1443189648">
          <w:marLeft w:val="0"/>
          <w:marRight w:val="0"/>
          <w:marTop w:val="0"/>
          <w:marBottom w:val="0"/>
          <w:divBdr>
            <w:top w:val="none" w:sz="0" w:space="0" w:color="auto"/>
            <w:left w:val="none" w:sz="0" w:space="0" w:color="auto"/>
            <w:bottom w:val="none" w:sz="0" w:space="0" w:color="auto"/>
            <w:right w:val="none" w:sz="0" w:space="0" w:color="auto"/>
          </w:divBdr>
        </w:div>
        <w:div w:id="1499076362">
          <w:marLeft w:val="0"/>
          <w:marRight w:val="0"/>
          <w:marTop w:val="0"/>
          <w:marBottom w:val="0"/>
          <w:divBdr>
            <w:top w:val="none" w:sz="0" w:space="0" w:color="auto"/>
            <w:left w:val="none" w:sz="0" w:space="0" w:color="auto"/>
            <w:bottom w:val="none" w:sz="0" w:space="0" w:color="auto"/>
            <w:right w:val="none" w:sz="0" w:space="0" w:color="auto"/>
          </w:divBdr>
          <w:divsChild>
            <w:div w:id="257106899">
              <w:marLeft w:val="-75"/>
              <w:marRight w:val="0"/>
              <w:marTop w:val="30"/>
              <w:marBottom w:val="30"/>
              <w:divBdr>
                <w:top w:val="none" w:sz="0" w:space="0" w:color="auto"/>
                <w:left w:val="none" w:sz="0" w:space="0" w:color="auto"/>
                <w:bottom w:val="none" w:sz="0" w:space="0" w:color="auto"/>
                <w:right w:val="none" w:sz="0" w:space="0" w:color="auto"/>
              </w:divBdr>
              <w:divsChild>
                <w:div w:id="21127809">
                  <w:marLeft w:val="0"/>
                  <w:marRight w:val="0"/>
                  <w:marTop w:val="0"/>
                  <w:marBottom w:val="0"/>
                  <w:divBdr>
                    <w:top w:val="none" w:sz="0" w:space="0" w:color="auto"/>
                    <w:left w:val="none" w:sz="0" w:space="0" w:color="auto"/>
                    <w:bottom w:val="none" w:sz="0" w:space="0" w:color="auto"/>
                    <w:right w:val="none" w:sz="0" w:space="0" w:color="auto"/>
                  </w:divBdr>
                  <w:divsChild>
                    <w:div w:id="747921725">
                      <w:marLeft w:val="0"/>
                      <w:marRight w:val="0"/>
                      <w:marTop w:val="0"/>
                      <w:marBottom w:val="0"/>
                      <w:divBdr>
                        <w:top w:val="none" w:sz="0" w:space="0" w:color="auto"/>
                        <w:left w:val="none" w:sz="0" w:space="0" w:color="auto"/>
                        <w:bottom w:val="none" w:sz="0" w:space="0" w:color="auto"/>
                        <w:right w:val="none" w:sz="0" w:space="0" w:color="auto"/>
                      </w:divBdr>
                    </w:div>
                  </w:divsChild>
                </w:div>
                <w:div w:id="25715698">
                  <w:marLeft w:val="0"/>
                  <w:marRight w:val="0"/>
                  <w:marTop w:val="0"/>
                  <w:marBottom w:val="0"/>
                  <w:divBdr>
                    <w:top w:val="none" w:sz="0" w:space="0" w:color="auto"/>
                    <w:left w:val="none" w:sz="0" w:space="0" w:color="auto"/>
                    <w:bottom w:val="none" w:sz="0" w:space="0" w:color="auto"/>
                    <w:right w:val="none" w:sz="0" w:space="0" w:color="auto"/>
                  </w:divBdr>
                  <w:divsChild>
                    <w:div w:id="724530945">
                      <w:marLeft w:val="0"/>
                      <w:marRight w:val="0"/>
                      <w:marTop w:val="0"/>
                      <w:marBottom w:val="0"/>
                      <w:divBdr>
                        <w:top w:val="none" w:sz="0" w:space="0" w:color="auto"/>
                        <w:left w:val="none" w:sz="0" w:space="0" w:color="auto"/>
                        <w:bottom w:val="none" w:sz="0" w:space="0" w:color="auto"/>
                        <w:right w:val="none" w:sz="0" w:space="0" w:color="auto"/>
                      </w:divBdr>
                    </w:div>
                  </w:divsChild>
                </w:div>
                <w:div w:id="33047983">
                  <w:marLeft w:val="0"/>
                  <w:marRight w:val="0"/>
                  <w:marTop w:val="0"/>
                  <w:marBottom w:val="0"/>
                  <w:divBdr>
                    <w:top w:val="none" w:sz="0" w:space="0" w:color="auto"/>
                    <w:left w:val="none" w:sz="0" w:space="0" w:color="auto"/>
                    <w:bottom w:val="none" w:sz="0" w:space="0" w:color="auto"/>
                    <w:right w:val="none" w:sz="0" w:space="0" w:color="auto"/>
                  </w:divBdr>
                  <w:divsChild>
                    <w:div w:id="981958361">
                      <w:marLeft w:val="0"/>
                      <w:marRight w:val="0"/>
                      <w:marTop w:val="0"/>
                      <w:marBottom w:val="0"/>
                      <w:divBdr>
                        <w:top w:val="none" w:sz="0" w:space="0" w:color="auto"/>
                        <w:left w:val="none" w:sz="0" w:space="0" w:color="auto"/>
                        <w:bottom w:val="none" w:sz="0" w:space="0" w:color="auto"/>
                        <w:right w:val="none" w:sz="0" w:space="0" w:color="auto"/>
                      </w:divBdr>
                    </w:div>
                  </w:divsChild>
                </w:div>
                <w:div w:id="45181386">
                  <w:marLeft w:val="0"/>
                  <w:marRight w:val="0"/>
                  <w:marTop w:val="0"/>
                  <w:marBottom w:val="0"/>
                  <w:divBdr>
                    <w:top w:val="none" w:sz="0" w:space="0" w:color="auto"/>
                    <w:left w:val="none" w:sz="0" w:space="0" w:color="auto"/>
                    <w:bottom w:val="none" w:sz="0" w:space="0" w:color="auto"/>
                    <w:right w:val="none" w:sz="0" w:space="0" w:color="auto"/>
                  </w:divBdr>
                  <w:divsChild>
                    <w:div w:id="1426730718">
                      <w:marLeft w:val="0"/>
                      <w:marRight w:val="0"/>
                      <w:marTop w:val="0"/>
                      <w:marBottom w:val="0"/>
                      <w:divBdr>
                        <w:top w:val="none" w:sz="0" w:space="0" w:color="auto"/>
                        <w:left w:val="none" w:sz="0" w:space="0" w:color="auto"/>
                        <w:bottom w:val="none" w:sz="0" w:space="0" w:color="auto"/>
                        <w:right w:val="none" w:sz="0" w:space="0" w:color="auto"/>
                      </w:divBdr>
                    </w:div>
                  </w:divsChild>
                </w:div>
                <w:div w:id="51464922">
                  <w:marLeft w:val="0"/>
                  <w:marRight w:val="0"/>
                  <w:marTop w:val="0"/>
                  <w:marBottom w:val="0"/>
                  <w:divBdr>
                    <w:top w:val="none" w:sz="0" w:space="0" w:color="auto"/>
                    <w:left w:val="none" w:sz="0" w:space="0" w:color="auto"/>
                    <w:bottom w:val="none" w:sz="0" w:space="0" w:color="auto"/>
                    <w:right w:val="none" w:sz="0" w:space="0" w:color="auto"/>
                  </w:divBdr>
                  <w:divsChild>
                    <w:div w:id="2125267875">
                      <w:marLeft w:val="0"/>
                      <w:marRight w:val="0"/>
                      <w:marTop w:val="0"/>
                      <w:marBottom w:val="0"/>
                      <w:divBdr>
                        <w:top w:val="none" w:sz="0" w:space="0" w:color="auto"/>
                        <w:left w:val="none" w:sz="0" w:space="0" w:color="auto"/>
                        <w:bottom w:val="none" w:sz="0" w:space="0" w:color="auto"/>
                        <w:right w:val="none" w:sz="0" w:space="0" w:color="auto"/>
                      </w:divBdr>
                    </w:div>
                  </w:divsChild>
                </w:div>
                <w:div w:id="84959487">
                  <w:marLeft w:val="0"/>
                  <w:marRight w:val="0"/>
                  <w:marTop w:val="0"/>
                  <w:marBottom w:val="0"/>
                  <w:divBdr>
                    <w:top w:val="none" w:sz="0" w:space="0" w:color="auto"/>
                    <w:left w:val="none" w:sz="0" w:space="0" w:color="auto"/>
                    <w:bottom w:val="none" w:sz="0" w:space="0" w:color="auto"/>
                    <w:right w:val="none" w:sz="0" w:space="0" w:color="auto"/>
                  </w:divBdr>
                  <w:divsChild>
                    <w:div w:id="1786656018">
                      <w:marLeft w:val="0"/>
                      <w:marRight w:val="0"/>
                      <w:marTop w:val="0"/>
                      <w:marBottom w:val="0"/>
                      <w:divBdr>
                        <w:top w:val="none" w:sz="0" w:space="0" w:color="auto"/>
                        <w:left w:val="none" w:sz="0" w:space="0" w:color="auto"/>
                        <w:bottom w:val="none" w:sz="0" w:space="0" w:color="auto"/>
                        <w:right w:val="none" w:sz="0" w:space="0" w:color="auto"/>
                      </w:divBdr>
                    </w:div>
                  </w:divsChild>
                </w:div>
                <w:div w:id="143788066">
                  <w:marLeft w:val="0"/>
                  <w:marRight w:val="0"/>
                  <w:marTop w:val="0"/>
                  <w:marBottom w:val="0"/>
                  <w:divBdr>
                    <w:top w:val="none" w:sz="0" w:space="0" w:color="auto"/>
                    <w:left w:val="none" w:sz="0" w:space="0" w:color="auto"/>
                    <w:bottom w:val="none" w:sz="0" w:space="0" w:color="auto"/>
                    <w:right w:val="none" w:sz="0" w:space="0" w:color="auto"/>
                  </w:divBdr>
                  <w:divsChild>
                    <w:div w:id="948665486">
                      <w:marLeft w:val="0"/>
                      <w:marRight w:val="0"/>
                      <w:marTop w:val="0"/>
                      <w:marBottom w:val="0"/>
                      <w:divBdr>
                        <w:top w:val="none" w:sz="0" w:space="0" w:color="auto"/>
                        <w:left w:val="none" w:sz="0" w:space="0" w:color="auto"/>
                        <w:bottom w:val="none" w:sz="0" w:space="0" w:color="auto"/>
                        <w:right w:val="none" w:sz="0" w:space="0" w:color="auto"/>
                      </w:divBdr>
                    </w:div>
                  </w:divsChild>
                </w:div>
                <w:div w:id="162933305">
                  <w:marLeft w:val="0"/>
                  <w:marRight w:val="0"/>
                  <w:marTop w:val="0"/>
                  <w:marBottom w:val="0"/>
                  <w:divBdr>
                    <w:top w:val="none" w:sz="0" w:space="0" w:color="auto"/>
                    <w:left w:val="none" w:sz="0" w:space="0" w:color="auto"/>
                    <w:bottom w:val="none" w:sz="0" w:space="0" w:color="auto"/>
                    <w:right w:val="none" w:sz="0" w:space="0" w:color="auto"/>
                  </w:divBdr>
                  <w:divsChild>
                    <w:div w:id="542913430">
                      <w:marLeft w:val="0"/>
                      <w:marRight w:val="0"/>
                      <w:marTop w:val="0"/>
                      <w:marBottom w:val="0"/>
                      <w:divBdr>
                        <w:top w:val="none" w:sz="0" w:space="0" w:color="auto"/>
                        <w:left w:val="none" w:sz="0" w:space="0" w:color="auto"/>
                        <w:bottom w:val="none" w:sz="0" w:space="0" w:color="auto"/>
                        <w:right w:val="none" w:sz="0" w:space="0" w:color="auto"/>
                      </w:divBdr>
                    </w:div>
                  </w:divsChild>
                </w:div>
                <w:div w:id="177472979">
                  <w:marLeft w:val="0"/>
                  <w:marRight w:val="0"/>
                  <w:marTop w:val="0"/>
                  <w:marBottom w:val="0"/>
                  <w:divBdr>
                    <w:top w:val="none" w:sz="0" w:space="0" w:color="auto"/>
                    <w:left w:val="none" w:sz="0" w:space="0" w:color="auto"/>
                    <w:bottom w:val="none" w:sz="0" w:space="0" w:color="auto"/>
                    <w:right w:val="none" w:sz="0" w:space="0" w:color="auto"/>
                  </w:divBdr>
                  <w:divsChild>
                    <w:div w:id="586959073">
                      <w:marLeft w:val="0"/>
                      <w:marRight w:val="0"/>
                      <w:marTop w:val="0"/>
                      <w:marBottom w:val="0"/>
                      <w:divBdr>
                        <w:top w:val="none" w:sz="0" w:space="0" w:color="auto"/>
                        <w:left w:val="none" w:sz="0" w:space="0" w:color="auto"/>
                        <w:bottom w:val="none" w:sz="0" w:space="0" w:color="auto"/>
                        <w:right w:val="none" w:sz="0" w:space="0" w:color="auto"/>
                      </w:divBdr>
                    </w:div>
                  </w:divsChild>
                </w:div>
                <w:div w:id="249586048">
                  <w:marLeft w:val="0"/>
                  <w:marRight w:val="0"/>
                  <w:marTop w:val="0"/>
                  <w:marBottom w:val="0"/>
                  <w:divBdr>
                    <w:top w:val="none" w:sz="0" w:space="0" w:color="auto"/>
                    <w:left w:val="none" w:sz="0" w:space="0" w:color="auto"/>
                    <w:bottom w:val="none" w:sz="0" w:space="0" w:color="auto"/>
                    <w:right w:val="none" w:sz="0" w:space="0" w:color="auto"/>
                  </w:divBdr>
                  <w:divsChild>
                    <w:div w:id="350574662">
                      <w:marLeft w:val="0"/>
                      <w:marRight w:val="0"/>
                      <w:marTop w:val="0"/>
                      <w:marBottom w:val="0"/>
                      <w:divBdr>
                        <w:top w:val="none" w:sz="0" w:space="0" w:color="auto"/>
                        <w:left w:val="none" w:sz="0" w:space="0" w:color="auto"/>
                        <w:bottom w:val="none" w:sz="0" w:space="0" w:color="auto"/>
                        <w:right w:val="none" w:sz="0" w:space="0" w:color="auto"/>
                      </w:divBdr>
                    </w:div>
                  </w:divsChild>
                </w:div>
                <w:div w:id="252399691">
                  <w:marLeft w:val="0"/>
                  <w:marRight w:val="0"/>
                  <w:marTop w:val="0"/>
                  <w:marBottom w:val="0"/>
                  <w:divBdr>
                    <w:top w:val="none" w:sz="0" w:space="0" w:color="auto"/>
                    <w:left w:val="none" w:sz="0" w:space="0" w:color="auto"/>
                    <w:bottom w:val="none" w:sz="0" w:space="0" w:color="auto"/>
                    <w:right w:val="none" w:sz="0" w:space="0" w:color="auto"/>
                  </w:divBdr>
                  <w:divsChild>
                    <w:div w:id="1814829215">
                      <w:marLeft w:val="0"/>
                      <w:marRight w:val="0"/>
                      <w:marTop w:val="0"/>
                      <w:marBottom w:val="0"/>
                      <w:divBdr>
                        <w:top w:val="none" w:sz="0" w:space="0" w:color="auto"/>
                        <w:left w:val="none" w:sz="0" w:space="0" w:color="auto"/>
                        <w:bottom w:val="none" w:sz="0" w:space="0" w:color="auto"/>
                        <w:right w:val="none" w:sz="0" w:space="0" w:color="auto"/>
                      </w:divBdr>
                    </w:div>
                  </w:divsChild>
                </w:div>
                <w:div w:id="255747100">
                  <w:marLeft w:val="0"/>
                  <w:marRight w:val="0"/>
                  <w:marTop w:val="0"/>
                  <w:marBottom w:val="0"/>
                  <w:divBdr>
                    <w:top w:val="none" w:sz="0" w:space="0" w:color="auto"/>
                    <w:left w:val="none" w:sz="0" w:space="0" w:color="auto"/>
                    <w:bottom w:val="none" w:sz="0" w:space="0" w:color="auto"/>
                    <w:right w:val="none" w:sz="0" w:space="0" w:color="auto"/>
                  </w:divBdr>
                  <w:divsChild>
                    <w:div w:id="1030254960">
                      <w:marLeft w:val="0"/>
                      <w:marRight w:val="0"/>
                      <w:marTop w:val="0"/>
                      <w:marBottom w:val="0"/>
                      <w:divBdr>
                        <w:top w:val="none" w:sz="0" w:space="0" w:color="auto"/>
                        <w:left w:val="none" w:sz="0" w:space="0" w:color="auto"/>
                        <w:bottom w:val="none" w:sz="0" w:space="0" w:color="auto"/>
                        <w:right w:val="none" w:sz="0" w:space="0" w:color="auto"/>
                      </w:divBdr>
                    </w:div>
                  </w:divsChild>
                </w:div>
                <w:div w:id="262150232">
                  <w:marLeft w:val="0"/>
                  <w:marRight w:val="0"/>
                  <w:marTop w:val="0"/>
                  <w:marBottom w:val="0"/>
                  <w:divBdr>
                    <w:top w:val="none" w:sz="0" w:space="0" w:color="auto"/>
                    <w:left w:val="none" w:sz="0" w:space="0" w:color="auto"/>
                    <w:bottom w:val="none" w:sz="0" w:space="0" w:color="auto"/>
                    <w:right w:val="none" w:sz="0" w:space="0" w:color="auto"/>
                  </w:divBdr>
                  <w:divsChild>
                    <w:div w:id="1855026718">
                      <w:marLeft w:val="0"/>
                      <w:marRight w:val="0"/>
                      <w:marTop w:val="0"/>
                      <w:marBottom w:val="0"/>
                      <w:divBdr>
                        <w:top w:val="none" w:sz="0" w:space="0" w:color="auto"/>
                        <w:left w:val="none" w:sz="0" w:space="0" w:color="auto"/>
                        <w:bottom w:val="none" w:sz="0" w:space="0" w:color="auto"/>
                        <w:right w:val="none" w:sz="0" w:space="0" w:color="auto"/>
                      </w:divBdr>
                    </w:div>
                  </w:divsChild>
                </w:div>
                <w:div w:id="268240401">
                  <w:marLeft w:val="0"/>
                  <w:marRight w:val="0"/>
                  <w:marTop w:val="0"/>
                  <w:marBottom w:val="0"/>
                  <w:divBdr>
                    <w:top w:val="none" w:sz="0" w:space="0" w:color="auto"/>
                    <w:left w:val="none" w:sz="0" w:space="0" w:color="auto"/>
                    <w:bottom w:val="none" w:sz="0" w:space="0" w:color="auto"/>
                    <w:right w:val="none" w:sz="0" w:space="0" w:color="auto"/>
                  </w:divBdr>
                  <w:divsChild>
                    <w:div w:id="449013697">
                      <w:marLeft w:val="0"/>
                      <w:marRight w:val="0"/>
                      <w:marTop w:val="0"/>
                      <w:marBottom w:val="0"/>
                      <w:divBdr>
                        <w:top w:val="none" w:sz="0" w:space="0" w:color="auto"/>
                        <w:left w:val="none" w:sz="0" w:space="0" w:color="auto"/>
                        <w:bottom w:val="none" w:sz="0" w:space="0" w:color="auto"/>
                        <w:right w:val="none" w:sz="0" w:space="0" w:color="auto"/>
                      </w:divBdr>
                    </w:div>
                  </w:divsChild>
                </w:div>
                <w:div w:id="279801442">
                  <w:marLeft w:val="0"/>
                  <w:marRight w:val="0"/>
                  <w:marTop w:val="0"/>
                  <w:marBottom w:val="0"/>
                  <w:divBdr>
                    <w:top w:val="none" w:sz="0" w:space="0" w:color="auto"/>
                    <w:left w:val="none" w:sz="0" w:space="0" w:color="auto"/>
                    <w:bottom w:val="none" w:sz="0" w:space="0" w:color="auto"/>
                    <w:right w:val="none" w:sz="0" w:space="0" w:color="auto"/>
                  </w:divBdr>
                  <w:divsChild>
                    <w:div w:id="323582164">
                      <w:marLeft w:val="0"/>
                      <w:marRight w:val="0"/>
                      <w:marTop w:val="0"/>
                      <w:marBottom w:val="0"/>
                      <w:divBdr>
                        <w:top w:val="none" w:sz="0" w:space="0" w:color="auto"/>
                        <w:left w:val="none" w:sz="0" w:space="0" w:color="auto"/>
                        <w:bottom w:val="none" w:sz="0" w:space="0" w:color="auto"/>
                        <w:right w:val="none" w:sz="0" w:space="0" w:color="auto"/>
                      </w:divBdr>
                    </w:div>
                  </w:divsChild>
                </w:div>
                <w:div w:id="283729884">
                  <w:marLeft w:val="0"/>
                  <w:marRight w:val="0"/>
                  <w:marTop w:val="0"/>
                  <w:marBottom w:val="0"/>
                  <w:divBdr>
                    <w:top w:val="none" w:sz="0" w:space="0" w:color="auto"/>
                    <w:left w:val="none" w:sz="0" w:space="0" w:color="auto"/>
                    <w:bottom w:val="none" w:sz="0" w:space="0" w:color="auto"/>
                    <w:right w:val="none" w:sz="0" w:space="0" w:color="auto"/>
                  </w:divBdr>
                  <w:divsChild>
                    <w:div w:id="870653257">
                      <w:marLeft w:val="0"/>
                      <w:marRight w:val="0"/>
                      <w:marTop w:val="0"/>
                      <w:marBottom w:val="0"/>
                      <w:divBdr>
                        <w:top w:val="none" w:sz="0" w:space="0" w:color="auto"/>
                        <w:left w:val="none" w:sz="0" w:space="0" w:color="auto"/>
                        <w:bottom w:val="none" w:sz="0" w:space="0" w:color="auto"/>
                        <w:right w:val="none" w:sz="0" w:space="0" w:color="auto"/>
                      </w:divBdr>
                    </w:div>
                  </w:divsChild>
                </w:div>
                <w:div w:id="294144155">
                  <w:marLeft w:val="0"/>
                  <w:marRight w:val="0"/>
                  <w:marTop w:val="0"/>
                  <w:marBottom w:val="0"/>
                  <w:divBdr>
                    <w:top w:val="none" w:sz="0" w:space="0" w:color="auto"/>
                    <w:left w:val="none" w:sz="0" w:space="0" w:color="auto"/>
                    <w:bottom w:val="none" w:sz="0" w:space="0" w:color="auto"/>
                    <w:right w:val="none" w:sz="0" w:space="0" w:color="auto"/>
                  </w:divBdr>
                  <w:divsChild>
                    <w:div w:id="111943953">
                      <w:marLeft w:val="0"/>
                      <w:marRight w:val="0"/>
                      <w:marTop w:val="0"/>
                      <w:marBottom w:val="0"/>
                      <w:divBdr>
                        <w:top w:val="none" w:sz="0" w:space="0" w:color="auto"/>
                        <w:left w:val="none" w:sz="0" w:space="0" w:color="auto"/>
                        <w:bottom w:val="none" w:sz="0" w:space="0" w:color="auto"/>
                        <w:right w:val="none" w:sz="0" w:space="0" w:color="auto"/>
                      </w:divBdr>
                    </w:div>
                  </w:divsChild>
                </w:div>
                <w:div w:id="302466867">
                  <w:marLeft w:val="0"/>
                  <w:marRight w:val="0"/>
                  <w:marTop w:val="0"/>
                  <w:marBottom w:val="0"/>
                  <w:divBdr>
                    <w:top w:val="none" w:sz="0" w:space="0" w:color="auto"/>
                    <w:left w:val="none" w:sz="0" w:space="0" w:color="auto"/>
                    <w:bottom w:val="none" w:sz="0" w:space="0" w:color="auto"/>
                    <w:right w:val="none" w:sz="0" w:space="0" w:color="auto"/>
                  </w:divBdr>
                  <w:divsChild>
                    <w:div w:id="1229607795">
                      <w:marLeft w:val="0"/>
                      <w:marRight w:val="0"/>
                      <w:marTop w:val="0"/>
                      <w:marBottom w:val="0"/>
                      <w:divBdr>
                        <w:top w:val="none" w:sz="0" w:space="0" w:color="auto"/>
                        <w:left w:val="none" w:sz="0" w:space="0" w:color="auto"/>
                        <w:bottom w:val="none" w:sz="0" w:space="0" w:color="auto"/>
                        <w:right w:val="none" w:sz="0" w:space="0" w:color="auto"/>
                      </w:divBdr>
                    </w:div>
                  </w:divsChild>
                </w:div>
                <w:div w:id="314073148">
                  <w:marLeft w:val="0"/>
                  <w:marRight w:val="0"/>
                  <w:marTop w:val="0"/>
                  <w:marBottom w:val="0"/>
                  <w:divBdr>
                    <w:top w:val="none" w:sz="0" w:space="0" w:color="auto"/>
                    <w:left w:val="none" w:sz="0" w:space="0" w:color="auto"/>
                    <w:bottom w:val="none" w:sz="0" w:space="0" w:color="auto"/>
                    <w:right w:val="none" w:sz="0" w:space="0" w:color="auto"/>
                  </w:divBdr>
                  <w:divsChild>
                    <w:div w:id="448160492">
                      <w:marLeft w:val="0"/>
                      <w:marRight w:val="0"/>
                      <w:marTop w:val="0"/>
                      <w:marBottom w:val="0"/>
                      <w:divBdr>
                        <w:top w:val="none" w:sz="0" w:space="0" w:color="auto"/>
                        <w:left w:val="none" w:sz="0" w:space="0" w:color="auto"/>
                        <w:bottom w:val="none" w:sz="0" w:space="0" w:color="auto"/>
                        <w:right w:val="none" w:sz="0" w:space="0" w:color="auto"/>
                      </w:divBdr>
                    </w:div>
                  </w:divsChild>
                </w:div>
                <w:div w:id="317805452">
                  <w:marLeft w:val="0"/>
                  <w:marRight w:val="0"/>
                  <w:marTop w:val="0"/>
                  <w:marBottom w:val="0"/>
                  <w:divBdr>
                    <w:top w:val="none" w:sz="0" w:space="0" w:color="auto"/>
                    <w:left w:val="none" w:sz="0" w:space="0" w:color="auto"/>
                    <w:bottom w:val="none" w:sz="0" w:space="0" w:color="auto"/>
                    <w:right w:val="none" w:sz="0" w:space="0" w:color="auto"/>
                  </w:divBdr>
                  <w:divsChild>
                    <w:div w:id="110517505">
                      <w:marLeft w:val="0"/>
                      <w:marRight w:val="0"/>
                      <w:marTop w:val="0"/>
                      <w:marBottom w:val="0"/>
                      <w:divBdr>
                        <w:top w:val="none" w:sz="0" w:space="0" w:color="auto"/>
                        <w:left w:val="none" w:sz="0" w:space="0" w:color="auto"/>
                        <w:bottom w:val="none" w:sz="0" w:space="0" w:color="auto"/>
                        <w:right w:val="none" w:sz="0" w:space="0" w:color="auto"/>
                      </w:divBdr>
                    </w:div>
                  </w:divsChild>
                </w:div>
                <w:div w:id="321783842">
                  <w:marLeft w:val="0"/>
                  <w:marRight w:val="0"/>
                  <w:marTop w:val="0"/>
                  <w:marBottom w:val="0"/>
                  <w:divBdr>
                    <w:top w:val="none" w:sz="0" w:space="0" w:color="auto"/>
                    <w:left w:val="none" w:sz="0" w:space="0" w:color="auto"/>
                    <w:bottom w:val="none" w:sz="0" w:space="0" w:color="auto"/>
                    <w:right w:val="none" w:sz="0" w:space="0" w:color="auto"/>
                  </w:divBdr>
                  <w:divsChild>
                    <w:div w:id="745147100">
                      <w:marLeft w:val="0"/>
                      <w:marRight w:val="0"/>
                      <w:marTop w:val="0"/>
                      <w:marBottom w:val="0"/>
                      <w:divBdr>
                        <w:top w:val="none" w:sz="0" w:space="0" w:color="auto"/>
                        <w:left w:val="none" w:sz="0" w:space="0" w:color="auto"/>
                        <w:bottom w:val="none" w:sz="0" w:space="0" w:color="auto"/>
                        <w:right w:val="none" w:sz="0" w:space="0" w:color="auto"/>
                      </w:divBdr>
                    </w:div>
                  </w:divsChild>
                </w:div>
                <w:div w:id="378895471">
                  <w:marLeft w:val="0"/>
                  <w:marRight w:val="0"/>
                  <w:marTop w:val="0"/>
                  <w:marBottom w:val="0"/>
                  <w:divBdr>
                    <w:top w:val="none" w:sz="0" w:space="0" w:color="auto"/>
                    <w:left w:val="none" w:sz="0" w:space="0" w:color="auto"/>
                    <w:bottom w:val="none" w:sz="0" w:space="0" w:color="auto"/>
                    <w:right w:val="none" w:sz="0" w:space="0" w:color="auto"/>
                  </w:divBdr>
                  <w:divsChild>
                    <w:div w:id="700126010">
                      <w:marLeft w:val="0"/>
                      <w:marRight w:val="0"/>
                      <w:marTop w:val="0"/>
                      <w:marBottom w:val="0"/>
                      <w:divBdr>
                        <w:top w:val="none" w:sz="0" w:space="0" w:color="auto"/>
                        <w:left w:val="none" w:sz="0" w:space="0" w:color="auto"/>
                        <w:bottom w:val="none" w:sz="0" w:space="0" w:color="auto"/>
                        <w:right w:val="none" w:sz="0" w:space="0" w:color="auto"/>
                      </w:divBdr>
                    </w:div>
                  </w:divsChild>
                </w:div>
                <w:div w:id="385876297">
                  <w:marLeft w:val="0"/>
                  <w:marRight w:val="0"/>
                  <w:marTop w:val="0"/>
                  <w:marBottom w:val="0"/>
                  <w:divBdr>
                    <w:top w:val="none" w:sz="0" w:space="0" w:color="auto"/>
                    <w:left w:val="none" w:sz="0" w:space="0" w:color="auto"/>
                    <w:bottom w:val="none" w:sz="0" w:space="0" w:color="auto"/>
                    <w:right w:val="none" w:sz="0" w:space="0" w:color="auto"/>
                  </w:divBdr>
                  <w:divsChild>
                    <w:div w:id="1389232425">
                      <w:marLeft w:val="0"/>
                      <w:marRight w:val="0"/>
                      <w:marTop w:val="0"/>
                      <w:marBottom w:val="0"/>
                      <w:divBdr>
                        <w:top w:val="none" w:sz="0" w:space="0" w:color="auto"/>
                        <w:left w:val="none" w:sz="0" w:space="0" w:color="auto"/>
                        <w:bottom w:val="none" w:sz="0" w:space="0" w:color="auto"/>
                        <w:right w:val="none" w:sz="0" w:space="0" w:color="auto"/>
                      </w:divBdr>
                    </w:div>
                  </w:divsChild>
                </w:div>
                <w:div w:id="392970607">
                  <w:marLeft w:val="0"/>
                  <w:marRight w:val="0"/>
                  <w:marTop w:val="0"/>
                  <w:marBottom w:val="0"/>
                  <w:divBdr>
                    <w:top w:val="none" w:sz="0" w:space="0" w:color="auto"/>
                    <w:left w:val="none" w:sz="0" w:space="0" w:color="auto"/>
                    <w:bottom w:val="none" w:sz="0" w:space="0" w:color="auto"/>
                    <w:right w:val="none" w:sz="0" w:space="0" w:color="auto"/>
                  </w:divBdr>
                  <w:divsChild>
                    <w:div w:id="1291324664">
                      <w:marLeft w:val="0"/>
                      <w:marRight w:val="0"/>
                      <w:marTop w:val="0"/>
                      <w:marBottom w:val="0"/>
                      <w:divBdr>
                        <w:top w:val="none" w:sz="0" w:space="0" w:color="auto"/>
                        <w:left w:val="none" w:sz="0" w:space="0" w:color="auto"/>
                        <w:bottom w:val="none" w:sz="0" w:space="0" w:color="auto"/>
                        <w:right w:val="none" w:sz="0" w:space="0" w:color="auto"/>
                      </w:divBdr>
                    </w:div>
                  </w:divsChild>
                </w:div>
                <w:div w:id="398020350">
                  <w:marLeft w:val="0"/>
                  <w:marRight w:val="0"/>
                  <w:marTop w:val="0"/>
                  <w:marBottom w:val="0"/>
                  <w:divBdr>
                    <w:top w:val="none" w:sz="0" w:space="0" w:color="auto"/>
                    <w:left w:val="none" w:sz="0" w:space="0" w:color="auto"/>
                    <w:bottom w:val="none" w:sz="0" w:space="0" w:color="auto"/>
                    <w:right w:val="none" w:sz="0" w:space="0" w:color="auto"/>
                  </w:divBdr>
                  <w:divsChild>
                    <w:div w:id="899055312">
                      <w:marLeft w:val="0"/>
                      <w:marRight w:val="0"/>
                      <w:marTop w:val="0"/>
                      <w:marBottom w:val="0"/>
                      <w:divBdr>
                        <w:top w:val="none" w:sz="0" w:space="0" w:color="auto"/>
                        <w:left w:val="none" w:sz="0" w:space="0" w:color="auto"/>
                        <w:bottom w:val="none" w:sz="0" w:space="0" w:color="auto"/>
                        <w:right w:val="none" w:sz="0" w:space="0" w:color="auto"/>
                      </w:divBdr>
                    </w:div>
                  </w:divsChild>
                </w:div>
                <w:div w:id="398329354">
                  <w:marLeft w:val="0"/>
                  <w:marRight w:val="0"/>
                  <w:marTop w:val="0"/>
                  <w:marBottom w:val="0"/>
                  <w:divBdr>
                    <w:top w:val="none" w:sz="0" w:space="0" w:color="auto"/>
                    <w:left w:val="none" w:sz="0" w:space="0" w:color="auto"/>
                    <w:bottom w:val="none" w:sz="0" w:space="0" w:color="auto"/>
                    <w:right w:val="none" w:sz="0" w:space="0" w:color="auto"/>
                  </w:divBdr>
                  <w:divsChild>
                    <w:div w:id="748846990">
                      <w:marLeft w:val="0"/>
                      <w:marRight w:val="0"/>
                      <w:marTop w:val="0"/>
                      <w:marBottom w:val="0"/>
                      <w:divBdr>
                        <w:top w:val="none" w:sz="0" w:space="0" w:color="auto"/>
                        <w:left w:val="none" w:sz="0" w:space="0" w:color="auto"/>
                        <w:bottom w:val="none" w:sz="0" w:space="0" w:color="auto"/>
                        <w:right w:val="none" w:sz="0" w:space="0" w:color="auto"/>
                      </w:divBdr>
                    </w:div>
                  </w:divsChild>
                </w:div>
                <w:div w:id="406658348">
                  <w:marLeft w:val="0"/>
                  <w:marRight w:val="0"/>
                  <w:marTop w:val="0"/>
                  <w:marBottom w:val="0"/>
                  <w:divBdr>
                    <w:top w:val="none" w:sz="0" w:space="0" w:color="auto"/>
                    <w:left w:val="none" w:sz="0" w:space="0" w:color="auto"/>
                    <w:bottom w:val="none" w:sz="0" w:space="0" w:color="auto"/>
                    <w:right w:val="none" w:sz="0" w:space="0" w:color="auto"/>
                  </w:divBdr>
                  <w:divsChild>
                    <w:div w:id="738552193">
                      <w:marLeft w:val="0"/>
                      <w:marRight w:val="0"/>
                      <w:marTop w:val="0"/>
                      <w:marBottom w:val="0"/>
                      <w:divBdr>
                        <w:top w:val="none" w:sz="0" w:space="0" w:color="auto"/>
                        <w:left w:val="none" w:sz="0" w:space="0" w:color="auto"/>
                        <w:bottom w:val="none" w:sz="0" w:space="0" w:color="auto"/>
                        <w:right w:val="none" w:sz="0" w:space="0" w:color="auto"/>
                      </w:divBdr>
                    </w:div>
                  </w:divsChild>
                </w:div>
                <w:div w:id="416750815">
                  <w:marLeft w:val="0"/>
                  <w:marRight w:val="0"/>
                  <w:marTop w:val="0"/>
                  <w:marBottom w:val="0"/>
                  <w:divBdr>
                    <w:top w:val="none" w:sz="0" w:space="0" w:color="auto"/>
                    <w:left w:val="none" w:sz="0" w:space="0" w:color="auto"/>
                    <w:bottom w:val="none" w:sz="0" w:space="0" w:color="auto"/>
                    <w:right w:val="none" w:sz="0" w:space="0" w:color="auto"/>
                  </w:divBdr>
                  <w:divsChild>
                    <w:div w:id="1035080946">
                      <w:marLeft w:val="0"/>
                      <w:marRight w:val="0"/>
                      <w:marTop w:val="0"/>
                      <w:marBottom w:val="0"/>
                      <w:divBdr>
                        <w:top w:val="none" w:sz="0" w:space="0" w:color="auto"/>
                        <w:left w:val="none" w:sz="0" w:space="0" w:color="auto"/>
                        <w:bottom w:val="none" w:sz="0" w:space="0" w:color="auto"/>
                        <w:right w:val="none" w:sz="0" w:space="0" w:color="auto"/>
                      </w:divBdr>
                    </w:div>
                  </w:divsChild>
                </w:div>
                <w:div w:id="421268321">
                  <w:marLeft w:val="0"/>
                  <w:marRight w:val="0"/>
                  <w:marTop w:val="0"/>
                  <w:marBottom w:val="0"/>
                  <w:divBdr>
                    <w:top w:val="none" w:sz="0" w:space="0" w:color="auto"/>
                    <w:left w:val="none" w:sz="0" w:space="0" w:color="auto"/>
                    <w:bottom w:val="none" w:sz="0" w:space="0" w:color="auto"/>
                    <w:right w:val="none" w:sz="0" w:space="0" w:color="auto"/>
                  </w:divBdr>
                  <w:divsChild>
                    <w:div w:id="323434223">
                      <w:marLeft w:val="0"/>
                      <w:marRight w:val="0"/>
                      <w:marTop w:val="0"/>
                      <w:marBottom w:val="0"/>
                      <w:divBdr>
                        <w:top w:val="none" w:sz="0" w:space="0" w:color="auto"/>
                        <w:left w:val="none" w:sz="0" w:space="0" w:color="auto"/>
                        <w:bottom w:val="none" w:sz="0" w:space="0" w:color="auto"/>
                        <w:right w:val="none" w:sz="0" w:space="0" w:color="auto"/>
                      </w:divBdr>
                    </w:div>
                  </w:divsChild>
                </w:div>
                <w:div w:id="430126005">
                  <w:marLeft w:val="0"/>
                  <w:marRight w:val="0"/>
                  <w:marTop w:val="0"/>
                  <w:marBottom w:val="0"/>
                  <w:divBdr>
                    <w:top w:val="none" w:sz="0" w:space="0" w:color="auto"/>
                    <w:left w:val="none" w:sz="0" w:space="0" w:color="auto"/>
                    <w:bottom w:val="none" w:sz="0" w:space="0" w:color="auto"/>
                    <w:right w:val="none" w:sz="0" w:space="0" w:color="auto"/>
                  </w:divBdr>
                  <w:divsChild>
                    <w:div w:id="1959875260">
                      <w:marLeft w:val="0"/>
                      <w:marRight w:val="0"/>
                      <w:marTop w:val="0"/>
                      <w:marBottom w:val="0"/>
                      <w:divBdr>
                        <w:top w:val="none" w:sz="0" w:space="0" w:color="auto"/>
                        <w:left w:val="none" w:sz="0" w:space="0" w:color="auto"/>
                        <w:bottom w:val="none" w:sz="0" w:space="0" w:color="auto"/>
                        <w:right w:val="none" w:sz="0" w:space="0" w:color="auto"/>
                      </w:divBdr>
                    </w:div>
                  </w:divsChild>
                </w:div>
                <w:div w:id="460460692">
                  <w:marLeft w:val="0"/>
                  <w:marRight w:val="0"/>
                  <w:marTop w:val="0"/>
                  <w:marBottom w:val="0"/>
                  <w:divBdr>
                    <w:top w:val="none" w:sz="0" w:space="0" w:color="auto"/>
                    <w:left w:val="none" w:sz="0" w:space="0" w:color="auto"/>
                    <w:bottom w:val="none" w:sz="0" w:space="0" w:color="auto"/>
                    <w:right w:val="none" w:sz="0" w:space="0" w:color="auto"/>
                  </w:divBdr>
                  <w:divsChild>
                    <w:div w:id="395250136">
                      <w:marLeft w:val="0"/>
                      <w:marRight w:val="0"/>
                      <w:marTop w:val="0"/>
                      <w:marBottom w:val="0"/>
                      <w:divBdr>
                        <w:top w:val="none" w:sz="0" w:space="0" w:color="auto"/>
                        <w:left w:val="none" w:sz="0" w:space="0" w:color="auto"/>
                        <w:bottom w:val="none" w:sz="0" w:space="0" w:color="auto"/>
                        <w:right w:val="none" w:sz="0" w:space="0" w:color="auto"/>
                      </w:divBdr>
                    </w:div>
                  </w:divsChild>
                </w:div>
                <w:div w:id="462895140">
                  <w:marLeft w:val="0"/>
                  <w:marRight w:val="0"/>
                  <w:marTop w:val="0"/>
                  <w:marBottom w:val="0"/>
                  <w:divBdr>
                    <w:top w:val="none" w:sz="0" w:space="0" w:color="auto"/>
                    <w:left w:val="none" w:sz="0" w:space="0" w:color="auto"/>
                    <w:bottom w:val="none" w:sz="0" w:space="0" w:color="auto"/>
                    <w:right w:val="none" w:sz="0" w:space="0" w:color="auto"/>
                  </w:divBdr>
                  <w:divsChild>
                    <w:div w:id="2063823313">
                      <w:marLeft w:val="0"/>
                      <w:marRight w:val="0"/>
                      <w:marTop w:val="0"/>
                      <w:marBottom w:val="0"/>
                      <w:divBdr>
                        <w:top w:val="none" w:sz="0" w:space="0" w:color="auto"/>
                        <w:left w:val="none" w:sz="0" w:space="0" w:color="auto"/>
                        <w:bottom w:val="none" w:sz="0" w:space="0" w:color="auto"/>
                        <w:right w:val="none" w:sz="0" w:space="0" w:color="auto"/>
                      </w:divBdr>
                    </w:div>
                  </w:divsChild>
                </w:div>
                <w:div w:id="480851021">
                  <w:marLeft w:val="0"/>
                  <w:marRight w:val="0"/>
                  <w:marTop w:val="0"/>
                  <w:marBottom w:val="0"/>
                  <w:divBdr>
                    <w:top w:val="none" w:sz="0" w:space="0" w:color="auto"/>
                    <w:left w:val="none" w:sz="0" w:space="0" w:color="auto"/>
                    <w:bottom w:val="none" w:sz="0" w:space="0" w:color="auto"/>
                    <w:right w:val="none" w:sz="0" w:space="0" w:color="auto"/>
                  </w:divBdr>
                  <w:divsChild>
                    <w:div w:id="474571320">
                      <w:marLeft w:val="0"/>
                      <w:marRight w:val="0"/>
                      <w:marTop w:val="0"/>
                      <w:marBottom w:val="0"/>
                      <w:divBdr>
                        <w:top w:val="none" w:sz="0" w:space="0" w:color="auto"/>
                        <w:left w:val="none" w:sz="0" w:space="0" w:color="auto"/>
                        <w:bottom w:val="none" w:sz="0" w:space="0" w:color="auto"/>
                        <w:right w:val="none" w:sz="0" w:space="0" w:color="auto"/>
                      </w:divBdr>
                    </w:div>
                  </w:divsChild>
                </w:div>
                <w:div w:id="490757611">
                  <w:marLeft w:val="0"/>
                  <w:marRight w:val="0"/>
                  <w:marTop w:val="0"/>
                  <w:marBottom w:val="0"/>
                  <w:divBdr>
                    <w:top w:val="none" w:sz="0" w:space="0" w:color="auto"/>
                    <w:left w:val="none" w:sz="0" w:space="0" w:color="auto"/>
                    <w:bottom w:val="none" w:sz="0" w:space="0" w:color="auto"/>
                    <w:right w:val="none" w:sz="0" w:space="0" w:color="auto"/>
                  </w:divBdr>
                  <w:divsChild>
                    <w:div w:id="981233889">
                      <w:marLeft w:val="0"/>
                      <w:marRight w:val="0"/>
                      <w:marTop w:val="0"/>
                      <w:marBottom w:val="0"/>
                      <w:divBdr>
                        <w:top w:val="none" w:sz="0" w:space="0" w:color="auto"/>
                        <w:left w:val="none" w:sz="0" w:space="0" w:color="auto"/>
                        <w:bottom w:val="none" w:sz="0" w:space="0" w:color="auto"/>
                        <w:right w:val="none" w:sz="0" w:space="0" w:color="auto"/>
                      </w:divBdr>
                    </w:div>
                  </w:divsChild>
                </w:div>
                <w:div w:id="553929758">
                  <w:marLeft w:val="0"/>
                  <w:marRight w:val="0"/>
                  <w:marTop w:val="0"/>
                  <w:marBottom w:val="0"/>
                  <w:divBdr>
                    <w:top w:val="none" w:sz="0" w:space="0" w:color="auto"/>
                    <w:left w:val="none" w:sz="0" w:space="0" w:color="auto"/>
                    <w:bottom w:val="none" w:sz="0" w:space="0" w:color="auto"/>
                    <w:right w:val="none" w:sz="0" w:space="0" w:color="auto"/>
                  </w:divBdr>
                  <w:divsChild>
                    <w:div w:id="507061351">
                      <w:marLeft w:val="0"/>
                      <w:marRight w:val="0"/>
                      <w:marTop w:val="0"/>
                      <w:marBottom w:val="0"/>
                      <w:divBdr>
                        <w:top w:val="none" w:sz="0" w:space="0" w:color="auto"/>
                        <w:left w:val="none" w:sz="0" w:space="0" w:color="auto"/>
                        <w:bottom w:val="none" w:sz="0" w:space="0" w:color="auto"/>
                        <w:right w:val="none" w:sz="0" w:space="0" w:color="auto"/>
                      </w:divBdr>
                    </w:div>
                  </w:divsChild>
                </w:div>
                <w:div w:id="597370524">
                  <w:marLeft w:val="0"/>
                  <w:marRight w:val="0"/>
                  <w:marTop w:val="0"/>
                  <w:marBottom w:val="0"/>
                  <w:divBdr>
                    <w:top w:val="none" w:sz="0" w:space="0" w:color="auto"/>
                    <w:left w:val="none" w:sz="0" w:space="0" w:color="auto"/>
                    <w:bottom w:val="none" w:sz="0" w:space="0" w:color="auto"/>
                    <w:right w:val="none" w:sz="0" w:space="0" w:color="auto"/>
                  </w:divBdr>
                  <w:divsChild>
                    <w:div w:id="1028338732">
                      <w:marLeft w:val="0"/>
                      <w:marRight w:val="0"/>
                      <w:marTop w:val="0"/>
                      <w:marBottom w:val="0"/>
                      <w:divBdr>
                        <w:top w:val="none" w:sz="0" w:space="0" w:color="auto"/>
                        <w:left w:val="none" w:sz="0" w:space="0" w:color="auto"/>
                        <w:bottom w:val="none" w:sz="0" w:space="0" w:color="auto"/>
                        <w:right w:val="none" w:sz="0" w:space="0" w:color="auto"/>
                      </w:divBdr>
                    </w:div>
                  </w:divsChild>
                </w:div>
                <w:div w:id="612593007">
                  <w:marLeft w:val="0"/>
                  <w:marRight w:val="0"/>
                  <w:marTop w:val="0"/>
                  <w:marBottom w:val="0"/>
                  <w:divBdr>
                    <w:top w:val="none" w:sz="0" w:space="0" w:color="auto"/>
                    <w:left w:val="none" w:sz="0" w:space="0" w:color="auto"/>
                    <w:bottom w:val="none" w:sz="0" w:space="0" w:color="auto"/>
                    <w:right w:val="none" w:sz="0" w:space="0" w:color="auto"/>
                  </w:divBdr>
                  <w:divsChild>
                    <w:div w:id="1467117987">
                      <w:marLeft w:val="0"/>
                      <w:marRight w:val="0"/>
                      <w:marTop w:val="0"/>
                      <w:marBottom w:val="0"/>
                      <w:divBdr>
                        <w:top w:val="none" w:sz="0" w:space="0" w:color="auto"/>
                        <w:left w:val="none" w:sz="0" w:space="0" w:color="auto"/>
                        <w:bottom w:val="none" w:sz="0" w:space="0" w:color="auto"/>
                        <w:right w:val="none" w:sz="0" w:space="0" w:color="auto"/>
                      </w:divBdr>
                    </w:div>
                  </w:divsChild>
                </w:div>
                <w:div w:id="618952779">
                  <w:marLeft w:val="0"/>
                  <w:marRight w:val="0"/>
                  <w:marTop w:val="0"/>
                  <w:marBottom w:val="0"/>
                  <w:divBdr>
                    <w:top w:val="none" w:sz="0" w:space="0" w:color="auto"/>
                    <w:left w:val="none" w:sz="0" w:space="0" w:color="auto"/>
                    <w:bottom w:val="none" w:sz="0" w:space="0" w:color="auto"/>
                    <w:right w:val="none" w:sz="0" w:space="0" w:color="auto"/>
                  </w:divBdr>
                  <w:divsChild>
                    <w:div w:id="241068430">
                      <w:marLeft w:val="0"/>
                      <w:marRight w:val="0"/>
                      <w:marTop w:val="0"/>
                      <w:marBottom w:val="0"/>
                      <w:divBdr>
                        <w:top w:val="none" w:sz="0" w:space="0" w:color="auto"/>
                        <w:left w:val="none" w:sz="0" w:space="0" w:color="auto"/>
                        <w:bottom w:val="none" w:sz="0" w:space="0" w:color="auto"/>
                        <w:right w:val="none" w:sz="0" w:space="0" w:color="auto"/>
                      </w:divBdr>
                    </w:div>
                  </w:divsChild>
                </w:div>
                <w:div w:id="620459515">
                  <w:marLeft w:val="0"/>
                  <w:marRight w:val="0"/>
                  <w:marTop w:val="0"/>
                  <w:marBottom w:val="0"/>
                  <w:divBdr>
                    <w:top w:val="none" w:sz="0" w:space="0" w:color="auto"/>
                    <w:left w:val="none" w:sz="0" w:space="0" w:color="auto"/>
                    <w:bottom w:val="none" w:sz="0" w:space="0" w:color="auto"/>
                    <w:right w:val="none" w:sz="0" w:space="0" w:color="auto"/>
                  </w:divBdr>
                  <w:divsChild>
                    <w:div w:id="261308525">
                      <w:marLeft w:val="0"/>
                      <w:marRight w:val="0"/>
                      <w:marTop w:val="0"/>
                      <w:marBottom w:val="0"/>
                      <w:divBdr>
                        <w:top w:val="none" w:sz="0" w:space="0" w:color="auto"/>
                        <w:left w:val="none" w:sz="0" w:space="0" w:color="auto"/>
                        <w:bottom w:val="none" w:sz="0" w:space="0" w:color="auto"/>
                        <w:right w:val="none" w:sz="0" w:space="0" w:color="auto"/>
                      </w:divBdr>
                    </w:div>
                  </w:divsChild>
                </w:div>
                <w:div w:id="627861191">
                  <w:marLeft w:val="0"/>
                  <w:marRight w:val="0"/>
                  <w:marTop w:val="0"/>
                  <w:marBottom w:val="0"/>
                  <w:divBdr>
                    <w:top w:val="none" w:sz="0" w:space="0" w:color="auto"/>
                    <w:left w:val="none" w:sz="0" w:space="0" w:color="auto"/>
                    <w:bottom w:val="none" w:sz="0" w:space="0" w:color="auto"/>
                    <w:right w:val="none" w:sz="0" w:space="0" w:color="auto"/>
                  </w:divBdr>
                  <w:divsChild>
                    <w:div w:id="1579751330">
                      <w:marLeft w:val="0"/>
                      <w:marRight w:val="0"/>
                      <w:marTop w:val="0"/>
                      <w:marBottom w:val="0"/>
                      <w:divBdr>
                        <w:top w:val="none" w:sz="0" w:space="0" w:color="auto"/>
                        <w:left w:val="none" w:sz="0" w:space="0" w:color="auto"/>
                        <w:bottom w:val="none" w:sz="0" w:space="0" w:color="auto"/>
                        <w:right w:val="none" w:sz="0" w:space="0" w:color="auto"/>
                      </w:divBdr>
                    </w:div>
                  </w:divsChild>
                </w:div>
                <w:div w:id="652563370">
                  <w:marLeft w:val="0"/>
                  <w:marRight w:val="0"/>
                  <w:marTop w:val="0"/>
                  <w:marBottom w:val="0"/>
                  <w:divBdr>
                    <w:top w:val="none" w:sz="0" w:space="0" w:color="auto"/>
                    <w:left w:val="none" w:sz="0" w:space="0" w:color="auto"/>
                    <w:bottom w:val="none" w:sz="0" w:space="0" w:color="auto"/>
                    <w:right w:val="none" w:sz="0" w:space="0" w:color="auto"/>
                  </w:divBdr>
                  <w:divsChild>
                    <w:div w:id="655769395">
                      <w:marLeft w:val="0"/>
                      <w:marRight w:val="0"/>
                      <w:marTop w:val="0"/>
                      <w:marBottom w:val="0"/>
                      <w:divBdr>
                        <w:top w:val="none" w:sz="0" w:space="0" w:color="auto"/>
                        <w:left w:val="none" w:sz="0" w:space="0" w:color="auto"/>
                        <w:bottom w:val="none" w:sz="0" w:space="0" w:color="auto"/>
                        <w:right w:val="none" w:sz="0" w:space="0" w:color="auto"/>
                      </w:divBdr>
                    </w:div>
                  </w:divsChild>
                </w:div>
                <w:div w:id="653414461">
                  <w:marLeft w:val="0"/>
                  <w:marRight w:val="0"/>
                  <w:marTop w:val="0"/>
                  <w:marBottom w:val="0"/>
                  <w:divBdr>
                    <w:top w:val="none" w:sz="0" w:space="0" w:color="auto"/>
                    <w:left w:val="none" w:sz="0" w:space="0" w:color="auto"/>
                    <w:bottom w:val="none" w:sz="0" w:space="0" w:color="auto"/>
                    <w:right w:val="none" w:sz="0" w:space="0" w:color="auto"/>
                  </w:divBdr>
                  <w:divsChild>
                    <w:div w:id="133106163">
                      <w:marLeft w:val="0"/>
                      <w:marRight w:val="0"/>
                      <w:marTop w:val="0"/>
                      <w:marBottom w:val="0"/>
                      <w:divBdr>
                        <w:top w:val="none" w:sz="0" w:space="0" w:color="auto"/>
                        <w:left w:val="none" w:sz="0" w:space="0" w:color="auto"/>
                        <w:bottom w:val="none" w:sz="0" w:space="0" w:color="auto"/>
                        <w:right w:val="none" w:sz="0" w:space="0" w:color="auto"/>
                      </w:divBdr>
                    </w:div>
                  </w:divsChild>
                </w:div>
                <w:div w:id="667367999">
                  <w:marLeft w:val="0"/>
                  <w:marRight w:val="0"/>
                  <w:marTop w:val="0"/>
                  <w:marBottom w:val="0"/>
                  <w:divBdr>
                    <w:top w:val="none" w:sz="0" w:space="0" w:color="auto"/>
                    <w:left w:val="none" w:sz="0" w:space="0" w:color="auto"/>
                    <w:bottom w:val="none" w:sz="0" w:space="0" w:color="auto"/>
                    <w:right w:val="none" w:sz="0" w:space="0" w:color="auto"/>
                  </w:divBdr>
                  <w:divsChild>
                    <w:div w:id="1955362075">
                      <w:marLeft w:val="0"/>
                      <w:marRight w:val="0"/>
                      <w:marTop w:val="0"/>
                      <w:marBottom w:val="0"/>
                      <w:divBdr>
                        <w:top w:val="none" w:sz="0" w:space="0" w:color="auto"/>
                        <w:left w:val="none" w:sz="0" w:space="0" w:color="auto"/>
                        <w:bottom w:val="none" w:sz="0" w:space="0" w:color="auto"/>
                        <w:right w:val="none" w:sz="0" w:space="0" w:color="auto"/>
                      </w:divBdr>
                    </w:div>
                  </w:divsChild>
                </w:div>
                <w:div w:id="674458770">
                  <w:marLeft w:val="0"/>
                  <w:marRight w:val="0"/>
                  <w:marTop w:val="0"/>
                  <w:marBottom w:val="0"/>
                  <w:divBdr>
                    <w:top w:val="none" w:sz="0" w:space="0" w:color="auto"/>
                    <w:left w:val="none" w:sz="0" w:space="0" w:color="auto"/>
                    <w:bottom w:val="none" w:sz="0" w:space="0" w:color="auto"/>
                    <w:right w:val="none" w:sz="0" w:space="0" w:color="auto"/>
                  </w:divBdr>
                  <w:divsChild>
                    <w:div w:id="1648120535">
                      <w:marLeft w:val="0"/>
                      <w:marRight w:val="0"/>
                      <w:marTop w:val="0"/>
                      <w:marBottom w:val="0"/>
                      <w:divBdr>
                        <w:top w:val="none" w:sz="0" w:space="0" w:color="auto"/>
                        <w:left w:val="none" w:sz="0" w:space="0" w:color="auto"/>
                        <w:bottom w:val="none" w:sz="0" w:space="0" w:color="auto"/>
                        <w:right w:val="none" w:sz="0" w:space="0" w:color="auto"/>
                      </w:divBdr>
                    </w:div>
                  </w:divsChild>
                </w:div>
                <w:div w:id="675571945">
                  <w:marLeft w:val="0"/>
                  <w:marRight w:val="0"/>
                  <w:marTop w:val="0"/>
                  <w:marBottom w:val="0"/>
                  <w:divBdr>
                    <w:top w:val="none" w:sz="0" w:space="0" w:color="auto"/>
                    <w:left w:val="none" w:sz="0" w:space="0" w:color="auto"/>
                    <w:bottom w:val="none" w:sz="0" w:space="0" w:color="auto"/>
                    <w:right w:val="none" w:sz="0" w:space="0" w:color="auto"/>
                  </w:divBdr>
                  <w:divsChild>
                    <w:div w:id="1813979169">
                      <w:marLeft w:val="0"/>
                      <w:marRight w:val="0"/>
                      <w:marTop w:val="0"/>
                      <w:marBottom w:val="0"/>
                      <w:divBdr>
                        <w:top w:val="none" w:sz="0" w:space="0" w:color="auto"/>
                        <w:left w:val="none" w:sz="0" w:space="0" w:color="auto"/>
                        <w:bottom w:val="none" w:sz="0" w:space="0" w:color="auto"/>
                        <w:right w:val="none" w:sz="0" w:space="0" w:color="auto"/>
                      </w:divBdr>
                    </w:div>
                  </w:divsChild>
                </w:div>
                <w:div w:id="681396680">
                  <w:marLeft w:val="0"/>
                  <w:marRight w:val="0"/>
                  <w:marTop w:val="0"/>
                  <w:marBottom w:val="0"/>
                  <w:divBdr>
                    <w:top w:val="none" w:sz="0" w:space="0" w:color="auto"/>
                    <w:left w:val="none" w:sz="0" w:space="0" w:color="auto"/>
                    <w:bottom w:val="none" w:sz="0" w:space="0" w:color="auto"/>
                    <w:right w:val="none" w:sz="0" w:space="0" w:color="auto"/>
                  </w:divBdr>
                  <w:divsChild>
                    <w:div w:id="1164473093">
                      <w:marLeft w:val="0"/>
                      <w:marRight w:val="0"/>
                      <w:marTop w:val="0"/>
                      <w:marBottom w:val="0"/>
                      <w:divBdr>
                        <w:top w:val="none" w:sz="0" w:space="0" w:color="auto"/>
                        <w:left w:val="none" w:sz="0" w:space="0" w:color="auto"/>
                        <w:bottom w:val="none" w:sz="0" w:space="0" w:color="auto"/>
                        <w:right w:val="none" w:sz="0" w:space="0" w:color="auto"/>
                      </w:divBdr>
                    </w:div>
                  </w:divsChild>
                </w:div>
                <w:div w:id="689797037">
                  <w:marLeft w:val="0"/>
                  <w:marRight w:val="0"/>
                  <w:marTop w:val="0"/>
                  <w:marBottom w:val="0"/>
                  <w:divBdr>
                    <w:top w:val="none" w:sz="0" w:space="0" w:color="auto"/>
                    <w:left w:val="none" w:sz="0" w:space="0" w:color="auto"/>
                    <w:bottom w:val="none" w:sz="0" w:space="0" w:color="auto"/>
                    <w:right w:val="none" w:sz="0" w:space="0" w:color="auto"/>
                  </w:divBdr>
                  <w:divsChild>
                    <w:div w:id="351297430">
                      <w:marLeft w:val="0"/>
                      <w:marRight w:val="0"/>
                      <w:marTop w:val="0"/>
                      <w:marBottom w:val="0"/>
                      <w:divBdr>
                        <w:top w:val="none" w:sz="0" w:space="0" w:color="auto"/>
                        <w:left w:val="none" w:sz="0" w:space="0" w:color="auto"/>
                        <w:bottom w:val="none" w:sz="0" w:space="0" w:color="auto"/>
                        <w:right w:val="none" w:sz="0" w:space="0" w:color="auto"/>
                      </w:divBdr>
                    </w:div>
                  </w:divsChild>
                </w:div>
                <w:div w:id="706293267">
                  <w:marLeft w:val="0"/>
                  <w:marRight w:val="0"/>
                  <w:marTop w:val="0"/>
                  <w:marBottom w:val="0"/>
                  <w:divBdr>
                    <w:top w:val="none" w:sz="0" w:space="0" w:color="auto"/>
                    <w:left w:val="none" w:sz="0" w:space="0" w:color="auto"/>
                    <w:bottom w:val="none" w:sz="0" w:space="0" w:color="auto"/>
                    <w:right w:val="none" w:sz="0" w:space="0" w:color="auto"/>
                  </w:divBdr>
                  <w:divsChild>
                    <w:div w:id="401871044">
                      <w:marLeft w:val="0"/>
                      <w:marRight w:val="0"/>
                      <w:marTop w:val="0"/>
                      <w:marBottom w:val="0"/>
                      <w:divBdr>
                        <w:top w:val="none" w:sz="0" w:space="0" w:color="auto"/>
                        <w:left w:val="none" w:sz="0" w:space="0" w:color="auto"/>
                        <w:bottom w:val="none" w:sz="0" w:space="0" w:color="auto"/>
                        <w:right w:val="none" w:sz="0" w:space="0" w:color="auto"/>
                      </w:divBdr>
                    </w:div>
                  </w:divsChild>
                </w:div>
                <w:div w:id="713117438">
                  <w:marLeft w:val="0"/>
                  <w:marRight w:val="0"/>
                  <w:marTop w:val="0"/>
                  <w:marBottom w:val="0"/>
                  <w:divBdr>
                    <w:top w:val="none" w:sz="0" w:space="0" w:color="auto"/>
                    <w:left w:val="none" w:sz="0" w:space="0" w:color="auto"/>
                    <w:bottom w:val="none" w:sz="0" w:space="0" w:color="auto"/>
                    <w:right w:val="none" w:sz="0" w:space="0" w:color="auto"/>
                  </w:divBdr>
                  <w:divsChild>
                    <w:div w:id="429812461">
                      <w:marLeft w:val="0"/>
                      <w:marRight w:val="0"/>
                      <w:marTop w:val="0"/>
                      <w:marBottom w:val="0"/>
                      <w:divBdr>
                        <w:top w:val="none" w:sz="0" w:space="0" w:color="auto"/>
                        <w:left w:val="none" w:sz="0" w:space="0" w:color="auto"/>
                        <w:bottom w:val="none" w:sz="0" w:space="0" w:color="auto"/>
                        <w:right w:val="none" w:sz="0" w:space="0" w:color="auto"/>
                      </w:divBdr>
                    </w:div>
                  </w:divsChild>
                </w:div>
                <w:div w:id="717704653">
                  <w:marLeft w:val="0"/>
                  <w:marRight w:val="0"/>
                  <w:marTop w:val="0"/>
                  <w:marBottom w:val="0"/>
                  <w:divBdr>
                    <w:top w:val="none" w:sz="0" w:space="0" w:color="auto"/>
                    <w:left w:val="none" w:sz="0" w:space="0" w:color="auto"/>
                    <w:bottom w:val="none" w:sz="0" w:space="0" w:color="auto"/>
                    <w:right w:val="none" w:sz="0" w:space="0" w:color="auto"/>
                  </w:divBdr>
                  <w:divsChild>
                    <w:div w:id="864363013">
                      <w:marLeft w:val="0"/>
                      <w:marRight w:val="0"/>
                      <w:marTop w:val="0"/>
                      <w:marBottom w:val="0"/>
                      <w:divBdr>
                        <w:top w:val="none" w:sz="0" w:space="0" w:color="auto"/>
                        <w:left w:val="none" w:sz="0" w:space="0" w:color="auto"/>
                        <w:bottom w:val="none" w:sz="0" w:space="0" w:color="auto"/>
                        <w:right w:val="none" w:sz="0" w:space="0" w:color="auto"/>
                      </w:divBdr>
                    </w:div>
                  </w:divsChild>
                </w:div>
                <w:div w:id="765492312">
                  <w:marLeft w:val="0"/>
                  <w:marRight w:val="0"/>
                  <w:marTop w:val="0"/>
                  <w:marBottom w:val="0"/>
                  <w:divBdr>
                    <w:top w:val="none" w:sz="0" w:space="0" w:color="auto"/>
                    <w:left w:val="none" w:sz="0" w:space="0" w:color="auto"/>
                    <w:bottom w:val="none" w:sz="0" w:space="0" w:color="auto"/>
                    <w:right w:val="none" w:sz="0" w:space="0" w:color="auto"/>
                  </w:divBdr>
                  <w:divsChild>
                    <w:div w:id="1626422831">
                      <w:marLeft w:val="0"/>
                      <w:marRight w:val="0"/>
                      <w:marTop w:val="0"/>
                      <w:marBottom w:val="0"/>
                      <w:divBdr>
                        <w:top w:val="none" w:sz="0" w:space="0" w:color="auto"/>
                        <w:left w:val="none" w:sz="0" w:space="0" w:color="auto"/>
                        <w:bottom w:val="none" w:sz="0" w:space="0" w:color="auto"/>
                        <w:right w:val="none" w:sz="0" w:space="0" w:color="auto"/>
                      </w:divBdr>
                    </w:div>
                  </w:divsChild>
                </w:div>
                <w:div w:id="790057974">
                  <w:marLeft w:val="0"/>
                  <w:marRight w:val="0"/>
                  <w:marTop w:val="0"/>
                  <w:marBottom w:val="0"/>
                  <w:divBdr>
                    <w:top w:val="none" w:sz="0" w:space="0" w:color="auto"/>
                    <w:left w:val="none" w:sz="0" w:space="0" w:color="auto"/>
                    <w:bottom w:val="none" w:sz="0" w:space="0" w:color="auto"/>
                    <w:right w:val="none" w:sz="0" w:space="0" w:color="auto"/>
                  </w:divBdr>
                  <w:divsChild>
                    <w:div w:id="1401905303">
                      <w:marLeft w:val="0"/>
                      <w:marRight w:val="0"/>
                      <w:marTop w:val="0"/>
                      <w:marBottom w:val="0"/>
                      <w:divBdr>
                        <w:top w:val="none" w:sz="0" w:space="0" w:color="auto"/>
                        <w:left w:val="none" w:sz="0" w:space="0" w:color="auto"/>
                        <w:bottom w:val="none" w:sz="0" w:space="0" w:color="auto"/>
                        <w:right w:val="none" w:sz="0" w:space="0" w:color="auto"/>
                      </w:divBdr>
                    </w:div>
                  </w:divsChild>
                </w:div>
                <w:div w:id="792555626">
                  <w:marLeft w:val="0"/>
                  <w:marRight w:val="0"/>
                  <w:marTop w:val="0"/>
                  <w:marBottom w:val="0"/>
                  <w:divBdr>
                    <w:top w:val="none" w:sz="0" w:space="0" w:color="auto"/>
                    <w:left w:val="none" w:sz="0" w:space="0" w:color="auto"/>
                    <w:bottom w:val="none" w:sz="0" w:space="0" w:color="auto"/>
                    <w:right w:val="none" w:sz="0" w:space="0" w:color="auto"/>
                  </w:divBdr>
                  <w:divsChild>
                    <w:div w:id="1879121830">
                      <w:marLeft w:val="0"/>
                      <w:marRight w:val="0"/>
                      <w:marTop w:val="0"/>
                      <w:marBottom w:val="0"/>
                      <w:divBdr>
                        <w:top w:val="none" w:sz="0" w:space="0" w:color="auto"/>
                        <w:left w:val="none" w:sz="0" w:space="0" w:color="auto"/>
                        <w:bottom w:val="none" w:sz="0" w:space="0" w:color="auto"/>
                        <w:right w:val="none" w:sz="0" w:space="0" w:color="auto"/>
                      </w:divBdr>
                    </w:div>
                  </w:divsChild>
                </w:div>
                <w:div w:id="833377584">
                  <w:marLeft w:val="0"/>
                  <w:marRight w:val="0"/>
                  <w:marTop w:val="0"/>
                  <w:marBottom w:val="0"/>
                  <w:divBdr>
                    <w:top w:val="none" w:sz="0" w:space="0" w:color="auto"/>
                    <w:left w:val="none" w:sz="0" w:space="0" w:color="auto"/>
                    <w:bottom w:val="none" w:sz="0" w:space="0" w:color="auto"/>
                    <w:right w:val="none" w:sz="0" w:space="0" w:color="auto"/>
                  </w:divBdr>
                  <w:divsChild>
                    <w:div w:id="1085348287">
                      <w:marLeft w:val="0"/>
                      <w:marRight w:val="0"/>
                      <w:marTop w:val="0"/>
                      <w:marBottom w:val="0"/>
                      <w:divBdr>
                        <w:top w:val="none" w:sz="0" w:space="0" w:color="auto"/>
                        <w:left w:val="none" w:sz="0" w:space="0" w:color="auto"/>
                        <w:bottom w:val="none" w:sz="0" w:space="0" w:color="auto"/>
                        <w:right w:val="none" w:sz="0" w:space="0" w:color="auto"/>
                      </w:divBdr>
                    </w:div>
                  </w:divsChild>
                </w:div>
                <w:div w:id="853959087">
                  <w:marLeft w:val="0"/>
                  <w:marRight w:val="0"/>
                  <w:marTop w:val="0"/>
                  <w:marBottom w:val="0"/>
                  <w:divBdr>
                    <w:top w:val="none" w:sz="0" w:space="0" w:color="auto"/>
                    <w:left w:val="none" w:sz="0" w:space="0" w:color="auto"/>
                    <w:bottom w:val="none" w:sz="0" w:space="0" w:color="auto"/>
                    <w:right w:val="none" w:sz="0" w:space="0" w:color="auto"/>
                  </w:divBdr>
                  <w:divsChild>
                    <w:div w:id="1876313204">
                      <w:marLeft w:val="0"/>
                      <w:marRight w:val="0"/>
                      <w:marTop w:val="0"/>
                      <w:marBottom w:val="0"/>
                      <w:divBdr>
                        <w:top w:val="none" w:sz="0" w:space="0" w:color="auto"/>
                        <w:left w:val="none" w:sz="0" w:space="0" w:color="auto"/>
                        <w:bottom w:val="none" w:sz="0" w:space="0" w:color="auto"/>
                        <w:right w:val="none" w:sz="0" w:space="0" w:color="auto"/>
                      </w:divBdr>
                    </w:div>
                  </w:divsChild>
                </w:div>
                <w:div w:id="856115567">
                  <w:marLeft w:val="0"/>
                  <w:marRight w:val="0"/>
                  <w:marTop w:val="0"/>
                  <w:marBottom w:val="0"/>
                  <w:divBdr>
                    <w:top w:val="none" w:sz="0" w:space="0" w:color="auto"/>
                    <w:left w:val="none" w:sz="0" w:space="0" w:color="auto"/>
                    <w:bottom w:val="none" w:sz="0" w:space="0" w:color="auto"/>
                    <w:right w:val="none" w:sz="0" w:space="0" w:color="auto"/>
                  </w:divBdr>
                  <w:divsChild>
                    <w:div w:id="1884444666">
                      <w:marLeft w:val="0"/>
                      <w:marRight w:val="0"/>
                      <w:marTop w:val="0"/>
                      <w:marBottom w:val="0"/>
                      <w:divBdr>
                        <w:top w:val="none" w:sz="0" w:space="0" w:color="auto"/>
                        <w:left w:val="none" w:sz="0" w:space="0" w:color="auto"/>
                        <w:bottom w:val="none" w:sz="0" w:space="0" w:color="auto"/>
                        <w:right w:val="none" w:sz="0" w:space="0" w:color="auto"/>
                      </w:divBdr>
                    </w:div>
                  </w:divsChild>
                </w:div>
                <w:div w:id="856968835">
                  <w:marLeft w:val="0"/>
                  <w:marRight w:val="0"/>
                  <w:marTop w:val="0"/>
                  <w:marBottom w:val="0"/>
                  <w:divBdr>
                    <w:top w:val="none" w:sz="0" w:space="0" w:color="auto"/>
                    <w:left w:val="none" w:sz="0" w:space="0" w:color="auto"/>
                    <w:bottom w:val="none" w:sz="0" w:space="0" w:color="auto"/>
                    <w:right w:val="none" w:sz="0" w:space="0" w:color="auto"/>
                  </w:divBdr>
                  <w:divsChild>
                    <w:div w:id="1427921737">
                      <w:marLeft w:val="0"/>
                      <w:marRight w:val="0"/>
                      <w:marTop w:val="0"/>
                      <w:marBottom w:val="0"/>
                      <w:divBdr>
                        <w:top w:val="none" w:sz="0" w:space="0" w:color="auto"/>
                        <w:left w:val="none" w:sz="0" w:space="0" w:color="auto"/>
                        <w:bottom w:val="none" w:sz="0" w:space="0" w:color="auto"/>
                        <w:right w:val="none" w:sz="0" w:space="0" w:color="auto"/>
                      </w:divBdr>
                    </w:div>
                  </w:divsChild>
                </w:div>
                <w:div w:id="857546751">
                  <w:marLeft w:val="0"/>
                  <w:marRight w:val="0"/>
                  <w:marTop w:val="0"/>
                  <w:marBottom w:val="0"/>
                  <w:divBdr>
                    <w:top w:val="none" w:sz="0" w:space="0" w:color="auto"/>
                    <w:left w:val="none" w:sz="0" w:space="0" w:color="auto"/>
                    <w:bottom w:val="none" w:sz="0" w:space="0" w:color="auto"/>
                    <w:right w:val="none" w:sz="0" w:space="0" w:color="auto"/>
                  </w:divBdr>
                  <w:divsChild>
                    <w:div w:id="1739283670">
                      <w:marLeft w:val="0"/>
                      <w:marRight w:val="0"/>
                      <w:marTop w:val="0"/>
                      <w:marBottom w:val="0"/>
                      <w:divBdr>
                        <w:top w:val="none" w:sz="0" w:space="0" w:color="auto"/>
                        <w:left w:val="none" w:sz="0" w:space="0" w:color="auto"/>
                        <w:bottom w:val="none" w:sz="0" w:space="0" w:color="auto"/>
                        <w:right w:val="none" w:sz="0" w:space="0" w:color="auto"/>
                      </w:divBdr>
                    </w:div>
                  </w:divsChild>
                </w:div>
                <w:div w:id="874079923">
                  <w:marLeft w:val="0"/>
                  <w:marRight w:val="0"/>
                  <w:marTop w:val="0"/>
                  <w:marBottom w:val="0"/>
                  <w:divBdr>
                    <w:top w:val="none" w:sz="0" w:space="0" w:color="auto"/>
                    <w:left w:val="none" w:sz="0" w:space="0" w:color="auto"/>
                    <w:bottom w:val="none" w:sz="0" w:space="0" w:color="auto"/>
                    <w:right w:val="none" w:sz="0" w:space="0" w:color="auto"/>
                  </w:divBdr>
                  <w:divsChild>
                    <w:div w:id="897479242">
                      <w:marLeft w:val="0"/>
                      <w:marRight w:val="0"/>
                      <w:marTop w:val="0"/>
                      <w:marBottom w:val="0"/>
                      <w:divBdr>
                        <w:top w:val="none" w:sz="0" w:space="0" w:color="auto"/>
                        <w:left w:val="none" w:sz="0" w:space="0" w:color="auto"/>
                        <w:bottom w:val="none" w:sz="0" w:space="0" w:color="auto"/>
                        <w:right w:val="none" w:sz="0" w:space="0" w:color="auto"/>
                      </w:divBdr>
                    </w:div>
                  </w:divsChild>
                </w:div>
                <w:div w:id="877200421">
                  <w:marLeft w:val="0"/>
                  <w:marRight w:val="0"/>
                  <w:marTop w:val="0"/>
                  <w:marBottom w:val="0"/>
                  <w:divBdr>
                    <w:top w:val="none" w:sz="0" w:space="0" w:color="auto"/>
                    <w:left w:val="none" w:sz="0" w:space="0" w:color="auto"/>
                    <w:bottom w:val="none" w:sz="0" w:space="0" w:color="auto"/>
                    <w:right w:val="none" w:sz="0" w:space="0" w:color="auto"/>
                  </w:divBdr>
                  <w:divsChild>
                    <w:div w:id="2030329627">
                      <w:marLeft w:val="0"/>
                      <w:marRight w:val="0"/>
                      <w:marTop w:val="0"/>
                      <w:marBottom w:val="0"/>
                      <w:divBdr>
                        <w:top w:val="none" w:sz="0" w:space="0" w:color="auto"/>
                        <w:left w:val="none" w:sz="0" w:space="0" w:color="auto"/>
                        <w:bottom w:val="none" w:sz="0" w:space="0" w:color="auto"/>
                        <w:right w:val="none" w:sz="0" w:space="0" w:color="auto"/>
                      </w:divBdr>
                    </w:div>
                  </w:divsChild>
                </w:div>
                <w:div w:id="885146806">
                  <w:marLeft w:val="0"/>
                  <w:marRight w:val="0"/>
                  <w:marTop w:val="0"/>
                  <w:marBottom w:val="0"/>
                  <w:divBdr>
                    <w:top w:val="none" w:sz="0" w:space="0" w:color="auto"/>
                    <w:left w:val="none" w:sz="0" w:space="0" w:color="auto"/>
                    <w:bottom w:val="none" w:sz="0" w:space="0" w:color="auto"/>
                    <w:right w:val="none" w:sz="0" w:space="0" w:color="auto"/>
                  </w:divBdr>
                  <w:divsChild>
                    <w:div w:id="543102305">
                      <w:marLeft w:val="0"/>
                      <w:marRight w:val="0"/>
                      <w:marTop w:val="0"/>
                      <w:marBottom w:val="0"/>
                      <w:divBdr>
                        <w:top w:val="none" w:sz="0" w:space="0" w:color="auto"/>
                        <w:left w:val="none" w:sz="0" w:space="0" w:color="auto"/>
                        <w:bottom w:val="none" w:sz="0" w:space="0" w:color="auto"/>
                        <w:right w:val="none" w:sz="0" w:space="0" w:color="auto"/>
                      </w:divBdr>
                    </w:div>
                  </w:divsChild>
                </w:div>
                <w:div w:id="891035332">
                  <w:marLeft w:val="0"/>
                  <w:marRight w:val="0"/>
                  <w:marTop w:val="0"/>
                  <w:marBottom w:val="0"/>
                  <w:divBdr>
                    <w:top w:val="none" w:sz="0" w:space="0" w:color="auto"/>
                    <w:left w:val="none" w:sz="0" w:space="0" w:color="auto"/>
                    <w:bottom w:val="none" w:sz="0" w:space="0" w:color="auto"/>
                    <w:right w:val="none" w:sz="0" w:space="0" w:color="auto"/>
                  </w:divBdr>
                  <w:divsChild>
                    <w:div w:id="1239630971">
                      <w:marLeft w:val="0"/>
                      <w:marRight w:val="0"/>
                      <w:marTop w:val="0"/>
                      <w:marBottom w:val="0"/>
                      <w:divBdr>
                        <w:top w:val="none" w:sz="0" w:space="0" w:color="auto"/>
                        <w:left w:val="none" w:sz="0" w:space="0" w:color="auto"/>
                        <w:bottom w:val="none" w:sz="0" w:space="0" w:color="auto"/>
                        <w:right w:val="none" w:sz="0" w:space="0" w:color="auto"/>
                      </w:divBdr>
                    </w:div>
                  </w:divsChild>
                </w:div>
                <w:div w:id="901407140">
                  <w:marLeft w:val="0"/>
                  <w:marRight w:val="0"/>
                  <w:marTop w:val="0"/>
                  <w:marBottom w:val="0"/>
                  <w:divBdr>
                    <w:top w:val="none" w:sz="0" w:space="0" w:color="auto"/>
                    <w:left w:val="none" w:sz="0" w:space="0" w:color="auto"/>
                    <w:bottom w:val="none" w:sz="0" w:space="0" w:color="auto"/>
                    <w:right w:val="none" w:sz="0" w:space="0" w:color="auto"/>
                  </w:divBdr>
                  <w:divsChild>
                    <w:div w:id="822938743">
                      <w:marLeft w:val="0"/>
                      <w:marRight w:val="0"/>
                      <w:marTop w:val="0"/>
                      <w:marBottom w:val="0"/>
                      <w:divBdr>
                        <w:top w:val="none" w:sz="0" w:space="0" w:color="auto"/>
                        <w:left w:val="none" w:sz="0" w:space="0" w:color="auto"/>
                        <w:bottom w:val="none" w:sz="0" w:space="0" w:color="auto"/>
                        <w:right w:val="none" w:sz="0" w:space="0" w:color="auto"/>
                      </w:divBdr>
                    </w:div>
                  </w:divsChild>
                </w:div>
                <w:div w:id="928006684">
                  <w:marLeft w:val="0"/>
                  <w:marRight w:val="0"/>
                  <w:marTop w:val="0"/>
                  <w:marBottom w:val="0"/>
                  <w:divBdr>
                    <w:top w:val="none" w:sz="0" w:space="0" w:color="auto"/>
                    <w:left w:val="none" w:sz="0" w:space="0" w:color="auto"/>
                    <w:bottom w:val="none" w:sz="0" w:space="0" w:color="auto"/>
                    <w:right w:val="none" w:sz="0" w:space="0" w:color="auto"/>
                  </w:divBdr>
                  <w:divsChild>
                    <w:div w:id="985623087">
                      <w:marLeft w:val="0"/>
                      <w:marRight w:val="0"/>
                      <w:marTop w:val="0"/>
                      <w:marBottom w:val="0"/>
                      <w:divBdr>
                        <w:top w:val="none" w:sz="0" w:space="0" w:color="auto"/>
                        <w:left w:val="none" w:sz="0" w:space="0" w:color="auto"/>
                        <w:bottom w:val="none" w:sz="0" w:space="0" w:color="auto"/>
                        <w:right w:val="none" w:sz="0" w:space="0" w:color="auto"/>
                      </w:divBdr>
                    </w:div>
                  </w:divsChild>
                </w:div>
                <w:div w:id="932589161">
                  <w:marLeft w:val="0"/>
                  <w:marRight w:val="0"/>
                  <w:marTop w:val="0"/>
                  <w:marBottom w:val="0"/>
                  <w:divBdr>
                    <w:top w:val="none" w:sz="0" w:space="0" w:color="auto"/>
                    <w:left w:val="none" w:sz="0" w:space="0" w:color="auto"/>
                    <w:bottom w:val="none" w:sz="0" w:space="0" w:color="auto"/>
                    <w:right w:val="none" w:sz="0" w:space="0" w:color="auto"/>
                  </w:divBdr>
                  <w:divsChild>
                    <w:div w:id="575406715">
                      <w:marLeft w:val="0"/>
                      <w:marRight w:val="0"/>
                      <w:marTop w:val="0"/>
                      <w:marBottom w:val="0"/>
                      <w:divBdr>
                        <w:top w:val="none" w:sz="0" w:space="0" w:color="auto"/>
                        <w:left w:val="none" w:sz="0" w:space="0" w:color="auto"/>
                        <w:bottom w:val="none" w:sz="0" w:space="0" w:color="auto"/>
                        <w:right w:val="none" w:sz="0" w:space="0" w:color="auto"/>
                      </w:divBdr>
                    </w:div>
                  </w:divsChild>
                </w:div>
                <w:div w:id="942080554">
                  <w:marLeft w:val="0"/>
                  <w:marRight w:val="0"/>
                  <w:marTop w:val="0"/>
                  <w:marBottom w:val="0"/>
                  <w:divBdr>
                    <w:top w:val="none" w:sz="0" w:space="0" w:color="auto"/>
                    <w:left w:val="none" w:sz="0" w:space="0" w:color="auto"/>
                    <w:bottom w:val="none" w:sz="0" w:space="0" w:color="auto"/>
                    <w:right w:val="none" w:sz="0" w:space="0" w:color="auto"/>
                  </w:divBdr>
                  <w:divsChild>
                    <w:div w:id="604312479">
                      <w:marLeft w:val="0"/>
                      <w:marRight w:val="0"/>
                      <w:marTop w:val="0"/>
                      <w:marBottom w:val="0"/>
                      <w:divBdr>
                        <w:top w:val="none" w:sz="0" w:space="0" w:color="auto"/>
                        <w:left w:val="none" w:sz="0" w:space="0" w:color="auto"/>
                        <w:bottom w:val="none" w:sz="0" w:space="0" w:color="auto"/>
                        <w:right w:val="none" w:sz="0" w:space="0" w:color="auto"/>
                      </w:divBdr>
                    </w:div>
                  </w:divsChild>
                </w:div>
                <w:div w:id="968241042">
                  <w:marLeft w:val="0"/>
                  <w:marRight w:val="0"/>
                  <w:marTop w:val="0"/>
                  <w:marBottom w:val="0"/>
                  <w:divBdr>
                    <w:top w:val="none" w:sz="0" w:space="0" w:color="auto"/>
                    <w:left w:val="none" w:sz="0" w:space="0" w:color="auto"/>
                    <w:bottom w:val="none" w:sz="0" w:space="0" w:color="auto"/>
                    <w:right w:val="none" w:sz="0" w:space="0" w:color="auto"/>
                  </w:divBdr>
                  <w:divsChild>
                    <w:div w:id="1448280466">
                      <w:marLeft w:val="0"/>
                      <w:marRight w:val="0"/>
                      <w:marTop w:val="0"/>
                      <w:marBottom w:val="0"/>
                      <w:divBdr>
                        <w:top w:val="none" w:sz="0" w:space="0" w:color="auto"/>
                        <w:left w:val="none" w:sz="0" w:space="0" w:color="auto"/>
                        <w:bottom w:val="none" w:sz="0" w:space="0" w:color="auto"/>
                        <w:right w:val="none" w:sz="0" w:space="0" w:color="auto"/>
                      </w:divBdr>
                    </w:div>
                  </w:divsChild>
                </w:div>
                <w:div w:id="991300636">
                  <w:marLeft w:val="0"/>
                  <w:marRight w:val="0"/>
                  <w:marTop w:val="0"/>
                  <w:marBottom w:val="0"/>
                  <w:divBdr>
                    <w:top w:val="none" w:sz="0" w:space="0" w:color="auto"/>
                    <w:left w:val="none" w:sz="0" w:space="0" w:color="auto"/>
                    <w:bottom w:val="none" w:sz="0" w:space="0" w:color="auto"/>
                    <w:right w:val="none" w:sz="0" w:space="0" w:color="auto"/>
                  </w:divBdr>
                  <w:divsChild>
                    <w:div w:id="1089230839">
                      <w:marLeft w:val="0"/>
                      <w:marRight w:val="0"/>
                      <w:marTop w:val="0"/>
                      <w:marBottom w:val="0"/>
                      <w:divBdr>
                        <w:top w:val="none" w:sz="0" w:space="0" w:color="auto"/>
                        <w:left w:val="none" w:sz="0" w:space="0" w:color="auto"/>
                        <w:bottom w:val="none" w:sz="0" w:space="0" w:color="auto"/>
                        <w:right w:val="none" w:sz="0" w:space="0" w:color="auto"/>
                      </w:divBdr>
                    </w:div>
                  </w:divsChild>
                </w:div>
                <w:div w:id="992223676">
                  <w:marLeft w:val="0"/>
                  <w:marRight w:val="0"/>
                  <w:marTop w:val="0"/>
                  <w:marBottom w:val="0"/>
                  <w:divBdr>
                    <w:top w:val="none" w:sz="0" w:space="0" w:color="auto"/>
                    <w:left w:val="none" w:sz="0" w:space="0" w:color="auto"/>
                    <w:bottom w:val="none" w:sz="0" w:space="0" w:color="auto"/>
                    <w:right w:val="none" w:sz="0" w:space="0" w:color="auto"/>
                  </w:divBdr>
                  <w:divsChild>
                    <w:div w:id="1286350722">
                      <w:marLeft w:val="0"/>
                      <w:marRight w:val="0"/>
                      <w:marTop w:val="0"/>
                      <w:marBottom w:val="0"/>
                      <w:divBdr>
                        <w:top w:val="none" w:sz="0" w:space="0" w:color="auto"/>
                        <w:left w:val="none" w:sz="0" w:space="0" w:color="auto"/>
                        <w:bottom w:val="none" w:sz="0" w:space="0" w:color="auto"/>
                        <w:right w:val="none" w:sz="0" w:space="0" w:color="auto"/>
                      </w:divBdr>
                    </w:div>
                  </w:divsChild>
                </w:div>
                <w:div w:id="1023364471">
                  <w:marLeft w:val="0"/>
                  <w:marRight w:val="0"/>
                  <w:marTop w:val="0"/>
                  <w:marBottom w:val="0"/>
                  <w:divBdr>
                    <w:top w:val="none" w:sz="0" w:space="0" w:color="auto"/>
                    <w:left w:val="none" w:sz="0" w:space="0" w:color="auto"/>
                    <w:bottom w:val="none" w:sz="0" w:space="0" w:color="auto"/>
                    <w:right w:val="none" w:sz="0" w:space="0" w:color="auto"/>
                  </w:divBdr>
                  <w:divsChild>
                    <w:div w:id="1136802304">
                      <w:marLeft w:val="0"/>
                      <w:marRight w:val="0"/>
                      <w:marTop w:val="0"/>
                      <w:marBottom w:val="0"/>
                      <w:divBdr>
                        <w:top w:val="none" w:sz="0" w:space="0" w:color="auto"/>
                        <w:left w:val="none" w:sz="0" w:space="0" w:color="auto"/>
                        <w:bottom w:val="none" w:sz="0" w:space="0" w:color="auto"/>
                        <w:right w:val="none" w:sz="0" w:space="0" w:color="auto"/>
                      </w:divBdr>
                    </w:div>
                  </w:divsChild>
                </w:div>
                <w:div w:id="1033581863">
                  <w:marLeft w:val="0"/>
                  <w:marRight w:val="0"/>
                  <w:marTop w:val="0"/>
                  <w:marBottom w:val="0"/>
                  <w:divBdr>
                    <w:top w:val="none" w:sz="0" w:space="0" w:color="auto"/>
                    <w:left w:val="none" w:sz="0" w:space="0" w:color="auto"/>
                    <w:bottom w:val="none" w:sz="0" w:space="0" w:color="auto"/>
                    <w:right w:val="none" w:sz="0" w:space="0" w:color="auto"/>
                  </w:divBdr>
                  <w:divsChild>
                    <w:div w:id="1501893168">
                      <w:marLeft w:val="0"/>
                      <w:marRight w:val="0"/>
                      <w:marTop w:val="0"/>
                      <w:marBottom w:val="0"/>
                      <w:divBdr>
                        <w:top w:val="none" w:sz="0" w:space="0" w:color="auto"/>
                        <w:left w:val="none" w:sz="0" w:space="0" w:color="auto"/>
                        <w:bottom w:val="none" w:sz="0" w:space="0" w:color="auto"/>
                        <w:right w:val="none" w:sz="0" w:space="0" w:color="auto"/>
                      </w:divBdr>
                    </w:div>
                  </w:divsChild>
                </w:div>
                <w:div w:id="1045133538">
                  <w:marLeft w:val="0"/>
                  <w:marRight w:val="0"/>
                  <w:marTop w:val="0"/>
                  <w:marBottom w:val="0"/>
                  <w:divBdr>
                    <w:top w:val="none" w:sz="0" w:space="0" w:color="auto"/>
                    <w:left w:val="none" w:sz="0" w:space="0" w:color="auto"/>
                    <w:bottom w:val="none" w:sz="0" w:space="0" w:color="auto"/>
                    <w:right w:val="none" w:sz="0" w:space="0" w:color="auto"/>
                  </w:divBdr>
                  <w:divsChild>
                    <w:div w:id="2136025826">
                      <w:marLeft w:val="0"/>
                      <w:marRight w:val="0"/>
                      <w:marTop w:val="0"/>
                      <w:marBottom w:val="0"/>
                      <w:divBdr>
                        <w:top w:val="none" w:sz="0" w:space="0" w:color="auto"/>
                        <w:left w:val="none" w:sz="0" w:space="0" w:color="auto"/>
                        <w:bottom w:val="none" w:sz="0" w:space="0" w:color="auto"/>
                        <w:right w:val="none" w:sz="0" w:space="0" w:color="auto"/>
                      </w:divBdr>
                    </w:div>
                  </w:divsChild>
                </w:div>
                <w:div w:id="1100485369">
                  <w:marLeft w:val="0"/>
                  <w:marRight w:val="0"/>
                  <w:marTop w:val="0"/>
                  <w:marBottom w:val="0"/>
                  <w:divBdr>
                    <w:top w:val="none" w:sz="0" w:space="0" w:color="auto"/>
                    <w:left w:val="none" w:sz="0" w:space="0" w:color="auto"/>
                    <w:bottom w:val="none" w:sz="0" w:space="0" w:color="auto"/>
                    <w:right w:val="none" w:sz="0" w:space="0" w:color="auto"/>
                  </w:divBdr>
                  <w:divsChild>
                    <w:div w:id="980184587">
                      <w:marLeft w:val="0"/>
                      <w:marRight w:val="0"/>
                      <w:marTop w:val="0"/>
                      <w:marBottom w:val="0"/>
                      <w:divBdr>
                        <w:top w:val="none" w:sz="0" w:space="0" w:color="auto"/>
                        <w:left w:val="none" w:sz="0" w:space="0" w:color="auto"/>
                        <w:bottom w:val="none" w:sz="0" w:space="0" w:color="auto"/>
                        <w:right w:val="none" w:sz="0" w:space="0" w:color="auto"/>
                      </w:divBdr>
                    </w:div>
                  </w:divsChild>
                </w:div>
                <w:div w:id="1103190376">
                  <w:marLeft w:val="0"/>
                  <w:marRight w:val="0"/>
                  <w:marTop w:val="0"/>
                  <w:marBottom w:val="0"/>
                  <w:divBdr>
                    <w:top w:val="none" w:sz="0" w:space="0" w:color="auto"/>
                    <w:left w:val="none" w:sz="0" w:space="0" w:color="auto"/>
                    <w:bottom w:val="none" w:sz="0" w:space="0" w:color="auto"/>
                    <w:right w:val="none" w:sz="0" w:space="0" w:color="auto"/>
                  </w:divBdr>
                  <w:divsChild>
                    <w:div w:id="1823697035">
                      <w:marLeft w:val="0"/>
                      <w:marRight w:val="0"/>
                      <w:marTop w:val="0"/>
                      <w:marBottom w:val="0"/>
                      <w:divBdr>
                        <w:top w:val="none" w:sz="0" w:space="0" w:color="auto"/>
                        <w:left w:val="none" w:sz="0" w:space="0" w:color="auto"/>
                        <w:bottom w:val="none" w:sz="0" w:space="0" w:color="auto"/>
                        <w:right w:val="none" w:sz="0" w:space="0" w:color="auto"/>
                      </w:divBdr>
                    </w:div>
                  </w:divsChild>
                </w:div>
                <w:div w:id="1115101892">
                  <w:marLeft w:val="0"/>
                  <w:marRight w:val="0"/>
                  <w:marTop w:val="0"/>
                  <w:marBottom w:val="0"/>
                  <w:divBdr>
                    <w:top w:val="none" w:sz="0" w:space="0" w:color="auto"/>
                    <w:left w:val="none" w:sz="0" w:space="0" w:color="auto"/>
                    <w:bottom w:val="none" w:sz="0" w:space="0" w:color="auto"/>
                    <w:right w:val="none" w:sz="0" w:space="0" w:color="auto"/>
                  </w:divBdr>
                  <w:divsChild>
                    <w:div w:id="943220965">
                      <w:marLeft w:val="0"/>
                      <w:marRight w:val="0"/>
                      <w:marTop w:val="0"/>
                      <w:marBottom w:val="0"/>
                      <w:divBdr>
                        <w:top w:val="none" w:sz="0" w:space="0" w:color="auto"/>
                        <w:left w:val="none" w:sz="0" w:space="0" w:color="auto"/>
                        <w:bottom w:val="none" w:sz="0" w:space="0" w:color="auto"/>
                        <w:right w:val="none" w:sz="0" w:space="0" w:color="auto"/>
                      </w:divBdr>
                    </w:div>
                  </w:divsChild>
                </w:div>
                <w:div w:id="1142121028">
                  <w:marLeft w:val="0"/>
                  <w:marRight w:val="0"/>
                  <w:marTop w:val="0"/>
                  <w:marBottom w:val="0"/>
                  <w:divBdr>
                    <w:top w:val="none" w:sz="0" w:space="0" w:color="auto"/>
                    <w:left w:val="none" w:sz="0" w:space="0" w:color="auto"/>
                    <w:bottom w:val="none" w:sz="0" w:space="0" w:color="auto"/>
                    <w:right w:val="none" w:sz="0" w:space="0" w:color="auto"/>
                  </w:divBdr>
                  <w:divsChild>
                    <w:div w:id="1506356309">
                      <w:marLeft w:val="0"/>
                      <w:marRight w:val="0"/>
                      <w:marTop w:val="0"/>
                      <w:marBottom w:val="0"/>
                      <w:divBdr>
                        <w:top w:val="none" w:sz="0" w:space="0" w:color="auto"/>
                        <w:left w:val="none" w:sz="0" w:space="0" w:color="auto"/>
                        <w:bottom w:val="none" w:sz="0" w:space="0" w:color="auto"/>
                        <w:right w:val="none" w:sz="0" w:space="0" w:color="auto"/>
                      </w:divBdr>
                    </w:div>
                  </w:divsChild>
                </w:div>
                <w:div w:id="1171607736">
                  <w:marLeft w:val="0"/>
                  <w:marRight w:val="0"/>
                  <w:marTop w:val="0"/>
                  <w:marBottom w:val="0"/>
                  <w:divBdr>
                    <w:top w:val="none" w:sz="0" w:space="0" w:color="auto"/>
                    <w:left w:val="none" w:sz="0" w:space="0" w:color="auto"/>
                    <w:bottom w:val="none" w:sz="0" w:space="0" w:color="auto"/>
                    <w:right w:val="none" w:sz="0" w:space="0" w:color="auto"/>
                  </w:divBdr>
                  <w:divsChild>
                    <w:div w:id="948589295">
                      <w:marLeft w:val="0"/>
                      <w:marRight w:val="0"/>
                      <w:marTop w:val="0"/>
                      <w:marBottom w:val="0"/>
                      <w:divBdr>
                        <w:top w:val="none" w:sz="0" w:space="0" w:color="auto"/>
                        <w:left w:val="none" w:sz="0" w:space="0" w:color="auto"/>
                        <w:bottom w:val="none" w:sz="0" w:space="0" w:color="auto"/>
                        <w:right w:val="none" w:sz="0" w:space="0" w:color="auto"/>
                      </w:divBdr>
                    </w:div>
                  </w:divsChild>
                </w:div>
                <w:div w:id="1173758620">
                  <w:marLeft w:val="0"/>
                  <w:marRight w:val="0"/>
                  <w:marTop w:val="0"/>
                  <w:marBottom w:val="0"/>
                  <w:divBdr>
                    <w:top w:val="none" w:sz="0" w:space="0" w:color="auto"/>
                    <w:left w:val="none" w:sz="0" w:space="0" w:color="auto"/>
                    <w:bottom w:val="none" w:sz="0" w:space="0" w:color="auto"/>
                    <w:right w:val="none" w:sz="0" w:space="0" w:color="auto"/>
                  </w:divBdr>
                  <w:divsChild>
                    <w:div w:id="206114181">
                      <w:marLeft w:val="0"/>
                      <w:marRight w:val="0"/>
                      <w:marTop w:val="0"/>
                      <w:marBottom w:val="0"/>
                      <w:divBdr>
                        <w:top w:val="none" w:sz="0" w:space="0" w:color="auto"/>
                        <w:left w:val="none" w:sz="0" w:space="0" w:color="auto"/>
                        <w:bottom w:val="none" w:sz="0" w:space="0" w:color="auto"/>
                        <w:right w:val="none" w:sz="0" w:space="0" w:color="auto"/>
                      </w:divBdr>
                    </w:div>
                  </w:divsChild>
                </w:div>
                <w:div w:id="1179582640">
                  <w:marLeft w:val="0"/>
                  <w:marRight w:val="0"/>
                  <w:marTop w:val="0"/>
                  <w:marBottom w:val="0"/>
                  <w:divBdr>
                    <w:top w:val="none" w:sz="0" w:space="0" w:color="auto"/>
                    <w:left w:val="none" w:sz="0" w:space="0" w:color="auto"/>
                    <w:bottom w:val="none" w:sz="0" w:space="0" w:color="auto"/>
                    <w:right w:val="none" w:sz="0" w:space="0" w:color="auto"/>
                  </w:divBdr>
                  <w:divsChild>
                    <w:div w:id="206256514">
                      <w:marLeft w:val="0"/>
                      <w:marRight w:val="0"/>
                      <w:marTop w:val="0"/>
                      <w:marBottom w:val="0"/>
                      <w:divBdr>
                        <w:top w:val="none" w:sz="0" w:space="0" w:color="auto"/>
                        <w:left w:val="none" w:sz="0" w:space="0" w:color="auto"/>
                        <w:bottom w:val="none" w:sz="0" w:space="0" w:color="auto"/>
                        <w:right w:val="none" w:sz="0" w:space="0" w:color="auto"/>
                      </w:divBdr>
                    </w:div>
                  </w:divsChild>
                </w:div>
                <w:div w:id="1190414538">
                  <w:marLeft w:val="0"/>
                  <w:marRight w:val="0"/>
                  <w:marTop w:val="0"/>
                  <w:marBottom w:val="0"/>
                  <w:divBdr>
                    <w:top w:val="none" w:sz="0" w:space="0" w:color="auto"/>
                    <w:left w:val="none" w:sz="0" w:space="0" w:color="auto"/>
                    <w:bottom w:val="none" w:sz="0" w:space="0" w:color="auto"/>
                    <w:right w:val="none" w:sz="0" w:space="0" w:color="auto"/>
                  </w:divBdr>
                  <w:divsChild>
                    <w:div w:id="1594774656">
                      <w:marLeft w:val="0"/>
                      <w:marRight w:val="0"/>
                      <w:marTop w:val="0"/>
                      <w:marBottom w:val="0"/>
                      <w:divBdr>
                        <w:top w:val="none" w:sz="0" w:space="0" w:color="auto"/>
                        <w:left w:val="none" w:sz="0" w:space="0" w:color="auto"/>
                        <w:bottom w:val="none" w:sz="0" w:space="0" w:color="auto"/>
                        <w:right w:val="none" w:sz="0" w:space="0" w:color="auto"/>
                      </w:divBdr>
                    </w:div>
                  </w:divsChild>
                </w:div>
                <w:div w:id="1191457611">
                  <w:marLeft w:val="0"/>
                  <w:marRight w:val="0"/>
                  <w:marTop w:val="0"/>
                  <w:marBottom w:val="0"/>
                  <w:divBdr>
                    <w:top w:val="none" w:sz="0" w:space="0" w:color="auto"/>
                    <w:left w:val="none" w:sz="0" w:space="0" w:color="auto"/>
                    <w:bottom w:val="none" w:sz="0" w:space="0" w:color="auto"/>
                    <w:right w:val="none" w:sz="0" w:space="0" w:color="auto"/>
                  </w:divBdr>
                  <w:divsChild>
                    <w:div w:id="324092057">
                      <w:marLeft w:val="0"/>
                      <w:marRight w:val="0"/>
                      <w:marTop w:val="0"/>
                      <w:marBottom w:val="0"/>
                      <w:divBdr>
                        <w:top w:val="none" w:sz="0" w:space="0" w:color="auto"/>
                        <w:left w:val="none" w:sz="0" w:space="0" w:color="auto"/>
                        <w:bottom w:val="none" w:sz="0" w:space="0" w:color="auto"/>
                        <w:right w:val="none" w:sz="0" w:space="0" w:color="auto"/>
                      </w:divBdr>
                    </w:div>
                  </w:divsChild>
                </w:div>
                <w:div w:id="1193110491">
                  <w:marLeft w:val="0"/>
                  <w:marRight w:val="0"/>
                  <w:marTop w:val="0"/>
                  <w:marBottom w:val="0"/>
                  <w:divBdr>
                    <w:top w:val="none" w:sz="0" w:space="0" w:color="auto"/>
                    <w:left w:val="none" w:sz="0" w:space="0" w:color="auto"/>
                    <w:bottom w:val="none" w:sz="0" w:space="0" w:color="auto"/>
                    <w:right w:val="none" w:sz="0" w:space="0" w:color="auto"/>
                  </w:divBdr>
                  <w:divsChild>
                    <w:div w:id="713499986">
                      <w:marLeft w:val="0"/>
                      <w:marRight w:val="0"/>
                      <w:marTop w:val="0"/>
                      <w:marBottom w:val="0"/>
                      <w:divBdr>
                        <w:top w:val="none" w:sz="0" w:space="0" w:color="auto"/>
                        <w:left w:val="none" w:sz="0" w:space="0" w:color="auto"/>
                        <w:bottom w:val="none" w:sz="0" w:space="0" w:color="auto"/>
                        <w:right w:val="none" w:sz="0" w:space="0" w:color="auto"/>
                      </w:divBdr>
                    </w:div>
                  </w:divsChild>
                </w:div>
                <w:div w:id="1208906808">
                  <w:marLeft w:val="0"/>
                  <w:marRight w:val="0"/>
                  <w:marTop w:val="0"/>
                  <w:marBottom w:val="0"/>
                  <w:divBdr>
                    <w:top w:val="none" w:sz="0" w:space="0" w:color="auto"/>
                    <w:left w:val="none" w:sz="0" w:space="0" w:color="auto"/>
                    <w:bottom w:val="none" w:sz="0" w:space="0" w:color="auto"/>
                    <w:right w:val="none" w:sz="0" w:space="0" w:color="auto"/>
                  </w:divBdr>
                  <w:divsChild>
                    <w:div w:id="1000163505">
                      <w:marLeft w:val="0"/>
                      <w:marRight w:val="0"/>
                      <w:marTop w:val="0"/>
                      <w:marBottom w:val="0"/>
                      <w:divBdr>
                        <w:top w:val="none" w:sz="0" w:space="0" w:color="auto"/>
                        <w:left w:val="none" w:sz="0" w:space="0" w:color="auto"/>
                        <w:bottom w:val="none" w:sz="0" w:space="0" w:color="auto"/>
                        <w:right w:val="none" w:sz="0" w:space="0" w:color="auto"/>
                      </w:divBdr>
                    </w:div>
                  </w:divsChild>
                </w:div>
                <w:div w:id="1210262457">
                  <w:marLeft w:val="0"/>
                  <w:marRight w:val="0"/>
                  <w:marTop w:val="0"/>
                  <w:marBottom w:val="0"/>
                  <w:divBdr>
                    <w:top w:val="none" w:sz="0" w:space="0" w:color="auto"/>
                    <w:left w:val="none" w:sz="0" w:space="0" w:color="auto"/>
                    <w:bottom w:val="none" w:sz="0" w:space="0" w:color="auto"/>
                    <w:right w:val="none" w:sz="0" w:space="0" w:color="auto"/>
                  </w:divBdr>
                  <w:divsChild>
                    <w:div w:id="352733411">
                      <w:marLeft w:val="0"/>
                      <w:marRight w:val="0"/>
                      <w:marTop w:val="0"/>
                      <w:marBottom w:val="0"/>
                      <w:divBdr>
                        <w:top w:val="none" w:sz="0" w:space="0" w:color="auto"/>
                        <w:left w:val="none" w:sz="0" w:space="0" w:color="auto"/>
                        <w:bottom w:val="none" w:sz="0" w:space="0" w:color="auto"/>
                        <w:right w:val="none" w:sz="0" w:space="0" w:color="auto"/>
                      </w:divBdr>
                    </w:div>
                  </w:divsChild>
                </w:div>
                <w:div w:id="1214074721">
                  <w:marLeft w:val="0"/>
                  <w:marRight w:val="0"/>
                  <w:marTop w:val="0"/>
                  <w:marBottom w:val="0"/>
                  <w:divBdr>
                    <w:top w:val="none" w:sz="0" w:space="0" w:color="auto"/>
                    <w:left w:val="none" w:sz="0" w:space="0" w:color="auto"/>
                    <w:bottom w:val="none" w:sz="0" w:space="0" w:color="auto"/>
                    <w:right w:val="none" w:sz="0" w:space="0" w:color="auto"/>
                  </w:divBdr>
                  <w:divsChild>
                    <w:div w:id="1801610019">
                      <w:marLeft w:val="0"/>
                      <w:marRight w:val="0"/>
                      <w:marTop w:val="0"/>
                      <w:marBottom w:val="0"/>
                      <w:divBdr>
                        <w:top w:val="none" w:sz="0" w:space="0" w:color="auto"/>
                        <w:left w:val="none" w:sz="0" w:space="0" w:color="auto"/>
                        <w:bottom w:val="none" w:sz="0" w:space="0" w:color="auto"/>
                        <w:right w:val="none" w:sz="0" w:space="0" w:color="auto"/>
                      </w:divBdr>
                    </w:div>
                  </w:divsChild>
                </w:div>
                <w:div w:id="1239437523">
                  <w:marLeft w:val="0"/>
                  <w:marRight w:val="0"/>
                  <w:marTop w:val="0"/>
                  <w:marBottom w:val="0"/>
                  <w:divBdr>
                    <w:top w:val="none" w:sz="0" w:space="0" w:color="auto"/>
                    <w:left w:val="none" w:sz="0" w:space="0" w:color="auto"/>
                    <w:bottom w:val="none" w:sz="0" w:space="0" w:color="auto"/>
                    <w:right w:val="none" w:sz="0" w:space="0" w:color="auto"/>
                  </w:divBdr>
                  <w:divsChild>
                    <w:div w:id="2032369615">
                      <w:marLeft w:val="0"/>
                      <w:marRight w:val="0"/>
                      <w:marTop w:val="0"/>
                      <w:marBottom w:val="0"/>
                      <w:divBdr>
                        <w:top w:val="none" w:sz="0" w:space="0" w:color="auto"/>
                        <w:left w:val="none" w:sz="0" w:space="0" w:color="auto"/>
                        <w:bottom w:val="none" w:sz="0" w:space="0" w:color="auto"/>
                        <w:right w:val="none" w:sz="0" w:space="0" w:color="auto"/>
                      </w:divBdr>
                    </w:div>
                  </w:divsChild>
                </w:div>
                <w:div w:id="1242325961">
                  <w:marLeft w:val="0"/>
                  <w:marRight w:val="0"/>
                  <w:marTop w:val="0"/>
                  <w:marBottom w:val="0"/>
                  <w:divBdr>
                    <w:top w:val="none" w:sz="0" w:space="0" w:color="auto"/>
                    <w:left w:val="none" w:sz="0" w:space="0" w:color="auto"/>
                    <w:bottom w:val="none" w:sz="0" w:space="0" w:color="auto"/>
                    <w:right w:val="none" w:sz="0" w:space="0" w:color="auto"/>
                  </w:divBdr>
                  <w:divsChild>
                    <w:div w:id="108741972">
                      <w:marLeft w:val="0"/>
                      <w:marRight w:val="0"/>
                      <w:marTop w:val="0"/>
                      <w:marBottom w:val="0"/>
                      <w:divBdr>
                        <w:top w:val="none" w:sz="0" w:space="0" w:color="auto"/>
                        <w:left w:val="none" w:sz="0" w:space="0" w:color="auto"/>
                        <w:bottom w:val="none" w:sz="0" w:space="0" w:color="auto"/>
                        <w:right w:val="none" w:sz="0" w:space="0" w:color="auto"/>
                      </w:divBdr>
                    </w:div>
                  </w:divsChild>
                </w:div>
                <w:div w:id="1248729874">
                  <w:marLeft w:val="0"/>
                  <w:marRight w:val="0"/>
                  <w:marTop w:val="0"/>
                  <w:marBottom w:val="0"/>
                  <w:divBdr>
                    <w:top w:val="none" w:sz="0" w:space="0" w:color="auto"/>
                    <w:left w:val="none" w:sz="0" w:space="0" w:color="auto"/>
                    <w:bottom w:val="none" w:sz="0" w:space="0" w:color="auto"/>
                    <w:right w:val="none" w:sz="0" w:space="0" w:color="auto"/>
                  </w:divBdr>
                  <w:divsChild>
                    <w:div w:id="280771914">
                      <w:marLeft w:val="0"/>
                      <w:marRight w:val="0"/>
                      <w:marTop w:val="0"/>
                      <w:marBottom w:val="0"/>
                      <w:divBdr>
                        <w:top w:val="none" w:sz="0" w:space="0" w:color="auto"/>
                        <w:left w:val="none" w:sz="0" w:space="0" w:color="auto"/>
                        <w:bottom w:val="none" w:sz="0" w:space="0" w:color="auto"/>
                        <w:right w:val="none" w:sz="0" w:space="0" w:color="auto"/>
                      </w:divBdr>
                    </w:div>
                  </w:divsChild>
                </w:div>
                <w:div w:id="1264533176">
                  <w:marLeft w:val="0"/>
                  <w:marRight w:val="0"/>
                  <w:marTop w:val="0"/>
                  <w:marBottom w:val="0"/>
                  <w:divBdr>
                    <w:top w:val="none" w:sz="0" w:space="0" w:color="auto"/>
                    <w:left w:val="none" w:sz="0" w:space="0" w:color="auto"/>
                    <w:bottom w:val="none" w:sz="0" w:space="0" w:color="auto"/>
                    <w:right w:val="none" w:sz="0" w:space="0" w:color="auto"/>
                  </w:divBdr>
                  <w:divsChild>
                    <w:div w:id="916672306">
                      <w:marLeft w:val="0"/>
                      <w:marRight w:val="0"/>
                      <w:marTop w:val="0"/>
                      <w:marBottom w:val="0"/>
                      <w:divBdr>
                        <w:top w:val="none" w:sz="0" w:space="0" w:color="auto"/>
                        <w:left w:val="none" w:sz="0" w:space="0" w:color="auto"/>
                        <w:bottom w:val="none" w:sz="0" w:space="0" w:color="auto"/>
                        <w:right w:val="none" w:sz="0" w:space="0" w:color="auto"/>
                      </w:divBdr>
                    </w:div>
                  </w:divsChild>
                </w:div>
                <w:div w:id="1268385074">
                  <w:marLeft w:val="0"/>
                  <w:marRight w:val="0"/>
                  <w:marTop w:val="0"/>
                  <w:marBottom w:val="0"/>
                  <w:divBdr>
                    <w:top w:val="none" w:sz="0" w:space="0" w:color="auto"/>
                    <w:left w:val="none" w:sz="0" w:space="0" w:color="auto"/>
                    <w:bottom w:val="none" w:sz="0" w:space="0" w:color="auto"/>
                    <w:right w:val="none" w:sz="0" w:space="0" w:color="auto"/>
                  </w:divBdr>
                  <w:divsChild>
                    <w:div w:id="1418551525">
                      <w:marLeft w:val="0"/>
                      <w:marRight w:val="0"/>
                      <w:marTop w:val="0"/>
                      <w:marBottom w:val="0"/>
                      <w:divBdr>
                        <w:top w:val="none" w:sz="0" w:space="0" w:color="auto"/>
                        <w:left w:val="none" w:sz="0" w:space="0" w:color="auto"/>
                        <w:bottom w:val="none" w:sz="0" w:space="0" w:color="auto"/>
                        <w:right w:val="none" w:sz="0" w:space="0" w:color="auto"/>
                      </w:divBdr>
                    </w:div>
                  </w:divsChild>
                </w:div>
                <w:div w:id="1279027158">
                  <w:marLeft w:val="0"/>
                  <w:marRight w:val="0"/>
                  <w:marTop w:val="0"/>
                  <w:marBottom w:val="0"/>
                  <w:divBdr>
                    <w:top w:val="none" w:sz="0" w:space="0" w:color="auto"/>
                    <w:left w:val="none" w:sz="0" w:space="0" w:color="auto"/>
                    <w:bottom w:val="none" w:sz="0" w:space="0" w:color="auto"/>
                    <w:right w:val="none" w:sz="0" w:space="0" w:color="auto"/>
                  </w:divBdr>
                  <w:divsChild>
                    <w:div w:id="1962953819">
                      <w:marLeft w:val="0"/>
                      <w:marRight w:val="0"/>
                      <w:marTop w:val="0"/>
                      <w:marBottom w:val="0"/>
                      <w:divBdr>
                        <w:top w:val="none" w:sz="0" w:space="0" w:color="auto"/>
                        <w:left w:val="none" w:sz="0" w:space="0" w:color="auto"/>
                        <w:bottom w:val="none" w:sz="0" w:space="0" w:color="auto"/>
                        <w:right w:val="none" w:sz="0" w:space="0" w:color="auto"/>
                      </w:divBdr>
                    </w:div>
                  </w:divsChild>
                </w:div>
                <w:div w:id="1286503049">
                  <w:marLeft w:val="0"/>
                  <w:marRight w:val="0"/>
                  <w:marTop w:val="0"/>
                  <w:marBottom w:val="0"/>
                  <w:divBdr>
                    <w:top w:val="none" w:sz="0" w:space="0" w:color="auto"/>
                    <w:left w:val="none" w:sz="0" w:space="0" w:color="auto"/>
                    <w:bottom w:val="none" w:sz="0" w:space="0" w:color="auto"/>
                    <w:right w:val="none" w:sz="0" w:space="0" w:color="auto"/>
                  </w:divBdr>
                  <w:divsChild>
                    <w:div w:id="993335099">
                      <w:marLeft w:val="0"/>
                      <w:marRight w:val="0"/>
                      <w:marTop w:val="0"/>
                      <w:marBottom w:val="0"/>
                      <w:divBdr>
                        <w:top w:val="none" w:sz="0" w:space="0" w:color="auto"/>
                        <w:left w:val="none" w:sz="0" w:space="0" w:color="auto"/>
                        <w:bottom w:val="none" w:sz="0" w:space="0" w:color="auto"/>
                        <w:right w:val="none" w:sz="0" w:space="0" w:color="auto"/>
                      </w:divBdr>
                    </w:div>
                  </w:divsChild>
                </w:div>
                <w:div w:id="1306396644">
                  <w:marLeft w:val="0"/>
                  <w:marRight w:val="0"/>
                  <w:marTop w:val="0"/>
                  <w:marBottom w:val="0"/>
                  <w:divBdr>
                    <w:top w:val="none" w:sz="0" w:space="0" w:color="auto"/>
                    <w:left w:val="none" w:sz="0" w:space="0" w:color="auto"/>
                    <w:bottom w:val="none" w:sz="0" w:space="0" w:color="auto"/>
                    <w:right w:val="none" w:sz="0" w:space="0" w:color="auto"/>
                  </w:divBdr>
                  <w:divsChild>
                    <w:div w:id="1325937479">
                      <w:marLeft w:val="0"/>
                      <w:marRight w:val="0"/>
                      <w:marTop w:val="0"/>
                      <w:marBottom w:val="0"/>
                      <w:divBdr>
                        <w:top w:val="none" w:sz="0" w:space="0" w:color="auto"/>
                        <w:left w:val="none" w:sz="0" w:space="0" w:color="auto"/>
                        <w:bottom w:val="none" w:sz="0" w:space="0" w:color="auto"/>
                        <w:right w:val="none" w:sz="0" w:space="0" w:color="auto"/>
                      </w:divBdr>
                    </w:div>
                  </w:divsChild>
                </w:div>
                <w:div w:id="1348362965">
                  <w:marLeft w:val="0"/>
                  <w:marRight w:val="0"/>
                  <w:marTop w:val="0"/>
                  <w:marBottom w:val="0"/>
                  <w:divBdr>
                    <w:top w:val="none" w:sz="0" w:space="0" w:color="auto"/>
                    <w:left w:val="none" w:sz="0" w:space="0" w:color="auto"/>
                    <w:bottom w:val="none" w:sz="0" w:space="0" w:color="auto"/>
                    <w:right w:val="none" w:sz="0" w:space="0" w:color="auto"/>
                  </w:divBdr>
                  <w:divsChild>
                    <w:div w:id="937369561">
                      <w:marLeft w:val="0"/>
                      <w:marRight w:val="0"/>
                      <w:marTop w:val="0"/>
                      <w:marBottom w:val="0"/>
                      <w:divBdr>
                        <w:top w:val="none" w:sz="0" w:space="0" w:color="auto"/>
                        <w:left w:val="none" w:sz="0" w:space="0" w:color="auto"/>
                        <w:bottom w:val="none" w:sz="0" w:space="0" w:color="auto"/>
                        <w:right w:val="none" w:sz="0" w:space="0" w:color="auto"/>
                      </w:divBdr>
                    </w:div>
                  </w:divsChild>
                </w:div>
                <w:div w:id="1348409324">
                  <w:marLeft w:val="0"/>
                  <w:marRight w:val="0"/>
                  <w:marTop w:val="0"/>
                  <w:marBottom w:val="0"/>
                  <w:divBdr>
                    <w:top w:val="none" w:sz="0" w:space="0" w:color="auto"/>
                    <w:left w:val="none" w:sz="0" w:space="0" w:color="auto"/>
                    <w:bottom w:val="none" w:sz="0" w:space="0" w:color="auto"/>
                    <w:right w:val="none" w:sz="0" w:space="0" w:color="auto"/>
                  </w:divBdr>
                  <w:divsChild>
                    <w:div w:id="1728412729">
                      <w:marLeft w:val="0"/>
                      <w:marRight w:val="0"/>
                      <w:marTop w:val="0"/>
                      <w:marBottom w:val="0"/>
                      <w:divBdr>
                        <w:top w:val="none" w:sz="0" w:space="0" w:color="auto"/>
                        <w:left w:val="none" w:sz="0" w:space="0" w:color="auto"/>
                        <w:bottom w:val="none" w:sz="0" w:space="0" w:color="auto"/>
                        <w:right w:val="none" w:sz="0" w:space="0" w:color="auto"/>
                      </w:divBdr>
                    </w:div>
                  </w:divsChild>
                </w:div>
                <w:div w:id="1353189743">
                  <w:marLeft w:val="0"/>
                  <w:marRight w:val="0"/>
                  <w:marTop w:val="0"/>
                  <w:marBottom w:val="0"/>
                  <w:divBdr>
                    <w:top w:val="none" w:sz="0" w:space="0" w:color="auto"/>
                    <w:left w:val="none" w:sz="0" w:space="0" w:color="auto"/>
                    <w:bottom w:val="none" w:sz="0" w:space="0" w:color="auto"/>
                    <w:right w:val="none" w:sz="0" w:space="0" w:color="auto"/>
                  </w:divBdr>
                  <w:divsChild>
                    <w:div w:id="1479111610">
                      <w:marLeft w:val="0"/>
                      <w:marRight w:val="0"/>
                      <w:marTop w:val="0"/>
                      <w:marBottom w:val="0"/>
                      <w:divBdr>
                        <w:top w:val="none" w:sz="0" w:space="0" w:color="auto"/>
                        <w:left w:val="none" w:sz="0" w:space="0" w:color="auto"/>
                        <w:bottom w:val="none" w:sz="0" w:space="0" w:color="auto"/>
                        <w:right w:val="none" w:sz="0" w:space="0" w:color="auto"/>
                      </w:divBdr>
                    </w:div>
                  </w:divsChild>
                </w:div>
                <w:div w:id="1353725115">
                  <w:marLeft w:val="0"/>
                  <w:marRight w:val="0"/>
                  <w:marTop w:val="0"/>
                  <w:marBottom w:val="0"/>
                  <w:divBdr>
                    <w:top w:val="none" w:sz="0" w:space="0" w:color="auto"/>
                    <w:left w:val="none" w:sz="0" w:space="0" w:color="auto"/>
                    <w:bottom w:val="none" w:sz="0" w:space="0" w:color="auto"/>
                    <w:right w:val="none" w:sz="0" w:space="0" w:color="auto"/>
                  </w:divBdr>
                  <w:divsChild>
                    <w:div w:id="602079344">
                      <w:marLeft w:val="0"/>
                      <w:marRight w:val="0"/>
                      <w:marTop w:val="0"/>
                      <w:marBottom w:val="0"/>
                      <w:divBdr>
                        <w:top w:val="none" w:sz="0" w:space="0" w:color="auto"/>
                        <w:left w:val="none" w:sz="0" w:space="0" w:color="auto"/>
                        <w:bottom w:val="none" w:sz="0" w:space="0" w:color="auto"/>
                        <w:right w:val="none" w:sz="0" w:space="0" w:color="auto"/>
                      </w:divBdr>
                    </w:div>
                  </w:divsChild>
                </w:div>
                <w:div w:id="1383677587">
                  <w:marLeft w:val="0"/>
                  <w:marRight w:val="0"/>
                  <w:marTop w:val="0"/>
                  <w:marBottom w:val="0"/>
                  <w:divBdr>
                    <w:top w:val="none" w:sz="0" w:space="0" w:color="auto"/>
                    <w:left w:val="none" w:sz="0" w:space="0" w:color="auto"/>
                    <w:bottom w:val="none" w:sz="0" w:space="0" w:color="auto"/>
                    <w:right w:val="none" w:sz="0" w:space="0" w:color="auto"/>
                  </w:divBdr>
                  <w:divsChild>
                    <w:div w:id="312879976">
                      <w:marLeft w:val="0"/>
                      <w:marRight w:val="0"/>
                      <w:marTop w:val="0"/>
                      <w:marBottom w:val="0"/>
                      <w:divBdr>
                        <w:top w:val="none" w:sz="0" w:space="0" w:color="auto"/>
                        <w:left w:val="none" w:sz="0" w:space="0" w:color="auto"/>
                        <w:bottom w:val="none" w:sz="0" w:space="0" w:color="auto"/>
                        <w:right w:val="none" w:sz="0" w:space="0" w:color="auto"/>
                      </w:divBdr>
                    </w:div>
                  </w:divsChild>
                </w:div>
                <w:div w:id="1422876145">
                  <w:marLeft w:val="0"/>
                  <w:marRight w:val="0"/>
                  <w:marTop w:val="0"/>
                  <w:marBottom w:val="0"/>
                  <w:divBdr>
                    <w:top w:val="none" w:sz="0" w:space="0" w:color="auto"/>
                    <w:left w:val="none" w:sz="0" w:space="0" w:color="auto"/>
                    <w:bottom w:val="none" w:sz="0" w:space="0" w:color="auto"/>
                    <w:right w:val="none" w:sz="0" w:space="0" w:color="auto"/>
                  </w:divBdr>
                  <w:divsChild>
                    <w:div w:id="293024624">
                      <w:marLeft w:val="0"/>
                      <w:marRight w:val="0"/>
                      <w:marTop w:val="0"/>
                      <w:marBottom w:val="0"/>
                      <w:divBdr>
                        <w:top w:val="none" w:sz="0" w:space="0" w:color="auto"/>
                        <w:left w:val="none" w:sz="0" w:space="0" w:color="auto"/>
                        <w:bottom w:val="none" w:sz="0" w:space="0" w:color="auto"/>
                        <w:right w:val="none" w:sz="0" w:space="0" w:color="auto"/>
                      </w:divBdr>
                    </w:div>
                  </w:divsChild>
                </w:div>
                <w:div w:id="1427841748">
                  <w:marLeft w:val="0"/>
                  <w:marRight w:val="0"/>
                  <w:marTop w:val="0"/>
                  <w:marBottom w:val="0"/>
                  <w:divBdr>
                    <w:top w:val="none" w:sz="0" w:space="0" w:color="auto"/>
                    <w:left w:val="none" w:sz="0" w:space="0" w:color="auto"/>
                    <w:bottom w:val="none" w:sz="0" w:space="0" w:color="auto"/>
                    <w:right w:val="none" w:sz="0" w:space="0" w:color="auto"/>
                  </w:divBdr>
                  <w:divsChild>
                    <w:div w:id="1927877852">
                      <w:marLeft w:val="0"/>
                      <w:marRight w:val="0"/>
                      <w:marTop w:val="0"/>
                      <w:marBottom w:val="0"/>
                      <w:divBdr>
                        <w:top w:val="none" w:sz="0" w:space="0" w:color="auto"/>
                        <w:left w:val="none" w:sz="0" w:space="0" w:color="auto"/>
                        <w:bottom w:val="none" w:sz="0" w:space="0" w:color="auto"/>
                        <w:right w:val="none" w:sz="0" w:space="0" w:color="auto"/>
                      </w:divBdr>
                    </w:div>
                  </w:divsChild>
                </w:div>
                <w:div w:id="1428962568">
                  <w:marLeft w:val="0"/>
                  <w:marRight w:val="0"/>
                  <w:marTop w:val="0"/>
                  <w:marBottom w:val="0"/>
                  <w:divBdr>
                    <w:top w:val="none" w:sz="0" w:space="0" w:color="auto"/>
                    <w:left w:val="none" w:sz="0" w:space="0" w:color="auto"/>
                    <w:bottom w:val="none" w:sz="0" w:space="0" w:color="auto"/>
                    <w:right w:val="none" w:sz="0" w:space="0" w:color="auto"/>
                  </w:divBdr>
                  <w:divsChild>
                    <w:div w:id="431052885">
                      <w:marLeft w:val="0"/>
                      <w:marRight w:val="0"/>
                      <w:marTop w:val="0"/>
                      <w:marBottom w:val="0"/>
                      <w:divBdr>
                        <w:top w:val="none" w:sz="0" w:space="0" w:color="auto"/>
                        <w:left w:val="none" w:sz="0" w:space="0" w:color="auto"/>
                        <w:bottom w:val="none" w:sz="0" w:space="0" w:color="auto"/>
                        <w:right w:val="none" w:sz="0" w:space="0" w:color="auto"/>
                      </w:divBdr>
                    </w:div>
                  </w:divsChild>
                </w:div>
                <w:div w:id="1481725940">
                  <w:marLeft w:val="0"/>
                  <w:marRight w:val="0"/>
                  <w:marTop w:val="0"/>
                  <w:marBottom w:val="0"/>
                  <w:divBdr>
                    <w:top w:val="none" w:sz="0" w:space="0" w:color="auto"/>
                    <w:left w:val="none" w:sz="0" w:space="0" w:color="auto"/>
                    <w:bottom w:val="none" w:sz="0" w:space="0" w:color="auto"/>
                    <w:right w:val="none" w:sz="0" w:space="0" w:color="auto"/>
                  </w:divBdr>
                  <w:divsChild>
                    <w:div w:id="256865400">
                      <w:marLeft w:val="0"/>
                      <w:marRight w:val="0"/>
                      <w:marTop w:val="0"/>
                      <w:marBottom w:val="0"/>
                      <w:divBdr>
                        <w:top w:val="none" w:sz="0" w:space="0" w:color="auto"/>
                        <w:left w:val="none" w:sz="0" w:space="0" w:color="auto"/>
                        <w:bottom w:val="none" w:sz="0" w:space="0" w:color="auto"/>
                        <w:right w:val="none" w:sz="0" w:space="0" w:color="auto"/>
                      </w:divBdr>
                    </w:div>
                  </w:divsChild>
                </w:div>
                <w:div w:id="1491021593">
                  <w:marLeft w:val="0"/>
                  <w:marRight w:val="0"/>
                  <w:marTop w:val="0"/>
                  <w:marBottom w:val="0"/>
                  <w:divBdr>
                    <w:top w:val="none" w:sz="0" w:space="0" w:color="auto"/>
                    <w:left w:val="none" w:sz="0" w:space="0" w:color="auto"/>
                    <w:bottom w:val="none" w:sz="0" w:space="0" w:color="auto"/>
                    <w:right w:val="none" w:sz="0" w:space="0" w:color="auto"/>
                  </w:divBdr>
                  <w:divsChild>
                    <w:div w:id="1856262919">
                      <w:marLeft w:val="0"/>
                      <w:marRight w:val="0"/>
                      <w:marTop w:val="0"/>
                      <w:marBottom w:val="0"/>
                      <w:divBdr>
                        <w:top w:val="none" w:sz="0" w:space="0" w:color="auto"/>
                        <w:left w:val="none" w:sz="0" w:space="0" w:color="auto"/>
                        <w:bottom w:val="none" w:sz="0" w:space="0" w:color="auto"/>
                        <w:right w:val="none" w:sz="0" w:space="0" w:color="auto"/>
                      </w:divBdr>
                    </w:div>
                  </w:divsChild>
                </w:div>
                <w:div w:id="1518351799">
                  <w:marLeft w:val="0"/>
                  <w:marRight w:val="0"/>
                  <w:marTop w:val="0"/>
                  <w:marBottom w:val="0"/>
                  <w:divBdr>
                    <w:top w:val="none" w:sz="0" w:space="0" w:color="auto"/>
                    <w:left w:val="none" w:sz="0" w:space="0" w:color="auto"/>
                    <w:bottom w:val="none" w:sz="0" w:space="0" w:color="auto"/>
                    <w:right w:val="none" w:sz="0" w:space="0" w:color="auto"/>
                  </w:divBdr>
                  <w:divsChild>
                    <w:div w:id="471094230">
                      <w:marLeft w:val="0"/>
                      <w:marRight w:val="0"/>
                      <w:marTop w:val="0"/>
                      <w:marBottom w:val="0"/>
                      <w:divBdr>
                        <w:top w:val="none" w:sz="0" w:space="0" w:color="auto"/>
                        <w:left w:val="none" w:sz="0" w:space="0" w:color="auto"/>
                        <w:bottom w:val="none" w:sz="0" w:space="0" w:color="auto"/>
                        <w:right w:val="none" w:sz="0" w:space="0" w:color="auto"/>
                      </w:divBdr>
                    </w:div>
                  </w:divsChild>
                </w:div>
                <w:div w:id="1518420245">
                  <w:marLeft w:val="0"/>
                  <w:marRight w:val="0"/>
                  <w:marTop w:val="0"/>
                  <w:marBottom w:val="0"/>
                  <w:divBdr>
                    <w:top w:val="none" w:sz="0" w:space="0" w:color="auto"/>
                    <w:left w:val="none" w:sz="0" w:space="0" w:color="auto"/>
                    <w:bottom w:val="none" w:sz="0" w:space="0" w:color="auto"/>
                    <w:right w:val="none" w:sz="0" w:space="0" w:color="auto"/>
                  </w:divBdr>
                  <w:divsChild>
                    <w:div w:id="875973800">
                      <w:marLeft w:val="0"/>
                      <w:marRight w:val="0"/>
                      <w:marTop w:val="0"/>
                      <w:marBottom w:val="0"/>
                      <w:divBdr>
                        <w:top w:val="none" w:sz="0" w:space="0" w:color="auto"/>
                        <w:left w:val="none" w:sz="0" w:space="0" w:color="auto"/>
                        <w:bottom w:val="none" w:sz="0" w:space="0" w:color="auto"/>
                        <w:right w:val="none" w:sz="0" w:space="0" w:color="auto"/>
                      </w:divBdr>
                    </w:div>
                  </w:divsChild>
                </w:div>
                <w:div w:id="1573466209">
                  <w:marLeft w:val="0"/>
                  <w:marRight w:val="0"/>
                  <w:marTop w:val="0"/>
                  <w:marBottom w:val="0"/>
                  <w:divBdr>
                    <w:top w:val="none" w:sz="0" w:space="0" w:color="auto"/>
                    <w:left w:val="none" w:sz="0" w:space="0" w:color="auto"/>
                    <w:bottom w:val="none" w:sz="0" w:space="0" w:color="auto"/>
                    <w:right w:val="none" w:sz="0" w:space="0" w:color="auto"/>
                  </w:divBdr>
                  <w:divsChild>
                    <w:div w:id="1659309022">
                      <w:marLeft w:val="0"/>
                      <w:marRight w:val="0"/>
                      <w:marTop w:val="0"/>
                      <w:marBottom w:val="0"/>
                      <w:divBdr>
                        <w:top w:val="none" w:sz="0" w:space="0" w:color="auto"/>
                        <w:left w:val="none" w:sz="0" w:space="0" w:color="auto"/>
                        <w:bottom w:val="none" w:sz="0" w:space="0" w:color="auto"/>
                        <w:right w:val="none" w:sz="0" w:space="0" w:color="auto"/>
                      </w:divBdr>
                    </w:div>
                  </w:divsChild>
                </w:div>
                <w:div w:id="1594359939">
                  <w:marLeft w:val="0"/>
                  <w:marRight w:val="0"/>
                  <w:marTop w:val="0"/>
                  <w:marBottom w:val="0"/>
                  <w:divBdr>
                    <w:top w:val="none" w:sz="0" w:space="0" w:color="auto"/>
                    <w:left w:val="none" w:sz="0" w:space="0" w:color="auto"/>
                    <w:bottom w:val="none" w:sz="0" w:space="0" w:color="auto"/>
                    <w:right w:val="none" w:sz="0" w:space="0" w:color="auto"/>
                  </w:divBdr>
                  <w:divsChild>
                    <w:div w:id="594941405">
                      <w:marLeft w:val="0"/>
                      <w:marRight w:val="0"/>
                      <w:marTop w:val="0"/>
                      <w:marBottom w:val="0"/>
                      <w:divBdr>
                        <w:top w:val="none" w:sz="0" w:space="0" w:color="auto"/>
                        <w:left w:val="none" w:sz="0" w:space="0" w:color="auto"/>
                        <w:bottom w:val="none" w:sz="0" w:space="0" w:color="auto"/>
                        <w:right w:val="none" w:sz="0" w:space="0" w:color="auto"/>
                      </w:divBdr>
                    </w:div>
                  </w:divsChild>
                </w:div>
                <w:div w:id="1624530517">
                  <w:marLeft w:val="0"/>
                  <w:marRight w:val="0"/>
                  <w:marTop w:val="0"/>
                  <w:marBottom w:val="0"/>
                  <w:divBdr>
                    <w:top w:val="none" w:sz="0" w:space="0" w:color="auto"/>
                    <w:left w:val="none" w:sz="0" w:space="0" w:color="auto"/>
                    <w:bottom w:val="none" w:sz="0" w:space="0" w:color="auto"/>
                    <w:right w:val="none" w:sz="0" w:space="0" w:color="auto"/>
                  </w:divBdr>
                  <w:divsChild>
                    <w:div w:id="102189908">
                      <w:marLeft w:val="0"/>
                      <w:marRight w:val="0"/>
                      <w:marTop w:val="0"/>
                      <w:marBottom w:val="0"/>
                      <w:divBdr>
                        <w:top w:val="none" w:sz="0" w:space="0" w:color="auto"/>
                        <w:left w:val="none" w:sz="0" w:space="0" w:color="auto"/>
                        <w:bottom w:val="none" w:sz="0" w:space="0" w:color="auto"/>
                        <w:right w:val="none" w:sz="0" w:space="0" w:color="auto"/>
                      </w:divBdr>
                    </w:div>
                  </w:divsChild>
                </w:div>
                <w:div w:id="1634024877">
                  <w:marLeft w:val="0"/>
                  <w:marRight w:val="0"/>
                  <w:marTop w:val="0"/>
                  <w:marBottom w:val="0"/>
                  <w:divBdr>
                    <w:top w:val="none" w:sz="0" w:space="0" w:color="auto"/>
                    <w:left w:val="none" w:sz="0" w:space="0" w:color="auto"/>
                    <w:bottom w:val="none" w:sz="0" w:space="0" w:color="auto"/>
                    <w:right w:val="none" w:sz="0" w:space="0" w:color="auto"/>
                  </w:divBdr>
                  <w:divsChild>
                    <w:div w:id="556942346">
                      <w:marLeft w:val="0"/>
                      <w:marRight w:val="0"/>
                      <w:marTop w:val="0"/>
                      <w:marBottom w:val="0"/>
                      <w:divBdr>
                        <w:top w:val="none" w:sz="0" w:space="0" w:color="auto"/>
                        <w:left w:val="none" w:sz="0" w:space="0" w:color="auto"/>
                        <w:bottom w:val="none" w:sz="0" w:space="0" w:color="auto"/>
                        <w:right w:val="none" w:sz="0" w:space="0" w:color="auto"/>
                      </w:divBdr>
                    </w:div>
                  </w:divsChild>
                </w:div>
                <w:div w:id="1635871369">
                  <w:marLeft w:val="0"/>
                  <w:marRight w:val="0"/>
                  <w:marTop w:val="0"/>
                  <w:marBottom w:val="0"/>
                  <w:divBdr>
                    <w:top w:val="none" w:sz="0" w:space="0" w:color="auto"/>
                    <w:left w:val="none" w:sz="0" w:space="0" w:color="auto"/>
                    <w:bottom w:val="none" w:sz="0" w:space="0" w:color="auto"/>
                    <w:right w:val="none" w:sz="0" w:space="0" w:color="auto"/>
                  </w:divBdr>
                  <w:divsChild>
                    <w:div w:id="12654760">
                      <w:marLeft w:val="0"/>
                      <w:marRight w:val="0"/>
                      <w:marTop w:val="0"/>
                      <w:marBottom w:val="0"/>
                      <w:divBdr>
                        <w:top w:val="none" w:sz="0" w:space="0" w:color="auto"/>
                        <w:left w:val="none" w:sz="0" w:space="0" w:color="auto"/>
                        <w:bottom w:val="none" w:sz="0" w:space="0" w:color="auto"/>
                        <w:right w:val="none" w:sz="0" w:space="0" w:color="auto"/>
                      </w:divBdr>
                    </w:div>
                  </w:divsChild>
                </w:div>
                <w:div w:id="1645045899">
                  <w:marLeft w:val="0"/>
                  <w:marRight w:val="0"/>
                  <w:marTop w:val="0"/>
                  <w:marBottom w:val="0"/>
                  <w:divBdr>
                    <w:top w:val="none" w:sz="0" w:space="0" w:color="auto"/>
                    <w:left w:val="none" w:sz="0" w:space="0" w:color="auto"/>
                    <w:bottom w:val="none" w:sz="0" w:space="0" w:color="auto"/>
                    <w:right w:val="none" w:sz="0" w:space="0" w:color="auto"/>
                  </w:divBdr>
                  <w:divsChild>
                    <w:div w:id="312760615">
                      <w:marLeft w:val="0"/>
                      <w:marRight w:val="0"/>
                      <w:marTop w:val="0"/>
                      <w:marBottom w:val="0"/>
                      <w:divBdr>
                        <w:top w:val="none" w:sz="0" w:space="0" w:color="auto"/>
                        <w:left w:val="none" w:sz="0" w:space="0" w:color="auto"/>
                        <w:bottom w:val="none" w:sz="0" w:space="0" w:color="auto"/>
                        <w:right w:val="none" w:sz="0" w:space="0" w:color="auto"/>
                      </w:divBdr>
                    </w:div>
                  </w:divsChild>
                </w:div>
                <w:div w:id="1669167751">
                  <w:marLeft w:val="0"/>
                  <w:marRight w:val="0"/>
                  <w:marTop w:val="0"/>
                  <w:marBottom w:val="0"/>
                  <w:divBdr>
                    <w:top w:val="none" w:sz="0" w:space="0" w:color="auto"/>
                    <w:left w:val="none" w:sz="0" w:space="0" w:color="auto"/>
                    <w:bottom w:val="none" w:sz="0" w:space="0" w:color="auto"/>
                    <w:right w:val="none" w:sz="0" w:space="0" w:color="auto"/>
                  </w:divBdr>
                  <w:divsChild>
                    <w:div w:id="1377048266">
                      <w:marLeft w:val="0"/>
                      <w:marRight w:val="0"/>
                      <w:marTop w:val="0"/>
                      <w:marBottom w:val="0"/>
                      <w:divBdr>
                        <w:top w:val="none" w:sz="0" w:space="0" w:color="auto"/>
                        <w:left w:val="none" w:sz="0" w:space="0" w:color="auto"/>
                        <w:bottom w:val="none" w:sz="0" w:space="0" w:color="auto"/>
                        <w:right w:val="none" w:sz="0" w:space="0" w:color="auto"/>
                      </w:divBdr>
                    </w:div>
                  </w:divsChild>
                </w:div>
                <w:div w:id="1675691441">
                  <w:marLeft w:val="0"/>
                  <w:marRight w:val="0"/>
                  <w:marTop w:val="0"/>
                  <w:marBottom w:val="0"/>
                  <w:divBdr>
                    <w:top w:val="none" w:sz="0" w:space="0" w:color="auto"/>
                    <w:left w:val="none" w:sz="0" w:space="0" w:color="auto"/>
                    <w:bottom w:val="none" w:sz="0" w:space="0" w:color="auto"/>
                    <w:right w:val="none" w:sz="0" w:space="0" w:color="auto"/>
                  </w:divBdr>
                  <w:divsChild>
                    <w:div w:id="2086680195">
                      <w:marLeft w:val="0"/>
                      <w:marRight w:val="0"/>
                      <w:marTop w:val="0"/>
                      <w:marBottom w:val="0"/>
                      <w:divBdr>
                        <w:top w:val="none" w:sz="0" w:space="0" w:color="auto"/>
                        <w:left w:val="none" w:sz="0" w:space="0" w:color="auto"/>
                        <w:bottom w:val="none" w:sz="0" w:space="0" w:color="auto"/>
                        <w:right w:val="none" w:sz="0" w:space="0" w:color="auto"/>
                      </w:divBdr>
                    </w:div>
                  </w:divsChild>
                </w:div>
                <w:div w:id="1679308380">
                  <w:marLeft w:val="0"/>
                  <w:marRight w:val="0"/>
                  <w:marTop w:val="0"/>
                  <w:marBottom w:val="0"/>
                  <w:divBdr>
                    <w:top w:val="none" w:sz="0" w:space="0" w:color="auto"/>
                    <w:left w:val="none" w:sz="0" w:space="0" w:color="auto"/>
                    <w:bottom w:val="none" w:sz="0" w:space="0" w:color="auto"/>
                    <w:right w:val="none" w:sz="0" w:space="0" w:color="auto"/>
                  </w:divBdr>
                  <w:divsChild>
                    <w:div w:id="1110663277">
                      <w:marLeft w:val="0"/>
                      <w:marRight w:val="0"/>
                      <w:marTop w:val="0"/>
                      <w:marBottom w:val="0"/>
                      <w:divBdr>
                        <w:top w:val="none" w:sz="0" w:space="0" w:color="auto"/>
                        <w:left w:val="none" w:sz="0" w:space="0" w:color="auto"/>
                        <w:bottom w:val="none" w:sz="0" w:space="0" w:color="auto"/>
                        <w:right w:val="none" w:sz="0" w:space="0" w:color="auto"/>
                      </w:divBdr>
                    </w:div>
                  </w:divsChild>
                </w:div>
                <w:div w:id="1692610048">
                  <w:marLeft w:val="0"/>
                  <w:marRight w:val="0"/>
                  <w:marTop w:val="0"/>
                  <w:marBottom w:val="0"/>
                  <w:divBdr>
                    <w:top w:val="none" w:sz="0" w:space="0" w:color="auto"/>
                    <w:left w:val="none" w:sz="0" w:space="0" w:color="auto"/>
                    <w:bottom w:val="none" w:sz="0" w:space="0" w:color="auto"/>
                    <w:right w:val="none" w:sz="0" w:space="0" w:color="auto"/>
                  </w:divBdr>
                  <w:divsChild>
                    <w:div w:id="1204100784">
                      <w:marLeft w:val="0"/>
                      <w:marRight w:val="0"/>
                      <w:marTop w:val="0"/>
                      <w:marBottom w:val="0"/>
                      <w:divBdr>
                        <w:top w:val="none" w:sz="0" w:space="0" w:color="auto"/>
                        <w:left w:val="none" w:sz="0" w:space="0" w:color="auto"/>
                        <w:bottom w:val="none" w:sz="0" w:space="0" w:color="auto"/>
                        <w:right w:val="none" w:sz="0" w:space="0" w:color="auto"/>
                      </w:divBdr>
                    </w:div>
                  </w:divsChild>
                </w:div>
                <w:div w:id="1696927423">
                  <w:marLeft w:val="0"/>
                  <w:marRight w:val="0"/>
                  <w:marTop w:val="0"/>
                  <w:marBottom w:val="0"/>
                  <w:divBdr>
                    <w:top w:val="none" w:sz="0" w:space="0" w:color="auto"/>
                    <w:left w:val="none" w:sz="0" w:space="0" w:color="auto"/>
                    <w:bottom w:val="none" w:sz="0" w:space="0" w:color="auto"/>
                    <w:right w:val="none" w:sz="0" w:space="0" w:color="auto"/>
                  </w:divBdr>
                  <w:divsChild>
                    <w:div w:id="1034500796">
                      <w:marLeft w:val="0"/>
                      <w:marRight w:val="0"/>
                      <w:marTop w:val="0"/>
                      <w:marBottom w:val="0"/>
                      <w:divBdr>
                        <w:top w:val="none" w:sz="0" w:space="0" w:color="auto"/>
                        <w:left w:val="none" w:sz="0" w:space="0" w:color="auto"/>
                        <w:bottom w:val="none" w:sz="0" w:space="0" w:color="auto"/>
                        <w:right w:val="none" w:sz="0" w:space="0" w:color="auto"/>
                      </w:divBdr>
                    </w:div>
                  </w:divsChild>
                </w:div>
                <w:div w:id="1697921806">
                  <w:marLeft w:val="0"/>
                  <w:marRight w:val="0"/>
                  <w:marTop w:val="0"/>
                  <w:marBottom w:val="0"/>
                  <w:divBdr>
                    <w:top w:val="none" w:sz="0" w:space="0" w:color="auto"/>
                    <w:left w:val="none" w:sz="0" w:space="0" w:color="auto"/>
                    <w:bottom w:val="none" w:sz="0" w:space="0" w:color="auto"/>
                    <w:right w:val="none" w:sz="0" w:space="0" w:color="auto"/>
                  </w:divBdr>
                  <w:divsChild>
                    <w:div w:id="1917787381">
                      <w:marLeft w:val="0"/>
                      <w:marRight w:val="0"/>
                      <w:marTop w:val="0"/>
                      <w:marBottom w:val="0"/>
                      <w:divBdr>
                        <w:top w:val="none" w:sz="0" w:space="0" w:color="auto"/>
                        <w:left w:val="none" w:sz="0" w:space="0" w:color="auto"/>
                        <w:bottom w:val="none" w:sz="0" w:space="0" w:color="auto"/>
                        <w:right w:val="none" w:sz="0" w:space="0" w:color="auto"/>
                      </w:divBdr>
                    </w:div>
                  </w:divsChild>
                </w:div>
                <w:div w:id="1699500460">
                  <w:marLeft w:val="0"/>
                  <w:marRight w:val="0"/>
                  <w:marTop w:val="0"/>
                  <w:marBottom w:val="0"/>
                  <w:divBdr>
                    <w:top w:val="none" w:sz="0" w:space="0" w:color="auto"/>
                    <w:left w:val="none" w:sz="0" w:space="0" w:color="auto"/>
                    <w:bottom w:val="none" w:sz="0" w:space="0" w:color="auto"/>
                    <w:right w:val="none" w:sz="0" w:space="0" w:color="auto"/>
                  </w:divBdr>
                  <w:divsChild>
                    <w:div w:id="1514105676">
                      <w:marLeft w:val="0"/>
                      <w:marRight w:val="0"/>
                      <w:marTop w:val="0"/>
                      <w:marBottom w:val="0"/>
                      <w:divBdr>
                        <w:top w:val="none" w:sz="0" w:space="0" w:color="auto"/>
                        <w:left w:val="none" w:sz="0" w:space="0" w:color="auto"/>
                        <w:bottom w:val="none" w:sz="0" w:space="0" w:color="auto"/>
                        <w:right w:val="none" w:sz="0" w:space="0" w:color="auto"/>
                      </w:divBdr>
                    </w:div>
                  </w:divsChild>
                </w:div>
                <w:div w:id="1711146150">
                  <w:marLeft w:val="0"/>
                  <w:marRight w:val="0"/>
                  <w:marTop w:val="0"/>
                  <w:marBottom w:val="0"/>
                  <w:divBdr>
                    <w:top w:val="none" w:sz="0" w:space="0" w:color="auto"/>
                    <w:left w:val="none" w:sz="0" w:space="0" w:color="auto"/>
                    <w:bottom w:val="none" w:sz="0" w:space="0" w:color="auto"/>
                    <w:right w:val="none" w:sz="0" w:space="0" w:color="auto"/>
                  </w:divBdr>
                  <w:divsChild>
                    <w:div w:id="1515195048">
                      <w:marLeft w:val="0"/>
                      <w:marRight w:val="0"/>
                      <w:marTop w:val="0"/>
                      <w:marBottom w:val="0"/>
                      <w:divBdr>
                        <w:top w:val="none" w:sz="0" w:space="0" w:color="auto"/>
                        <w:left w:val="none" w:sz="0" w:space="0" w:color="auto"/>
                        <w:bottom w:val="none" w:sz="0" w:space="0" w:color="auto"/>
                        <w:right w:val="none" w:sz="0" w:space="0" w:color="auto"/>
                      </w:divBdr>
                    </w:div>
                  </w:divsChild>
                </w:div>
                <w:div w:id="1716419394">
                  <w:marLeft w:val="0"/>
                  <w:marRight w:val="0"/>
                  <w:marTop w:val="0"/>
                  <w:marBottom w:val="0"/>
                  <w:divBdr>
                    <w:top w:val="none" w:sz="0" w:space="0" w:color="auto"/>
                    <w:left w:val="none" w:sz="0" w:space="0" w:color="auto"/>
                    <w:bottom w:val="none" w:sz="0" w:space="0" w:color="auto"/>
                    <w:right w:val="none" w:sz="0" w:space="0" w:color="auto"/>
                  </w:divBdr>
                  <w:divsChild>
                    <w:div w:id="115029038">
                      <w:marLeft w:val="0"/>
                      <w:marRight w:val="0"/>
                      <w:marTop w:val="0"/>
                      <w:marBottom w:val="0"/>
                      <w:divBdr>
                        <w:top w:val="none" w:sz="0" w:space="0" w:color="auto"/>
                        <w:left w:val="none" w:sz="0" w:space="0" w:color="auto"/>
                        <w:bottom w:val="none" w:sz="0" w:space="0" w:color="auto"/>
                        <w:right w:val="none" w:sz="0" w:space="0" w:color="auto"/>
                      </w:divBdr>
                    </w:div>
                  </w:divsChild>
                </w:div>
                <w:div w:id="1720476558">
                  <w:marLeft w:val="0"/>
                  <w:marRight w:val="0"/>
                  <w:marTop w:val="0"/>
                  <w:marBottom w:val="0"/>
                  <w:divBdr>
                    <w:top w:val="none" w:sz="0" w:space="0" w:color="auto"/>
                    <w:left w:val="none" w:sz="0" w:space="0" w:color="auto"/>
                    <w:bottom w:val="none" w:sz="0" w:space="0" w:color="auto"/>
                    <w:right w:val="none" w:sz="0" w:space="0" w:color="auto"/>
                  </w:divBdr>
                  <w:divsChild>
                    <w:div w:id="1395424094">
                      <w:marLeft w:val="0"/>
                      <w:marRight w:val="0"/>
                      <w:marTop w:val="0"/>
                      <w:marBottom w:val="0"/>
                      <w:divBdr>
                        <w:top w:val="none" w:sz="0" w:space="0" w:color="auto"/>
                        <w:left w:val="none" w:sz="0" w:space="0" w:color="auto"/>
                        <w:bottom w:val="none" w:sz="0" w:space="0" w:color="auto"/>
                        <w:right w:val="none" w:sz="0" w:space="0" w:color="auto"/>
                      </w:divBdr>
                    </w:div>
                  </w:divsChild>
                </w:div>
                <w:div w:id="1744260651">
                  <w:marLeft w:val="0"/>
                  <w:marRight w:val="0"/>
                  <w:marTop w:val="0"/>
                  <w:marBottom w:val="0"/>
                  <w:divBdr>
                    <w:top w:val="none" w:sz="0" w:space="0" w:color="auto"/>
                    <w:left w:val="none" w:sz="0" w:space="0" w:color="auto"/>
                    <w:bottom w:val="none" w:sz="0" w:space="0" w:color="auto"/>
                    <w:right w:val="none" w:sz="0" w:space="0" w:color="auto"/>
                  </w:divBdr>
                  <w:divsChild>
                    <w:div w:id="992681438">
                      <w:marLeft w:val="0"/>
                      <w:marRight w:val="0"/>
                      <w:marTop w:val="0"/>
                      <w:marBottom w:val="0"/>
                      <w:divBdr>
                        <w:top w:val="none" w:sz="0" w:space="0" w:color="auto"/>
                        <w:left w:val="none" w:sz="0" w:space="0" w:color="auto"/>
                        <w:bottom w:val="none" w:sz="0" w:space="0" w:color="auto"/>
                        <w:right w:val="none" w:sz="0" w:space="0" w:color="auto"/>
                      </w:divBdr>
                    </w:div>
                  </w:divsChild>
                </w:div>
                <w:div w:id="1752727258">
                  <w:marLeft w:val="0"/>
                  <w:marRight w:val="0"/>
                  <w:marTop w:val="0"/>
                  <w:marBottom w:val="0"/>
                  <w:divBdr>
                    <w:top w:val="none" w:sz="0" w:space="0" w:color="auto"/>
                    <w:left w:val="none" w:sz="0" w:space="0" w:color="auto"/>
                    <w:bottom w:val="none" w:sz="0" w:space="0" w:color="auto"/>
                    <w:right w:val="none" w:sz="0" w:space="0" w:color="auto"/>
                  </w:divBdr>
                  <w:divsChild>
                    <w:div w:id="51199143">
                      <w:marLeft w:val="0"/>
                      <w:marRight w:val="0"/>
                      <w:marTop w:val="0"/>
                      <w:marBottom w:val="0"/>
                      <w:divBdr>
                        <w:top w:val="none" w:sz="0" w:space="0" w:color="auto"/>
                        <w:left w:val="none" w:sz="0" w:space="0" w:color="auto"/>
                        <w:bottom w:val="none" w:sz="0" w:space="0" w:color="auto"/>
                        <w:right w:val="none" w:sz="0" w:space="0" w:color="auto"/>
                      </w:divBdr>
                    </w:div>
                  </w:divsChild>
                </w:div>
                <w:div w:id="1762020825">
                  <w:marLeft w:val="0"/>
                  <w:marRight w:val="0"/>
                  <w:marTop w:val="0"/>
                  <w:marBottom w:val="0"/>
                  <w:divBdr>
                    <w:top w:val="none" w:sz="0" w:space="0" w:color="auto"/>
                    <w:left w:val="none" w:sz="0" w:space="0" w:color="auto"/>
                    <w:bottom w:val="none" w:sz="0" w:space="0" w:color="auto"/>
                    <w:right w:val="none" w:sz="0" w:space="0" w:color="auto"/>
                  </w:divBdr>
                  <w:divsChild>
                    <w:div w:id="1829637080">
                      <w:marLeft w:val="0"/>
                      <w:marRight w:val="0"/>
                      <w:marTop w:val="0"/>
                      <w:marBottom w:val="0"/>
                      <w:divBdr>
                        <w:top w:val="none" w:sz="0" w:space="0" w:color="auto"/>
                        <w:left w:val="none" w:sz="0" w:space="0" w:color="auto"/>
                        <w:bottom w:val="none" w:sz="0" w:space="0" w:color="auto"/>
                        <w:right w:val="none" w:sz="0" w:space="0" w:color="auto"/>
                      </w:divBdr>
                    </w:div>
                  </w:divsChild>
                </w:div>
                <w:div w:id="1774351673">
                  <w:marLeft w:val="0"/>
                  <w:marRight w:val="0"/>
                  <w:marTop w:val="0"/>
                  <w:marBottom w:val="0"/>
                  <w:divBdr>
                    <w:top w:val="none" w:sz="0" w:space="0" w:color="auto"/>
                    <w:left w:val="none" w:sz="0" w:space="0" w:color="auto"/>
                    <w:bottom w:val="none" w:sz="0" w:space="0" w:color="auto"/>
                    <w:right w:val="none" w:sz="0" w:space="0" w:color="auto"/>
                  </w:divBdr>
                  <w:divsChild>
                    <w:div w:id="1390684826">
                      <w:marLeft w:val="0"/>
                      <w:marRight w:val="0"/>
                      <w:marTop w:val="0"/>
                      <w:marBottom w:val="0"/>
                      <w:divBdr>
                        <w:top w:val="none" w:sz="0" w:space="0" w:color="auto"/>
                        <w:left w:val="none" w:sz="0" w:space="0" w:color="auto"/>
                        <w:bottom w:val="none" w:sz="0" w:space="0" w:color="auto"/>
                        <w:right w:val="none" w:sz="0" w:space="0" w:color="auto"/>
                      </w:divBdr>
                    </w:div>
                  </w:divsChild>
                </w:div>
                <w:div w:id="1774785964">
                  <w:marLeft w:val="0"/>
                  <w:marRight w:val="0"/>
                  <w:marTop w:val="0"/>
                  <w:marBottom w:val="0"/>
                  <w:divBdr>
                    <w:top w:val="none" w:sz="0" w:space="0" w:color="auto"/>
                    <w:left w:val="none" w:sz="0" w:space="0" w:color="auto"/>
                    <w:bottom w:val="none" w:sz="0" w:space="0" w:color="auto"/>
                    <w:right w:val="none" w:sz="0" w:space="0" w:color="auto"/>
                  </w:divBdr>
                  <w:divsChild>
                    <w:div w:id="1232233432">
                      <w:marLeft w:val="0"/>
                      <w:marRight w:val="0"/>
                      <w:marTop w:val="0"/>
                      <w:marBottom w:val="0"/>
                      <w:divBdr>
                        <w:top w:val="none" w:sz="0" w:space="0" w:color="auto"/>
                        <w:left w:val="none" w:sz="0" w:space="0" w:color="auto"/>
                        <w:bottom w:val="none" w:sz="0" w:space="0" w:color="auto"/>
                        <w:right w:val="none" w:sz="0" w:space="0" w:color="auto"/>
                      </w:divBdr>
                    </w:div>
                  </w:divsChild>
                </w:div>
                <w:div w:id="1776709993">
                  <w:marLeft w:val="0"/>
                  <w:marRight w:val="0"/>
                  <w:marTop w:val="0"/>
                  <w:marBottom w:val="0"/>
                  <w:divBdr>
                    <w:top w:val="none" w:sz="0" w:space="0" w:color="auto"/>
                    <w:left w:val="none" w:sz="0" w:space="0" w:color="auto"/>
                    <w:bottom w:val="none" w:sz="0" w:space="0" w:color="auto"/>
                    <w:right w:val="none" w:sz="0" w:space="0" w:color="auto"/>
                  </w:divBdr>
                  <w:divsChild>
                    <w:div w:id="73675088">
                      <w:marLeft w:val="0"/>
                      <w:marRight w:val="0"/>
                      <w:marTop w:val="0"/>
                      <w:marBottom w:val="0"/>
                      <w:divBdr>
                        <w:top w:val="none" w:sz="0" w:space="0" w:color="auto"/>
                        <w:left w:val="none" w:sz="0" w:space="0" w:color="auto"/>
                        <w:bottom w:val="none" w:sz="0" w:space="0" w:color="auto"/>
                        <w:right w:val="none" w:sz="0" w:space="0" w:color="auto"/>
                      </w:divBdr>
                    </w:div>
                  </w:divsChild>
                </w:div>
                <w:div w:id="1799642734">
                  <w:marLeft w:val="0"/>
                  <w:marRight w:val="0"/>
                  <w:marTop w:val="0"/>
                  <w:marBottom w:val="0"/>
                  <w:divBdr>
                    <w:top w:val="none" w:sz="0" w:space="0" w:color="auto"/>
                    <w:left w:val="none" w:sz="0" w:space="0" w:color="auto"/>
                    <w:bottom w:val="none" w:sz="0" w:space="0" w:color="auto"/>
                    <w:right w:val="none" w:sz="0" w:space="0" w:color="auto"/>
                  </w:divBdr>
                  <w:divsChild>
                    <w:div w:id="678044674">
                      <w:marLeft w:val="0"/>
                      <w:marRight w:val="0"/>
                      <w:marTop w:val="0"/>
                      <w:marBottom w:val="0"/>
                      <w:divBdr>
                        <w:top w:val="none" w:sz="0" w:space="0" w:color="auto"/>
                        <w:left w:val="none" w:sz="0" w:space="0" w:color="auto"/>
                        <w:bottom w:val="none" w:sz="0" w:space="0" w:color="auto"/>
                        <w:right w:val="none" w:sz="0" w:space="0" w:color="auto"/>
                      </w:divBdr>
                    </w:div>
                  </w:divsChild>
                </w:div>
                <w:div w:id="1845782608">
                  <w:marLeft w:val="0"/>
                  <w:marRight w:val="0"/>
                  <w:marTop w:val="0"/>
                  <w:marBottom w:val="0"/>
                  <w:divBdr>
                    <w:top w:val="none" w:sz="0" w:space="0" w:color="auto"/>
                    <w:left w:val="none" w:sz="0" w:space="0" w:color="auto"/>
                    <w:bottom w:val="none" w:sz="0" w:space="0" w:color="auto"/>
                    <w:right w:val="none" w:sz="0" w:space="0" w:color="auto"/>
                  </w:divBdr>
                  <w:divsChild>
                    <w:div w:id="514464709">
                      <w:marLeft w:val="0"/>
                      <w:marRight w:val="0"/>
                      <w:marTop w:val="0"/>
                      <w:marBottom w:val="0"/>
                      <w:divBdr>
                        <w:top w:val="none" w:sz="0" w:space="0" w:color="auto"/>
                        <w:left w:val="none" w:sz="0" w:space="0" w:color="auto"/>
                        <w:bottom w:val="none" w:sz="0" w:space="0" w:color="auto"/>
                        <w:right w:val="none" w:sz="0" w:space="0" w:color="auto"/>
                      </w:divBdr>
                    </w:div>
                  </w:divsChild>
                </w:div>
                <w:div w:id="1850871121">
                  <w:marLeft w:val="0"/>
                  <w:marRight w:val="0"/>
                  <w:marTop w:val="0"/>
                  <w:marBottom w:val="0"/>
                  <w:divBdr>
                    <w:top w:val="none" w:sz="0" w:space="0" w:color="auto"/>
                    <w:left w:val="none" w:sz="0" w:space="0" w:color="auto"/>
                    <w:bottom w:val="none" w:sz="0" w:space="0" w:color="auto"/>
                    <w:right w:val="none" w:sz="0" w:space="0" w:color="auto"/>
                  </w:divBdr>
                  <w:divsChild>
                    <w:div w:id="2130587811">
                      <w:marLeft w:val="0"/>
                      <w:marRight w:val="0"/>
                      <w:marTop w:val="0"/>
                      <w:marBottom w:val="0"/>
                      <w:divBdr>
                        <w:top w:val="none" w:sz="0" w:space="0" w:color="auto"/>
                        <w:left w:val="none" w:sz="0" w:space="0" w:color="auto"/>
                        <w:bottom w:val="none" w:sz="0" w:space="0" w:color="auto"/>
                        <w:right w:val="none" w:sz="0" w:space="0" w:color="auto"/>
                      </w:divBdr>
                    </w:div>
                  </w:divsChild>
                </w:div>
                <w:div w:id="1857621981">
                  <w:marLeft w:val="0"/>
                  <w:marRight w:val="0"/>
                  <w:marTop w:val="0"/>
                  <w:marBottom w:val="0"/>
                  <w:divBdr>
                    <w:top w:val="none" w:sz="0" w:space="0" w:color="auto"/>
                    <w:left w:val="none" w:sz="0" w:space="0" w:color="auto"/>
                    <w:bottom w:val="none" w:sz="0" w:space="0" w:color="auto"/>
                    <w:right w:val="none" w:sz="0" w:space="0" w:color="auto"/>
                  </w:divBdr>
                  <w:divsChild>
                    <w:div w:id="2123379645">
                      <w:marLeft w:val="0"/>
                      <w:marRight w:val="0"/>
                      <w:marTop w:val="0"/>
                      <w:marBottom w:val="0"/>
                      <w:divBdr>
                        <w:top w:val="none" w:sz="0" w:space="0" w:color="auto"/>
                        <w:left w:val="none" w:sz="0" w:space="0" w:color="auto"/>
                        <w:bottom w:val="none" w:sz="0" w:space="0" w:color="auto"/>
                        <w:right w:val="none" w:sz="0" w:space="0" w:color="auto"/>
                      </w:divBdr>
                    </w:div>
                  </w:divsChild>
                </w:div>
                <w:div w:id="1903054246">
                  <w:marLeft w:val="0"/>
                  <w:marRight w:val="0"/>
                  <w:marTop w:val="0"/>
                  <w:marBottom w:val="0"/>
                  <w:divBdr>
                    <w:top w:val="none" w:sz="0" w:space="0" w:color="auto"/>
                    <w:left w:val="none" w:sz="0" w:space="0" w:color="auto"/>
                    <w:bottom w:val="none" w:sz="0" w:space="0" w:color="auto"/>
                    <w:right w:val="none" w:sz="0" w:space="0" w:color="auto"/>
                  </w:divBdr>
                  <w:divsChild>
                    <w:div w:id="291786527">
                      <w:marLeft w:val="0"/>
                      <w:marRight w:val="0"/>
                      <w:marTop w:val="0"/>
                      <w:marBottom w:val="0"/>
                      <w:divBdr>
                        <w:top w:val="none" w:sz="0" w:space="0" w:color="auto"/>
                        <w:left w:val="none" w:sz="0" w:space="0" w:color="auto"/>
                        <w:bottom w:val="none" w:sz="0" w:space="0" w:color="auto"/>
                        <w:right w:val="none" w:sz="0" w:space="0" w:color="auto"/>
                      </w:divBdr>
                    </w:div>
                  </w:divsChild>
                </w:div>
                <w:div w:id="1903372755">
                  <w:marLeft w:val="0"/>
                  <w:marRight w:val="0"/>
                  <w:marTop w:val="0"/>
                  <w:marBottom w:val="0"/>
                  <w:divBdr>
                    <w:top w:val="none" w:sz="0" w:space="0" w:color="auto"/>
                    <w:left w:val="none" w:sz="0" w:space="0" w:color="auto"/>
                    <w:bottom w:val="none" w:sz="0" w:space="0" w:color="auto"/>
                    <w:right w:val="none" w:sz="0" w:space="0" w:color="auto"/>
                  </w:divBdr>
                  <w:divsChild>
                    <w:div w:id="1161507476">
                      <w:marLeft w:val="0"/>
                      <w:marRight w:val="0"/>
                      <w:marTop w:val="0"/>
                      <w:marBottom w:val="0"/>
                      <w:divBdr>
                        <w:top w:val="none" w:sz="0" w:space="0" w:color="auto"/>
                        <w:left w:val="none" w:sz="0" w:space="0" w:color="auto"/>
                        <w:bottom w:val="none" w:sz="0" w:space="0" w:color="auto"/>
                        <w:right w:val="none" w:sz="0" w:space="0" w:color="auto"/>
                      </w:divBdr>
                    </w:div>
                  </w:divsChild>
                </w:div>
                <w:div w:id="1905674738">
                  <w:marLeft w:val="0"/>
                  <w:marRight w:val="0"/>
                  <w:marTop w:val="0"/>
                  <w:marBottom w:val="0"/>
                  <w:divBdr>
                    <w:top w:val="none" w:sz="0" w:space="0" w:color="auto"/>
                    <w:left w:val="none" w:sz="0" w:space="0" w:color="auto"/>
                    <w:bottom w:val="none" w:sz="0" w:space="0" w:color="auto"/>
                    <w:right w:val="none" w:sz="0" w:space="0" w:color="auto"/>
                  </w:divBdr>
                  <w:divsChild>
                    <w:div w:id="1750736230">
                      <w:marLeft w:val="0"/>
                      <w:marRight w:val="0"/>
                      <w:marTop w:val="0"/>
                      <w:marBottom w:val="0"/>
                      <w:divBdr>
                        <w:top w:val="none" w:sz="0" w:space="0" w:color="auto"/>
                        <w:left w:val="none" w:sz="0" w:space="0" w:color="auto"/>
                        <w:bottom w:val="none" w:sz="0" w:space="0" w:color="auto"/>
                        <w:right w:val="none" w:sz="0" w:space="0" w:color="auto"/>
                      </w:divBdr>
                    </w:div>
                  </w:divsChild>
                </w:div>
                <w:div w:id="1911501602">
                  <w:marLeft w:val="0"/>
                  <w:marRight w:val="0"/>
                  <w:marTop w:val="0"/>
                  <w:marBottom w:val="0"/>
                  <w:divBdr>
                    <w:top w:val="none" w:sz="0" w:space="0" w:color="auto"/>
                    <w:left w:val="none" w:sz="0" w:space="0" w:color="auto"/>
                    <w:bottom w:val="none" w:sz="0" w:space="0" w:color="auto"/>
                    <w:right w:val="none" w:sz="0" w:space="0" w:color="auto"/>
                  </w:divBdr>
                  <w:divsChild>
                    <w:div w:id="2066904395">
                      <w:marLeft w:val="0"/>
                      <w:marRight w:val="0"/>
                      <w:marTop w:val="0"/>
                      <w:marBottom w:val="0"/>
                      <w:divBdr>
                        <w:top w:val="none" w:sz="0" w:space="0" w:color="auto"/>
                        <w:left w:val="none" w:sz="0" w:space="0" w:color="auto"/>
                        <w:bottom w:val="none" w:sz="0" w:space="0" w:color="auto"/>
                        <w:right w:val="none" w:sz="0" w:space="0" w:color="auto"/>
                      </w:divBdr>
                    </w:div>
                  </w:divsChild>
                </w:div>
                <w:div w:id="1917283200">
                  <w:marLeft w:val="0"/>
                  <w:marRight w:val="0"/>
                  <w:marTop w:val="0"/>
                  <w:marBottom w:val="0"/>
                  <w:divBdr>
                    <w:top w:val="none" w:sz="0" w:space="0" w:color="auto"/>
                    <w:left w:val="none" w:sz="0" w:space="0" w:color="auto"/>
                    <w:bottom w:val="none" w:sz="0" w:space="0" w:color="auto"/>
                    <w:right w:val="none" w:sz="0" w:space="0" w:color="auto"/>
                  </w:divBdr>
                  <w:divsChild>
                    <w:div w:id="1077047724">
                      <w:marLeft w:val="0"/>
                      <w:marRight w:val="0"/>
                      <w:marTop w:val="0"/>
                      <w:marBottom w:val="0"/>
                      <w:divBdr>
                        <w:top w:val="none" w:sz="0" w:space="0" w:color="auto"/>
                        <w:left w:val="none" w:sz="0" w:space="0" w:color="auto"/>
                        <w:bottom w:val="none" w:sz="0" w:space="0" w:color="auto"/>
                        <w:right w:val="none" w:sz="0" w:space="0" w:color="auto"/>
                      </w:divBdr>
                    </w:div>
                  </w:divsChild>
                </w:div>
                <w:div w:id="1927112952">
                  <w:marLeft w:val="0"/>
                  <w:marRight w:val="0"/>
                  <w:marTop w:val="0"/>
                  <w:marBottom w:val="0"/>
                  <w:divBdr>
                    <w:top w:val="none" w:sz="0" w:space="0" w:color="auto"/>
                    <w:left w:val="none" w:sz="0" w:space="0" w:color="auto"/>
                    <w:bottom w:val="none" w:sz="0" w:space="0" w:color="auto"/>
                    <w:right w:val="none" w:sz="0" w:space="0" w:color="auto"/>
                  </w:divBdr>
                  <w:divsChild>
                    <w:div w:id="1629049695">
                      <w:marLeft w:val="0"/>
                      <w:marRight w:val="0"/>
                      <w:marTop w:val="0"/>
                      <w:marBottom w:val="0"/>
                      <w:divBdr>
                        <w:top w:val="none" w:sz="0" w:space="0" w:color="auto"/>
                        <w:left w:val="none" w:sz="0" w:space="0" w:color="auto"/>
                        <w:bottom w:val="none" w:sz="0" w:space="0" w:color="auto"/>
                        <w:right w:val="none" w:sz="0" w:space="0" w:color="auto"/>
                      </w:divBdr>
                    </w:div>
                  </w:divsChild>
                </w:div>
                <w:div w:id="1960256299">
                  <w:marLeft w:val="0"/>
                  <w:marRight w:val="0"/>
                  <w:marTop w:val="0"/>
                  <w:marBottom w:val="0"/>
                  <w:divBdr>
                    <w:top w:val="none" w:sz="0" w:space="0" w:color="auto"/>
                    <w:left w:val="none" w:sz="0" w:space="0" w:color="auto"/>
                    <w:bottom w:val="none" w:sz="0" w:space="0" w:color="auto"/>
                    <w:right w:val="none" w:sz="0" w:space="0" w:color="auto"/>
                  </w:divBdr>
                  <w:divsChild>
                    <w:div w:id="1916086718">
                      <w:marLeft w:val="0"/>
                      <w:marRight w:val="0"/>
                      <w:marTop w:val="0"/>
                      <w:marBottom w:val="0"/>
                      <w:divBdr>
                        <w:top w:val="none" w:sz="0" w:space="0" w:color="auto"/>
                        <w:left w:val="none" w:sz="0" w:space="0" w:color="auto"/>
                        <w:bottom w:val="none" w:sz="0" w:space="0" w:color="auto"/>
                        <w:right w:val="none" w:sz="0" w:space="0" w:color="auto"/>
                      </w:divBdr>
                    </w:div>
                  </w:divsChild>
                </w:div>
                <w:div w:id="2007395419">
                  <w:marLeft w:val="0"/>
                  <w:marRight w:val="0"/>
                  <w:marTop w:val="0"/>
                  <w:marBottom w:val="0"/>
                  <w:divBdr>
                    <w:top w:val="none" w:sz="0" w:space="0" w:color="auto"/>
                    <w:left w:val="none" w:sz="0" w:space="0" w:color="auto"/>
                    <w:bottom w:val="none" w:sz="0" w:space="0" w:color="auto"/>
                    <w:right w:val="none" w:sz="0" w:space="0" w:color="auto"/>
                  </w:divBdr>
                  <w:divsChild>
                    <w:div w:id="989477505">
                      <w:marLeft w:val="0"/>
                      <w:marRight w:val="0"/>
                      <w:marTop w:val="0"/>
                      <w:marBottom w:val="0"/>
                      <w:divBdr>
                        <w:top w:val="none" w:sz="0" w:space="0" w:color="auto"/>
                        <w:left w:val="none" w:sz="0" w:space="0" w:color="auto"/>
                        <w:bottom w:val="none" w:sz="0" w:space="0" w:color="auto"/>
                        <w:right w:val="none" w:sz="0" w:space="0" w:color="auto"/>
                      </w:divBdr>
                    </w:div>
                  </w:divsChild>
                </w:div>
                <w:div w:id="2024431715">
                  <w:marLeft w:val="0"/>
                  <w:marRight w:val="0"/>
                  <w:marTop w:val="0"/>
                  <w:marBottom w:val="0"/>
                  <w:divBdr>
                    <w:top w:val="none" w:sz="0" w:space="0" w:color="auto"/>
                    <w:left w:val="none" w:sz="0" w:space="0" w:color="auto"/>
                    <w:bottom w:val="none" w:sz="0" w:space="0" w:color="auto"/>
                    <w:right w:val="none" w:sz="0" w:space="0" w:color="auto"/>
                  </w:divBdr>
                  <w:divsChild>
                    <w:div w:id="1894001180">
                      <w:marLeft w:val="0"/>
                      <w:marRight w:val="0"/>
                      <w:marTop w:val="0"/>
                      <w:marBottom w:val="0"/>
                      <w:divBdr>
                        <w:top w:val="none" w:sz="0" w:space="0" w:color="auto"/>
                        <w:left w:val="none" w:sz="0" w:space="0" w:color="auto"/>
                        <w:bottom w:val="none" w:sz="0" w:space="0" w:color="auto"/>
                        <w:right w:val="none" w:sz="0" w:space="0" w:color="auto"/>
                      </w:divBdr>
                    </w:div>
                  </w:divsChild>
                </w:div>
                <w:div w:id="2031956461">
                  <w:marLeft w:val="0"/>
                  <w:marRight w:val="0"/>
                  <w:marTop w:val="0"/>
                  <w:marBottom w:val="0"/>
                  <w:divBdr>
                    <w:top w:val="none" w:sz="0" w:space="0" w:color="auto"/>
                    <w:left w:val="none" w:sz="0" w:space="0" w:color="auto"/>
                    <w:bottom w:val="none" w:sz="0" w:space="0" w:color="auto"/>
                    <w:right w:val="none" w:sz="0" w:space="0" w:color="auto"/>
                  </w:divBdr>
                  <w:divsChild>
                    <w:div w:id="1428773360">
                      <w:marLeft w:val="0"/>
                      <w:marRight w:val="0"/>
                      <w:marTop w:val="0"/>
                      <w:marBottom w:val="0"/>
                      <w:divBdr>
                        <w:top w:val="none" w:sz="0" w:space="0" w:color="auto"/>
                        <w:left w:val="none" w:sz="0" w:space="0" w:color="auto"/>
                        <w:bottom w:val="none" w:sz="0" w:space="0" w:color="auto"/>
                        <w:right w:val="none" w:sz="0" w:space="0" w:color="auto"/>
                      </w:divBdr>
                    </w:div>
                  </w:divsChild>
                </w:div>
                <w:div w:id="2053458026">
                  <w:marLeft w:val="0"/>
                  <w:marRight w:val="0"/>
                  <w:marTop w:val="0"/>
                  <w:marBottom w:val="0"/>
                  <w:divBdr>
                    <w:top w:val="none" w:sz="0" w:space="0" w:color="auto"/>
                    <w:left w:val="none" w:sz="0" w:space="0" w:color="auto"/>
                    <w:bottom w:val="none" w:sz="0" w:space="0" w:color="auto"/>
                    <w:right w:val="none" w:sz="0" w:space="0" w:color="auto"/>
                  </w:divBdr>
                  <w:divsChild>
                    <w:div w:id="1260065726">
                      <w:marLeft w:val="0"/>
                      <w:marRight w:val="0"/>
                      <w:marTop w:val="0"/>
                      <w:marBottom w:val="0"/>
                      <w:divBdr>
                        <w:top w:val="none" w:sz="0" w:space="0" w:color="auto"/>
                        <w:left w:val="none" w:sz="0" w:space="0" w:color="auto"/>
                        <w:bottom w:val="none" w:sz="0" w:space="0" w:color="auto"/>
                        <w:right w:val="none" w:sz="0" w:space="0" w:color="auto"/>
                      </w:divBdr>
                    </w:div>
                  </w:divsChild>
                </w:div>
                <w:div w:id="2082100904">
                  <w:marLeft w:val="0"/>
                  <w:marRight w:val="0"/>
                  <w:marTop w:val="0"/>
                  <w:marBottom w:val="0"/>
                  <w:divBdr>
                    <w:top w:val="none" w:sz="0" w:space="0" w:color="auto"/>
                    <w:left w:val="none" w:sz="0" w:space="0" w:color="auto"/>
                    <w:bottom w:val="none" w:sz="0" w:space="0" w:color="auto"/>
                    <w:right w:val="none" w:sz="0" w:space="0" w:color="auto"/>
                  </w:divBdr>
                  <w:divsChild>
                    <w:div w:id="1744720805">
                      <w:marLeft w:val="0"/>
                      <w:marRight w:val="0"/>
                      <w:marTop w:val="0"/>
                      <w:marBottom w:val="0"/>
                      <w:divBdr>
                        <w:top w:val="none" w:sz="0" w:space="0" w:color="auto"/>
                        <w:left w:val="none" w:sz="0" w:space="0" w:color="auto"/>
                        <w:bottom w:val="none" w:sz="0" w:space="0" w:color="auto"/>
                        <w:right w:val="none" w:sz="0" w:space="0" w:color="auto"/>
                      </w:divBdr>
                    </w:div>
                  </w:divsChild>
                </w:div>
                <w:div w:id="2134592958">
                  <w:marLeft w:val="0"/>
                  <w:marRight w:val="0"/>
                  <w:marTop w:val="0"/>
                  <w:marBottom w:val="0"/>
                  <w:divBdr>
                    <w:top w:val="none" w:sz="0" w:space="0" w:color="auto"/>
                    <w:left w:val="none" w:sz="0" w:space="0" w:color="auto"/>
                    <w:bottom w:val="none" w:sz="0" w:space="0" w:color="auto"/>
                    <w:right w:val="none" w:sz="0" w:space="0" w:color="auto"/>
                  </w:divBdr>
                  <w:divsChild>
                    <w:div w:id="198176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355041">
          <w:marLeft w:val="0"/>
          <w:marRight w:val="0"/>
          <w:marTop w:val="0"/>
          <w:marBottom w:val="0"/>
          <w:divBdr>
            <w:top w:val="none" w:sz="0" w:space="0" w:color="auto"/>
            <w:left w:val="none" w:sz="0" w:space="0" w:color="auto"/>
            <w:bottom w:val="none" w:sz="0" w:space="0" w:color="auto"/>
            <w:right w:val="none" w:sz="0" w:space="0" w:color="auto"/>
          </w:divBdr>
        </w:div>
        <w:div w:id="1778717239">
          <w:marLeft w:val="0"/>
          <w:marRight w:val="0"/>
          <w:marTop w:val="0"/>
          <w:marBottom w:val="0"/>
          <w:divBdr>
            <w:top w:val="none" w:sz="0" w:space="0" w:color="auto"/>
            <w:left w:val="none" w:sz="0" w:space="0" w:color="auto"/>
            <w:bottom w:val="none" w:sz="0" w:space="0" w:color="auto"/>
            <w:right w:val="none" w:sz="0" w:space="0" w:color="auto"/>
          </w:divBdr>
          <w:divsChild>
            <w:div w:id="1118990293">
              <w:marLeft w:val="-75"/>
              <w:marRight w:val="0"/>
              <w:marTop w:val="30"/>
              <w:marBottom w:val="30"/>
              <w:divBdr>
                <w:top w:val="none" w:sz="0" w:space="0" w:color="auto"/>
                <w:left w:val="none" w:sz="0" w:space="0" w:color="auto"/>
                <w:bottom w:val="none" w:sz="0" w:space="0" w:color="auto"/>
                <w:right w:val="none" w:sz="0" w:space="0" w:color="auto"/>
              </w:divBdr>
              <w:divsChild>
                <w:div w:id="8682573">
                  <w:marLeft w:val="0"/>
                  <w:marRight w:val="0"/>
                  <w:marTop w:val="0"/>
                  <w:marBottom w:val="0"/>
                  <w:divBdr>
                    <w:top w:val="none" w:sz="0" w:space="0" w:color="auto"/>
                    <w:left w:val="none" w:sz="0" w:space="0" w:color="auto"/>
                    <w:bottom w:val="none" w:sz="0" w:space="0" w:color="auto"/>
                    <w:right w:val="none" w:sz="0" w:space="0" w:color="auto"/>
                  </w:divBdr>
                  <w:divsChild>
                    <w:div w:id="1802068008">
                      <w:marLeft w:val="0"/>
                      <w:marRight w:val="0"/>
                      <w:marTop w:val="0"/>
                      <w:marBottom w:val="0"/>
                      <w:divBdr>
                        <w:top w:val="none" w:sz="0" w:space="0" w:color="auto"/>
                        <w:left w:val="none" w:sz="0" w:space="0" w:color="auto"/>
                        <w:bottom w:val="none" w:sz="0" w:space="0" w:color="auto"/>
                        <w:right w:val="none" w:sz="0" w:space="0" w:color="auto"/>
                      </w:divBdr>
                    </w:div>
                  </w:divsChild>
                </w:div>
                <w:div w:id="34500755">
                  <w:marLeft w:val="0"/>
                  <w:marRight w:val="0"/>
                  <w:marTop w:val="0"/>
                  <w:marBottom w:val="0"/>
                  <w:divBdr>
                    <w:top w:val="none" w:sz="0" w:space="0" w:color="auto"/>
                    <w:left w:val="none" w:sz="0" w:space="0" w:color="auto"/>
                    <w:bottom w:val="none" w:sz="0" w:space="0" w:color="auto"/>
                    <w:right w:val="none" w:sz="0" w:space="0" w:color="auto"/>
                  </w:divBdr>
                  <w:divsChild>
                    <w:div w:id="799493355">
                      <w:marLeft w:val="0"/>
                      <w:marRight w:val="0"/>
                      <w:marTop w:val="0"/>
                      <w:marBottom w:val="0"/>
                      <w:divBdr>
                        <w:top w:val="none" w:sz="0" w:space="0" w:color="auto"/>
                        <w:left w:val="none" w:sz="0" w:space="0" w:color="auto"/>
                        <w:bottom w:val="none" w:sz="0" w:space="0" w:color="auto"/>
                        <w:right w:val="none" w:sz="0" w:space="0" w:color="auto"/>
                      </w:divBdr>
                    </w:div>
                  </w:divsChild>
                </w:div>
                <w:div w:id="47145123">
                  <w:marLeft w:val="0"/>
                  <w:marRight w:val="0"/>
                  <w:marTop w:val="0"/>
                  <w:marBottom w:val="0"/>
                  <w:divBdr>
                    <w:top w:val="none" w:sz="0" w:space="0" w:color="auto"/>
                    <w:left w:val="none" w:sz="0" w:space="0" w:color="auto"/>
                    <w:bottom w:val="none" w:sz="0" w:space="0" w:color="auto"/>
                    <w:right w:val="none" w:sz="0" w:space="0" w:color="auto"/>
                  </w:divBdr>
                  <w:divsChild>
                    <w:div w:id="227348147">
                      <w:marLeft w:val="0"/>
                      <w:marRight w:val="0"/>
                      <w:marTop w:val="0"/>
                      <w:marBottom w:val="0"/>
                      <w:divBdr>
                        <w:top w:val="none" w:sz="0" w:space="0" w:color="auto"/>
                        <w:left w:val="none" w:sz="0" w:space="0" w:color="auto"/>
                        <w:bottom w:val="none" w:sz="0" w:space="0" w:color="auto"/>
                        <w:right w:val="none" w:sz="0" w:space="0" w:color="auto"/>
                      </w:divBdr>
                    </w:div>
                  </w:divsChild>
                </w:div>
                <w:div w:id="123161882">
                  <w:marLeft w:val="0"/>
                  <w:marRight w:val="0"/>
                  <w:marTop w:val="0"/>
                  <w:marBottom w:val="0"/>
                  <w:divBdr>
                    <w:top w:val="none" w:sz="0" w:space="0" w:color="auto"/>
                    <w:left w:val="none" w:sz="0" w:space="0" w:color="auto"/>
                    <w:bottom w:val="none" w:sz="0" w:space="0" w:color="auto"/>
                    <w:right w:val="none" w:sz="0" w:space="0" w:color="auto"/>
                  </w:divBdr>
                  <w:divsChild>
                    <w:div w:id="1269317066">
                      <w:marLeft w:val="0"/>
                      <w:marRight w:val="0"/>
                      <w:marTop w:val="0"/>
                      <w:marBottom w:val="0"/>
                      <w:divBdr>
                        <w:top w:val="none" w:sz="0" w:space="0" w:color="auto"/>
                        <w:left w:val="none" w:sz="0" w:space="0" w:color="auto"/>
                        <w:bottom w:val="none" w:sz="0" w:space="0" w:color="auto"/>
                        <w:right w:val="none" w:sz="0" w:space="0" w:color="auto"/>
                      </w:divBdr>
                    </w:div>
                  </w:divsChild>
                </w:div>
                <w:div w:id="162819657">
                  <w:marLeft w:val="0"/>
                  <w:marRight w:val="0"/>
                  <w:marTop w:val="0"/>
                  <w:marBottom w:val="0"/>
                  <w:divBdr>
                    <w:top w:val="none" w:sz="0" w:space="0" w:color="auto"/>
                    <w:left w:val="none" w:sz="0" w:space="0" w:color="auto"/>
                    <w:bottom w:val="none" w:sz="0" w:space="0" w:color="auto"/>
                    <w:right w:val="none" w:sz="0" w:space="0" w:color="auto"/>
                  </w:divBdr>
                  <w:divsChild>
                    <w:div w:id="724374253">
                      <w:marLeft w:val="0"/>
                      <w:marRight w:val="0"/>
                      <w:marTop w:val="0"/>
                      <w:marBottom w:val="0"/>
                      <w:divBdr>
                        <w:top w:val="none" w:sz="0" w:space="0" w:color="auto"/>
                        <w:left w:val="none" w:sz="0" w:space="0" w:color="auto"/>
                        <w:bottom w:val="none" w:sz="0" w:space="0" w:color="auto"/>
                        <w:right w:val="none" w:sz="0" w:space="0" w:color="auto"/>
                      </w:divBdr>
                    </w:div>
                  </w:divsChild>
                </w:div>
                <w:div w:id="217975998">
                  <w:marLeft w:val="0"/>
                  <w:marRight w:val="0"/>
                  <w:marTop w:val="0"/>
                  <w:marBottom w:val="0"/>
                  <w:divBdr>
                    <w:top w:val="none" w:sz="0" w:space="0" w:color="auto"/>
                    <w:left w:val="none" w:sz="0" w:space="0" w:color="auto"/>
                    <w:bottom w:val="none" w:sz="0" w:space="0" w:color="auto"/>
                    <w:right w:val="none" w:sz="0" w:space="0" w:color="auto"/>
                  </w:divBdr>
                  <w:divsChild>
                    <w:div w:id="908461277">
                      <w:marLeft w:val="0"/>
                      <w:marRight w:val="0"/>
                      <w:marTop w:val="0"/>
                      <w:marBottom w:val="0"/>
                      <w:divBdr>
                        <w:top w:val="none" w:sz="0" w:space="0" w:color="auto"/>
                        <w:left w:val="none" w:sz="0" w:space="0" w:color="auto"/>
                        <w:bottom w:val="none" w:sz="0" w:space="0" w:color="auto"/>
                        <w:right w:val="none" w:sz="0" w:space="0" w:color="auto"/>
                      </w:divBdr>
                    </w:div>
                  </w:divsChild>
                </w:div>
                <w:div w:id="270017305">
                  <w:marLeft w:val="0"/>
                  <w:marRight w:val="0"/>
                  <w:marTop w:val="0"/>
                  <w:marBottom w:val="0"/>
                  <w:divBdr>
                    <w:top w:val="none" w:sz="0" w:space="0" w:color="auto"/>
                    <w:left w:val="none" w:sz="0" w:space="0" w:color="auto"/>
                    <w:bottom w:val="none" w:sz="0" w:space="0" w:color="auto"/>
                    <w:right w:val="none" w:sz="0" w:space="0" w:color="auto"/>
                  </w:divBdr>
                  <w:divsChild>
                    <w:div w:id="1354651468">
                      <w:marLeft w:val="0"/>
                      <w:marRight w:val="0"/>
                      <w:marTop w:val="0"/>
                      <w:marBottom w:val="0"/>
                      <w:divBdr>
                        <w:top w:val="none" w:sz="0" w:space="0" w:color="auto"/>
                        <w:left w:val="none" w:sz="0" w:space="0" w:color="auto"/>
                        <w:bottom w:val="none" w:sz="0" w:space="0" w:color="auto"/>
                        <w:right w:val="none" w:sz="0" w:space="0" w:color="auto"/>
                      </w:divBdr>
                    </w:div>
                  </w:divsChild>
                </w:div>
                <w:div w:id="296647413">
                  <w:marLeft w:val="0"/>
                  <w:marRight w:val="0"/>
                  <w:marTop w:val="0"/>
                  <w:marBottom w:val="0"/>
                  <w:divBdr>
                    <w:top w:val="none" w:sz="0" w:space="0" w:color="auto"/>
                    <w:left w:val="none" w:sz="0" w:space="0" w:color="auto"/>
                    <w:bottom w:val="none" w:sz="0" w:space="0" w:color="auto"/>
                    <w:right w:val="none" w:sz="0" w:space="0" w:color="auto"/>
                  </w:divBdr>
                  <w:divsChild>
                    <w:div w:id="1428886593">
                      <w:marLeft w:val="0"/>
                      <w:marRight w:val="0"/>
                      <w:marTop w:val="0"/>
                      <w:marBottom w:val="0"/>
                      <w:divBdr>
                        <w:top w:val="none" w:sz="0" w:space="0" w:color="auto"/>
                        <w:left w:val="none" w:sz="0" w:space="0" w:color="auto"/>
                        <w:bottom w:val="none" w:sz="0" w:space="0" w:color="auto"/>
                        <w:right w:val="none" w:sz="0" w:space="0" w:color="auto"/>
                      </w:divBdr>
                    </w:div>
                  </w:divsChild>
                </w:div>
                <w:div w:id="304092788">
                  <w:marLeft w:val="0"/>
                  <w:marRight w:val="0"/>
                  <w:marTop w:val="0"/>
                  <w:marBottom w:val="0"/>
                  <w:divBdr>
                    <w:top w:val="none" w:sz="0" w:space="0" w:color="auto"/>
                    <w:left w:val="none" w:sz="0" w:space="0" w:color="auto"/>
                    <w:bottom w:val="none" w:sz="0" w:space="0" w:color="auto"/>
                    <w:right w:val="none" w:sz="0" w:space="0" w:color="auto"/>
                  </w:divBdr>
                  <w:divsChild>
                    <w:div w:id="2144888683">
                      <w:marLeft w:val="0"/>
                      <w:marRight w:val="0"/>
                      <w:marTop w:val="0"/>
                      <w:marBottom w:val="0"/>
                      <w:divBdr>
                        <w:top w:val="none" w:sz="0" w:space="0" w:color="auto"/>
                        <w:left w:val="none" w:sz="0" w:space="0" w:color="auto"/>
                        <w:bottom w:val="none" w:sz="0" w:space="0" w:color="auto"/>
                        <w:right w:val="none" w:sz="0" w:space="0" w:color="auto"/>
                      </w:divBdr>
                    </w:div>
                  </w:divsChild>
                </w:div>
                <w:div w:id="395400264">
                  <w:marLeft w:val="0"/>
                  <w:marRight w:val="0"/>
                  <w:marTop w:val="0"/>
                  <w:marBottom w:val="0"/>
                  <w:divBdr>
                    <w:top w:val="none" w:sz="0" w:space="0" w:color="auto"/>
                    <w:left w:val="none" w:sz="0" w:space="0" w:color="auto"/>
                    <w:bottom w:val="none" w:sz="0" w:space="0" w:color="auto"/>
                    <w:right w:val="none" w:sz="0" w:space="0" w:color="auto"/>
                  </w:divBdr>
                  <w:divsChild>
                    <w:div w:id="1296837699">
                      <w:marLeft w:val="0"/>
                      <w:marRight w:val="0"/>
                      <w:marTop w:val="0"/>
                      <w:marBottom w:val="0"/>
                      <w:divBdr>
                        <w:top w:val="none" w:sz="0" w:space="0" w:color="auto"/>
                        <w:left w:val="none" w:sz="0" w:space="0" w:color="auto"/>
                        <w:bottom w:val="none" w:sz="0" w:space="0" w:color="auto"/>
                        <w:right w:val="none" w:sz="0" w:space="0" w:color="auto"/>
                      </w:divBdr>
                    </w:div>
                  </w:divsChild>
                </w:div>
                <w:div w:id="409617154">
                  <w:marLeft w:val="0"/>
                  <w:marRight w:val="0"/>
                  <w:marTop w:val="0"/>
                  <w:marBottom w:val="0"/>
                  <w:divBdr>
                    <w:top w:val="none" w:sz="0" w:space="0" w:color="auto"/>
                    <w:left w:val="none" w:sz="0" w:space="0" w:color="auto"/>
                    <w:bottom w:val="none" w:sz="0" w:space="0" w:color="auto"/>
                    <w:right w:val="none" w:sz="0" w:space="0" w:color="auto"/>
                  </w:divBdr>
                  <w:divsChild>
                    <w:div w:id="114256951">
                      <w:marLeft w:val="0"/>
                      <w:marRight w:val="0"/>
                      <w:marTop w:val="0"/>
                      <w:marBottom w:val="0"/>
                      <w:divBdr>
                        <w:top w:val="none" w:sz="0" w:space="0" w:color="auto"/>
                        <w:left w:val="none" w:sz="0" w:space="0" w:color="auto"/>
                        <w:bottom w:val="none" w:sz="0" w:space="0" w:color="auto"/>
                        <w:right w:val="none" w:sz="0" w:space="0" w:color="auto"/>
                      </w:divBdr>
                    </w:div>
                  </w:divsChild>
                </w:div>
                <w:div w:id="428045659">
                  <w:marLeft w:val="0"/>
                  <w:marRight w:val="0"/>
                  <w:marTop w:val="0"/>
                  <w:marBottom w:val="0"/>
                  <w:divBdr>
                    <w:top w:val="none" w:sz="0" w:space="0" w:color="auto"/>
                    <w:left w:val="none" w:sz="0" w:space="0" w:color="auto"/>
                    <w:bottom w:val="none" w:sz="0" w:space="0" w:color="auto"/>
                    <w:right w:val="none" w:sz="0" w:space="0" w:color="auto"/>
                  </w:divBdr>
                  <w:divsChild>
                    <w:div w:id="1166016799">
                      <w:marLeft w:val="0"/>
                      <w:marRight w:val="0"/>
                      <w:marTop w:val="0"/>
                      <w:marBottom w:val="0"/>
                      <w:divBdr>
                        <w:top w:val="none" w:sz="0" w:space="0" w:color="auto"/>
                        <w:left w:val="none" w:sz="0" w:space="0" w:color="auto"/>
                        <w:bottom w:val="none" w:sz="0" w:space="0" w:color="auto"/>
                        <w:right w:val="none" w:sz="0" w:space="0" w:color="auto"/>
                      </w:divBdr>
                    </w:div>
                  </w:divsChild>
                </w:div>
                <w:div w:id="475807560">
                  <w:marLeft w:val="0"/>
                  <w:marRight w:val="0"/>
                  <w:marTop w:val="0"/>
                  <w:marBottom w:val="0"/>
                  <w:divBdr>
                    <w:top w:val="none" w:sz="0" w:space="0" w:color="auto"/>
                    <w:left w:val="none" w:sz="0" w:space="0" w:color="auto"/>
                    <w:bottom w:val="none" w:sz="0" w:space="0" w:color="auto"/>
                    <w:right w:val="none" w:sz="0" w:space="0" w:color="auto"/>
                  </w:divBdr>
                  <w:divsChild>
                    <w:div w:id="1684242405">
                      <w:marLeft w:val="0"/>
                      <w:marRight w:val="0"/>
                      <w:marTop w:val="0"/>
                      <w:marBottom w:val="0"/>
                      <w:divBdr>
                        <w:top w:val="none" w:sz="0" w:space="0" w:color="auto"/>
                        <w:left w:val="none" w:sz="0" w:space="0" w:color="auto"/>
                        <w:bottom w:val="none" w:sz="0" w:space="0" w:color="auto"/>
                        <w:right w:val="none" w:sz="0" w:space="0" w:color="auto"/>
                      </w:divBdr>
                    </w:div>
                  </w:divsChild>
                </w:div>
                <w:div w:id="482357575">
                  <w:marLeft w:val="0"/>
                  <w:marRight w:val="0"/>
                  <w:marTop w:val="0"/>
                  <w:marBottom w:val="0"/>
                  <w:divBdr>
                    <w:top w:val="none" w:sz="0" w:space="0" w:color="auto"/>
                    <w:left w:val="none" w:sz="0" w:space="0" w:color="auto"/>
                    <w:bottom w:val="none" w:sz="0" w:space="0" w:color="auto"/>
                    <w:right w:val="none" w:sz="0" w:space="0" w:color="auto"/>
                  </w:divBdr>
                  <w:divsChild>
                    <w:div w:id="1806122379">
                      <w:marLeft w:val="0"/>
                      <w:marRight w:val="0"/>
                      <w:marTop w:val="0"/>
                      <w:marBottom w:val="0"/>
                      <w:divBdr>
                        <w:top w:val="none" w:sz="0" w:space="0" w:color="auto"/>
                        <w:left w:val="none" w:sz="0" w:space="0" w:color="auto"/>
                        <w:bottom w:val="none" w:sz="0" w:space="0" w:color="auto"/>
                        <w:right w:val="none" w:sz="0" w:space="0" w:color="auto"/>
                      </w:divBdr>
                    </w:div>
                  </w:divsChild>
                </w:div>
                <w:div w:id="484131419">
                  <w:marLeft w:val="0"/>
                  <w:marRight w:val="0"/>
                  <w:marTop w:val="0"/>
                  <w:marBottom w:val="0"/>
                  <w:divBdr>
                    <w:top w:val="none" w:sz="0" w:space="0" w:color="auto"/>
                    <w:left w:val="none" w:sz="0" w:space="0" w:color="auto"/>
                    <w:bottom w:val="none" w:sz="0" w:space="0" w:color="auto"/>
                    <w:right w:val="none" w:sz="0" w:space="0" w:color="auto"/>
                  </w:divBdr>
                  <w:divsChild>
                    <w:div w:id="2086301061">
                      <w:marLeft w:val="0"/>
                      <w:marRight w:val="0"/>
                      <w:marTop w:val="0"/>
                      <w:marBottom w:val="0"/>
                      <w:divBdr>
                        <w:top w:val="none" w:sz="0" w:space="0" w:color="auto"/>
                        <w:left w:val="none" w:sz="0" w:space="0" w:color="auto"/>
                        <w:bottom w:val="none" w:sz="0" w:space="0" w:color="auto"/>
                        <w:right w:val="none" w:sz="0" w:space="0" w:color="auto"/>
                      </w:divBdr>
                    </w:div>
                  </w:divsChild>
                </w:div>
                <w:div w:id="841050674">
                  <w:marLeft w:val="0"/>
                  <w:marRight w:val="0"/>
                  <w:marTop w:val="0"/>
                  <w:marBottom w:val="0"/>
                  <w:divBdr>
                    <w:top w:val="none" w:sz="0" w:space="0" w:color="auto"/>
                    <w:left w:val="none" w:sz="0" w:space="0" w:color="auto"/>
                    <w:bottom w:val="none" w:sz="0" w:space="0" w:color="auto"/>
                    <w:right w:val="none" w:sz="0" w:space="0" w:color="auto"/>
                  </w:divBdr>
                  <w:divsChild>
                    <w:div w:id="693188917">
                      <w:marLeft w:val="0"/>
                      <w:marRight w:val="0"/>
                      <w:marTop w:val="0"/>
                      <w:marBottom w:val="0"/>
                      <w:divBdr>
                        <w:top w:val="none" w:sz="0" w:space="0" w:color="auto"/>
                        <w:left w:val="none" w:sz="0" w:space="0" w:color="auto"/>
                        <w:bottom w:val="none" w:sz="0" w:space="0" w:color="auto"/>
                        <w:right w:val="none" w:sz="0" w:space="0" w:color="auto"/>
                      </w:divBdr>
                    </w:div>
                  </w:divsChild>
                </w:div>
                <w:div w:id="849952042">
                  <w:marLeft w:val="0"/>
                  <w:marRight w:val="0"/>
                  <w:marTop w:val="0"/>
                  <w:marBottom w:val="0"/>
                  <w:divBdr>
                    <w:top w:val="none" w:sz="0" w:space="0" w:color="auto"/>
                    <w:left w:val="none" w:sz="0" w:space="0" w:color="auto"/>
                    <w:bottom w:val="none" w:sz="0" w:space="0" w:color="auto"/>
                    <w:right w:val="none" w:sz="0" w:space="0" w:color="auto"/>
                  </w:divBdr>
                  <w:divsChild>
                    <w:div w:id="1036807640">
                      <w:marLeft w:val="0"/>
                      <w:marRight w:val="0"/>
                      <w:marTop w:val="0"/>
                      <w:marBottom w:val="0"/>
                      <w:divBdr>
                        <w:top w:val="none" w:sz="0" w:space="0" w:color="auto"/>
                        <w:left w:val="none" w:sz="0" w:space="0" w:color="auto"/>
                        <w:bottom w:val="none" w:sz="0" w:space="0" w:color="auto"/>
                        <w:right w:val="none" w:sz="0" w:space="0" w:color="auto"/>
                      </w:divBdr>
                    </w:div>
                  </w:divsChild>
                </w:div>
                <w:div w:id="926768732">
                  <w:marLeft w:val="0"/>
                  <w:marRight w:val="0"/>
                  <w:marTop w:val="0"/>
                  <w:marBottom w:val="0"/>
                  <w:divBdr>
                    <w:top w:val="none" w:sz="0" w:space="0" w:color="auto"/>
                    <w:left w:val="none" w:sz="0" w:space="0" w:color="auto"/>
                    <w:bottom w:val="none" w:sz="0" w:space="0" w:color="auto"/>
                    <w:right w:val="none" w:sz="0" w:space="0" w:color="auto"/>
                  </w:divBdr>
                  <w:divsChild>
                    <w:div w:id="348871528">
                      <w:marLeft w:val="0"/>
                      <w:marRight w:val="0"/>
                      <w:marTop w:val="0"/>
                      <w:marBottom w:val="0"/>
                      <w:divBdr>
                        <w:top w:val="none" w:sz="0" w:space="0" w:color="auto"/>
                        <w:left w:val="none" w:sz="0" w:space="0" w:color="auto"/>
                        <w:bottom w:val="none" w:sz="0" w:space="0" w:color="auto"/>
                        <w:right w:val="none" w:sz="0" w:space="0" w:color="auto"/>
                      </w:divBdr>
                    </w:div>
                  </w:divsChild>
                </w:div>
                <w:div w:id="1076123664">
                  <w:marLeft w:val="0"/>
                  <w:marRight w:val="0"/>
                  <w:marTop w:val="0"/>
                  <w:marBottom w:val="0"/>
                  <w:divBdr>
                    <w:top w:val="none" w:sz="0" w:space="0" w:color="auto"/>
                    <w:left w:val="none" w:sz="0" w:space="0" w:color="auto"/>
                    <w:bottom w:val="none" w:sz="0" w:space="0" w:color="auto"/>
                    <w:right w:val="none" w:sz="0" w:space="0" w:color="auto"/>
                  </w:divBdr>
                  <w:divsChild>
                    <w:div w:id="970791242">
                      <w:marLeft w:val="0"/>
                      <w:marRight w:val="0"/>
                      <w:marTop w:val="0"/>
                      <w:marBottom w:val="0"/>
                      <w:divBdr>
                        <w:top w:val="none" w:sz="0" w:space="0" w:color="auto"/>
                        <w:left w:val="none" w:sz="0" w:space="0" w:color="auto"/>
                        <w:bottom w:val="none" w:sz="0" w:space="0" w:color="auto"/>
                        <w:right w:val="none" w:sz="0" w:space="0" w:color="auto"/>
                      </w:divBdr>
                    </w:div>
                  </w:divsChild>
                </w:div>
                <w:div w:id="1098452042">
                  <w:marLeft w:val="0"/>
                  <w:marRight w:val="0"/>
                  <w:marTop w:val="0"/>
                  <w:marBottom w:val="0"/>
                  <w:divBdr>
                    <w:top w:val="none" w:sz="0" w:space="0" w:color="auto"/>
                    <w:left w:val="none" w:sz="0" w:space="0" w:color="auto"/>
                    <w:bottom w:val="none" w:sz="0" w:space="0" w:color="auto"/>
                    <w:right w:val="none" w:sz="0" w:space="0" w:color="auto"/>
                  </w:divBdr>
                  <w:divsChild>
                    <w:div w:id="1972978911">
                      <w:marLeft w:val="0"/>
                      <w:marRight w:val="0"/>
                      <w:marTop w:val="0"/>
                      <w:marBottom w:val="0"/>
                      <w:divBdr>
                        <w:top w:val="none" w:sz="0" w:space="0" w:color="auto"/>
                        <w:left w:val="none" w:sz="0" w:space="0" w:color="auto"/>
                        <w:bottom w:val="none" w:sz="0" w:space="0" w:color="auto"/>
                        <w:right w:val="none" w:sz="0" w:space="0" w:color="auto"/>
                      </w:divBdr>
                    </w:div>
                  </w:divsChild>
                </w:div>
                <w:div w:id="1102262136">
                  <w:marLeft w:val="0"/>
                  <w:marRight w:val="0"/>
                  <w:marTop w:val="0"/>
                  <w:marBottom w:val="0"/>
                  <w:divBdr>
                    <w:top w:val="none" w:sz="0" w:space="0" w:color="auto"/>
                    <w:left w:val="none" w:sz="0" w:space="0" w:color="auto"/>
                    <w:bottom w:val="none" w:sz="0" w:space="0" w:color="auto"/>
                    <w:right w:val="none" w:sz="0" w:space="0" w:color="auto"/>
                  </w:divBdr>
                  <w:divsChild>
                    <w:div w:id="1987083404">
                      <w:marLeft w:val="0"/>
                      <w:marRight w:val="0"/>
                      <w:marTop w:val="0"/>
                      <w:marBottom w:val="0"/>
                      <w:divBdr>
                        <w:top w:val="none" w:sz="0" w:space="0" w:color="auto"/>
                        <w:left w:val="none" w:sz="0" w:space="0" w:color="auto"/>
                        <w:bottom w:val="none" w:sz="0" w:space="0" w:color="auto"/>
                        <w:right w:val="none" w:sz="0" w:space="0" w:color="auto"/>
                      </w:divBdr>
                    </w:div>
                  </w:divsChild>
                </w:div>
                <w:div w:id="1150906387">
                  <w:marLeft w:val="0"/>
                  <w:marRight w:val="0"/>
                  <w:marTop w:val="0"/>
                  <w:marBottom w:val="0"/>
                  <w:divBdr>
                    <w:top w:val="none" w:sz="0" w:space="0" w:color="auto"/>
                    <w:left w:val="none" w:sz="0" w:space="0" w:color="auto"/>
                    <w:bottom w:val="none" w:sz="0" w:space="0" w:color="auto"/>
                    <w:right w:val="none" w:sz="0" w:space="0" w:color="auto"/>
                  </w:divBdr>
                  <w:divsChild>
                    <w:div w:id="1856069861">
                      <w:marLeft w:val="0"/>
                      <w:marRight w:val="0"/>
                      <w:marTop w:val="0"/>
                      <w:marBottom w:val="0"/>
                      <w:divBdr>
                        <w:top w:val="none" w:sz="0" w:space="0" w:color="auto"/>
                        <w:left w:val="none" w:sz="0" w:space="0" w:color="auto"/>
                        <w:bottom w:val="none" w:sz="0" w:space="0" w:color="auto"/>
                        <w:right w:val="none" w:sz="0" w:space="0" w:color="auto"/>
                      </w:divBdr>
                    </w:div>
                  </w:divsChild>
                </w:div>
                <w:div w:id="1233010151">
                  <w:marLeft w:val="0"/>
                  <w:marRight w:val="0"/>
                  <w:marTop w:val="0"/>
                  <w:marBottom w:val="0"/>
                  <w:divBdr>
                    <w:top w:val="none" w:sz="0" w:space="0" w:color="auto"/>
                    <w:left w:val="none" w:sz="0" w:space="0" w:color="auto"/>
                    <w:bottom w:val="none" w:sz="0" w:space="0" w:color="auto"/>
                    <w:right w:val="none" w:sz="0" w:space="0" w:color="auto"/>
                  </w:divBdr>
                  <w:divsChild>
                    <w:div w:id="1651448579">
                      <w:marLeft w:val="0"/>
                      <w:marRight w:val="0"/>
                      <w:marTop w:val="0"/>
                      <w:marBottom w:val="0"/>
                      <w:divBdr>
                        <w:top w:val="none" w:sz="0" w:space="0" w:color="auto"/>
                        <w:left w:val="none" w:sz="0" w:space="0" w:color="auto"/>
                        <w:bottom w:val="none" w:sz="0" w:space="0" w:color="auto"/>
                        <w:right w:val="none" w:sz="0" w:space="0" w:color="auto"/>
                      </w:divBdr>
                    </w:div>
                  </w:divsChild>
                </w:div>
                <w:div w:id="1398939034">
                  <w:marLeft w:val="0"/>
                  <w:marRight w:val="0"/>
                  <w:marTop w:val="0"/>
                  <w:marBottom w:val="0"/>
                  <w:divBdr>
                    <w:top w:val="none" w:sz="0" w:space="0" w:color="auto"/>
                    <w:left w:val="none" w:sz="0" w:space="0" w:color="auto"/>
                    <w:bottom w:val="none" w:sz="0" w:space="0" w:color="auto"/>
                    <w:right w:val="none" w:sz="0" w:space="0" w:color="auto"/>
                  </w:divBdr>
                  <w:divsChild>
                    <w:div w:id="862667543">
                      <w:marLeft w:val="0"/>
                      <w:marRight w:val="0"/>
                      <w:marTop w:val="0"/>
                      <w:marBottom w:val="0"/>
                      <w:divBdr>
                        <w:top w:val="none" w:sz="0" w:space="0" w:color="auto"/>
                        <w:left w:val="none" w:sz="0" w:space="0" w:color="auto"/>
                        <w:bottom w:val="none" w:sz="0" w:space="0" w:color="auto"/>
                        <w:right w:val="none" w:sz="0" w:space="0" w:color="auto"/>
                      </w:divBdr>
                    </w:div>
                  </w:divsChild>
                </w:div>
                <w:div w:id="1413501902">
                  <w:marLeft w:val="0"/>
                  <w:marRight w:val="0"/>
                  <w:marTop w:val="0"/>
                  <w:marBottom w:val="0"/>
                  <w:divBdr>
                    <w:top w:val="none" w:sz="0" w:space="0" w:color="auto"/>
                    <w:left w:val="none" w:sz="0" w:space="0" w:color="auto"/>
                    <w:bottom w:val="none" w:sz="0" w:space="0" w:color="auto"/>
                    <w:right w:val="none" w:sz="0" w:space="0" w:color="auto"/>
                  </w:divBdr>
                  <w:divsChild>
                    <w:div w:id="1318823">
                      <w:marLeft w:val="0"/>
                      <w:marRight w:val="0"/>
                      <w:marTop w:val="0"/>
                      <w:marBottom w:val="0"/>
                      <w:divBdr>
                        <w:top w:val="none" w:sz="0" w:space="0" w:color="auto"/>
                        <w:left w:val="none" w:sz="0" w:space="0" w:color="auto"/>
                        <w:bottom w:val="none" w:sz="0" w:space="0" w:color="auto"/>
                        <w:right w:val="none" w:sz="0" w:space="0" w:color="auto"/>
                      </w:divBdr>
                    </w:div>
                  </w:divsChild>
                </w:div>
                <w:div w:id="1500077721">
                  <w:marLeft w:val="0"/>
                  <w:marRight w:val="0"/>
                  <w:marTop w:val="0"/>
                  <w:marBottom w:val="0"/>
                  <w:divBdr>
                    <w:top w:val="none" w:sz="0" w:space="0" w:color="auto"/>
                    <w:left w:val="none" w:sz="0" w:space="0" w:color="auto"/>
                    <w:bottom w:val="none" w:sz="0" w:space="0" w:color="auto"/>
                    <w:right w:val="none" w:sz="0" w:space="0" w:color="auto"/>
                  </w:divBdr>
                  <w:divsChild>
                    <w:div w:id="1609658945">
                      <w:marLeft w:val="0"/>
                      <w:marRight w:val="0"/>
                      <w:marTop w:val="0"/>
                      <w:marBottom w:val="0"/>
                      <w:divBdr>
                        <w:top w:val="none" w:sz="0" w:space="0" w:color="auto"/>
                        <w:left w:val="none" w:sz="0" w:space="0" w:color="auto"/>
                        <w:bottom w:val="none" w:sz="0" w:space="0" w:color="auto"/>
                        <w:right w:val="none" w:sz="0" w:space="0" w:color="auto"/>
                      </w:divBdr>
                    </w:div>
                  </w:divsChild>
                </w:div>
                <w:div w:id="1512842196">
                  <w:marLeft w:val="0"/>
                  <w:marRight w:val="0"/>
                  <w:marTop w:val="0"/>
                  <w:marBottom w:val="0"/>
                  <w:divBdr>
                    <w:top w:val="none" w:sz="0" w:space="0" w:color="auto"/>
                    <w:left w:val="none" w:sz="0" w:space="0" w:color="auto"/>
                    <w:bottom w:val="none" w:sz="0" w:space="0" w:color="auto"/>
                    <w:right w:val="none" w:sz="0" w:space="0" w:color="auto"/>
                  </w:divBdr>
                  <w:divsChild>
                    <w:div w:id="1002658738">
                      <w:marLeft w:val="0"/>
                      <w:marRight w:val="0"/>
                      <w:marTop w:val="0"/>
                      <w:marBottom w:val="0"/>
                      <w:divBdr>
                        <w:top w:val="none" w:sz="0" w:space="0" w:color="auto"/>
                        <w:left w:val="none" w:sz="0" w:space="0" w:color="auto"/>
                        <w:bottom w:val="none" w:sz="0" w:space="0" w:color="auto"/>
                        <w:right w:val="none" w:sz="0" w:space="0" w:color="auto"/>
                      </w:divBdr>
                    </w:div>
                  </w:divsChild>
                </w:div>
                <w:div w:id="1521625903">
                  <w:marLeft w:val="0"/>
                  <w:marRight w:val="0"/>
                  <w:marTop w:val="0"/>
                  <w:marBottom w:val="0"/>
                  <w:divBdr>
                    <w:top w:val="none" w:sz="0" w:space="0" w:color="auto"/>
                    <w:left w:val="none" w:sz="0" w:space="0" w:color="auto"/>
                    <w:bottom w:val="none" w:sz="0" w:space="0" w:color="auto"/>
                    <w:right w:val="none" w:sz="0" w:space="0" w:color="auto"/>
                  </w:divBdr>
                  <w:divsChild>
                    <w:div w:id="430273566">
                      <w:marLeft w:val="0"/>
                      <w:marRight w:val="0"/>
                      <w:marTop w:val="0"/>
                      <w:marBottom w:val="0"/>
                      <w:divBdr>
                        <w:top w:val="none" w:sz="0" w:space="0" w:color="auto"/>
                        <w:left w:val="none" w:sz="0" w:space="0" w:color="auto"/>
                        <w:bottom w:val="none" w:sz="0" w:space="0" w:color="auto"/>
                        <w:right w:val="none" w:sz="0" w:space="0" w:color="auto"/>
                      </w:divBdr>
                    </w:div>
                  </w:divsChild>
                </w:div>
                <w:div w:id="1541547314">
                  <w:marLeft w:val="0"/>
                  <w:marRight w:val="0"/>
                  <w:marTop w:val="0"/>
                  <w:marBottom w:val="0"/>
                  <w:divBdr>
                    <w:top w:val="none" w:sz="0" w:space="0" w:color="auto"/>
                    <w:left w:val="none" w:sz="0" w:space="0" w:color="auto"/>
                    <w:bottom w:val="none" w:sz="0" w:space="0" w:color="auto"/>
                    <w:right w:val="none" w:sz="0" w:space="0" w:color="auto"/>
                  </w:divBdr>
                  <w:divsChild>
                    <w:div w:id="148593933">
                      <w:marLeft w:val="0"/>
                      <w:marRight w:val="0"/>
                      <w:marTop w:val="0"/>
                      <w:marBottom w:val="0"/>
                      <w:divBdr>
                        <w:top w:val="none" w:sz="0" w:space="0" w:color="auto"/>
                        <w:left w:val="none" w:sz="0" w:space="0" w:color="auto"/>
                        <w:bottom w:val="none" w:sz="0" w:space="0" w:color="auto"/>
                        <w:right w:val="none" w:sz="0" w:space="0" w:color="auto"/>
                      </w:divBdr>
                    </w:div>
                  </w:divsChild>
                </w:div>
                <w:div w:id="1566913734">
                  <w:marLeft w:val="0"/>
                  <w:marRight w:val="0"/>
                  <w:marTop w:val="0"/>
                  <w:marBottom w:val="0"/>
                  <w:divBdr>
                    <w:top w:val="none" w:sz="0" w:space="0" w:color="auto"/>
                    <w:left w:val="none" w:sz="0" w:space="0" w:color="auto"/>
                    <w:bottom w:val="none" w:sz="0" w:space="0" w:color="auto"/>
                    <w:right w:val="none" w:sz="0" w:space="0" w:color="auto"/>
                  </w:divBdr>
                  <w:divsChild>
                    <w:div w:id="571164663">
                      <w:marLeft w:val="0"/>
                      <w:marRight w:val="0"/>
                      <w:marTop w:val="0"/>
                      <w:marBottom w:val="0"/>
                      <w:divBdr>
                        <w:top w:val="none" w:sz="0" w:space="0" w:color="auto"/>
                        <w:left w:val="none" w:sz="0" w:space="0" w:color="auto"/>
                        <w:bottom w:val="none" w:sz="0" w:space="0" w:color="auto"/>
                        <w:right w:val="none" w:sz="0" w:space="0" w:color="auto"/>
                      </w:divBdr>
                    </w:div>
                  </w:divsChild>
                </w:div>
                <w:div w:id="1603293410">
                  <w:marLeft w:val="0"/>
                  <w:marRight w:val="0"/>
                  <w:marTop w:val="0"/>
                  <w:marBottom w:val="0"/>
                  <w:divBdr>
                    <w:top w:val="none" w:sz="0" w:space="0" w:color="auto"/>
                    <w:left w:val="none" w:sz="0" w:space="0" w:color="auto"/>
                    <w:bottom w:val="none" w:sz="0" w:space="0" w:color="auto"/>
                    <w:right w:val="none" w:sz="0" w:space="0" w:color="auto"/>
                  </w:divBdr>
                  <w:divsChild>
                    <w:div w:id="392241367">
                      <w:marLeft w:val="0"/>
                      <w:marRight w:val="0"/>
                      <w:marTop w:val="0"/>
                      <w:marBottom w:val="0"/>
                      <w:divBdr>
                        <w:top w:val="none" w:sz="0" w:space="0" w:color="auto"/>
                        <w:left w:val="none" w:sz="0" w:space="0" w:color="auto"/>
                        <w:bottom w:val="none" w:sz="0" w:space="0" w:color="auto"/>
                        <w:right w:val="none" w:sz="0" w:space="0" w:color="auto"/>
                      </w:divBdr>
                    </w:div>
                  </w:divsChild>
                </w:div>
                <w:div w:id="1651472562">
                  <w:marLeft w:val="0"/>
                  <w:marRight w:val="0"/>
                  <w:marTop w:val="0"/>
                  <w:marBottom w:val="0"/>
                  <w:divBdr>
                    <w:top w:val="none" w:sz="0" w:space="0" w:color="auto"/>
                    <w:left w:val="none" w:sz="0" w:space="0" w:color="auto"/>
                    <w:bottom w:val="none" w:sz="0" w:space="0" w:color="auto"/>
                    <w:right w:val="none" w:sz="0" w:space="0" w:color="auto"/>
                  </w:divBdr>
                  <w:divsChild>
                    <w:div w:id="1154952578">
                      <w:marLeft w:val="0"/>
                      <w:marRight w:val="0"/>
                      <w:marTop w:val="0"/>
                      <w:marBottom w:val="0"/>
                      <w:divBdr>
                        <w:top w:val="none" w:sz="0" w:space="0" w:color="auto"/>
                        <w:left w:val="none" w:sz="0" w:space="0" w:color="auto"/>
                        <w:bottom w:val="none" w:sz="0" w:space="0" w:color="auto"/>
                        <w:right w:val="none" w:sz="0" w:space="0" w:color="auto"/>
                      </w:divBdr>
                    </w:div>
                  </w:divsChild>
                </w:div>
                <w:div w:id="1774938469">
                  <w:marLeft w:val="0"/>
                  <w:marRight w:val="0"/>
                  <w:marTop w:val="0"/>
                  <w:marBottom w:val="0"/>
                  <w:divBdr>
                    <w:top w:val="none" w:sz="0" w:space="0" w:color="auto"/>
                    <w:left w:val="none" w:sz="0" w:space="0" w:color="auto"/>
                    <w:bottom w:val="none" w:sz="0" w:space="0" w:color="auto"/>
                    <w:right w:val="none" w:sz="0" w:space="0" w:color="auto"/>
                  </w:divBdr>
                  <w:divsChild>
                    <w:div w:id="1264413076">
                      <w:marLeft w:val="0"/>
                      <w:marRight w:val="0"/>
                      <w:marTop w:val="0"/>
                      <w:marBottom w:val="0"/>
                      <w:divBdr>
                        <w:top w:val="none" w:sz="0" w:space="0" w:color="auto"/>
                        <w:left w:val="none" w:sz="0" w:space="0" w:color="auto"/>
                        <w:bottom w:val="none" w:sz="0" w:space="0" w:color="auto"/>
                        <w:right w:val="none" w:sz="0" w:space="0" w:color="auto"/>
                      </w:divBdr>
                    </w:div>
                  </w:divsChild>
                </w:div>
                <w:div w:id="1786004482">
                  <w:marLeft w:val="0"/>
                  <w:marRight w:val="0"/>
                  <w:marTop w:val="0"/>
                  <w:marBottom w:val="0"/>
                  <w:divBdr>
                    <w:top w:val="none" w:sz="0" w:space="0" w:color="auto"/>
                    <w:left w:val="none" w:sz="0" w:space="0" w:color="auto"/>
                    <w:bottom w:val="none" w:sz="0" w:space="0" w:color="auto"/>
                    <w:right w:val="none" w:sz="0" w:space="0" w:color="auto"/>
                  </w:divBdr>
                  <w:divsChild>
                    <w:div w:id="1124499037">
                      <w:marLeft w:val="0"/>
                      <w:marRight w:val="0"/>
                      <w:marTop w:val="0"/>
                      <w:marBottom w:val="0"/>
                      <w:divBdr>
                        <w:top w:val="none" w:sz="0" w:space="0" w:color="auto"/>
                        <w:left w:val="none" w:sz="0" w:space="0" w:color="auto"/>
                        <w:bottom w:val="none" w:sz="0" w:space="0" w:color="auto"/>
                        <w:right w:val="none" w:sz="0" w:space="0" w:color="auto"/>
                      </w:divBdr>
                    </w:div>
                  </w:divsChild>
                </w:div>
                <w:div w:id="1794637836">
                  <w:marLeft w:val="0"/>
                  <w:marRight w:val="0"/>
                  <w:marTop w:val="0"/>
                  <w:marBottom w:val="0"/>
                  <w:divBdr>
                    <w:top w:val="none" w:sz="0" w:space="0" w:color="auto"/>
                    <w:left w:val="none" w:sz="0" w:space="0" w:color="auto"/>
                    <w:bottom w:val="none" w:sz="0" w:space="0" w:color="auto"/>
                    <w:right w:val="none" w:sz="0" w:space="0" w:color="auto"/>
                  </w:divBdr>
                  <w:divsChild>
                    <w:div w:id="487943882">
                      <w:marLeft w:val="0"/>
                      <w:marRight w:val="0"/>
                      <w:marTop w:val="0"/>
                      <w:marBottom w:val="0"/>
                      <w:divBdr>
                        <w:top w:val="none" w:sz="0" w:space="0" w:color="auto"/>
                        <w:left w:val="none" w:sz="0" w:space="0" w:color="auto"/>
                        <w:bottom w:val="none" w:sz="0" w:space="0" w:color="auto"/>
                        <w:right w:val="none" w:sz="0" w:space="0" w:color="auto"/>
                      </w:divBdr>
                    </w:div>
                  </w:divsChild>
                </w:div>
                <w:div w:id="1849367506">
                  <w:marLeft w:val="0"/>
                  <w:marRight w:val="0"/>
                  <w:marTop w:val="0"/>
                  <w:marBottom w:val="0"/>
                  <w:divBdr>
                    <w:top w:val="none" w:sz="0" w:space="0" w:color="auto"/>
                    <w:left w:val="none" w:sz="0" w:space="0" w:color="auto"/>
                    <w:bottom w:val="none" w:sz="0" w:space="0" w:color="auto"/>
                    <w:right w:val="none" w:sz="0" w:space="0" w:color="auto"/>
                  </w:divBdr>
                  <w:divsChild>
                    <w:div w:id="1968317742">
                      <w:marLeft w:val="0"/>
                      <w:marRight w:val="0"/>
                      <w:marTop w:val="0"/>
                      <w:marBottom w:val="0"/>
                      <w:divBdr>
                        <w:top w:val="none" w:sz="0" w:space="0" w:color="auto"/>
                        <w:left w:val="none" w:sz="0" w:space="0" w:color="auto"/>
                        <w:bottom w:val="none" w:sz="0" w:space="0" w:color="auto"/>
                        <w:right w:val="none" w:sz="0" w:space="0" w:color="auto"/>
                      </w:divBdr>
                    </w:div>
                  </w:divsChild>
                </w:div>
                <w:div w:id="1897623967">
                  <w:marLeft w:val="0"/>
                  <w:marRight w:val="0"/>
                  <w:marTop w:val="0"/>
                  <w:marBottom w:val="0"/>
                  <w:divBdr>
                    <w:top w:val="none" w:sz="0" w:space="0" w:color="auto"/>
                    <w:left w:val="none" w:sz="0" w:space="0" w:color="auto"/>
                    <w:bottom w:val="none" w:sz="0" w:space="0" w:color="auto"/>
                    <w:right w:val="none" w:sz="0" w:space="0" w:color="auto"/>
                  </w:divBdr>
                  <w:divsChild>
                    <w:div w:id="2139448050">
                      <w:marLeft w:val="0"/>
                      <w:marRight w:val="0"/>
                      <w:marTop w:val="0"/>
                      <w:marBottom w:val="0"/>
                      <w:divBdr>
                        <w:top w:val="none" w:sz="0" w:space="0" w:color="auto"/>
                        <w:left w:val="none" w:sz="0" w:space="0" w:color="auto"/>
                        <w:bottom w:val="none" w:sz="0" w:space="0" w:color="auto"/>
                        <w:right w:val="none" w:sz="0" w:space="0" w:color="auto"/>
                      </w:divBdr>
                    </w:div>
                  </w:divsChild>
                </w:div>
                <w:div w:id="1914313328">
                  <w:marLeft w:val="0"/>
                  <w:marRight w:val="0"/>
                  <w:marTop w:val="0"/>
                  <w:marBottom w:val="0"/>
                  <w:divBdr>
                    <w:top w:val="none" w:sz="0" w:space="0" w:color="auto"/>
                    <w:left w:val="none" w:sz="0" w:space="0" w:color="auto"/>
                    <w:bottom w:val="none" w:sz="0" w:space="0" w:color="auto"/>
                    <w:right w:val="none" w:sz="0" w:space="0" w:color="auto"/>
                  </w:divBdr>
                  <w:divsChild>
                    <w:div w:id="186140186">
                      <w:marLeft w:val="0"/>
                      <w:marRight w:val="0"/>
                      <w:marTop w:val="0"/>
                      <w:marBottom w:val="0"/>
                      <w:divBdr>
                        <w:top w:val="none" w:sz="0" w:space="0" w:color="auto"/>
                        <w:left w:val="none" w:sz="0" w:space="0" w:color="auto"/>
                        <w:bottom w:val="none" w:sz="0" w:space="0" w:color="auto"/>
                        <w:right w:val="none" w:sz="0" w:space="0" w:color="auto"/>
                      </w:divBdr>
                    </w:div>
                  </w:divsChild>
                </w:div>
                <w:div w:id="1962570195">
                  <w:marLeft w:val="0"/>
                  <w:marRight w:val="0"/>
                  <w:marTop w:val="0"/>
                  <w:marBottom w:val="0"/>
                  <w:divBdr>
                    <w:top w:val="none" w:sz="0" w:space="0" w:color="auto"/>
                    <w:left w:val="none" w:sz="0" w:space="0" w:color="auto"/>
                    <w:bottom w:val="none" w:sz="0" w:space="0" w:color="auto"/>
                    <w:right w:val="none" w:sz="0" w:space="0" w:color="auto"/>
                  </w:divBdr>
                  <w:divsChild>
                    <w:div w:id="712972016">
                      <w:marLeft w:val="0"/>
                      <w:marRight w:val="0"/>
                      <w:marTop w:val="0"/>
                      <w:marBottom w:val="0"/>
                      <w:divBdr>
                        <w:top w:val="none" w:sz="0" w:space="0" w:color="auto"/>
                        <w:left w:val="none" w:sz="0" w:space="0" w:color="auto"/>
                        <w:bottom w:val="none" w:sz="0" w:space="0" w:color="auto"/>
                        <w:right w:val="none" w:sz="0" w:space="0" w:color="auto"/>
                      </w:divBdr>
                    </w:div>
                  </w:divsChild>
                </w:div>
                <w:div w:id="1971016750">
                  <w:marLeft w:val="0"/>
                  <w:marRight w:val="0"/>
                  <w:marTop w:val="0"/>
                  <w:marBottom w:val="0"/>
                  <w:divBdr>
                    <w:top w:val="none" w:sz="0" w:space="0" w:color="auto"/>
                    <w:left w:val="none" w:sz="0" w:space="0" w:color="auto"/>
                    <w:bottom w:val="none" w:sz="0" w:space="0" w:color="auto"/>
                    <w:right w:val="none" w:sz="0" w:space="0" w:color="auto"/>
                  </w:divBdr>
                  <w:divsChild>
                    <w:div w:id="45642853">
                      <w:marLeft w:val="0"/>
                      <w:marRight w:val="0"/>
                      <w:marTop w:val="0"/>
                      <w:marBottom w:val="0"/>
                      <w:divBdr>
                        <w:top w:val="none" w:sz="0" w:space="0" w:color="auto"/>
                        <w:left w:val="none" w:sz="0" w:space="0" w:color="auto"/>
                        <w:bottom w:val="none" w:sz="0" w:space="0" w:color="auto"/>
                        <w:right w:val="none" w:sz="0" w:space="0" w:color="auto"/>
                      </w:divBdr>
                    </w:div>
                  </w:divsChild>
                </w:div>
                <w:div w:id="2013991442">
                  <w:marLeft w:val="0"/>
                  <w:marRight w:val="0"/>
                  <w:marTop w:val="0"/>
                  <w:marBottom w:val="0"/>
                  <w:divBdr>
                    <w:top w:val="none" w:sz="0" w:space="0" w:color="auto"/>
                    <w:left w:val="none" w:sz="0" w:space="0" w:color="auto"/>
                    <w:bottom w:val="none" w:sz="0" w:space="0" w:color="auto"/>
                    <w:right w:val="none" w:sz="0" w:space="0" w:color="auto"/>
                  </w:divBdr>
                  <w:divsChild>
                    <w:div w:id="1870796454">
                      <w:marLeft w:val="0"/>
                      <w:marRight w:val="0"/>
                      <w:marTop w:val="0"/>
                      <w:marBottom w:val="0"/>
                      <w:divBdr>
                        <w:top w:val="none" w:sz="0" w:space="0" w:color="auto"/>
                        <w:left w:val="none" w:sz="0" w:space="0" w:color="auto"/>
                        <w:bottom w:val="none" w:sz="0" w:space="0" w:color="auto"/>
                        <w:right w:val="none" w:sz="0" w:space="0" w:color="auto"/>
                      </w:divBdr>
                    </w:div>
                  </w:divsChild>
                </w:div>
                <w:div w:id="2092579650">
                  <w:marLeft w:val="0"/>
                  <w:marRight w:val="0"/>
                  <w:marTop w:val="0"/>
                  <w:marBottom w:val="0"/>
                  <w:divBdr>
                    <w:top w:val="none" w:sz="0" w:space="0" w:color="auto"/>
                    <w:left w:val="none" w:sz="0" w:space="0" w:color="auto"/>
                    <w:bottom w:val="none" w:sz="0" w:space="0" w:color="auto"/>
                    <w:right w:val="none" w:sz="0" w:space="0" w:color="auto"/>
                  </w:divBdr>
                  <w:divsChild>
                    <w:div w:id="204806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18040">
          <w:marLeft w:val="0"/>
          <w:marRight w:val="0"/>
          <w:marTop w:val="0"/>
          <w:marBottom w:val="0"/>
          <w:divBdr>
            <w:top w:val="none" w:sz="0" w:space="0" w:color="auto"/>
            <w:left w:val="none" w:sz="0" w:space="0" w:color="auto"/>
            <w:bottom w:val="none" w:sz="0" w:space="0" w:color="auto"/>
            <w:right w:val="none" w:sz="0" w:space="0" w:color="auto"/>
          </w:divBdr>
        </w:div>
        <w:div w:id="1868181415">
          <w:marLeft w:val="0"/>
          <w:marRight w:val="0"/>
          <w:marTop w:val="0"/>
          <w:marBottom w:val="0"/>
          <w:divBdr>
            <w:top w:val="none" w:sz="0" w:space="0" w:color="auto"/>
            <w:left w:val="none" w:sz="0" w:space="0" w:color="auto"/>
            <w:bottom w:val="none" w:sz="0" w:space="0" w:color="auto"/>
            <w:right w:val="none" w:sz="0" w:space="0" w:color="auto"/>
          </w:divBdr>
        </w:div>
        <w:div w:id="2019379373">
          <w:marLeft w:val="0"/>
          <w:marRight w:val="0"/>
          <w:marTop w:val="0"/>
          <w:marBottom w:val="0"/>
          <w:divBdr>
            <w:top w:val="none" w:sz="0" w:space="0" w:color="auto"/>
            <w:left w:val="none" w:sz="0" w:space="0" w:color="auto"/>
            <w:bottom w:val="none" w:sz="0" w:space="0" w:color="auto"/>
            <w:right w:val="none" w:sz="0" w:space="0" w:color="auto"/>
          </w:divBdr>
        </w:div>
        <w:div w:id="2054110526">
          <w:marLeft w:val="0"/>
          <w:marRight w:val="0"/>
          <w:marTop w:val="0"/>
          <w:marBottom w:val="0"/>
          <w:divBdr>
            <w:top w:val="none" w:sz="0" w:space="0" w:color="auto"/>
            <w:left w:val="none" w:sz="0" w:space="0" w:color="auto"/>
            <w:bottom w:val="none" w:sz="0" w:space="0" w:color="auto"/>
            <w:right w:val="none" w:sz="0" w:space="0" w:color="auto"/>
          </w:divBdr>
        </w:div>
      </w:divsChild>
    </w:div>
    <w:div w:id="1038703653">
      <w:bodyDiv w:val="1"/>
      <w:marLeft w:val="0"/>
      <w:marRight w:val="0"/>
      <w:marTop w:val="0"/>
      <w:marBottom w:val="0"/>
      <w:divBdr>
        <w:top w:val="none" w:sz="0" w:space="0" w:color="auto"/>
        <w:left w:val="none" w:sz="0" w:space="0" w:color="auto"/>
        <w:bottom w:val="none" w:sz="0" w:space="0" w:color="auto"/>
        <w:right w:val="none" w:sz="0" w:space="0" w:color="auto"/>
      </w:divBdr>
    </w:div>
    <w:div w:id="1078209171">
      <w:bodyDiv w:val="1"/>
      <w:marLeft w:val="0"/>
      <w:marRight w:val="0"/>
      <w:marTop w:val="0"/>
      <w:marBottom w:val="0"/>
      <w:divBdr>
        <w:top w:val="none" w:sz="0" w:space="0" w:color="auto"/>
        <w:left w:val="none" w:sz="0" w:space="0" w:color="auto"/>
        <w:bottom w:val="none" w:sz="0" w:space="0" w:color="auto"/>
        <w:right w:val="none" w:sz="0" w:space="0" w:color="auto"/>
      </w:divBdr>
    </w:div>
    <w:div w:id="1114785075">
      <w:bodyDiv w:val="1"/>
      <w:marLeft w:val="0"/>
      <w:marRight w:val="0"/>
      <w:marTop w:val="0"/>
      <w:marBottom w:val="0"/>
      <w:divBdr>
        <w:top w:val="none" w:sz="0" w:space="0" w:color="auto"/>
        <w:left w:val="none" w:sz="0" w:space="0" w:color="auto"/>
        <w:bottom w:val="none" w:sz="0" w:space="0" w:color="auto"/>
        <w:right w:val="none" w:sz="0" w:space="0" w:color="auto"/>
      </w:divBdr>
    </w:div>
    <w:div w:id="1138457996">
      <w:bodyDiv w:val="1"/>
      <w:marLeft w:val="0"/>
      <w:marRight w:val="0"/>
      <w:marTop w:val="0"/>
      <w:marBottom w:val="0"/>
      <w:divBdr>
        <w:top w:val="none" w:sz="0" w:space="0" w:color="auto"/>
        <w:left w:val="none" w:sz="0" w:space="0" w:color="auto"/>
        <w:bottom w:val="none" w:sz="0" w:space="0" w:color="auto"/>
        <w:right w:val="none" w:sz="0" w:space="0" w:color="auto"/>
      </w:divBdr>
    </w:div>
    <w:div w:id="1183786014">
      <w:bodyDiv w:val="1"/>
      <w:marLeft w:val="0"/>
      <w:marRight w:val="0"/>
      <w:marTop w:val="0"/>
      <w:marBottom w:val="0"/>
      <w:divBdr>
        <w:top w:val="none" w:sz="0" w:space="0" w:color="auto"/>
        <w:left w:val="none" w:sz="0" w:space="0" w:color="auto"/>
        <w:bottom w:val="none" w:sz="0" w:space="0" w:color="auto"/>
        <w:right w:val="none" w:sz="0" w:space="0" w:color="auto"/>
      </w:divBdr>
      <w:divsChild>
        <w:div w:id="7370803">
          <w:marLeft w:val="0"/>
          <w:marRight w:val="0"/>
          <w:marTop w:val="0"/>
          <w:marBottom w:val="0"/>
          <w:divBdr>
            <w:top w:val="none" w:sz="0" w:space="0" w:color="auto"/>
            <w:left w:val="none" w:sz="0" w:space="0" w:color="auto"/>
            <w:bottom w:val="none" w:sz="0" w:space="0" w:color="auto"/>
            <w:right w:val="none" w:sz="0" w:space="0" w:color="auto"/>
          </w:divBdr>
          <w:divsChild>
            <w:div w:id="1011954995">
              <w:marLeft w:val="0"/>
              <w:marRight w:val="0"/>
              <w:marTop w:val="0"/>
              <w:marBottom w:val="0"/>
              <w:divBdr>
                <w:top w:val="none" w:sz="0" w:space="0" w:color="auto"/>
                <w:left w:val="none" w:sz="0" w:space="0" w:color="auto"/>
                <w:bottom w:val="none" w:sz="0" w:space="0" w:color="auto"/>
                <w:right w:val="none" w:sz="0" w:space="0" w:color="auto"/>
              </w:divBdr>
            </w:div>
          </w:divsChild>
        </w:div>
        <w:div w:id="9795488">
          <w:marLeft w:val="0"/>
          <w:marRight w:val="0"/>
          <w:marTop w:val="0"/>
          <w:marBottom w:val="0"/>
          <w:divBdr>
            <w:top w:val="none" w:sz="0" w:space="0" w:color="auto"/>
            <w:left w:val="none" w:sz="0" w:space="0" w:color="auto"/>
            <w:bottom w:val="none" w:sz="0" w:space="0" w:color="auto"/>
            <w:right w:val="none" w:sz="0" w:space="0" w:color="auto"/>
          </w:divBdr>
          <w:divsChild>
            <w:div w:id="1085952493">
              <w:marLeft w:val="0"/>
              <w:marRight w:val="0"/>
              <w:marTop w:val="0"/>
              <w:marBottom w:val="0"/>
              <w:divBdr>
                <w:top w:val="none" w:sz="0" w:space="0" w:color="auto"/>
                <w:left w:val="none" w:sz="0" w:space="0" w:color="auto"/>
                <w:bottom w:val="none" w:sz="0" w:space="0" w:color="auto"/>
                <w:right w:val="none" w:sz="0" w:space="0" w:color="auto"/>
              </w:divBdr>
            </w:div>
          </w:divsChild>
        </w:div>
        <w:div w:id="13390479">
          <w:marLeft w:val="0"/>
          <w:marRight w:val="0"/>
          <w:marTop w:val="0"/>
          <w:marBottom w:val="0"/>
          <w:divBdr>
            <w:top w:val="none" w:sz="0" w:space="0" w:color="auto"/>
            <w:left w:val="none" w:sz="0" w:space="0" w:color="auto"/>
            <w:bottom w:val="none" w:sz="0" w:space="0" w:color="auto"/>
            <w:right w:val="none" w:sz="0" w:space="0" w:color="auto"/>
          </w:divBdr>
          <w:divsChild>
            <w:div w:id="640961978">
              <w:marLeft w:val="0"/>
              <w:marRight w:val="0"/>
              <w:marTop w:val="0"/>
              <w:marBottom w:val="0"/>
              <w:divBdr>
                <w:top w:val="none" w:sz="0" w:space="0" w:color="auto"/>
                <w:left w:val="none" w:sz="0" w:space="0" w:color="auto"/>
                <w:bottom w:val="none" w:sz="0" w:space="0" w:color="auto"/>
                <w:right w:val="none" w:sz="0" w:space="0" w:color="auto"/>
              </w:divBdr>
            </w:div>
          </w:divsChild>
        </w:div>
        <w:div w:id="20202994">
          <w:marLeft w:val="0"/>
          <w:marRight w:val="0"/>
          <w:marTop w:val="0"/>
          <w:marBottom w:val="0"/>
          <w:divBdr>
            <w:top w:val="none" w:sz="0" w:space="0" w:color="auto"/>
            <w:left w:val="none" w:sz="0" w:space="0" w:color="auto"/>
            <w:bottom w:val="none" w:sz="0" w:space="0" w:color="auto"/>
            <w:right w:val="none" w:sz="0" w:space="0" w:color="auto"/>
          </w:divBdr>
          <w:divsChild>
            <w:div w:id="1770658948">
              <w:marLeft w:val="0"/>
              <w:marRight w:val="0"/>
              <w:marTop w:val="0"/>
              <w:marBottom w:val="0"/>
              <w:divBdr>
                <w:top w:val="none" w:sz="0" w:space="0" w:color="auto"/>
                <w:left w:val="none" w:sz="0" w:space="0" w:color="auto"/>
                <w:bottom w:val="none" w:sz="0" w:space="0" w:color="auto"/>
                <w:right w:val="none" w:sz="0" w:space="0" w:color="auto"/>
              </w:divBdr>
            </w:div>
          </w:divsChild>
        </w:div>
        <w:div w:id="87965612">
          <w:marLeft w:val="0"/>
          <w:marRight w:val="0"/>
          <w:marTop w:val="0"/>
          <w:marBottom w:val="0"/>
          <w:divBdr>
            <w:top w:val="none" w:sz="0" w:space="0" w:color="auto"/>
            <w:left w:val="none" w:sz="0" w:space="0" w:color="auto"/>
            <w:bottom w:val="none" w:sz="0" w:space="0" w:color="auto"/>
            <w:right w:val="none" w:sz="0" w:space="0" w:color="auto"/>
          </w:divBdr>
          <w:divsChild>
            <w:div w:id="2056199223">
              <w:marLeft w:val="0"/>
              <w:marRight w:val="0"/>
              <w:marTop w:val="0"/>
              <w:marBottom w:val="0"/>
              <w:divBdr>
                <w:top w:val="none" w:sz="0" w:space="0" w:color="auto"/>
                <w:left w:val="none" w:sz="0" w:space="0" w:color="auto"/>
                <w:bottom w:val="none" w:sz="0" w:space="0" w:color="auto"/>
                <w:right w:val="none" w:sz="0" w:space="0" w:color="auto"/>
              </w:divBdr>
            </w:div>
          </w:divsChild>
        </w:div>
        <w:div w:id="88895244">
          <w:marLeft w:val="0"/>
          <w:marRight w:val="0"/>
          <w:marTop w:val="0"/>
          <w:marBottom w:val="0"/>
          <w:divBdr>
            <w:top w:val="none" w:sz="0" w:space="0" w:color="auto"/>
            <w:left w:val="none" w:sz="0" w:space="0" w:color="auto"/>
            <w:bottom w:val="none" w:sz="0" w:space="0" w:color="auto"/>
            <w:right w:val="none" w:sz="0" w:space="0" w:color="auto"/>
          </w:divBdr>
          <w:divsChild>
            <w:div w:id="1720088785">
              <w:marLeft w:val="0"/>
              <w:marRight w:val="0"/>
              <w:marTop w:val="0"/>
              <w:marBottom w:val="0"/>
              <w:divBdr>
                <w:top w:val="none" w:sz="0" w:space="0" w:color="auto"/>
                <w:left w:val="none" w:sz="0" w:space="0" w:color="auto"/>
                <w:bottom w:val="none" w:sz="0" w:space="0" w:color="auto"/>
                <w:right w:val="none" w:sz="0" w:space="0" w:color="auto"/>
              </w:divBdr>
            </w:div>
          </w:divsChild>
        </w:div>
        <w:div w:id="120390282">
          <w:marLeft w:val="0"/>
          <w:marRight w:val="0"/>
          <w:marTop w:val="0"/>
          <w:marBottom w:val="0"/>
          <w:divBdr>
            <w:top w:val="none" w:sz="0" w:space="0" w:color="auto"/>
            <w:left w:val="none" w:sz="0" w:space="0" w:color="auto"/>
            <w:bottom w:val="none" w:sz="0" w:space="0" w:color="auto"/>
            <w:right w:val="none" w:sz="0" w:space="0" w:color="auto"/>
          </w:divBdr>
          <w:divsChild>
            <w:div w:id="1919712004">
              <w:marLeft w:val="0"/>
              <w:marRight w:val="0"/>
              <w:marTop w:val="0"/>
              <w:marBottom w:val="0"/>
              <w:divBdr>
                <w:top w:val="none" w:sz="0" w:space="0" w:color="auto"/>
                <w:left w:val="none" w:sz="0" w:space="0" w:color="auto"/>
                <w:bottom w:val="none" w:sz="0" w:space="0" w:color="auto"/>
                <w:right w:val="none" w:sz="0" w:space="0" w:color="auto"/>
              </w:divBdr>
            </w:div>
          </w:divsChild>
        </w:div>
        <w:div w:id="121005276">
          <w:marLeft w:val="0"/>
          <w:marRight w:val="0"/>
          <w:marTop w:val="0"/>
          <w:marBottom w:val="0"/>
          <w:divBdr>
            <w:top w:val="none" w:sz="0" w:space="0" w:color="auto"/>
            <w:left w:val="none" w:sz="0" w:space="0" w:color="auto"/>
            <w:bottom w:val="none" w:sz="0" w:space="0" w:color="auto"/>
            <w:right w:val="none" w:sz="0" w:space="0" w:color="auto"/>
          </w:divBdr>
          <w:divsChild>
            <w:div w:id="482694817">
              <w:marLeft w:val="0"/>
              <w:marRight w:val="0"/>
              <w:marTop w:val="0"/>
              <w:marBottom w:val="0"/>
              <w:divBdr>
                <w:top w:val="none" w:sz="0" w:space="0" w:color="auto"/>
                <w:left w:val="none" w:sz="0" w:space="0" w:color="auto"/>
                <w:bottom w:val="none" w:sz="0" w:space="0" w:color="auto"/>
                <w:right w:val="none" w:sz="0" w:space="0" w:color="auto"/>
              </w:divBdr>
            </w:div>
          </w:divsChild>
        </w:div>
        <w:div w:id="124010301">
          <w:marLeft w:val="0"/>
          <w:marRight w:val="0"/>
          <w:marTop w:val="0"/>
          <w:marBottom w:val="0"/>
          <w:divBdr>
            <w:top w:val="none" w:sz="0" w:space="0" w:color="auto"/>
            <w:left w:val="none" w:sz="0" w:space="0" w:color="auto"/>
            <w:bottom w:val="none" w:sz="0" w:space="0" w:color="auto"/>
            <w:right w:val="none" w:sz="0" w:space="0" w:color="auto"/>
          </w:divBdr>
          <w:divsChild>
            <w:div w:id="805204456">
              <w:marLeft w:val="0"/>
              <w:marRight w:val="0"/>
              <w:marTop w:val="0"/>
              <w:marBottom w:val="0"/>
              <w:divBdr>
                <w:top w:val="none" w:sz="0" w:space="0" w:color="auto"/>
                <w:left w:val="none" w:sz="0" w:space="0" w:color="auto"/>
                <w:bottom w:val="none" w:sz="0" w:space="0" w:color="auto"/>
                <w:right w:val="none" w:sz="0" w:space="0" w:color="auto"/>
              </w:divBdr>
            </w:div>
          </w:divsChild>
        </w:div>
        <w:div w:id="136267206">
          <w:marLeft w:val="0"/>
          <w:marRight w:val="0"/>
          <w:marTop w:val="0"/>
          <w:marBottom w:val="0"/>
          <w:divBdr>
            <w:top w:val="none" w:sz="0" w:space="0" w:color="auto"/>
            <w:left w:val="none" w:sz="0" w:space="0" w:color="auto"/>
            <w:bottom w:val="none" w:sz="0" w:space="0" w:color="auto"/>
            <w:right w:val="none" w:sz="0" w:space="0" w:color="auto"/>
          </w:divBdr>
          <w:divsChild>
            <w:div w:id="1110583309">
              <w:marLeft w:val="0"/>
              <w:marRight w:val="0"/>
              <w:marTop w:val="0"/>
              <w:marBottom w:val="0"/>
              <w:divBdr>
                <w:top w:val="none" w:sz="0" w:space="0" w:color="auto"/>
                <w:left w:val="none" w:sz="0" w:space="0" w:color="auto"/>
                <w:bottom w:val="none" w:sz="0" w:space="0" w:color="auto"/>
                <w:right w:val="none" w:sz="0" w:space="0" w:color="auto"/>
              </w:divBdr>
            </w:div>
          </w:divsChild>
        </w:div>
        <w:div w:id="142701776">
          <w:marLeft w:val="0"/>
          <w:marRight w:val="0"/>
          <w:marTop w:val="0"/>
          <w:marBottom w:val="0"/>
          <w:divBdr>
            <w:top w:val="none" w:sz="0" w:space="0" w:color="auto"/>
            <w:left w:val="none" w:sz="0" w:space="0" w:color="auto"/>
            <w:bottom w:val="none" w:sz="0" w:space="0" w:color="auto"/>
            <w:right w:val="none" w:sz="0" w:space="0" w:color="auto"/>
          </w:divBdr>
          <w:divsChild>
            <w:div w:id="109128023">
              <w:marLeft w:val="0"/>
              <w:marRight w:val="0"/>
              <w:marTop w:val="0"/>
              <w:marBottom w:val="0"/>
              <w:divBdr>
                <w:top w:val="none" w:sz="0" w:space="0" w:color="auto"/>
                <w:left w:val="none" w:sz="0" w:space="0" w:color="auto"/>
                <w:bottom w:val="none" w:sz="0" w:space="0" w:color="auto"/>
                <w:right w:val="none" w:sz="0" w:space="0" w:color="auto"/>
              </w:divBdr>
            </w:div>
          </w:divsChild>
        </w:div>
        <w:div w:id="163477048">
          <w:marLeft w:val="0"/>
          <w:marRight w:val="0"/>
          <w:marTop w:val="0"/>
          <w:marBottom w:val="0"/>
          <w:divBdr>
            <w:top w:val="none" w:sz="0" w:space="0" w:color="auto"/>
            <w:left w:val="none" w:sz="0" w:space="0" w:color="auto"/>
            <w:bottom w:val="none" w:sz="0" w:space="0" w:color="auto"/>
            <w:right w:val="none" w:sz="0" w:space="0" w:color="auto"/>
          </w:divBdr>
          <w:divsChild>
            <w:div w:id="1229343890">
              <w:marLeft w:val="0"/>
              <w:marRight w:val="0"/>
              <w:marTop w:val="0"/>
              <w:marBottom w:val="0"/>
              <w:divBdr>
                <w:top w:val="none" w:sz="0" w:space="0" w:color="auto"/>
                <w:left w:val="none" w:sz="0" w:space="0" w:color="auto"/>
                <w:bottom w:val="none" w:sz="0" w:space="0" w:color="auto"/>
                <w:right w:val="none" w:sz="0" w:space="0" w:color="auto"/>
              </w:divBdr>
            </w:div>
          </w:divsChild>
        </w:div>
        <w:div w:id="164560984">
          <w:marLeft w:val="0"/>
          <w:marRight w:val="0"/>
          <w:marTop w:val="0"/>
          <w:marBottom w:val="0"/>
          <w:divBdr>
            <w:top w:val="none" w:sz="0" w:space="0" w:color="auto"/>
            <w:left w:val="none" w:sz="0" w:space="0" w:color="auto"/>
            <w:bottom w:val="none" w:sz="0" w:space="0" w:color="auto"/>
            <w:right w:val="none" w:sz="0" w:space="0" w:color="auto"/>
          </w:divBdr>
          <w:divsChild>
            <w:div w:id="2096708606">
              <w:marLeft w:val="0"/>
              <w:marRight w:val="0"/>
              <w:marTop w:val="0"/>
              <w:marBottom w:val="0"/>
              <w:divBdr>
                <w:top w:val="none" w:sz="0" w:space="0" w:color="auto"/>
                <w:left w:val="none" w:sz="0" w:space="0" w:color="auto"/>
                <w:bottom w:val="none" w:sz="0" w:space="0" w:color="auto"/>
                <w:right w:val="none" w:sz="0" w:space="0" w:color="auto"/>
              </w:divBdr>
            </w:div>
          </w:divsChild>
        </w:div>
        <w:div w:id="183055788">
          <w:marLeft w:val="0"/>
          <w:marRight w:val="0"/>
          <w:marTop w:val="0"/>
          <w:marBottom w:val="0"/>
          <w:divBdr>
            <w:top w:val="none" w:sz="0" w:space="0" w:color="auto"/>
            <w:left w:val="none" w:sz="0" w:space="0" w:color="auto"/>
            <w:bottom w:val="none" w:sz="0" w:space="0" w:color="auto"/>
            <w:right w:val="none" w:sz="0" w:space="0" w:color="auto"/>
          </w:divBdr>
          <w:divsChild>
            <w:div w:id="1605727470">
              <w:marLeft w:val="0"/>
              <w:marRight w:val="0"/>
              <w:marTop w:val="0"/>
              <w:marBottom w:val="0"/>
              <w:divBdr>
                <w:top w:val="none" w:sz="0" w:space="0" w:color="auto"/>
                <w:left w:val="none" w:sz="0" w:space="0" w:color="auto"/>
                <w:bottom w:val="none" w:sz="0" w:space="0" w:color="auto"/>
                <w:right w:val="none" w:sz="0" w:space="0" w:color="auto"/>
              </w:divBdr>
            </w:div>
          </w:divsChild>
        </w:div>
        <w:div w:id="189804462">
          <w:marLeft w:val="0"/>
          <w:marRight w:val="0"/>
          <w:marTop w:val="0"/>
          <w:marBottom w:val="0"/>
          <w:divBdr>
            <w:top w:val="none" w:sz="0" w:space="0" w:color="auto"/>
            <w:left w:val="none" w:sz="0" w:space="0" w:color="auto"/>
            <w:bottom w:val="none" w:sz="0" w:space="0" w:color="auto"/>
            <w:right w:val="none" w:sz="0" w:space="0" w:color="auto"/>
          </w:divBdr>
          <w:divsChild>
            <w:div w:id="116337430">
              <w:marLeft w:val="0"/>
              <w:marRight w:val="0"/>
              <w:marTop w:val="0"/>
              <w:marBottom w:val="0"/>
              <w:divBdr>
                <w:top w:val="none" w:sz="0" w:space="0" w:color="auto"/>
                <w:left w:val="none" w:sz="0" w:space="0" w:color="auto"/>
                <w:bottom w:val="none" w:sz="0" w:space="0" w:color="auto"/>
                <w:right w:val="none" w:sz="0" w:space="0" w:color="auto"/>
              </w:divBdr>
            </w:div>
          </w:divsChild>
        </w:div>
        <w:div w:id="222833256">
          <w:marLeft w:val="0"/>
          <w:marRight w:val="0"/>
          <w:marTop w:val="0"/>
          <w:marBottom w:val="0"/>
          <w:divBdr>
            <w:top w:val="none" w:sz="0" w:space="0" w:color="auto"/>
            <w:left w:val="none" w:sz="0" w:space="0" w:color="auto"/>
            <w:bottom w:val="none" w:sz="0" w:space="0" w:color="auto"/>
            <w:right w:val="none" w:sz="0" w:space="0" w:color="auto"/>
          </w:divBdr>
          <w:divsChild>
            <w:div w:id="935614">
              <w:marLeft w:val="0"/>
              <w:marRight w:val="0"/>
              <w:marTop w:val="0"/>
              <w:marBottom w:val="0"/>
              <w:divBdr>
                <w:top w:val="none" w:sz="0" w:space="0" w:color="auto"/>
                <w:left w:val="none" w:sz="0" w:space="0" w:color="auto"/>
                <w:bottom w:val="none" w:sz="0" w:space="0" w:color="auto"/>
                <w:right w:val="none" w:sz="0" w:space="0" w:color="auto"/>
              </w:divBdr>
            </w:div>
          </w:divsChild>
        </w:div>
        <w:div w:id="229273622">
          <w:marLeft w:val="0"/>
          <w:marRight w:val="0"/>
          <w:marTop w:val="0"/>
          <w:marBottom w:val="0"/>
          <w:divBdr>
            <w:top w:val="none" w:sz="0" w:space="0" w:color="auto"/>
            <w:left w:val="none" w:sz="0" w:space="0" w:color="auto"/>
            <w:bottom w:val="none" w:sz="0" w:space="0" w:color="auto"/>
            <w:right w:val="none" w:sz="0" w:space="0" w:color="auto"/>
          </w:divBdr>
          <w:divsChild>
            <w:div w:id="82999054">
              <w:marLeft w:val="0"/>
              <w:marRight w:val="0"/>
              <w:marTop w:val="0"/>
              <w:marBottom w:val="0"/>
              <w:divBdr>
                <w:top w:val="none" w:sz="0" w:space="0" w:color="auto"/>
                <w:left w:val="none" w:sz="0" w:space="0" w:color="auto"/>
                <w:bottom w:val="none" w:sz="0" w:space="0" w:color="auto"/>
                <w:right w:val="none" w:sz="0" w:space="0" w:color="auto"/>
              </w:divBdr>
            </w:div>
          </w:divsChild>
        </w:div>
        <w:div w:id="244926192">
          <w:marLeft w:val="0"/>
          <w:marRight w:val="0"/>
          <w:marTop w:val="0"/>
          <w:marBottom w:val="0"/>
          <w:divBdr>
            <w:top w:val="none" w:sz="0" w:space="0" w:color="auto"/>
            <w:left w:val="none" w:sz="0" w:space="0" w:color="auto"/>
            <w:bottom w:val="none" w:sz="0" w:space="0" w:color="auto"/>
            <w:right w:val="none" w:sz="0" w:space="0" w:color="auto"/>
          </w:divBdr>
          <w:divsChild>
            <w:div w:id="1893999358">
              <w:marLeft w:val="0"/>
              <w:marRight w:val="0"/>
              <w:marTop w:val="0"/>
              <w:marBottom w:val="0"/>
              <w:divBdr>
                <w:top w:val="none" w:sz="0" w:space="0" w:color="auto"/>
                <w:left w:val="none" w:sz="0" w:space="0" w:color="auto"/>
                <w:bottom w:val="none" w:sz="0" w:space="0" w:color="auto"/>
                <w:right w:val="none" w:sz="0" w:space="0" w:color="auto"/>
              </w:divBdr>
            </w:div>
          </w:divsChild>
        </w:div>
        <w:div w:id="251011593">
          <w:marLeft w:val="0"/>
          <w:marRight w:val="0"/>
          <w:marTop w:val="0"/>
          <w:marBottom w:val="0"/>
          <w:divBdr>
            <w:top w:val="none" w:sz="0" w:space="0" w:color="auto"/>
            <w:left w:val="none" w:sz="0" w:space="0" w:color="auto"/>
            <w:bottom w:val="none" w:sz="0" w:space="0" w:color="auto"/>
            <w:right w:val="none" w:sz="0" w:space="0" w:color="auto"/>
          </w:divBdr>
          <w:divsChild>
            <w:div w:id="1646352113">
              <w:marLeft w:val="0"/>
              <w:marRight w:val="0"/>
              <w:marTop w:val="0"/>
              <w:marBottom w:val="0"/>
              <w:divBdr>
                <w:top w:val="none" w:sz="0" w:space="0" w:color="auto"/>
                <w:left w:val="none" w:sz="0" w:space="0" w:color="auto"/>
                <w:bottom w:val="none" w:sz="0" w:space="0" w:color="auto"/>
                <w:right w:val="none" w:sz="0" w:space="0" w:color="auto"/>
              </w:divBdr>
            </w:div>
          </w:divsChild>
        </w:div>
        <w:div w:id="252009661">
          <w:marLeft w:val="0"/>
          <w:marRight w:val="0"/>
          <w:marTop w:val="0"/>
          <w:marBottom w:val="0"/>
          <w:divBdr>
            <w:top w:val="none" w:sz="0" w:space="0" w:color="auto"/>
            <w:left w:val="none" w:sz="0" w:space="0" w:color="auto"/>
            <w:bottom w:val="none" w:sz="0" w:space="0" w:color="auto"/>
            <w:right w:val="none" w:sz="0" w:space="0" w:color="auto"/>
          </w:divBdr>
          <w:divsChild>
            <w:div w:id="2016376547">
              <w:marLeft w:val="0"/>
              <w:marRight w:val="0"/>
              <w:marTop w:val="0"/>
              <w:marBottom w:val="0"/>
              <w:divBdr>
                <w:top w:val="none" w:sz="0" w:space="0" w:color="auto"/>
                <w:left w:val="none" w:sz="0" w:space="0" w:color="auto"/>
                <w:bottom w:val="none" w:sz="0" w:space="0" w:color="auto"/>
                <w:right w:val="none" w:sz="0" w:space="0" w:color="auto"/>
              </w:divBdr>
            </w:div>
          </w:divsChild>
        </w:div>
        <w:div w:id="265118266">
          <w:marLeft w:val="0"/>
          <w:marRight w:val="0"/>
          <w:marTop w:val="0"/>
          <w:marBottom w:val="0"/>
          <w:divBdr>
            <w:top w:val="none" w:sz="0" w:space="0" w:color="auto"/>
            <w:left w:val="none" w:sz="0" w:space="0" w:color="auto"/>
            <w:bottom w:val="none" w:sz="0" w:space="0" w:color="auto"/>
            <w:right w:val="none" w:sz="0" w:space="0" w:color="auto"/>
          </w:divBdr>
          <w:divsChild>
            <w:div w:id="581649550">
              <w:marLeft w:val="0"/>
              <w:marRight w:val="0"/>
              <w:marTop w:val="0"/>
              <w:marBottom w:val="0"/>
              <w:divBdr>
                <w:top w:val="none" w:sz="0" w:space="0" w:color="auto"/>
                <w:left w:val="none" w:sz="0" w:space="0" w:color="auto"/>
                <w:bottom w:val="none" w:sz="0" w:space="0" w:color="auto"/>
                <w:right w:val="none" w:sz="0" w:space="0" w:color="auto"/>
              </w:divBdr>
            </w:div>
          </w:divsChild>
        </w:div>
        <w:div w:id="270481831">
          <w:marLeft w:val="0"/>
          <w:marRight w:val="0"/>
          <w:marTop w:val="0"/>
          <w:marBottom w:val="0"/>
          <w:divBdr>
            <w:top w:val="none" w:sz="0" w:space="0" w:color="auto"/>
            <w:left w:val="none" w:sz="0" w:space="0" w:color="auto"/>
            <w:bottom w:val="none" w:sz="0" w:space="0" w:color="auto"/>
            <w:right w:val="none" w:sz="0" w:space="0" w:color="auto"/>
          </w:divBdr>
          <w:divsChild>
            <w:div w:id="330916691">
              <w:marLeft w:val="0"/>
              <w:marRight w:val="0"/>
              <w:marTop w:val="0"/>
              <w:marBottom w:val="0"/>
              <w:divBdr>
                <w:top w:val="none" w:sz="0" w:space="0" w:color="auto"/>
                <w:left w:val="none" w:sz="0" w:space="0" w:color="auto"/>
                <w:bottom w:val="none" w:sz="0" w:space="0" w:color="auto"/>
                <w:right w:val="none" w:sz="0" w:space="0" w:color="auto"/>
              </w:divBdr>
            </w:div>
          </w:divsChild>
        </w:div>
        <w:div w:id="272786085">
          <w:marLeft w:val="0"/>
          <w:marRight w:val="0"/>
          <w:marTop w:val="0"/>
          <w:marBottom w:val="0"/>
          <w:divBdr>
            <w:top w:val="none" w:sz="0" w:space="0" w:color="auto"/>
            <w:left w:val="none" w:sz="0" w:space="0" w:color="auto"/>
            <w:bottom w:val="none" w:sz="0" w:space="0" w:color="auto"/>
            <w:right w:val="none" w:sz="0" w:space="0" w:color="auto"/>
          </w:divBdr>
          <w:divsChild>
            <w:div w:id="1498106982">
              <w:marLeft w:val="0"/>
              <w:marRight w:val="0"/>
              <w:marTop w:val="0"/>
              <w:marBottom w:val="0"/>
              <w:divBdr>
                <w:top w:val="none" w:sz="0" w:space="0" w:color="auto"/>
                <w:left w:val="none" w:sz="0" w:space="0" w:color="auto"/>
                <w:bottom w:val="none" w:sz="0" w:space="0" w:color="auto"/>
                <w:right w:val="none" w:sz="0" w:space="0" w:color="auto"/>
              </w:divBdr>
            </w:div>
          </w:divsChild>
        </w:div>
        <w:div w:id="275217383">
          <w:marLeft w:val="0"/>
          <w:marRight w:val="0"/>
          <w:marTop w:val="0"/>
          <w:marBottom w:val="0"/>
          <w:divBdr>
            <w:top w:val="none" w:sz="0" w:space="0" w:color="auto"/>
            <w:left w:val="none" w:sz="0" w:space="0" w:color="auto"/>
            <w:bottom w:val="none" w:sz="0" w:space="0" w:color="auto"/>
            <w:right w:val="none" w:sz="0" w:space="0" w:color="auto"/>
          </w:divBdr>
          <w:divsChild>
            <w:div w:id="909923818">
              <w:marLeft w:val="0"/>
              <w:marRight w:val="0"/>
              <w:marTop w:val="0"/>
              <w:marBottom w:val="0"/>
              <w:divBdr>
                <w:top w:val="none" w:sz="0" w:space="0" w:color="auto"/>
                <w:left w:val="none" w:sz="0" w:space="0" w:color="auto"/>
                <w:bottom w:val="none" w:sz="0" w:space="0" w:color="auto"/>
                <w:right w:val="none" w:sz="0" w:space="0" w:color="auto"/>
              </w:divBdr>
            </w:div>
          </w:divsChild>
        </w:div>
        <w:div w:id="282470058">
          <w:marLeft w:val="0"/>
          <w:marRight w:val="0"/>
          <w:marTop w:val="0"/>
          <w:marBottom w:val="0"/>
          <w:divBdr>
            <w:top w:val="none" w:sz="0" w:space="0" w:color="auto"/>
            <w:left w:val="none" w:sz="0" w:space="0" w:color="auto"/>
            <w:bottom w:val="none" w:sz="0" w:space="0" w:color="auto"/>
            <w:right w:val="none" w:sz="0" w:space="0" w:color="auto"/>
          </w:divBdr>
          <w:divsChild>
            <w:div w:id="665396787">
              <w:marLeft w:val="0"/>
              <w:marRight w:val="0"/>
              <w:marTop w:val="0"/>
              <w:marBottom w:val="0"/>
              <w:divBdr>
                <w:top w:val="none" w:sz="0" w:space="0" w:color="auto"/>
                <w:left w:val="none" w:sz="0" w:space="0" w:color="auto"/>
                <w:bottom w:val="none" w:sz="0" w:space="0" w:color="auto"/>
                <w:right w:val="none" w:sz="0" w:space="0" w:color="auto"/>
              </w:divBdr>
            </w:div>
          </w:divsChild>
        </w:div>
        <w:div w:id="310407172">
          <w:marLeft w:val="0"/>
          <w:marRight w:val="0"/>
          <w:marTop w:val="0"/>
          <w:marBottom w:val="0"/>
          <w:divBdr>
            <w:top w:val="none" w:sz="0" w:space="0" w:color="auto"/>
            <w:left w:val="none" w:sz="0" w:space="0" w:color="auto"/>
            <w:bottom w:val="none" w:sz="0" w:space="0" w:color="auto"/>
            <w:right w:val="none" w:sz="0" w:space="0" w:color="auto"/>
          </w:divBdr>
          <w:divsChild>
            <w:div w:id="1316449181">
              <w:marLeft w:val="0"/>
              <w:marRight w:val="0"/>
              <w:marTop w:val="0"/>
              <w:marBottom w:val="0"/>
              <w:divBdr>
                <w:top w:val="none" w:sz="0" w:space="0" w:color="auto"/>
                <w:left w:val="none" w:sz="0" w:space="0" w:color="auto"/>
                <w:bottom w:val="none" w:sz="0" w:space="0" w:color="auto"/>
                <w:right w:val="none" w:sz="0" w:space="0" w:color="auto"/>
              </w:divBdr>
            </w:div>
          </w:divsChild>
        </w:div>
        <w:div w:id="314190902">
          <w:marLeft w:val="0"/>
          <w:marRight w:val="0"/>
          <w:marTop w:val="0"/>
          <w:marBottom w:val="0"/>
          <w:divBdr>
            <w:top w:val="none" w:sz="0" w:space="0" w:color="auto"/>
            <w:left w:val="none" w:sz="0" w:space="0" w:color="auto"/>
            <w:bottom w:val="none" w:sz="0" w:space="0" w:color="auto"/>
            <w:right w:val="none" w:sz="0" w:space="0" w:color="auto"/>
          </w:divBdr>
          <w:divsChild>
            <w:div w:id="624584208">
              <w:marLeft w:val="0"/>
              <w:marRight w:val="0"/>
              <w:marTop w:val="0"/>
              <w:marBottom w:val="0"/>
              <w:divBdr>
                <w:top w:val="none" w:sz="0" w:space="0" w:color="auto"/>
                <w:left w:val="none" w:sz="0" w:space="0" w:color="auto"/>
                <w:bottom w:val="none" w:sz="0" w:space="0" w:color="auto"/>
                <w:right w:val="none" w:sz="0" w:space="0" w:color="auto"/>
              </w:divBdr>
            </w:div>
          </w:divsChild>
        </w:div>
        <w:div w:id="319118972">
          <w:marLeft w:val="0"/>
          <w:marRight w:val="0"/>
          <w:marTop w:val="0"/>
          <w:marBottom w:val="0"/>
          <w:divBdr>
            <w:top w:val="none" w:sz="0" w:space="0" w:color="auto"/>
            <w:left w:val="none" w:sz="0" w:space="0" w:color="auto"/>
            <w:bottom w:val="none" w:sz="0" w:space="0" w:color="auto"/>
            <w:right w:val="none" w:sz="0" w:space="0" w:color="auto"/>
          </w:divBdr>
          <w:divsChild>
            <w:div w:id="1941176467">
              <w:marLeft w:val="0"/>
              <w:marRight w:val="0"/>
              <w:marTop w:val="0"/>
              <w:marBottom w:val="0"/>
              <w:divBdr>
                <w:top w:val="none" w:sz="0" w:space="0" w:color="auto"/>
                <w:left w:val="none" w:sz="0" w:space="0" w:color="auto"/>
                <w:bottom w:val="none" w:sz="0" w:space="0" w:color="auto"/>
                <w:right w:val="none" w:sz="0" w:space="0" w:color="auto"/>
              </w:divBdr>
            </w:div>
          </w:divsChild>
        </w:div>
        <w:div w:id="321350334">
          <w:marLeft w:val="0"/>
          <w:marRight w:val="0"/>
          <w:marTop w:val="0"/>
          <w:marBottom w:val="0"/>
          <w:divBdr>
            <w:top w:val="none" w:sz="0" w:space="0" w:color="auto"/>
            <w:left w:val="none" w:sz="0" w:space="0" w:color="auto"/>
            <w:bottom w:val="none" w:sz="0" w:space="0" w:color="auto"/>
            <w:right w:val="none" w:sz="0" w:space="0" w:color="auto"/>
          </w:divBdr>
          <w:divsChild>
            <w:div w:id="583149995">
              <w:marLeft w:val="0"/>
              <w:marRight w:val="0"/>
              <w:marTop w:val="0"/>
              <w:marBottom w:val="0"/>
              <w:divBdr>
                <w:top w:val="none" w:sz="0" w:space="0" w:color="auto"/>
                <w:left w:val="none" w:sz="0" w:space="0" w:color="auto"/>
                <w:bottom w:val="none" w:sz="0" w:space="0" w:color="auto"/>
                <w:right w:val="none" w:sz="0" w:space="0" w:color="auto"/>
              </w:divBdr>
            </w:div>
          </w:divsChild>
        </w:div>
        <w:div w:id="337276359">
          <w:marLeft w:val="0"/>
          <w:marRight w:val="0"/>
          <w:marTop w:val="0"/>
          <w:marBottom w:val="0"/>
          <w:divBdr>
            <w:top w:val="none" w:sz="0" w:space="0" w:color="auto"/>
            <w:left w:val="none" w:sz="0" w:space="0" w:color="auto"/>
            <w:bottom w:val="none" w:sz="0" w:space="0" w:color="auto"/>
            <w:right w:val="none" w:sz="0" w:space="0" w:color="auto"/>
          </w:divBdr>
          <w:divsChild>
            <w:div w:id="1796750481">
              <w:marLeft w:val="0"/>
              <w:marRight w:val="0"/>
              <w:marTop w:val="0"/>
              <w:marBottom w:val="0"/>
              <w:divBdr>
                <w:top w:val="none" w:sz="0" w:space="0" w:color="auto"/>
                <w:left w:val="none" w:sz="0" w:space="0" w:color="auto"/>
                <w:bottom w:val="none" w:sz="0" w:space="0" w:color="auto"/>
                <w:right w:val="none" w:sz="0" w:space="0" w:color="auto"/>
              </w:divBdr>
            </w:div>
          </w:divsChild>
        </w:div>
        <w:div w:id="341396803">
          <w:marLeft w:val="0"/>
          <w:marRight w:val="0"/>
          <w:marTop w:val="0"/>
          <w:marBottom w:val="0"/>
          <w:divBdr>
            <w:top w:val="none" w:sz="0" w:space="0" w:color="auto"/>
            <w:left w:val="none" w:sz="0" w:space="0" w:color="auto"/>
            <w:bottom w:val="none" w:sz="0" w:space="0" w:color="auto"/>
            <w:right w:val="none" w:sz="0" w:space="0" w:color="auto"/>
          </w:divBdr>
          <w:divsChild>
            <w:div w:id="727730285">
              <w:marLeft w:val="0"/>
              <w:marRight w:val="0"/>
              <w:marTop w:val="0"/>
              <w:marBottom w:val="0"/>
              <w:divBdr>
                <w:top w:val="none" w:sz="0" w:space="0" w:color="auto"/>
                <w:left w:val="none" w:sz="0" w:space="0" w:color="auto"/>
                <w:bottom w:val="none" w:sz="0" w:space="0" w:color="auto"/>
                <w:right w:val="none" w:sz="0" w:space="0" w:color="auto"/>
              </w:divBdr>
            </w:div>
          </w:divsChild>
        </w:div>
        <w:div w:id="344477005">
          <w:marLeft w:val="0"/>
          <w:marRight w:val="0"/>
          <w:marTop w:val="0"/>
          <w:marBottom w:val="0"/>
          <w:divBdr>
            <w:top w:val="none" w:sz="0" w:space="0" w:color="auto"/>
            <w:left w:val="none" w:sz="0" w:space="0" w:color="auto"/>
            <w:bottom w:val="none" w:sz="0" w:space="0" w:color="auto"/>
            <w:right w:val="none" w:sz="0" w:space="0" w:color="auto"/>
          </w:divBdr>
          <w:divsChild>
            <w:div w:id="445733701">
              <w:marLeft w:val="0"/>
              <w:marRight w:val="0"/>
              <w:marTop w:val="0"/>
              <w:marBottom w:val="0"/>
              <w:divBdr>
                <w:top w:val="none" w:sz="0" w:space="0" w:color="auto"/>
                <w:left w:val="none" w:sz="0" w:space="0" w:color="auto"/>
                <w:bottom w:val="none" w:sz="0" w:space="0" w:color="auto"/>
                <w:right w:val="none" w:sz="0" w:space="0" w:color="auto"/>
              </w:divBdr>
            </w:div>
          </w:divsChild>
        </w:div>
        <w:div w:id="347216753">
          <w:marLeft w:val="0"/>
          <w:marRight w:val="0"/>
          <w:marTop w:val="0"/>
          <w:marBottom w:val="0"/>
          <w:divBdr>
            <w:top w:val="none" w:sz="0" w:space="0" w:color="auto"/>
            <w:left w:val="none" w:sz="0" w:space="0" w:color="auto"/>
            <w:bottom w:val="none" w:sz="0" w:space="0" w:color="auto"/>
            <w:right w:val="none" w:sz="0" w:space="0" w:color="auto"/>
          </w:divBdr>
          <w:divsChild>
            <w:div w:id="1643462237">
              <w:marLeft w:val="0"/>
              <w:marRight w:val="0"/>
              <w:marTop w:val="0"/>
              <w:marBottom w:val="0"/>
              <w:divBdr>
                <w:top w:val="none" w:sz="0" w:space="0" w:color="auto"/>
                <w:left w:val="none" w:sz="0" w:space="0" w:color="auto"/>
                <w:bottom w:val="none" w:sz="0" w:space="0" w:color="auto"/>
                <w:right w:val="none" w:sz="0" w:space="0" w:color="auto"/>
              </w:divBdr>
            </w:div>
          </w:divsChild>
        </w:div>
        <w:div w:id="362022531">
          <w:marLeft w:val="0"/>
          <w:marRight w:val="0"/>
          <w:marTop w:val="0"/>
          <w:marBottom w:val="0"/>
          <w:divBdr>
            <w:top w:val="none" w:sz="0" w:space="0" w:color="auto"/>
            <w:left w:val="none" w:sz="0" w:space="0" w:color="auto"/>
            <w:bottom w:val="none" w:sz="0" w:space="0" w:color="auto"/>
            <w:right w:val="none" w:sz="0" w:space="0" w:color="auto"/>
          </w:divBdr>
          <w:divsChild>
            <w:div w:id="1031148199">
              <w:marLeft w:val="0"/>
              <w:marRight w:val="0"/>
              <w:marTop w:val="0"/>
              <w:marBottom w:val="0"/>
              <w:divBdr>
                <w:top w:val="none" w:sz="0" w:space="0" w:color="auto"/>
                <w:left w:val="none" w:sz="0" w:space="0" w:color="auto"/>
                <w:bottom w:val="none" w:sz="0" w:space="0" w:color="auto"/>
                <w:right w:val="none" w:sz="0" w:space="0" w:color="auto"/>
              </w:divBdr>
            </w:div>
          </w:divsChild>
        </w:div>
        <w:div w:id="363215086">
          <w:marLeft w:val="0"/>
          <w:marRight w:val="0"/>
          <w:marTop w:val="0"/>
          <w:marBottom w:val="0"/>
          <w:divBdr>
            <w:top w:val="none" w:sz="0" w:space="0" w:color="auto"/>
            <w:left w:val="none" w:sz="0" w:space="0" w:color="auto"/>
            <w:bottom w:val="none" w:sz="0" w:space="0" w:color="auto"/>
            <w:right w:val="none" w:sz="0" w:space="0" w:color="auto"/>
          </w:divBdr>
          <w:divsChild>
            <w:div w:id="433866978">
              <w:marLeft w:val="0"/>
              <w:marRight w:val="0"/>
              <w:marTop w:val="0"/>
              <w:marBottom w:val="0"/>
              <w:divBdr>
                <w:top w:val="none" w:sz="0" w:space="0" w:color="auto"/>
                <w:left w:val="none" w:sz="0" w:space="0" w:color="auto"/>
                <w:bottom w:val="none" w:sz="0" w:space="0" w:color="auto"/>
                <w:right w:val="none" w:sz="0" w:space="0" w:color="auto"/>
              </w:divBdr>
            </w:div>
          </w:divsChild>
        </w:div>
        <w:div w:id="368410511">
          <w:marLeft w:val="0"/>
          <w:marRight w:val="0"/>
          <w:marTop w:val="0"/>
          <w:marBottom w:val="0"/>
          <w:divBdr>
            <w:top w:val="none" w:sz="0" w:space="0" w:color="auto"/>
            <w:left w:val="none" w:sz="0" w:space="0" w:color="auto"/>
            <w:bottom w:val="none" w:sz="0" w:space="0" w:color="auto"/>
            <w:right w:val="none" w:sz="0" w:space="0" w:color="auto"/>
          </w:divBdr>
          <w:divsChild>
            <w:div w:id="1149401113">
              <w:marLeft w:val="0"/>
              <w:marRight w:val="0"/>
              <w:marTop w:val="0"/>
              <w:marBottom w:val="0"/>
              <w:divBdr>
                <w:top w:val="none" w:sz="0" w:space="0" w:color="auto"/>
                <w:left w:val="none" w:sz="0" w:space="0" w:color="auto"/>
                <w:bottom w:val="none" w:sz="0" w:space="0" w:color="auto"/>
                <w:right w:val="none" w:sz="0" w:space="0" w:color="auto"/>
              </w:divBdr>
            </w:div>
          </w:divsChild>
        </w:div>
        <w:div w:id="381250162">
          <w:marLeft w:val="0"/>
          <w:marRight w:val="0"/>
          <w:marTop w:val="0"/>
          <w:marBottom w:val="0"/>
          <w:divBdr>
            <w:top w:val="none" w:sz="0" w:space="0" w:color="auto"/>
            <w:left w:val="none" w:sz="0" w:space="0" w:color="auto"/>
            <w:bottom w:val="none" w:sz="0" w:space="0" w:color="auto"/>
            <w:right w:val="none" w:sz="0" w:space="0" w:color="auto"/>
          </w:divBdr>
          <w:divsChild>
            <w:div w:id="1355811418">
              <w:marLeft w:val="0"/>
              <w:marRight w:val="0"/>
              <w:marTop w:val="0"/>
              <w:marBottom w:val="0"/>
              <w:divBdr>
                <w:top w:val="none" w:sz="0" w:space="0" w:color="auto"/>
                <w:left w:val="none" w:sz="0" w:space="0" w:color="auto"/>
                <w:bottom w:val="none" w:sz="0" w:space="0" w:color="auto"/>
                <w:right w:val="none" w:sz="0" w:space="0" w:color="auto"/>
              </w:divBdr>
            </w:div>
          </w:divsChild>
        </w:div>
        <w:div w:id="388573247">
          <w:marLeft w:val="0"/>
          <w:marRight w:val="0"/>
          <w:marTop w:val="0"/>
          <w:marBottom w:val="0"/>
          <w:divBdr>
            <w:top w:val="none" w:sz="0" w:space="0" w:color="auto"/>
            <w:left w:val="none" w:sz="0" w:space="0" w:color="auto"/>
            <w:bottom w:val="none" w:sz="0" w:space="0" w:color="auto"/>
            <w:right w:val="none" w:sz="0" w:space="0" w:color="auto"/>
          </w:divBdr>
          <w:divsChild>
            <w:div w:id="2099864620">
              <w:marLeft w:val="0"/>
              <w:marRight w:val="0"/>
              <w:marTop w:val="0"/>
              <w:marBottom w:val="0"/>
              <w:divBdr>
                <w:top w:val="none" w:sz="0" w:space="0" w:color="auto"/>
                <w:left w:val="none" w:sz="0" w:space="0" w:color="auto"/>
                <w:bottom w:val="none" w:sz="0" w:space="0" w:color="auto"/>
                <w:right w:val="none" w:sz="0" w:space="0" w:color="auto"/>
              </w:divBdr>
            </w:div>
          </w:divsChild>
        </w:div>
        <w:div w:id="397481839">
          <w:marLeft w:val="0"/>
          <w:marRight w:val="0"/>
          <w:marTop w:val="0"/>
          <w:marBottom w:val="0"/>
          <w:divBdr>
            <w:top w:val="none" w:sz="0" w:space="0" w:color="auto"/>
            <w:left w:val="none" w:sz="0" w:space="0" w:color="auto"/>
            <w:bottom w:val="none" w:sz="0" w:space="0" w:color="auto"/>
            <w:right w:val="none" w:sz="0" w:space="0" w:color="auto"/>
          </w:divBdr>
          <w:divsChild>
            <w:div w:id="427308560">
              <w:marLeft w:val="0"/>
              <w:marRight w:val="0"/>
              <w:marTop w:val="0"/>
              <w:marBottom w:val="0"/>
              <w:divBdr>
                <w:top w:val="none" w:sz="0" w:space="0" w:color="auto"/>
                <w:left w:val="none" w:sz="0" w:space="0" w:color="auto"/>
                <w:bottom w:val="none" w:sz="0" w:space="0" w:color="auto"/>
                <w:right w:val="none" w:sz="0" w:space="0" w:color="auto"/>
              </w:divBdr>
            </w:div>
          </w:divsChild>
        </w:div>
        <w:div w:id="415246702">
          <w:marLeft w:val="0"/>
          <w:marRight w:val="0"/>
          <w:marTop w:val="0"/>
          <w:marBottom w:val="0"/>
          <w:divBdr>
            <w:top w:val="none" w:sz="0" w:space="0" w:color="auto"/>
            <w:left w:val="none" w:sz="0" w:space="0" w:color="auto"/>
            <w:bottom w:val="none" w:sz="0" w:space="0" w:color="auto"/>
            <w:right w:val="none" w:sz="0" w:space="0" w:color="auto"/>
          </w:divBdr>
          <w:divsChild>
            <w:div w:id="1596208779">
              <w:marLeft w:val="0"/>
              <w:marRight w:val="0"/>
              <w:marTop w:val="0"/>
              <w:marBottom w:val="0"/>
              <w:divBdr>
                <w:top w:val="none" w:sz="0" w:space="0" w:color="auto"/>
                <w:left w:val="none" w:sz="0" w:space="0" w:color="auto"/>
                <w:bottom w:val="none" w:sz="0" w:space="0" w:color="auto"/>
                <w:right w:val="none" w:sz="0" w:space="0" w:color="auto"/>
              </w:divBdr>
            </w:div>
          </w:divsChild>
        </w:div>
        <w:div w:id="438111025">
          <w:marLeft w:val="0"/>
          <w:marRight w:val="0"/>
          <w:marTop w:val="0"/>
          <w:marBottom w:val="0"/>
          <w:divBdr>
            <w:top w:val="none" w:sz="0" w:space="0" w:color="auto"/>
            <w:left w:val="none" w:sz="0" w:space="0" w:color="auto"/>
            <w:bottom w:val="none" w:sz="0" w:space="0" w:color="auto"/>
            <w:right w:val="none" w:sz="0" w:space="0" w:color="auto"/>
          </w:divBdr>
          <w:divsChild>
            <w:div w:id="976297680">
              <w:marLeft w:val="0"/>
              <w:marRight w:val="0"/>
              <w:marTop w:val="0"/>
              <w:marBottom w:val="0"/>
              <w:divBdr>
                <w:top w:val="none" w:sz="0" w:space="0" w:color="auto"/>
                <w:left w:val="none" w:sz="0" w:space="0" w:color="auto"/>
                <w:bottom w:val="none" w:sz="0" w:space="0" w:color="auto"/>
                <w:right w:val="none" w:sz="0" w:space="0" w:color="auto"/>
              </w:divBdr>
            </w:div>
          </w:divsChild>
        </w:div>
        <w:div w:id="446897345">
          <w:marLeft w:val="0"/>
          <w:marRight w:val="0"/>
          <w:marTop w:val="0"/>
          <w:marBottom w:val="0"/>
          <w:divBdr>
            <w:top w:val="none" w:sz="0" w:space="0" w:color="auto"/>
            <w:left w:val="none" w:sz="0" w:space="0" w:color="auto"/>
            <w:bottom w:val="none" w:sz="0" w:space="0" w:color="auto"/>
            <w:right w:val="none" w:sz="0" w:space="0" w:color="auto"/>
          </w:divBdr>
          <w:divsChild>
            <w:div w:id="2086343438">
              <w:marLeft w:val="0"/>
              <w:marRight w:val="0"/>
              <w:marTop w:val="0"/>
              <w:marBottom w:val="0"/>
              <w:divBdr>
                <w:top w:val="none" w:sz="0" w:space="0" w:color="auto"/>
                <w:left w:val="none" w:sz="0" w:space="0" w:color="auto"/>
                <w:bottom w:val="none" w:sz="0" w:space="0" w:color="auto"/>
                <w:right w:val="none" w:sz="0" w:space="0" w:color="auto"/>
              </w:divBdr>
            </w:div>
          </w:divsChild>
        </w:div>
        <w:div w:id="478690518">
          <w:marLeft w:val="0"/>
          <w:marRight w:val="0"/>
          <w:marTop w:val="0"/>
          <w:marBottom w:val="0"/>
          <w:divBdr>
            <w:top w:val="none" w:sz="0" w:space="0" w:color="auto"/>
            <w:left w:val="none" w:sz="0" w:space="0" w:color="auto"/>
            <w:bottom w:val="none" w:sz="0" w:space="0" w:color="auto"/>
            <w:right w:val="none" w:sz="0" w:space="0" w:color="auto"/>
          </w:divBdr>
          <w:divsChild>
            <w:div w:id="1372345664">
              <w:marLeft w:val="0"/>
              <w:marRight w:val="0"/>
              <w:marTop w:val="0"/>
              <w:marBottom w:val="0"/>
              <w:divBdr>
                <w:top w:val="none" w:sz="0" w:space="0" w:color="auto"/>
                <w:left w:val="none" w:sz="0" w:space="0" w:color="auto"/>
                <w:bottom w:val="none" w:sz="0" w:space="0" w:color="auto"/>
                <w:right w:val="none" w:sz="0" w:space="0" w:color="auto"/>
              </w:divBdr>
            </w:div>
          </w:divsChild>
        </w:div>
        <w:div w:id="480772896">
          <w:marLeft w:val="0"/>
          <w:marRight w:val="0"/>
          <w:marTop w:val="0"/>
          <w:marBottom w:val="0"/>
          <w:divBdr>
            <w:top w:val="none" w:sz="0" w:space="0" w:color="auto"/>
            <w:left w:val="none" w:sz="0" w:space="0" w:color="auto"/>
            <w:bottom w:val="none" w:sz="0" w:space="0" w:color="auto"/>
            <w:right w:val="none" w:sz="0" w:space="0" w:color="auto"/>
          </w:divBdr>
          <w:divsChild>
            <w:div w:id="476186502">
              <w:marLeft w:val="0"/>
              <w:marRight w:val="0"/>
              <w:marTop w:val="0"/>
              <w:marBottom w:val="0"/>
              <w:divBdr>
                <w:top w:val="none" w:sz="0" w:space="0" w:color="auto"/>
                <w:left w:val="none" w:sz="0" w:space="0" w:color="auto"/>
                <w:bottom w:val="none" w:sz="0" w:space="0" w:color="auto"/>
                <w:right w:val="none" w:sz="0" w:space="0" w:color="auto"/>
              </w:divBdr>
            </w:div>
          </w:divsChild>
        </w:div>
        <w:div w:id="485366700">
          <w:marLeft w:val="0"/>
          <w:marRight w:val="0"/>
          <w:marTop w:val="0"/>
          <w:marBottom w:val="0"/>
          <w:divBdr>
            <w:top w:val="none" w:sz="0" w:space="0" w:color="auto"/>
            <w:left w:val="none" w:sz="0" w:space="0" w:color="auto"/>
            <w:bottom w:val="none" w:sz="0" w:space="0" w:color="auto"/>
            <w:right w:val="none" w:sz="0" w:space="0" w:color="auto"/>
          </w:divBdr>
          <w:divsChild>
            <w:div w:id="721563235">
              <w:marLeft w:val="0"/>
              <w:marRight w:val="0"/>
              <w:marTop w:val="0"/>
              <w:marBottom w:val="0"/>
              <w:divBdr>
                <w:top w:val="none" w:sz="0" w:space="0" w:color="auto"/>
                <w:left w:val="none" w:sz="0" w:space="0" w:color="auto"/>
                <w:bottom w:val="none" w:sz="0" w:space="0" w:color="auto"/>
                <w:right w:val="none" w:sz="0" w:space="0" w:color="auto"/>
              </w:divBdr>
            </w:div>
          </w:divsChild>
        </w:div>
        <w:div w:id="485821204">
          <w:marLeft w:val="0"/>
          <w:marRight w:val="0"/>
          <w:marTop w:val="0"/>
          <w:marBottom w:val="0"/>
          <w:divBdr>
            <w:top w:val="none" w:sz="0" w:space="0" w:color="auto"/>
            <w:left w:val="none" w:sz="0" w:space="0" w:color="auto"/>
            <w:bottom w:val="none" w:sz="0" w:space="0" w:color="auto"/>
            <w:right w:val="none" w:sz="0" w:space="0" w:color="auto"/>
          </w:divBdr>
          <w:divsChild>
            <w:div w:id="1455753988">
              <w:marLeft w:val="0"/>
              <w:marRight w:val="0"/>
              <w:marTop w:val="0"/>
              <w:marBottom w:val="0"/>
              <w:divBdr>
                <w:top w:val="none" w:sz="0" w:space="0" w:color="auto"/>
                <w:left w:val="none" w:sz="0" w:space="0" w:color="auto"/>
                <w:bottom w:val="none" w:sz="0" w:space="0" w:color="auto"/>
                <w:right w:val="none" w:sz="0" w:space="0" w:color="auto"/>
              </w:divBdr>
            </w:div>
          </w:divsChild>
        </w:div>
        <w:div w:id="496697431">
          <w:marLeft w:val="0"/>
          <w:marRight w:val="0"/>
          <w:marTop w:val="0"/>
          <w:marBottom w:val="0"/>
          <w:divBdr>
            <w:top w:val="none" w:sz="0" w:space="0" w:color="auto"/>
            <w:left w:val="none" w:sz="0" w:space="0" w:color="auto"/>
            <w:bottom w:val="none" w:sz="0" w:space="0" w:color="auto"/>
            <w:right w:val="none" w:sz="0" w:space="0" w:color="auto"/>
          </w:divBdr>
          <w:divsChild>
            <w:div w:id="1094397322">
              <w:marLeft w:val="0"/>
              <w:marRight w:val="0"/>
              <w:marTop w:val="0"/>
              <w:marBottom w:val="0"/>
              <w:divBdr>
                <w:top w:val="none" w:sz="0" w:space="0" w:color="auto"/>
                <w:left w:val="none" w:sz="0" w:space="0" w:color="auto"/>
                <w:bottom w:val="none" w:sz="0" w:space="0" w:color="auto"/>
                <w:right w:val="none" w:sz="0" w:space="0" w:color="auto"/>
              </w:divBdr>
            </w:div>
          </w:divsChild>
        </w:div>
        <w:div w:id="496767068">
          <w:marLeft w:val="0"/>
          <w:marRight w:val="0"/>
          <w:marTop w:val="0"/>
          <w:marBottom w:val="0"/>
          <w:divBdr>
            <w:top w:val="none" w:sz="0" w:space="0" w:color="auto"/>
            <w:left w:val="none" w:sz="0" w:space="0" w:color="auto"/>
            <w:bottom w:val="none" w:sz="0" w:space="0" w:color="auto"/>
            <w:right w:val="none" w:sz="0" w:space="0" w:color="auto"/>
          </w:divBdr>
          <w:divsChild>
            <w:div w:id="1407337074">
              <w:marLeft w:val="0"/>
              <w:marRight w:val="0"/>
              <w:marTop w:val="0"/>
              <w:marBottom w:val="0"/>
              <w:divBdr>
                <w:top w:val="none" w:sz="0" w:space="0" w:color="auto"/>
                <w:left w:val="none" w:sz="0" w:space="0" w:color="auto"/>
                <w:bottom w:val="none" w:sz="0" w:space="0" w:color="auto"/>
                <w:right w:val="none" w:sz="0" w:space="0" w:color="auto"/>
              </w:divBdr>
            </w:div>
          </w:divsChild>
        </w:div>
        <w:div w:id="503403017">
          <w:marLeft w:val="0"/>
          <w:marRight w:val="0"/>
          <w:marTop w:val="0"/>
          <w:marBottom w:val="0"/>
          <w:divBdr>
            <w:top w:val="none" w:sz="0" w:space="0" w:color="auto"/>
            <w:left w:val="none" w:sz="0" w:space="0" w:color="auto"/>
            <w:bottom w:val="none" w:sz="0" w:space="0" w:color="auto"/>
            <w:right w:val="none" w:sz="0" w:space="0" w:color="auto"/>
          </w:divBdr>
          <w:divsChild>
            <w:div w:id="682631675">
              <w:marLeft w:val="0"/>
              <w:marRight w:val="0"/>
              <w:marTop w:val="0"/>
              <w:marBottom w:val="0"/>
              <w:divBdr>
                <w:top w:val="none" w:sz="0" w:space="0" w:color="auto"/>
                <w:left w:val="none" w:sz="0" w:space="0" w:color="auto"/>
                <w:bottom w:val="none" w:sz="0" w:space="0" w:color="auto"/>
                <w:right w:val="none" w:sz="0" w:space="0" w:color="auto"/>
              </w:divBdr>
            </w:div>
          </w:divsChild>
        </w:div>
        <w:div w:id="505285779">
          <w:marLeft w:val="0"/>
          <w:marRight w:val="0"/>
          <w:marTop w:val="0"/>
          <w:marBottom w:val="0"/>
          <w:divBdr>
            <w:top w:val="none" w:sz="0" w:space="0" w:color="auto"/>
            <w:left w:val="none" w:sz="0" w:space="0" w:color="auto"/>
            <w:bottom w:val="none" w:sz="0" w:space="0" w:color="auto"/>
            <w:right w:val="none" w:sz="0" w:space="0" w:color="auto"/>
          </w:divBdr>
          <w:divsChild>
            <w:div w:id="1435902555">
              <w:marLeft w:val="0"/>
              <w:marRight w:val="0"/>
              <w:marTop w:val="0"/>
              <w:marBottom w:val="0"/>
              <w:divBdr>
                <w:top w:val="none" w:sz="0" w:space="0" w:color="auto"/>
                <w:left w:val="none" w:sz="0" w:space="0" w:color="auto"/>
                <w:bottom w:val="none" w:sz="0" w:space="0" w:color="auto"/>
                <w:right w:val="none" w:sz="0" w:space="0" w:color="auto"/>
              </w:divBdr>
            </w:div>
          </w:divsChild>
        </w:div>
        <w:div w:id="530651835">
          <w:marLeft w:val="0"/>
          <w:marRight w:val="0"/>
          <w:marTop w:val="0"/>
          <w:marBottom w:val="0"/>
          <w:divBdr>
            <w:top w:val="none" w:sz="0" w:space="0" w:color="auto"/>
            <w:left w:val="none" w:sz="0" w:space="0" w:color="auto"/>
            <w:bottom w:val="none" w:sz="0" w:space="0" w:color="auto"/>
            <w:right w:val="none" w:sz="0" w:space="0" w:color="auto"/>
          </w:divBdr>
          <w:divsChild>
            <w:div w:id="16397083">
              <w:marLeft w:val="0"/>
              <w:marRight w:val="0"/>
              <w:marTop w:val="0"/>
              <w:marBottom w:val="0"/>
              <w:divBdr>
                <w:top w:val="none" w:sz="0" w:space="0" w:color="auto"/>
                <w:left w:val="none" w:sz="0" w:space="0" w:color="auto"/>
                <w:bottom w:val="none" w:sz="0" w:space="0" w:color="auto"/>
                <w:right w:val="none" w:sz="0" w:space="0" w:color="auto"/>
              </w:divBdr>
            </w:div>
          </w:divsChild>
        </w:div>
        <w:div w:id="546570533">
          <w:marLeft w:val="0"/>
          <w:marRight w:val="0"/>
          <w:marTop w:val="0"/>
          <w:marBottom w:val="0"/>
          <w:divBdr>
            <w:top w:val="none" w:sz="0" w:space="0" w:color="auto"/>
            <w:left w:val="none" w:sz="0" w:space="0" w:color="auto"/>
            <w:bottom w:val="none" w:sz="0" w:space="0" w:color="auto"/>
            <w:right w:val="none" w:sz="0" w:space="0" w:color="auto"/>
          </w:divBdr>
          <w:divsChild>
            <w:div w:id="1145508689">
              <w:marLeft w:val="0"/>
              <w:marRight w:val="0"/>
              <w:marTop w:val="0"/>
              <w:marBottom w:val="0"/>
              <w:divBdr>
                <w:top w:val="none" w:sz="0" w:space="0" w:color="auto"/>
                <w:left w:val="none" w:sz="0" w:space="0" w:color="auto"/>
                <w:bottom w:val="none" w:sz="0" w:space="0" w:color="auto"/>
                <w:right w:val="none" w:sz="0" w:space="0" w:color="auto"/>
              </w:divBdr>
            </w:div>
          </w:divsChild>
        </w:div>
        <w:div w:id="560872612">
          <w:marLeft w:val="0"/>
          <w:marRight w:val="0"/>
          <w:marTop w:val="0"/>
          <w:marBottom w:val="0"/>
          <w:divBdr>
            <w:top w:val="none" w:sz="0" w:space="0" w:color="auto"/>
            <w:left w:val="none" w:sz="0" w:space="0" w:color="auto"/>
            <w:bottom w:val="none" w:sz="0" w:space="0" w:color="auto"/>
            <w:right w:val="none" w:sz="0" w:space="0" w:color="auto"/>
          </w:divBdr>
          <w:divsChild>
            <w:div w:id="1668022523">
              <w:marLeft w:val="0"/>
              <w:marRight w:val="0"/>
              <w:marTop w:val="0"/>
              <w:marBottom w:val="0"/>
              <w:divBdr>
                <w:top w:val="none" w:sz="0" w:space="0" w:color="auto"/>
                <w:left w:val="none" w:sz="0" w:space="0" w:color="auto"/>
                <w:bottom w:val="none" w:sz="0" w:space="0" w:color="auto"/>
                <w:right w:val="none" w:sz="0" w:space="0" w:color="auto"/>
              </w:divBdr>
            </w:div>
          </w:divsChild>
        </w:div>
        <w:div w:id="561331396">
          <w:marLeft w:val="0"/>
          <w:marRight w:val="0"/>
          <w:marTop w:val="0"/>
          <w:marBottom w:val="0"/>
          <w:divBdr>
            <w:top w:val="none" w:sz="0" w:space="0" w:color="auto"/>
            <w:left w:val="none" w:sz="0" w:space="0" w:color="auto"/>
            <w:bottom w:val="none" w:sz="0" w:space="0" w:color="auto"/>
            <w:right w:val="none" w:sz="0" w:space="0" w:color="auto"/>
          </w:divBdr>
          <w:divsChild>
            <w:div w:id="1415206865">
              <w:marLeft w:val="0"/>
              <w:marRight w:val="0"/>
              <w:marTop w:val="0"/>
              <w:marBottom w:val="0"/>
              <w:divBdr>
                <w:top w:val="none" w:sz="0" w:space="0" w:color="auto"/>
                <w:left w:val="none" w:sz="0" w:space="0" w:color="auto"/>
                <w:bottom w:val="none" w:sz="0" w:space="0" w:color="auto"/>
                <w:right w:val="none" w:sz="0" w:space="0" w:color="auto"/>
              </w:divBdr>
            </w:div>
          </w:divsChild>
        </w:div>
        <w:div w:id="565453906">
          <w:marLeft w:val="0"/>
          <w:marRight w:val="0"/>
          <w:marTop w:val="0"/>
          <w:marBottom w:val="0"/>
          <w:divBdr>
            <w:top w:val="none" w:sz="0" w:space="0" w:color="auto"/>
            <w:left w:val="none" w:sz="0" w:space="0" w:color="auto"/>
            <w:bottom w:val="none" w:sz="0" w:space="0" w:color="auto"/>
            <w:right w:val="none" w:sz="0" w:space="0" w:color="auto"/>
          </w:divBdr>
          <w:divsChild>
            <w:div w:id="687490114">
              <w:marLeft w:val="0"/>
              <w:marRight w:val="0"/>
              <w:marTop w:val="0"/>
              <w:marBottom w:val="0"/>
              <w:divBdr>
                <w:top w:val="none" w:sz="0" w:space="0" w:color="auto"/>
                <w:left w:val="none" w:sz="0" w:space="0" w:color="auto"/>
                <w:bottom w:val="none" w:sz="0" w:space="0" w:color="auto"/>
                <w:right w:val="none" w:sz="0" w:space="0" w:color="auto"/>
              </w:divBdr>
            </w:div>
          </w:divsChild>
        </w:div>
        <w:div w:id="566839685">
          <w:marLeft w:val="0"/>
          <w:marRight w:val="0"/>
          <w:marTop w:val="0"/>
          <w:marBottom w:val="0"/>
          <w:divBdr>
            <w:top w:val="none" w:sz="0" w:space="0" w:color="auto"/>
            <w:left w:val="none" w:sz="0" w:space="0" w:color="auto"/>
            <w:bottom w:val="none" w:sz="0" w:space="0" w:color="auto"/>
            <w:right w:val="none" w:sz="0" w:space="0" w:color="auto"/>
          </w:divBdr>
          <w:divsChild>
            <w:div w:id="415322682">
              <w:marLeft w:val="0"/>
              <w:marRight w:val="0"/>
              <w:marTop w:val="0"/>
              <w:marBottom w:val="0"/>
              <w:divBdr>
                <w:top w:val="none" w:sz="0" w:space="0" w:color="auto"/>
                <w:left w:val="none" w:sz="0" w:space="0" w:color="auto"/>
                <w:bottom w:val="none" w:sz="0" w:space="0" w:color="auto"/>
                <w:right w:val="none" w:sz="0" w:space="0" w:color="auto"/>
              </w:divBdr>
            </w:div>
          </w:divsChild>
        </w:div>
        <w:div w:id="569730990">
          <w:marLeft w:val="0"/>
          <w:marRight w:val="0"/>
          <w:marTop w:val="0"/>
          <w:marBottom w:val="0"/>
          <w:divBdr>
            <w:top w:val="none" w:sz="0" w:space="0" w:color="auto"/>
            <w:left w:val="none" w:sz="0" w:space="0" w:color="auto"/>
            <w:bottom w:val="none" w:sz="0" w:space="0" w:color="auto"/>
            <w:right w:val="none" w:sz="0" w:space="0" w:color="auto"/>
          </w:divBdr>
          <w:divsChild>
            <w:div w:id="366104002">
              <w:marLeft w:val="0"/>
              <w:marRight w:val="0"/>
              <w:marTop w:val="0"/>
              <w:marBottom w:val="0"/>
              <w:divBdr>
                <w:top w:val="none" w:sz="0" w:space="0" w:color="auto"/>
                <w:left w:val="none" w:sz="0" w:space="0" w:color="auto"/>
                <w:bottom w:val="none" w:sz="0" w:space="0" w:color="auto"/>
                <w:right w:val="none" w:sz="0" w:space="0" w:color="auto"/>
              </w:divBdr>
            </w:div>
          </w:divsChild>
        </w:div>
        <w:div w:id="578104379">
          <w:marLeft w:val="0"/>
          <w:marRight w:val="0"/>
          <w:marTop w:val="0"/>
          <w:marBottom w:val="0"/>
          <w:divBdr>
            <w:top w:val="none" w:sz="0" w:space="0" w:color="auto"/>
            <w:left w:val="none" w:sz="0" w:space="0" w:color="auto"/>
            <w:bottom w:val="none" w:sz="0" w:space="0" w:color="auto"/>
            <w:right w:val="none" w:sz="0" w:space="0" w:color="auto"/>
          </w:divBdr>
          <w:divsChild>
            <w:div w:id="117646646">
              <w:marLeft w:val="0"/>
              <w:marRight w:val="0"/>
              <w:marTop w:val="0"/>
              <w:marBottom w:val="0"/>
              <w:divBdr>
                <w:top w:val="none" w:sz="0" w:space="0" w:color="auto"/>
                <w:left w:val="none" w:sz="0" w:space="0" w:color="auto"/>
                <w:bottom w:val="none" w:sz="0" w:space="0" w:color="auto"/>
                <w:right w:val="none" w:sz="0" w:space="0" w:color="auto"/>
              </w:divBdr>
            </w:div>
          </w:divsChild>
        </w:div>
        <w:div w:id="578948042">
          <w:marLeft w:val="0"/>
          <w:marRight w:val="0"/>
          <w:marTop w:val="0"/>
          <w:marBottom w:val="0"/>
          <w:divBdr>
            <w:top w:val="none" w:sz="0" w:space="0" w:color="auto"/>
            <w:left w:val="none" w:sz="0" w:space="0" w:color="auto"/>
            <w:bottom w:val="none" w:sz="0" w:space="0" w:color="auto"/>
            <w:right w:val="none" w:sz="0" w:space="0" w:color="auto"/>
          </w:divBdr>
          <w:divsChild>
            <w:div w:id="360589696">
              <w:marLeft w:val="0"/>
              <w:marRight w:val="0"/>
              <w:marTop w:val="0"/>
              <w:marBottom w:val="0"/>
              <w:divBdr>
                <w:top w:val="none" w:sz="0" w:space="0" w:color="auto"/>
                <w:left w:val="none" w:sz="0" w:space="0" w:color="auto"/>
                <w:bottom w:val="none" w:sz="0" w:space="0" w:color="auto"/>
                <w:right w:val="none" w:sz="0" w:space="0" w:color="auto"/>
              </w:divBdr>
            </w:div>
          </w:divsChild>
        </w:div>
        <w:div w:id="580720142">
          <w:marLeft w:val="0"/>
          <w:marRight w:val="0"/>
          <w:marTop w:val="0"/>
          <w:marBottom w:val="0"/>
          <w:divBdr>
            <w:top w:val="none" w:sz="0" w:space="0" w:color="auto"/>
            <w:left w:val="none" w:sz="0" w:space="0" w:color="auto"/>
            <w:bottom w:val="none" w:sz="0" w:space="0" w:color="auto"/>
            <w:right w:val="none" w:sz="0" w:space="0" w:color="auto"/>
          </w:divBdr>
          <w:divsChild>
            <w:div w:id="1921869345">
              <w:marLeft w:val="0"/>
              <w:marRight w:val="0"/>
              <w:marTop w:val="0"/>
              <w:marBottom w:val="0"/>
              <w:divBdr>
                <w:top w:val="none" w:sz="0" w:space="0" w:color="auto"/>
                <w:left w:val="none" w:sz="0" w:space="0" w:color="auto"/>
                <w:bottom w:val="none" w:sz="0" w:space="0" w:color="auto"/>
                <w:right w:val="none" w:sz="0" w:space="0" w:color="auto"/>
              </w:divBdr>
            </w:div>
          </w:divsChild>
        </w:div>
        <w:div w:id="585770350">
          <w:marLeft w:val="0"/>
          <w:marRight w:val="0"/>
          <w:marTop w:val="0"/>
          <w:marBottom w:val="0"/>
          <w:divBdr>
            <w:top w:val="none" w:sz="0" w:space="0" w:color="auto"/>
            <w:left w:val="none" w:sz="0" w:space="0" w:color="auto"/>
            <w:bottom w:val="none" w:sz="0" w:space="0" w:color="auto"/>
            <w:right w:val="none" w:sz="0" w:space="0" w:color="auto"/>
          </w:divBdr>
          <w:divsChild>
            <w:div w:id="1452896608">
              <w:marLeft w:val="0"/>
              <w:marRight w:val="0"/>
              <w:marTop w:val="0"/>
              <w:marBottom w:val="0"/>
              <w:divBdr>
                <w:top w:val="none" w:sz="0" w:space="0" w:color="auto"/>
                <w:left w:val="none" w:sz="0" w:space="0" w:color="auto"/>
                <w:bottom w:val="none" w:sz="0" w:space="0" w:color="auto"/>
                <w:right w:val="none" w:sz="0" w:space="0" w:color="auto"/>
              </w:divBdr>
            </w:div>
          </w:divsChild>
        </w:div>
        <w:div w:id="597837916">
          <w:marLeft w:val="0"/>
          <w:marRight w:val="0"/>
          <w:marTop w:val="0"/>
          <w:marBottom w:val="0"/>
          <w:divBdr>
            <w:top w:val="none" w:sz="0" w:space="0" w:color="auto"/>
            <w:left w:val="none" w:sz="0" w:space="0" w:color="auto"/>
            <w:bottom w:val="none" w:sz="0" w:space="0" w:color="auto"/>
            <w:right w:val="none" w:sz="0" w:space="0" w:color="auto"/>
          </w:divBdr>
          <w:divsChild>
            <w:div w:id="1433430031">
              <w:marLeft w:val="0"/>
              <w:marRight w:val="0"/>
              <w:marTop w:val="0"/>
              <w:marBottom w:val="0"/>
              <w:divBdr>
                <w:top w:val="none" w:sz="0" w:space="0" w:color="auto"/>
                <w:left w:val="none" w:sz="0" w:space="0" w:color="auto"/>
                <w:bottom w:val="none" w:sz="0" w:space="0" w:color="auto"/>
                <w:right w:val="none" w:sz="0" w:space="0" w:color="auto"/>
              </w:divBdr>
            </w:div>
          </w:divsChild>
        </w:div>
        <w:div w:id="620842222">
          <w:marLeft w:val="0"/>
          <w:marRight w:val="0"/>
          <w:marTop w:val="0"/>
          <w:marBottom w:val="0"/>
          <w:divBdr>
            <w:top w:val="none" w:sz="0" w:space="0" w:color="auto"/>
            <w:left w:val="none" w:sz="0" w:space="0" w:color="auto"/>
            <w:bottom w:val="none" w:sz="0" w:space="0" w:color="auto"/>
            <w:right w:val="none" w:sz="0" w:space="0" w:color="auto"/>
          </w:divBdr>
          <w:divsChild>
            <w:div w:id="1519545105">
              <w:marLeft w:val="0"/>
              <w:marRight w:val="0"/>
              <w:marTop w:val="0"/>
              <w:marBottom w:val="0"/>
              <w:divBdr>
                <w:top w:val="none" w:sz="0" w:space="0" w:color="auto"/>
                <w:left w:val="none" w:sz="0" w:space="0" w:color="auto"/>
                <w:bottom w:val="none" w:sz="0" w:space="0" w:color="auto"/>
                <w:right w:val="none" w:sz="0" w:space="0" w:color="auto"/>
              </w:divBdr>
            </w:div>
          </w:divsChild>
        </w:div>
        <w:div w:id="626593446">
          <w:marLeft w:val="0"/>
          <w:marRight w:val="0"/>
          <w:marTop w:val="0"/>
          <w:marBottom w:val="0"/>
          <w:divBdr>
            <w:top w:val="none" w:sz="0" w:space="0" w:color="auto"/>
            <w:left w:val="none" w:sz="0" w:space="0" w:color="auto"/>
            <w:bottom w:val="none" w:sz="0" w:space="0" w:color="auto"/>
            <w:right w:val="none" w:sz="0" w:space="0" w:color="auto"/>
          </w:divBdr>
          <w:divsChild>
            <w:div w:id="1231691155">
              <w:marLeft w:val="0"/>
              <w:marRight w:val="0"/>
              <w:marTop w:val="0"/>
              <w:marBottom w:val="0"/>
              <w:divBdr>
                <w:top w:val="none" w:sz="0" w:space="0" w:color="auto"/>
                <w:left w:val="none" w:sz="0" w:space="0" w:color="auto"/>
                <w:bottom w:val="none" w:sz="0" w:space="0" w:color="auto"/>
                <w:right w:val="none" w:sz="0" w:space="0" w:color="auto"/>
              </w:divBdr>
            </w:div>
          </w:divsChild>
        </w:div>
        <w:div w:id="642467923">
          <w:marLeft w:val="0"/>
          <w:marRight w:val="0"/>
          <w:marTop w:val="0"/>
          <w:marBottom w:val="0"/>
          <w:divBdr>
            <w:top w:val="none" w:sz="0" w:space="0" w:color="auto"/>
            <w:left w:val="none" w:sz="0" w:space="0" w:color="auto"/>
            <w:bottom w:val="none" w:sz="0" w:space="0" w:color="auto"/>
            <w:right w:val="none" w:sz="0" w:space="0" w:color="auto"/>
          </w:divBdr>
          <w:divsChild>
            <w:div w:id="80834682">
              <w:marLeft w:val="0"/>
              <w:marRight w:val="0"/>
              <w:marTop w:val="0"/>
              <w:marBottom w:val="0"/>
              <w:divBdr>
                <w:top w:val="none" w:sz="0" w:space="0" w:color="auto"/>
                <w:left w:val="none" w:sz="0" w:space="0" w:color="auto"/>
                <w:bottom w:val="none" w:sz="0" w:space="0" w:color="auto"/>
                <w:right w:val="none" w:sz="0" w:space="0" w:color="auto"/>
              </w:divBdr>
            </w:div>
          </w:divsChild>
        </w:div>
        <w:div w:id="643196403">
          <w:marLeft w:val="0"/>
          <w:marRight w:val="0"/>
          <w:marTop w:val="0"/>
          <w:marBottom w:val="0"/>
          <w:divBdr>
            <w:top w:val="none" w:sz="0" w:space="0" w:color="auto"/>
            <w:left w:val="none" w:sz="0" w:space="0" w:color="auto"/>
            <w:bottom w:val="none" w:sz="0" w:space="0" w:color="auto"/>
            <w:right w:val="none" w:sz="0" w:space="0" w:color="auto"/>
          </w:divBdr>
          <w:divsChild>
            <w:div w:id="692848565">
              <w:marLeft w:val="0"/>
              <w:marRight w:val="0"/>
              <w:marTop w:val="0"/>
              <w:marBottom w:val="0"/>
              <w:divBdr>
                <w:top w:val="none" w:sz="0" w:space="0" w:color="auto"/>
                <w:left w:val="none" w:sz="0" w:space="0" w:color="auto"/>
                <w:bottom w:val="none" w:sz="0" w:space="0" w:color="auto"/>
                <w:right w:val="none" w:sz="0" w:space="0" w:color="auto"/>
              </w:divBdr>
            </w:div>
          </w:divsChild>
        </w:div>
        <w:div w:id="665472038">
          <w:marLeft w:val="0"/>
          <w:marRight w:val="0"/>
          <w:marTop w:val="0"/>
          <w:marBottom w:val="0"/>
          <w:divBdr>
            <w:top w:val="none" w:sz="0" w:space="0" w:color="auto"/>
            <w:left w:val="none" w:sz="0" w:space="0" w:color="auto"/>
            <w:bottom w:val="none" w:sz="0" w:space="0" w:color="auto"/>
            <w:right w:val="none" w:sz="0" w:space="0" w:color="auto"/>
          </w:divBdr>
          <w:divsChild>
            <w:div w:id="442307396">
              <w:marLeft w:val="0"/>
              <w:marRight w:val="0"/>
              <w:marTop w:val="0"/>
              <w:marBottom w:val="0"/>
              <w:divBdr>
                <w:top w:val="none" w:sz="0" w:space="0" w:color="auto"/>
                <w:left w:val="none" w:sz="0" w:space="0" w:color="auto"/>
                <w:bottom w:val="none" w:sz="0" w:space="0" w:color="auto"/>
                <w:right w:val="none" w:sz="0" w:space="0" w:color="auto"/>
              </w:divBdr>
            </w:div>
          </w:divsChild>
        </w:div>
        <w:div w:id="681779215">
          <w:marLeft w:val="0"/>
          <w:marRight w:val="0"/>
          <w:marTop w:val="0"/>
          <w:marBottom w:val="0"/>
          <w:divBdr>
            <w:top w:val="none" w:sz="0" w:space="0" w:color="auto"/>
            <w:left w:val="none" w:sz="0" w:space="0" w:color="auto"/>
            <w:bottom w:val="none" w:sz="0" w:space="0" w:color="auto"/>
            <w:right w:val="none" w:sz="0" w:space="0" w:color="auto"/>
          </w:divBdr>
          <w:divsChild>
            <w:div w:id="1647202631">
              <w:marLeft w:val="0"/>
              <w:marRight w:val="0"/>
              <w:marTop w:val="0"/>
              <w:marBottom w:val="0"/>
              <w:divBdr>
                <w:top w:val="none" w:sz="0" w:space="0" w:color="auto"/>
                <w:left w:val="none" w:sz="0" w:space="0" w:color="auto"/>
                <w:bottom w:val="none" w:sz="0" w:space="0" w:color="auto"/>
                <w:right w:val="none" w:sz="0" w:space="0" w:color="auto"/>
              </w:divBdr>
            </w:div>
          </w:divsChild>
        </w:div>
        <w:div w:id="683828792">
          <w:marLeft w:val="0"/>
          <w:marRight w:val="0"/>
          <w:marTop w:val="0"/>
          <w:marBottom w:val="0"/>
          <w:divBdr>
            <w:top w:val="none" w:sz="0" w:space="0" w:color="auto"/>
            <w:left w:val="none" w:sz="0" w:space="0" w:color="auto"/>
            <w:bottom w:val="none" w:sz="0" w:space="0" w:color="auto"/>
            <w:right w:val="none" w:sz="0" w:space="0" w:color="auto"/>
          </w:divBdr>
          <w:divsChild>
            <w:div w:id="1047099968">
              <w:marLeft w:val="0"/>
              <w:marRight w:val="0"/>
              <w:marTop w:val="0"/>
              <w:marBottom w:val="0"/>
              <w:divBdr>
                <w:top w:val="none" w:sz="0" w:space="0" w:color="auto"/>
                <w:left w:val="none" w:sz="0" w:space="0" w:color="auto"/>
                <w:bottom w:val="none" w:sz="0" w:space="0" w:color="auto"/>
                <w:right w:val="none" w:sz="0" w:space="0" w:color="auto"/>
              </w:divBdr>
            </w:div>
          </w:divsChild>
        </w:div>
        <w:div w:id="686247287">
          <w:marLeft w:val="0"/>
          <w:marRight w:val="0"/>
          <w:marTop w:val="0"/>
          <w:marBottom w:val="0"/>
          <w:divBdr>
            <w:top w:val="none" w:sz="0" w:space="0" w:color="auto"/>
            <w:left w:val="none" w:sz="0" w:space="0" w:color="auto"/>
            <w:bottom w:val="none" w:sz="0" w:space="0" w:color="auto"/>
            <w:right w:val="none" w:sz="0" w:space="0" w:color="auto"/>
          </w:divBdr>
          <w:divsChild>
            <w:div w:id="499780406">
              <w:marLeft w:val="0"/>
              <w:marRight w:val="0"/>
              <w:marTop w:val="0"/>
              <w:marBottom w:val="0"/>
              <w:divBdr>
                <w:top w:val="none" w:sz="0" w:space="0" w:color="auto"/>
                <w:left w:val="none" w:sz="0" w:space="0" w:color="auto"/>
                <w:bottom w:val="none" w:sz="0" w:space="0" w:color="auto"/>
                <w:right w:val="none" w:sz="0" w:space="0" w:color="auto"/>
              </w:divBdr>
            </w:div>
          </w:divsChild>
        </w:div>
        <w:div w:id="698360265">
          <w:marLeft w:val="0"/>
          <w:marRight w:val="0"/>
          <w:marTop w:val="0"/>
          <w:marBottom w:val="0"/>
          <w:divBdr>
            <w:top w:val="none" w:sz="0" w:space="0" w:color="auto"/>
            <w:left w:val="none" w:sz="0" w:space="0" w:color="auto"/>
            <w:bottom w:val="none" w:sz="0" w:space="0" w:color="auto"/>
            <w:right w:val="none" w:sz="0" w:space="0" w:color="auto"/>
          </w:divBdr>
          <w:divsChild>
            <w:div w:id="13043110">
              <w:marLeft w:val="0"/>
              <w:marRight w:val="0"/>
              <w:marTop w:val="0"/>
              <w:marBottom w:val="0"/>
              <w:divBdr>
                <w:top w:val="none" w:sz="0" w:space="0" w:color="auto"/>
                <w:left w:val="none" w:sz="0" w:space="0" w:color="auto"/>
                <w:bottom w:val="none" w:sz="0" w:space="0" w:color="auto"/>
                <w:right w:val="none" w:sz="0" w:space="0" w:color="auto"/>
              </w:divBdr>
            </w:div>
          </w:divsChild>
        </w:div>
        <w:div w:id="705257787">
          <w:marLeft w:val="0"/>
          <w:marRight w:val="0"/>
          <w:marTop w:val="0"/>
          <w:marBottom w:val="0"/>
          <w:divBdr>
            <w:top w:val="none" w:sz="0" w:space="0" w:color="auto"/>
            <w:left w:val="none" w:sz="0" w:space="0" w:color="auto"/>
            <w:bottom w:val="none" w:sz="0" w:space="0" w:color="auto"/>
            <w:right w:val="none" w:sz="0" w:space="0" w:color="auto"/>
          </w:divBdr>
          <w:divsChild>
            <w:div w:id="1750346115">
              <w:marLeft w:val="0"/>
              <w:marRight w:val="0"/>
              <w:marTop w:val="0"/>
              <w:marBottom w:val="0"/>
              <w:divBdr>
                <w:top w:val="none" w:sz="0" w:space="0" w:color="auto"/>
                <w:left w:val="none" w:sz="0" w:space="0" w:color="auto"/>
                <w:bottom w:val="none" w:sz="0" w:space="0" w:color="auto"/>
                <w:right w:val="none" w:sz="0" w:space="0" w:color="auto"/>
              </w:divBdr>
            </w:div>
          </w:divsChild>
        </w:div>
        <w:div w:id="711346200">
          <w:marLeft w:val="0"/>
          <w:marRight w:val="0"/>
          <w:marTop w:val="0"/>
          <w:marBottom w:val="0"/>
          <w:divBdr>
            <w:top w:val="none" w:sz="0" w:space="0" w:color="auto"/>
            <w:left w:val="none" w:sz="0" w:space="0" w:color="auto"/>
            <w:bottom w:val="none" w:sz="0" w:space="0" w:color="auto"/>
            <w:right w:val="none" w:sz="0" w:space="0" w:color="auto"/>
          </w:divBdr>
          <w:divsChild>
            <w:div w:id="1490050606">
              <w:marLeft w:val="0"/>
              <w:marRight w:val="0"/>
              <w:marTop w:val="0"/>
              <w:marBottom w:val="0"/>
              <w:divBdr>
                <w:top w:val="none" w:sz="0" w:space="0" w:color="auto"/>
                <w:left w:val="none" w:sz="0" w:space="0" w:color="auto"/>
                <w:bottom w:val="none" w:sz="0" w:space="0" w:color="auto"/>
                <w:right w:val="none" w:sz="0" w:space="0" w:color="auto"/>
              </w:divBdr>
            </w:div>
          </w:divsChild>
        </w:div>
        <w:div w:id="732773435">
          <w:marLeft w:val="0"/>
          <w:marRight w:val="0"/>
          <w:marTop w:val="0"/>
          <w:marBottom w:val="0"/>
          <w:divBdr>
            <w:top w:val="none" w:sz="0" w:space="0" w:color="auto"/>
            <w:left w:val="none" w:sz="0" w:space="0" w:color="auto"/>
            <w:bottom w:val="none" w:sz="0" w:space="0" w:color="auto"/>
            <w:right w:val="none" w:sz="0" w:space="0" w:color="auto"/>
          </w:divBdr>
          <w:divsChild>
            <w:div w:id="142433444">
              <w:marLeft w:val="0"/>
              <w:marRight w:val="0"/>
              <w:marTop w:val="0"/>
              <w:marBottom w:val="0"/>
              <w:divBdr>
                <w:top w:val="none" w:sz="0" w:space="0" w:color="auto"/>
                <w:left w:val="none" w:sz="0" w:space="0" w:color="auto"/>
                <w:bottom w:val="none" w:sz="0" w:space="0" w:color="auto"/>
                <w:right w:val="none" w:sz="0" w:space="0" w:color="auto"/>
              </w:divBdr>
            </w:div>
          </w:divsChild>
        </w:div>
        <w:div w:id="740520623">
          <w:marLeft w:val="0"/>
          <w:marRight w:val="0"/>
          <w:marTop w:val="0"/>
          <w:marBottom w:val="0"/>
          <w:divBdr>
            <w:top w:val="none" w:sz="0" w:space="0" w:color="auto"/>
            <w:left w:val="none" w:sz="0" w:space="0" w:color="auto"/>
            <w:bottom w:val="none" w:sz="0" w:space="0" w:color="auto"/>
            <w:right w:val="none" w:sz="0" w:space="0" w:color="auto"/>
          </w:divBdr>
          <w:divsChild>
            <w:div w:id="1186022953">
              <w:marLeft w:val="0"/>
              <w:marRight w:val="0"/>
              <w:marTop w:val="0"/>
              <w:marBottom w:val="0"/>
              <w:divBdr>
                <w:top w:val="none" w:sz="0" w:space="0" w:color="auto"/>
                <w:left w:val="none" w:sz="0" w:space="0" w:color="auto"/>
                <w:bottom w:val="none" w:sz="0" w:space="0" w:color="auto"/>
                <w:right w:val="none" w:sz="0" w:space="0" w:color="auto"/>
              </w:divBdr>
            </w:div>
          </w:divsChild>
        </w:div>
        <w:div w:id="744837092">
          <w:marLeft w:val="0"/>
          <w:marRight w:val="0"/>
          <w:marTop w:val="0"/>
          <w:marBottom w:val="0"/>
          <w:divBdr>
            <w:top w:val="none" w:sz="0" w:space="0" w:color="auto"/>
            <w:left w:val="none" w:sz="0" w:space="0" w:color="auto"/>
            <w:bottom w:val="none" w:sz="0" w:space="0" w:color="auto"/>
            <w:right w:val="none" w:sz="0" w:space="0" w:color="auto"/>
          </w:divBdr>
          <w:divsChild>
            <w:div w:id="1706757652">
              <w:marLeft w:val="0"/>
              <w:marRight w:val="0"/>
              <w:marTop w:val="0"/>
              <w:marBottom w:val="0"/>
              <w:divBdr>
                <w:top w:val="none" w:sz="0" w:space="0" w:color="auto"/>
                <w:left w:val="none" w:sz="0" w:space="0" w:color="auto"/>
                <w:bottom w:val="none" w:sz="0" w:space="0" w:color="auto"/>
                <w:right w:val="none" w:sz="0" w:space="0" w:color="auto"/>
              </w:divBdr>
            </w:div>
          </w:divsChild>
        </w:div>
        <w:div w:id="747849741">
          <w:marLeft w:val="0"/>
          <w:marRight w:val="0"/>
          <w:marTop w:val="0"/>
          <w:marBottom w:val="0"/>
          <w:divBdr>
            <w:top w:val="none" w:sz="0" w:space="0" w:color="auto"/>
            <w:left w:val="none" w:sz="0" w:space="0" w:color="auto"/>
            <w:bottom w:val="none" w:sz="0" w:space="0" w:color="auto"/>
            <w:right w:val="none" w:sz="0" w:space="0" w:color="auto"/>
          </w:divBdr>
          <w:divsChild>
            <w:div w:id="282736969">
              <w:marLeft w:val="0"/>
              <w:marRight w:val="0"/>
              <w:marTop w:val="0"/>
              <w:marBottom w:val="0"/>
              <w:divBdr>
                <w:top w:val="none" w:sz="0" w:space="0" w:color="auto"/>
                <w:left w:val="none" w:sz="0" w:space="0" w:color="auto"/>
                <w:bottom w:val="none" w:sz="0" w:space="0" w:color="auto"/>
                <w:right w:val="none" w:sz="0" w:space="0" w:color="auto"/>
              </w:divBdr>
            </w:div>
          </w:divsChild>
        </w:div>
        <w:div w:id="749892288">
          <w:marLeft w:val="0"/>
          <w:marRight w:val="0"/>
          <w:marTop w:val="0"/>
          <w:marBottom w:val="0"/>
          <w:divBdr>
            <w:top w:val="none" w:sz="0" w:space="0" w:color="auto"/>
            <w:left w:val="none" w:sz="0" w:space="0" w:color="auto"/>
            <w:bottom w:val="none" w:sz="0" w:space="0" w:color="auto"/>
            <w:right w:val="none" w:sz="0" w:space="0" w:color="auto"/>
          </w:divBdr>
          <w:divsChild>
            <w:div w:id="55712561">
              <w:marLeft w:val="0"/>
              <w:marRight w:val="0"/>
              <w:marTop w:val="0"/>
              <w:marBottom w:val="0"/>
              <w:divBdr>
                <w:top w:val="none" w:sz="0" w:space="0" w:color="auto"/>
                <w:left w:val="none" w:sz="0" w:space="0" w:color="auto"/>
                <w:bottom w:val="none" w:sz="0" w:space="0" w:color="auto"/>
                <w:right w:val="none" w:sz="0" w:space="0" w:color="auto"/>
              </w:divBdr>
            </w:div>
          </w:divsChild>
        </w:div>
        <w:div w:id="750079941">
          <w:marLeft w:val="0"/>
          <w:marRight w:val="0"/>
          <w:marTop w:val="0"/>
          <w:marBottom w:val="0"/>
          <w:divBdr>
            <w:top w:val="none" w:sz="0" w:space="0" w:color="auto"/>
            <w:left w:val="none" w:sz="0" w:space="0" w:color="auto"/>
            <w:bottom w:val="none" w:sz="0" w:space="0" w:color="auto"/>
            <w:right w:val="none" w:sz="0" w:space="0" w:color="auto"/>
          </w:divBdr>
          <w:divsChild>
            <w:div w:id="868566696">
              <w:marLeft w:val="0"/>
              <w:marRight w:val="0"/>
              <w:marTop w:val="0"/>
              <w:marBottom w:val="0"/>
              <w:divBdr>
                <w:top w:val="none" w:sz="0" w:space="0" w:color="auto"/>
                <w:left w:val="none" w:sz="0" w:space="0" w:color="auto"/>
                <w:bottom w:val="none" w:sz="0" w:space="0" w:color="auto"/>
                <w:right w:val="none" w:sz="0" w:space="0" w:color="auto"/>
              </w:divBdr>
            </w:div>
          </w:divsChild>
        </w:div>
        <w:div w:id="758524085">
          <w:marLeft w:val="0"/>
          <w:marRight w:val="0"/>
          <w:marTop w:val="0"/>
          <w:marBottom w:val="0"/>
          <w:divBdr>
            <w:top w:val="none" w:sz="0" w:space="0" w:color="auto"/>
            <w:left w:val="none" w:sz="0" w:space="0" w:color="auto"/>
            <w:bottom w:val="none" w:sz="0" w:space="0" w:color="auto"/>
            <w:right w:val="none" w:sz="0" w:space="0" w:color="auto"/>
          </w:divBdr>
          <w:divsChild>
            <w:div w:id="1536847864">
              <w:marLeft w:val="0"/>
              <w:marRight w:val="0"/>
              <w:marTop w:val="0"/>
              <w:marBottom w:val="0"/>
              <w:divBdr>
                <w:top w:val="none" w:sz="0" w:space="0" w:color="auto"/>
                <w:left w:val="none" w:sz="0" w:space="0" w:color="auto"/>
                <w:bottom w:val="none" w:sz="0" w:space="0" w:color="auto"/>
                <w:right w:val="none" w:sz="0" w:space="0" w:color="auto"/>
              </w:divBdr>
            </w:div>
          </w:divsChild>
        </w:div>
        <w:div w:id="758866832">
          <w:marLeft w:val="0"/>
          <w:marRight w:val="0"/>
          <w:marTop w:val="0"/>
          <w:marBottom w:val="0"/>
          <w:divBdr>
            <w:top w:val="none" w:sz="0" w:space="0" w:color="auto"/>
            <w:left w:val="none" w:sz="0" w:space="0" w:color="auto"/>
            <w:bottom w:val="none" w:sz="0" w:space="0" w:color="auto"/>
            <w:right w:val="none" w:sz="0" w:space="0" w:color="auto"/>
          </w:divBdr>
          <w:divsChild>
            <w:div w:id="1525941643">
              <w:marLeft w:val="0"/>
              <w:marRight w:val="0"/>
              <w:marTop w:val="0"/>
              <w:marBottom w:val="0"/>
              <w:divBdr>
                <w:top w:val="none" w:sz="0" w:space="0" w:color="auto"/>
                <w:left w:val="none" w:sz="0" w:space="0" w:color="auto"/>
                <w:bottom w:val="none" w:sz="0" w:space="0" w:color="auto"/>
                <w:right w:val="none" w:sz="0" w:space="0" w:color="auto"/>
              </w:divBdr>
            </w:div>
          </w:divsChild>
        </w:div>
        <w:div w:id="766005280">
          <w:marLeft w:val="0"/>
          <w:marRight w:val="0"/>
          <w:marTop w:val="0"/>
          <w:marBottom w:val="0"/>
          <w:divBdr>
            <w:top w:val="none" w:sz="0" w:space="0" w:color="auto"/>
            <w:left w:val="none" w:sz="0" w:space="0" w:color="auto"/>
            <w:bottom w:val="none" w:sz="0" w:space="0" w:color="auto"/>
            <w:right w:val="none" w:sz="0" w:space="0" w:color="auto"/>
          </w:divBdr>
          <w:divsChild>
            <w:div w:id="1360737962">
              <w:marLeft w:val="0"/>
              <w:marRight w:val="0"/>
              <w:marTop w:val="0"/>
              <w:marBottom w:val="0"/>
              <w:divBdr>
                <w:top w:val="none" w:sz="0" w:space="0" w:color="auto"/>
                <w:left w:val="none" w:sz="0" w:space="0" w:color="auto"/>
                <w:bottom w:val="none" w:sz="0" w:space="0" w:color="auto"/>
                <w:right w:val="none" w:sz="0" w:space="0" w:color="auto"/>
              </w:divBdr>
            </w:div>
          </w:divsChild>
        </w:div>
        <w:div w:id="789982140">
          <w:marLeft w:val="0"/>
          <w:marRight w:val="0"/>
          <w:marTop w:val="0"/>
          <w:marBottom w:val="0"/>
          <w:divBdr>
            <w:top w:val="none" w:sz="0" w:space="0" w:color="auto"/>
            <w:left w:val="none" w:sz="0" w:space="0" w:color="auto"/>
            <w:bottom w:val="none" w:sz="0" w:space="0" w:color="auto"/>
            <w:right w:val="none" w:sz="0" w:space="0" w:color="auto"/>
          </w:divBdr>
          <w:divsChild>
            <w:div w:id="2091344427">
              <w:marLeft w:val="0"/>
              <w:marRight w:val="0"/>
              <w:marTop w:val="0"/>
              <w:marBottom w:val="0"/>
              <w:divBdr>
                <w:top w:val="none" w:sz="0" w:space="0" w:color="auto"/>
                <w:left w:val="none" w:sz="0" w:space="0" w:color="auto"/>
                <w:bottom w:val="none" w:sz="0" w:space="0" w:color="auto"/>
                <w:right w:val="none" w:sz="0" w:space="0" w:color="auto"/>
              </w:divBdr>
            </w:div>
          </w:divsChild>
        </w:div>
        <w:div w:id="791437669">
          <w:marLeft w:val="0"/>
          <w:marRight w:val="0"/>
          <w:marTop w:val="0"/>
          <w:marBottom w:val="0"/>
          <w:divBdr>
            <w:top w:val="none" w:sz="0" w:space="0" w:color="auto"/>
            <w:left w:val="none" w:sz="0" w:space="0" w:color="auto"/>
            <w:bottom w:val="none" w:sz="0" w:space="0" w:color="auto"/>
            <w:right w:val="none" w:sz="0" w:space="0" w:color="auto"/>
          </w:divBdr>
          <w:divsChild>
            <w:div w:id="998192089">
              <w:marLeft w:val="0"/>
              <w:marRight w:val="0"/>
              <w:marTop w:val="0"/>
              <w:marBottom w:val="0"/>
              <w:divBdr>
                <w:top w:val="none" w:sz="0" w:space="0" w:color="auto"/>
                <w:left w:val="none" w:sz="0" w:space="0" w:color="auto"/>
                <w:bottom w:val="none" w:sz="0" w:space="0" w:color="auto"/>
                <w:right w:val="none" w:sz="0" w:space="0" w:color="auto"/>
              </w:divBdr>
            </w:div>
          </w:divsChild>
        </w:div>
        <w:div w:id="794712634">
          <w:marLeft w:val="0"/>
          <w:marRight w:val="0"/>
          <w:marTop w:val="0"/>
          <w:marBottom w:val="0"/>
          <w:divBdr>
            <w:top w:val="none" w:sz="0" w:space="0" w:color="auto"/>
            <w:left w:val="none" w:sz="0" w:space="0" w:color="auto"/>
            <w:bottom w:val="none" w:sz="0" w:space="0" w:color="auto"/>
            <w:right w:val="none" w:sz="0" w:space="0" w:color="auto"/>
          </w:divBdr>
          <w:divsChild>
            <w:div w:id="1186676722">
              <w:marLeft w:val="0"/>
              <w:marRight w:val="0"/>
              <w:marTop w:val="0"/>
              <w:marBottom w:val="0"/>
              <w:divBdr>
                <w:top w:val="none" w:sz="0" w:space="0" w:color="auto"/>
                <w:left w:val="none" w:sz="0" w:space="0" w:color="auto"/>
                <w:bottom w:val="none" w:sz="0" w:space="0" w:color="auto"/>
                <w:right w:val="none" w:sz="0" w:space="0" w:color="auto"/>
              </w:divBdr>
            </w:div>
          </w:divsChild>
        </w:div>
        <w:div w:id="796802799">
          <w:marLeft w:val="0"/>
          <w:marRight w:val="0"/>
          <w:marTop w:val="0"/>
          <w:marBottom w:val="0"/>
          <w:divBdr>
            <w:top w:val="none" w:sz="0" w:space="0" w:color="auto"/>
            <w:left w:val="none" w:sz="0" w:space="0" w:color="auto"/>
            <w:bottom w:val="none" w:sz="0" w:space="0" w:color="auto"/>
            <w:right w:val="none" w:sz="0" w:space="0" w:color="auto"/>
          </w:divBdr>
          <w:divsChild>
            <w:div w:id="1343237091">
              <w:marLeft w:val="0"/>
              <w:marRight w:val="0"/>
              <w:marTop w:val="0"/>
              <w:marBottom w:val="0"/>
              <w:divBdr>
                <w:top w:val="none" w:sz="0" w:space="0" w:color="auto"/>
                <w:left w:val="none" w:sz="0" w:space="0" w:color="auto"/>
                <w:bottom w:val="none" w:sz="0" w:space="0" w:color="auto"/>
                <w:right w:val="none" w:sz="0" w:space="0" w:color="auto"/>
              </w:divBdr>
            </w:div>
          </w:divsChild>
        </w:div>
        <w:div w:id="807825818">
          <w:marLeft w:val="0"/>
          <w:marRight w:val="0"/>
          <w:marTop w:val="0"/>
          <w:marBottom w:val="0"/>
          <w:divBdr>
            <w:top w:val="none" w:sz="0" w:space="0" w:color="auto"/>
            <w:left w:val="none" w:sz="0" w:space="0" w:color="auto"/>
            <w:bottom w:val="none" w:sz="0" w:space="0" w:color="auto"/>
            <w:right w:val="none" w:sz="0" w:space="0" w:color="auto"/>
          </w:divBdr>
          <w:divsChild>
            <w:div w:id="1195578124">
              <w:marLeft w:val="0"/>
              <w:marRight w:val="0"/>
              <w:marTop w:val="0"/>
              <w:marBottom w:val="0"/>
              <w:divBdr>
                <w:top w:val="none" w:sz="0" w:space="0" w:color="auto"/>
                <w:left w:val="none" w:sz="0" w:space="0" w:color="auto"/>
                <w:bottom w:val="none" w:sz="0" w:space="0" w:color="auto"/>
                <w:right w:val="none" w:sz="0" w:space="0" w:color="auto"/>
              </w:divBdr>
            </w:div>
          </w:divsChild>
        </w:div>
        <w:div w:id="811143227">
          <w:marLeft w:val="0"/>
          <w:marRight w:val="0"/>
          <w:marTop w:val="0"/>
          <w:marBottom w:val="0"/>
          <w:divBdr>
            <w:top w:val="none" w:sz="0" w:space="0" w:color="auto"/>
            <w:left w:val="none" w:sz="0" w:space="0" w:color="auto"/>
            <w:bottom w:val="none" w:sz="0" w:space="0" w:color="auto"/>
            <w:right w:val="none" w:sz="0" w:space="0" w:color="auto"/>
          </w:divBdr>
          <w:divsChild>
            <w:div w:id="1315450224">
              <w:marLeft w:val="0"/>
              <w:marRight w:val="0"/>
              <w:marTop w:val="0"/>
              <w:marBottom w:val="0"/>
              <w:divBdr>
                <w:top w:val="none" w:sz="0" w:space="0" w:color="auto"/>
                <w:left w:val="none" w:sz="0" w:space="0" w:color="auto"/>
                <w:bottom w:val="none" w:sz="0" w:space="0" w:color="auto"/>
                <w:right w:val="none" w:sz="0" w:space="0" w:color="auto"/>
              </w:divBdr>
            </w:div>
          </w:divsChild>
        </w:div>
        <w:div w:id="814757007">
          <w:marLeft w:val="0"/>
          <w:marRight w:val="0"/>
          <w:marTop w:val="0"/>
          <w:marBottom w:val="0"/>
          <w:divBdr>
            <w:top w:val="none" w:sz="0" w:space="0" w:color="auto"/>
            <w:left w:val="none" w:sz="0" w:space="0" w:color="auto"/>
            <w:bottom w:val="none" w:sz="0" w:space="0" w:color="auto"/>
            <w:right w:val="none" w:sz="0" w:space="0" w:color="auto"/>
          </w:divBdr>
          <w:divsChild>
            <w:div w:id="2045131344">
              <w:marLeft w:val="0"/>
              <w:marRight w:val="0"/>
              <w:marTop w:val="0"/>
              <w:marBottom w:val="0"/>
              <w:divBdr>
                <w:top w:val="none" w:sz="0" w:space="0" w:color="auto"/>
                <w:left w:val="none" w:sz="0" w:space="0" w:color="auto"/>
                <w:bottom w:val="none" w:sz="0" w:space="0" w:color="auto"/>
                <w:right w:val="none" w:sz="0" w:space="0" w:color="auto"/>
              </w:divBdr>
            </w:div>
          </w:divsChild>
        </w:div>
        <w:div w:id="841119936">
          <w:marLeft w:val="0"/>
          <w:marRight w:val="0"/>
          <w:marTop w:val="0"/>
          <w:marBottom w:val="0"/>
          <w:divBdr>
            <w:top w:val="none" w:sz="0" w:space="0" w:color="auto"/>
            <w:left w:val="none" w:sz="0" w:space="0" w:color="auto"/>
            <w:bottom w:val="none" w:sz="0" w:space="0" w:color="auto"/>
            <w:right w:val="none" w:sz="0" w:space="0" w:color="auto"/>
          </w:divBdr>
          <w:divsChild>
            <w:div w:id="1001548235">
              <w:marLeft w:val="0"/>
              <w:marRight w:val="0"/>
              <w:marTop w:val="0"/>
              <w:marBottom w:val="0"/>
              <w:divBdr>
                <w:top w:val="none" w:sz="0" w:space="0" w:color="auto"/>
                <w:left w:val="none" w:sz="0" w:space="0" w:color="auto"/>
                <w:bottom w:val="none" w:sz="0" w:space="0" w:color="auto"/>
                <w:right w:val="none" w:sz="0" w:space="0" w:color="auto"/>
              </w:divBdr>
            </w:div>
          </w:divsChild>
        </w:div>
        <w:div w:id="845243129">
          <w:marLeft w:val="0"/>
          <w:marRight w:val="0"/>
          <w:marTop w:val="0"/>
          <w:marBottom w:val="0"/>
          <w:divBdr>
            <w:top w:val="none" w:sz="0" w:space="0" w:color="auto"/>
            <w:left w:val="none" w:sz="0" w:space="0" w:color="auto"/>
            <w:bottom w:val="none" w:sz="0" w:space="0" w:color="auto"/>
            <w:right w:val="none" w:sz="0" w:space="0" w:color="auto"/>
          </w:divBdr>
          <w:divsChild>
            <w:div w:id="1380788845">
              <w:marLeft w:val="0"/>
              <w:marRight w:val="0"/>
              <w:marTop w:val="0"/>
              <w:marBottom w:val="0"/>
              <w:divBdr>
                <w:top w:val="none" w:sz="0" w:space="0" w:color="auto"/>
                <w:left w:val="none" w:sz="0" w:space="0" w:color="auto"/>
                <w:bottom w:val="none" w:sz="0" w:space="0" w:color="auto"/>
                <w:right w:val="none" w:sz="0" w:space="0" w:color="auto"/>
              </w:divBdr>
            </w:div>
          </w:divsChild>
        </w:div>
        <w:div w:id="913465861">
          <w:marLeft w:val="0"/>
          <w:marRight w:val="0"/>
          <w:marTop w:val="0"/>
          <w:marBottom w:val="0"/>
          <w:divBdr>
            <w:top w:val="none" w:sz="0" w:space="0" w:color="auto"/>
            <w:left w:val="none" w:sz="0" w:space="0" w:color="auto"/>
            <w:bottom w:val="none" w:sz="0" w:space="0" w:color="auto"/>
            <w:right w:val="none" w:sz="0" w:space="0" w:color="auto"/>
          </w:divBdr>
          <w:divsChild>
            <w:div w:id="24451012">
              <w:marLeft w:val="0"/>
              <w:marRight w:val="0"/>
              <w:marTop w:val="0"/>
              <w:marBottom w:val="0"/>
              <w:divBdr>
                <w:top w:val="none" w:sz="0" w:space="0" w:color="auto"/>
                <w:left w:val="none" w:sz="0" w:space="0" w:color="auto"/>
                <w:bottom w:val="none" w:sz="0" w:space="0" w:color="auto"/>
                <w:right w:val="none" w:sz="0" w:space="0" w:color="auto"/>
              </w:divBdr>
            </w:div>
          </w:divsChild>
        </w:div>
        <w:div w:id="918441414">
          <w:marLeft w:val="0"/>
          <w:marRight w:val="0"/>
          <w:marTop w:val="0"/>
          <w:marBottom w:val="0"/>
          <w:divBdr>
            <w:top w:val="none" w:sz="0" w:space="0" w:color="auto"/>
            <w:left w:val="none" w:sz="0" w:space="0" w:color="auto"/>
            <w:bottom w:val="none" w:sz="0" w:space="0" w:color="auto"/>
            <w:right w:val="none" w:sz="0" w:space="0" w:color="auto"/>
          </w:divBdr>
          <w:divsChild>
            <w:div w:id="798914106">
              <w:marLeft w:val="0"/>
              <w:marRight w:val="0"/>
              <w:marTop w:val="0"/>
              <w:marBottom w:val="0"/>
              <w:divBdr>
                <w:top w:val="none" w:sz="0" w:space="0" w:color="auto"/>
                <w:left w:val="none" w:sz="0" w:space="0" w:color="auto"/>
                <w:bottom w:val="none" w:sz="0" w:space="0" w:color="auto"/>
                <w:right w:val="none" w:sz="0" w:space="0" w:color="auto"/>
              </w:divBdr>
            </w:div>
          </w:divsChild>
        </w:div>
        <w:div w:id="918712817">
          <w:marLeft w:val="0"/>
          <w:marRight w:val="0"/>
          <w:marTop w:val="0"/>
          <w:marBottom w:val="0"/>
          <w:divBdr>
            <w:top w:val="none" w:sz="0" w:space="0" w:color="auto"/>
            <w:left w:val="none" w:sz="0" w:space="0" w:color="auto"/>
            <w:bottom w:val="none" w:sz="0" w:space="0" w:color="auto"/>
            <w:right w:val="none" w:sz="0" w:space="0" w:color="auto"/>
          </w:divBdr>
          <w:divsChild>
            <w:div w:id="356856900">
              <w:marLeft w:val="0"/>
              <w:marRight w:val="0"/>
              <w:marTop w:val="0"/>
              <w:marBottom w:val="0"/>
              <w:divBdr>
                <w:top w:val="none" w:sz="0" w:space="0" w:color="auto"/>
                <w:left w:val="none" w:sz="0" w:space="0" w:color="auto"/>
                <w:bottom w:val="none" w:sz="0" w:space="0" w:color="auto"/>
                <w:right w:val="none" w:sz="0" w:space="0" w:color="auto"/>
              </w:divBdr>
            </w:div>
          </w:divsChild>
        </w:div>
        <w:div w:id="945040336">
          <w:marLeft w:val="0"/>
          <w:marRight w:val="0"/>
          <w:marTop w:val="0"/>
          <w:marBottom w:val="0"/>
          <w:divBdr>
            <w:top w:val="none" w:sz="0" w:space="0" w:color="auto"/>
            <w:left w:val="none" w:sz="0" w:space="0" w:color="auto"/>
            <w:bottom w:val="none" w:sz="0" w:space="0" w:color="auto"/>
            <w:right w:val="none" w:sz="0" w:space="0" w:color="auto"/>
          </w:divBdr>
          <w:divsChild>
            <w:div w:id="940068197">
              <w:marLeft w:val="0"/>
              <w:marRight w:val="0"/>
              <w:marTop w:val="0"/>
              <w:marBottom w:val="0"/>
              <w:divBdr>
                <w:top w:val="none" w:sz="0" w:space="0" w:color="auto"/>
                <w:left w:val="none" w:sz="0" w:space="0" w:color="auto"/>
                <w:bottom w:val="none" w:sz="0" w:space="0" w:color="auto"/>
                <w:right w:val="none" w:sz="0" w:space="0" w:color="auto"/>
              </w:divBdr>
            </w:div>
          </w:divsChild>
        </w:div>
        <w:div w:id="946236683">
          <w:marLeft w:val="0"/>
          <w:marRight w:val="0"/>
          <w:marTop w:val="0"/>
          <w:marBottom w:val="0"/>
          <w:divBdr>
            <w:top w:val="none" w:sz="0" w:space="0" w:color="auto"/>
            <w:left w:val="none" w:sz="0" w:space="0" w:color="auto"/>
            <w:bottom w:val="none" w:sz="0" w:space="0" w:color="auto"/>
            <w:right w:val="none" w:sz="0" w:space="0" w:color="auto"/>
          </w:divBdr>
          <w:divsChild>
            <w:div w:id="851064240">
              <w:marLeft w:val="0"/>
              <w:marRight w:val="0"/>
              <w:marTop w:val="0"/>
              <w:marBottom w:val="0"/>
              <w:divBdr>
                <w:top w:val="none" w:sz="0" w:space="0" w:color="auto"/>
                <w:left w:val="none" w:sz="0" w:space="0" w:color="auto"/>
                <w:bottom w:val="none" w:sz="0" w:space="0" w:color="auto"/>
                <w:right w:val="none" w:sz="0" w:space="0" w:color="auto"/>
              </w:divBdr>
            </w:div>
          </w:divsChild>
        </w:div>
        <w:div w:id="952055685">
          <w:marLeft w:val="0"/>
          <w:marRight w:val="0"/>
          <w:marTop w:val="0"/>
          <w:marBottom w:val="0"/>
          <w:divBdr>
            <w:top w:val="none" w:sz="0" w:space="0" w:color="auto"/>
            <w:left w:val="none" w:sz="0" w:space="0" w:color="auto"/>
            <w:bottom w:val="none" w:sz="0" w:space="0" w:color="auto"/>
            <w:right w:val="none" w:sz="0" w:space="0" w:color="auto"/>
          </w:divBdr>
          <w:divsChild>
            <w:div w:id="1812942141">
              <w:marLeft w:val="0"/>
              <w:marRight w:val="0"/>
              <w:marTop w:val="0"/>
              <w:marBottom w:val="0"/>
              <w:divBdr>
                <w:top w:val="none" w:sz="0" w:space="0" w:color="auto"/>
                <w:left w:val="none" w:sz="0" w:space="0" w:color="auto"/>
                <w:bottom w:val="none" w:sz="0" w:space="0" w:color="auto"/>
                <w:right w:val="none" w:sz="0" w:space="0" w:color="auto"/>
              </w:divBdr>
            </w:div>
          </w:divsChild>
        </w:div>
        <w:div w:id="958803721">
          <w:marLeft w:val="0"/>
          <w:marRight w:val="0"/>
          <w:marTop w:val="0"/>
          <w:marBottom w:val="0"/>
          <w:divBdr>
            <w:top w:val="none" w:sz="0" w:space="0" w:color="auto"/>
            <w:left w:val="none" w:sz="0" w:space="0" w:color="auto"/>
            <w:bottom w:val="none" w:sz="0" w:space="0" w:color="auto"/>
            <w:right w:val="none" w:sz="0" w:space="0" w:color="auto"/>
          </w:divBdr>
          <w:divsChild>
            <w:div w:id="398286049">
              <w:marLeft w:val="0"/>
              <w:marRight w:val="0"/>
              <w:marTop w:val="0"/>
              <w:marBottom w:val="0"/>
              <w:divBdr>
                <w:top w:val="none" w:sz="0" w:space="0" w:color="auto"/>
                <w:left w:val="none" w:sz="0" w:space="0" w:color="auto"/>
                <w:bottom w:val="none" w:sz="0" w:space="0" w:color="auto"/>
                <w:right w:val="none" w:sz="0" w:space="0" w:color="auto"/>
              </w:divBdr>
            </w:div>
          </w:divsChild>
        </w:div>
        <w:div w:id="960573009">
          <w:marLeft w:val="0"/>
          <w:marRight w:val="0"/>
          <w:marTop w:val="0"/>
          <w:marBottom w:val="0"/>
          <w:divBdr>
            <w:top w:val="none" w:sz="0" w:space="0" w:color="auto"/>
            <w:left w:val="none" w:sz="0" w:space="0" w:color="auto"/>
            <w:bottom w:val="none" w:sz="0" w:space="0" w:color="auto"/>
            <w:right w:val="none" w:sz="0" w:space="0" w:color="auto"/>
          </w:divBdr>
          <w:divsChild>
            <w:div w:id="313486919">
              <w:marLeft w:val="0"/>
              <w:marRight w:val="0"/>
              <w:marTop w:val="0"/>
              <w:marBottom w:val="0"/>
              <w:divBdr>
                <w:top w:val="none" w:sz="0" w:space="0" w:color="auto"/>
                <w:left w:val="none" w:sz="0" w:space="0" w:color="auto"/>
                <w:bottom w:val="none" w:sz="0" w:space="0" w:color="auto"/>
                <w:right w:val="none" w:sz="0" w:space="0" w:color="auto"/>
              </w:divBdr>
            </w:div>
          </w:divsChild>
        </w:div>
        <w:div w:id="972711352">
          <w:marLeft w:val="0"/>
          <w:marRight w:val="0"/>
          <w:marTop w:val="0"/>
          <w:marBottom w:val="0"/>
          <w:divBdr>
            <w:top w:val="none" w:sz="0" w:space="0" w:color="auto"/>
            <w:left w:val="none" w:sz="0" w:space="0" w:color="auto"/>
            <w:bottom w:val="none" w:sz="0" w:space="0" w:color="auto"/>
            <w:right w:val="none" w:sz="0" w:space="0" w:color="auto"/>
          </w:divBdr>
          <w:divsChild>
            <w:div w:id="208077108">
              <w:marLeft w:val="0"/>
              <w:marRight w:val="0"/>
              <w:marTop w:val="0"/>
              <w:marBottom w:val="0"/>
              <w:divBdr>
                <w:top w:val="none" w:sz="0" w:space="0" w:color="auto"/>
                <w:left w:val="none" w:sz="0" w:space="0" w:color="auto"/>
                <w:bottom w:val="none" w:sz="0" w:space="0" w:color="auto"/>
                <w:right w:val="none" w:sz="0" w:space="0" w:color="auto"/>
              </w:divBdr>
            </w:div>
          </w:divsChild>
        </w:div>
        <w:div w:id="973749814">
          <w:marLeft w:val="0"/>
          <w:marRight w:val="0"/>
          <w:marTop w:val="0"/>
          <w:marBottom w:val="0"/>
          <w:divBdr>
            <w:top w:val="none" w:sz="0" w:space="0" w:color="auto"/>
            <w:left w:val="none" w:sz="0" w:space="0" w:color="auto"/>
            <w:bottom w:val="none" w:sz="0" w:space="0" w:color="auto"/>
            <w:right w:val="none" w:sz="0" w:space="0" w:color="auto"/>
          </w:divBdr>
          <w:divsChild>
            <w:div w:id="1709992435">
              <w:marLeft w:val="0"/>
              <w:marRight w:val="0"/>
              <w:marTop w:val="0"/>
              <w:marBottom w:val="0"/>
              <w:divBdr>
                <w:top w:val="none" w:sz="0" w:space="0" w:color="auto"/>
                <w:left w:val="none" w:sz="0" w:space="0" w:color="auto"/>
                <w:bottom w:val="none" w:sz="0" w:space="0" w:color="auto"/>
                <w:right w:val="none" w:sz="0" w:space="0" w:color="auto"/>
              </w:divBdr>
            </w:div>
          </w:divsChild>
        </w:div>
        <w:div w:id="975574374">
          <w:marLeft w:val="0"/>
          <w:marRight w:val="0"/>
          <w:marTop w:val="0"/>
          <w:marBottom w:val="0"/>
          <w:divBdr>
            <w:top w:val="none" w:sz="0" w:space="0" w:color="auto"/>
            <w:left w:val="none" w:sz="0" w:space="0" w:color="auto"/>
            <w:bottom w:val="none" w:sz="0" w:space="0" w:color="auto"/>
            <w:right w:val="none" w:sz="0" w:space="0" w:color="auto"/>
          </w:divBdr>
          <w:divsChild>
            <w:div w:id="1861046382">
              <w:marLeft w:val="0"/>
              <w:marRight w:val="0"/>
              <w:marTop w:val="0"/>
              <w:marBottom w:val="0"/>
              <w:divBdr>
                <w:top w:val="none" w:sz="0" w:space="0" w:color="auto"/>
                <w:left w:val="none" w:sz="0" w:space="0" w:color="auto"/>
                <w:bottom w:val="none" w:sz="0" w:space="0" w:color="auto"/>
                <w:right w:val="none" w:sz="0" w:space="0" w:color="auto"/>
              </w:divBdr>
            </w:div>
          </w:divsChild>
        </w:div>
        <w:div w:id="992685138">
          <w:marLeft w:val="0"/>
          <w:marRight w:val="0"/>
          <w:marTop w:val="0"/>
          <w:marBottom w:val="0"/>
          <w:divBdr>
            <w:top w:val="none" w:sz="0" w:space="0" w:color="auto"/>
            <w:left w:val="none" w:sz="0" w:space="0" w:color="auto"/>
            <w:bottom w:val="none" w:sz="0" w:space="0" w:color="auto"/>
            <w:right w:val="none" w:sz="0" w:space="0" w:color="auto"/>
          </w:divBdr>
          <w:divsChild>
            <w:div w:id="727999970">
              <w:marLeft w:val="0"/>
              <w:marRight w:val="0"/>
              <w:marTop w:val="0"/>
              <w:marBottom w:val="0"/>
              <w:divBdr>
                <w:top w:val="none" w:sz="0" w:space="0" w:color="auto"/>
                <w:left w:val="none" w:sz="0" w:space="0" w:color="auto"/>
                <w:bottom w:val="none" w:sz="0" w:space="0" w:color="auto"/>
                <w:right w:val="none" w:sz="0" w:space="0" w:color="auto"/>
              </w:divBdr>
            </w:div>
          </w:divsChild>
        </w:div>
        <w:div w:id="999307292">
          <w:marLeft w:val="0"/>
          <w:marRight w:val="0"/>
          <w:marTop w:val="0"/>
          <w:marBottom w:val="0"/>
          <w:divBdr>
            <w:top w:val="none" w:sz="0" w:space="0" w:color="auto"/>
            <w:left w:val="none" w:sz="0" w:space="0" w:color="auto"/>
            <w:bottom w:val="none" w:sz="0" w:space="0" w:color="auto"/>
            <w:right w:val="none" w:sz="0" w:space="0" w:color="auto"/>
          </w:divBdr>
          <w:divsChild>
            <w:div w:id="49234780">
              <w:marLeft w:val="0"/>
              <w:marRight w:val="0"/>
              <w:marTop w:val="0"/>
              <w:marBottom w:val="0"/>
              <w:divBdr>
                <w:top w:val="none" w:sz="0" w:space="0" w:color="auto"/>
                <w:left w:val="none" w:sz="0" w:space="0" w:color="auto"/>
                <w:bottom w:val="none" w:sz="0" w:space="0" w:color="auto"/>
                <w:right w:val="none" w:sz="0" w:space="0" w:color="auto"/>
              </w:divBdr>
            </w:div>
          </w:divsChild>
        </w:div>
        <w:div w:id="1008556305">
          <w:marLeft w:val="0"/>
          <w:marRight w:val="0"/>
          <w:marTop w:val="0"/>
          <w:marBottom w:val="0"/>
          <w:divBdr>
            <w:top w:val="none" w:sz="0" w:space="0" w:color="auto"/>
            <w:left w:val="none" w:sz="0" w:space="0" w:color="auto"/>
            <w:bottom w:val="none" w:sz="0" w:space="0" w:color="auto"/>
            <w:right w:val="none" w:sz="0" w:space="0" w:color="auto"/>
          </w:divBdr>
          <w:divsChild>
            <w:div w:id="567304794">
              <w:marLeft w:val="0"/>
              <w:marRight w:val="0"/>
              <w:marTop w:val="0"/>
              <w:marBottom w:val="0"/>
              <w:divBdr>
                <w:top w:val="none" w:sz="0" w:space="0" w:color="auto"/>
                <w:left w:val="none" w:sz="0" w:space="0" w:color="auto"/>
                <w:bottom w:val="none" w:sz="0" w:space="0" w:color="auto"/>
                <w:right w:val="none" w:sz="0" w:space="0" w:color="auto"/>
              </w:divBdr>
            </w:div>
          </w:divsChild>
        </w:div>
        <w:div w:id="1023017922">
          <w:marLeft w:val="0"/>
          <w:marRight w:val="0"/>
          <w:marTop w:val="0"/>
          <w:marBottom w:val="0"/>
          <w:divBdr>
            <w:top w:val="none" w:sz="0" w:space="0" w:color="auto"/>
            <w:left w:val="none" w:sz="0" w:space="0" w:color="auto"/>
            <w:bottom w:val="none" w:sz="0" w:space="0" w:color="auto"/>
            <w:right w:val="none" w:sz="0" w:space="0" w:color="auto"/>
          </w:divBdr>
          <w:divsChild>
            <w:div w:id="525681880">
              <w:marLeft w:val="0"/>
              <w:marRight w:val="0"/>
              <w:marTop w:val="0"/>
              <w:marBottom w:val="0"/>
              <w:divBdr>
                <w:top w:val="none" w:sz="0" w:space="0" w:color="auto"/>
                <w:left w:val="none" w:sz="0" w:space="0" w:color="auto"/>
                <w:bottom w:val="none" w:sz="0" w:space="0" w:color="auto"/>
                <w:right w:val="none" w:sz="0" w:space="0" w:color="auto"/>
              </w:divBdr>
            </w:div>
          </w:divsChild>
        </w:div>
        <w:div w:id="1032194430">
          <w:marLeft w:val="0"/>
          <w:marRight w:val="0"/>
          <w:marTop w:val="0"/>
          <w:marBottom w:val="0"/>
          <w:divBdr>
            <w:top w:val="none" w:sz="0" w:space="0" w:color="auto"/>
            <w:left w:val="none" w:sz="0" w:space="0" w:color="auto"/>
            <w:bottom w:val="none" w:sz="0" w:space="0" w:color="auto"/>
            <w:right w:val="none" w:sz="0" w:space="0" w:color="auto"/>
          </w:divBdr>
          <w:divsChild>
            <w:div w:id="1091244452">
              <w:marLeft w:val="0"/>
              <w:marRight w:val="0"/>
              <w:marTop w:val="0"/>
              <w:marBottom w:val="0"/>
              <w:divBdr>
                <w:top w:val="none" w:sz="0" w:space="0" w:color="auto"/>
                <w:left w:val="none" w:sz="0" w:space="0" w:color="auto"/>
                <w:bottom w:val="none" w:sz="0" w:space="0" w:color="auto"/>
                <w:right w:val="none" w:sz="0" w:space="0" w:color="auto"/>
              </w:divBdr>
            </w:div>
          </w:divsChild>
        </w:div>
        <w:div w:id="1046296085">
          <w:marLeft w:val="0"/>
          <w:marRight w:val="0"/>
          <w:marTop w:val="0"/>
          <w:marBottom w:val="0"/>
          <w:divBdr>
            <w:top w:val="none" w:sz="0" w:space="0" w:color="auto"/>
            <w:left w:val="none" w:sz="0" w:space="0" w:color="auto"/>
            <w:bottom w:val="none" w:sz="0" w:space="0" w:color="auto"/>
            <w:right w:val="none" w:sz="0" w:space="0" w:color="auto"/>
          </w:divBdr>
          <w:divsChild>
            <w:div w:id="599802126">
              <w:marLeft w:val="0"/>
              <w:marRight w:val="0"/>
              <w:marTop w:val="0"/>
              <w:marBottom w:val="0"/>
              <w:divBdr>
                <w:top w:val="none" w:sz="0" w:space="0" w:color="auto"/>
                <w:left w:val="none" w:sz="0" w:space="0" w:color="auto"/>
                <w:bottom w:val="none" w:sz="0" w:space="0" w:color="auto"/>
                <w:right w:val="none" w:sz="0" w:space="0" w:color="auto"/>
              </w:divBdr>
            </w:div>
          </w:divsChild>
        </w:div>
        <w:div w:id="1061249877">
          <w:marLeft w:val="0"/>
          <w:marRight w:val="0"/>
          <w:marTop w:val="0"/>
          <w:marBottom w:val="0"/>
          <w:divBdr>
            <w:top w:val="none" w:sz="0" w:space="0" w:color="auto"/>
            <w:left w:val="none" w:sz="0" w:space="0" w:color="auto"/>
            <w:bottom w:val="none" w:sz="0" w:space="0" w:color="auto"/>
            <w:right w:val="none" w:sz="0" w:space="0" w:color="auto"/>
          </w:divBdr>
          <w:divsChild>
            <w:div w:id="2063095909">
              <w:marLeft w:val="0"/>
              <w:marRight w:val="0"/>
              <w:marTop w:val="0"/>
              <w:marBottom w:val="0"/>
              <w:divBdr>
                <w:top w:val="none" w:sz="0" w:space="0" w:color="auto"/>
                <w:left w:val="none" w:sz="0" w:space="0" w:color="auto"/>
                <w:bottom w:val="none" w:sz="0" w:space="0" w:color="auto"/>
                <w:right w:val="none" w:sz="0" w:space="0" w:color="auto"/>
              </w:divBdr>
            </w:div>
          </w:divsChild>
        </w:div>
        <w:div w:id="1063137052">
          <w:marLeft w:val="0"/>
          <w:marRight w:val="0"/>
          <w:marTop w:val="0"/>
          <w:marBottom w:val="0"/>
          <w:divBdr>
            <w:top w:val="none" w:sz="0" w:space="0" w:color="auto"/>
            <w:left w:val="none" w:sz="0" w:space="0" w:color="auto"/>
            <w:bottom w:val="none" w:sz="0" w:space="0" w:color="auto"/>
            <w:right w:val="none" w:sz="0" w:space="0" w:color="auto"/>
          </w:divBdr>
          <w:divsChild>
            <w:div w:id="133304503">
              <w:marLeft w:val="0"/>
              <w:marRight w:val="0"/>
              <w:marTop w:val="0"/>
              <w:marBottom w:val="0"/>
              <w:divBdr>
                <w:top w:val="none" w:sz="0" w:space="0" w:color="auto"/>
                <w:left w:val="none" w:sz="0" w:space="0" w:color="auto"/>
                <w:bottom w:val="none" w:sz="0" w:space="0" w:color="auto"/>
                <w:right w:val="none" w:sz="0" w:space="0" w:color="auto"/>
              </w:divBdr>
            </w:div>
          </w:divsChild>
        </w:div>
        <w:div w:id="1068381945">
          <w:marLeft w:val="0"/>
          <w:marRight w:val="0"/>
          <w:marTop w:val="0"/>
          <w:marBottom w:val="0"/>
          <w:divBdr>
            <w:top w:val="none" w:sz="0" w:space="0" w:color="auto"/>
            <w:left w:val="none" w:sz="0" w:space="0" w:color="auto"/>
            <w:bottom w:val="none" w:sz="0" w:space="0" w:color="auto"/>
            <w:right w:val="none" w:sz="0" w:space="0" w:color="auto"/>
          </w:divBdr>
          <w:divsChild>
            <w:div w:id="1037120550">
              <w:marLeft w:val="0"/>
              <w:marRight w:val="0"/>
              <w:marTop w:val="0"/>
              <w:marBottom w:val="0"/>
              <w:divBdr>
                <w:top w:val="none" w:sz="0" w:space="0" w:color="auto"/>
                <w:left w:val="none" w:sz="0" w:space="0" w:color="auto"/>
                <w:bottom w:val="none" w:sz="0" w:space="0" w:color="auto"/>
                <w:right w:val="none" w:sz="0" w:space="0" w:color="auto"/>
              </w:divBdr>
            </w:div>
          </w:divsChild>
        </w:div>
        <w:div w:id="1073234916">
          <w:marLeft w:val="0"/>
          <w:marRight w:val="0"/>
          <w:marTop w:val="0"/>
          <w:marBottom w:val="0"/>
          <w:divBdr>
            <w:top w:val="none" w:sz="0" w:space="0" w:color="auto"/>
            <w:left w:val="none" w:sz="0" w:space="0" w:color="auto"/>
            <w:bottom w:val="none" w:sz="0" w:space="0" w:color="auto"/>
            <w:right w:val="none" w:sz="0" w:space="0" w:color="auto"/>
          </w:divBdr>
          <w:divsChild>
            <w:div w:id="1410351771">
              <w:marLeft w:val="0"/>
              <w:marRight w:val="0"/>
              <w:marTop w:val="0"/>
              <w:marBottom w:val="0"/>
              <w:divBdr>
                <w:top w:val="none" w:sz="0" w:space="0" w:color="auto"/>
                <w:left w:val="none" w:sz="0" w:space="0" w:color="auto"/>
                <w:bottom w:val="none" w:sz="0" w:space="0" w:color="auto"/>
                <w:right w:val="none" w:sz="0" w:space="0" w:color="auto"/>
              </w:divBdr>
            </w:div>
          </w:divsChild>
        </w:div>
        <w:div w:id="1077558573">
          <w:marLeft w:val="0"/>
          <w:marRight w:val="0"/>
          <w:marTop w:val="0"/>
          <w:marBottom w:val="0"/>
          <w:divBdr>
            <w:top w:val="none" w:sz="0" w:space="0" w:color="auto"/>
            <w:left w:val="none" w:sz="0" w:space="0" w:color="auto"/>
            <w:bottom w:val="none" w:sz="0" w:space="0" w:color="auto"/>
            <w:right w:val="none" w:sz="0" w:space="0" w:color="auto"/>
          </w:divBdr>
          <w:divsChild>
            <w:div w:id="264846742">
              <w:marLeft w:val="0"/>
              <w:marRight w:val="0"/>
              <w:marTop w:val="0"/>
              <w:marBottom w:val="0"/>
              <w:divBdr>
                <w:top w:val="none" w:sz="0" w:space="0" w:color="auto"/>
                <w:left w:val="none" w:sz="0" w:space="0" w:color="auto"/>
                <w:bottom w:val="none" w:sz="0" w:space="0" w:color="auto"/>
                <w:right w:val="none" w:sz="0" w:space="0" w:color="auto"/>
              </w:divBdr>
            </w:div>
          </w:divsChild>
        </w:div>
        <w:div w:id="1082608208">
          <w:marLeft w:val="0"/>
          <w:marRight w:val="0"/>
          <w:marTop w:val="0"/>
          <w:marBottom w:val="0"/>
          <w:divBdr>
            <w:top w:val="none" w:sz="0" w:space="0" w:color="auto"/>
            <w:left w:val="none" w:sz="0" w:space="0" w:color="auto"/>
            <w:bottom w:val="none" w:sz="0" w:space="0" w:color="auto"/>
            <w:right w:val="none" w:sz="0" w:space="0" w:color="auto"/>
          </w:divBdr>
          <w:divsChild>
            <w:div w:id="1739475494">
              <w:marLeft w:val="0"/>
              <w:marRight w:val="0"/>
              <w:marTop w:val="0"/>
              <w:marBottom w:val="0"/>
              <w:divBdr>
                <w:top w:val="none" w:sz="0" w:space="0" w:color="auto"/>
                <w:left w:val="none" w:sz="0" w:space="0" w:color="auto"/>
                <w:bottom w:val="none" w:sz="0" w:space="0" w:color="auto"/>
                <w:right w:val="none" w:sz="0" w:space="0" w:color="auto"/>
              </w:divBdr>
            </w:div>
          </w:divsChild>
        </w:div>
        <w:div w:id="1083376087">
          <w:marLeft w:val="0"/>
          <w:marRight w:val="0"/>
          <w:marTop w:val="0"/>
          <w:marBottom w:val="0"/>
          <w:divBdr>
            <w:top w:val="none" w:sz="0" w:space="0" w:color="auto"/>
            <w:left w:val="none" w:sz="0" w:space="0" w:color="auto"/>
            <w:bottom w:val="none" w:sz="0" w:space="0" w:color="auto"/>
            <w:right w:val="none" w:sz="0" w:space="0" w:color="auto"/>
          </w:divBdr>
          <w:divsChild>
            <w:div w:id="1785999815">
              <w:marLeft w:val="0"/>
              <w:marRight w:val="0"/>
              <w:marTop w:val="0"/>
              <w:marBottom w:val="0"/>
              <w:divBdr>
                <w:top w:val="none" w:sz="0" w:space="0" w:color="auto"/>
                <w:left w:val="none" w:sz="0" w:space="0" w:color="auto"/>
                <w:bottom w:val="none" w:sz="0" w:space="0" w:color="auto"/>
                <w:right w:val="none" w:sz="0" w:space="0" w:color="auto"/>
              </w:divBdr>
            </w:div>
          </w:divsChild>
        </w:div>
        <w:div w:id="1087266206">
          <w:marLeft w:val="0"/>
          <w:marRight w:val="0"/>
          <w:marTop w:val="0"/>
          <w:marBottom w:val="0"/>
          <w:divBdr>
            <w:top w:val="none" w:sz="0" w:space="0" w:color="auto"/>
            <w:left w:val="none" w:sz="0" w:space="0" w:color="auto"/>
            <w:bottom w:val="none" w:sz="0" w:space="0" w:color="auto"/>
            <w:right w:val="none" w:sz="0" w:space="0" w:color="auto"/>
          </w:divBdr>
          <w:divsChild>
            <w:div w:id="835345926">
              <w:marLeft w:val="0"/>
              <w:marRight w:val="0"/>
              <w:marTop w:val="0"/>
              <w:marBottom w:val="0"/>
              <w:divBdr>
                <w:top w:val="none" w:sz="0" w:space="0" w:color="auto"/>
                <w:left w:val="none" w:sz="0" w:space="0" w:color="auto"/>
                <w:bottom w:val="none" w:sz="0" w:space="0" w:color="auto"/>
                <w:right w:val="none" w:sz="0" w:space="0" w:color="auto"/>
              </w:divBdr>
            </w:div>
          </w:divsChild>
        </w:div>
        <w:div w:id="1090616237">
          <w:marLeft w:val="0"/>
          <w:marRight w:val="0"/>
          <w:marTop w:val="0"/>
          <w:marBottom w:val="0"/>
          <w:divBdr>
            <w:top w:val="none" w:sz="0" w:space="0" w:color="auto"/>
            <w:left w:val="none" w:sz="0" w:space="0" w:color="auto"/>
            <w:bottom w:val="none" w:sz="0" w:space="0" w:color="auto"/>
            <w:right w:val="none" w:sz="0" w:space="0" w:color="auto"/>
          </w:divBdr>
          <w:divsChild>
            <w:div w:id="2002656206">
              <w:marLeft w:val="0"/>
              <w:marRight w:val="0"/>
              <w:marTop w:val="0"/>
              <w:marBottom w:val="0"/>
              <w:divBdr>
                <w:top w:val="none" w:sz="0" w:space="0" w:color="auto"/>
                <w:left w:val="none" w:sz="0" w:space="0" w:color="auto"/>
                <w:bottom w:val="none" w:sz="0" w:space="0" w:color="auto"/>
                <w:right w:val="none" w:sz="0" w:space="0" w:color="auto"/>
              </w:divBdr>
            </w:div>
          </w:divsChild>
        </w:div>
        <w:div w:id="1095245126">
          <w:marLeft w:val="0"/>
          <w:marRight w:val="0"/>
          <w:marTop w:val="0"/>
          <w:marBottom w:val="0"/>
          <w:divBdr>
            <w:top w:val="none" w:sz="0" w:space="0" w:color="auto"/>
            <w:left w:val="none" w:sz="0" w:space="0" w:color="auto"/>
            <w:bottom w:val="none" w:sz="0" w:space="0" w:color="auto"/>
            <w:right w:val="none" w:sz="0" w:space="0" w:color="auto"/>
          </w:divBdr>
          <w:divsChild>
            <w:div w:id="2052338997">
              <w:marLeft w:val="0"/>
              <w:marRight w:val="0"/>
              <w:marTop w:val="0"/>
              <w:marBottom w:val="0"/>
              <w:divBdr>
                <w:top w:val="none" w:sz="0" w:space="0" w:color="auto"/>
                <w:left w:val="none" w:sz="0" w:space="0" w:color="auto"/>
                <w:bottom w:val="none" w:sz="0" w:space="0" w:color="auto"/>
                <w:right w:val="none" w:sz="0" w:space="0" w:color="auto"/>
              </w:divBdr>
            </w:div>
          </w:divsChild>
        </w:div>
        <w:div w:id="1107777494">
          <w:marLeft w:val="0"/>
          <w:marRight w:val="0"/>
          <w:marTop w:val="0"/>
          <w:marBottom w:val="0"/>
          <w:divBdr>
            <w:top w:val="none" w:sz="0" w:space="0" w:color="auto"/>
            <w:left w:val="none" w:sz="0" w:space="0" w:color="auto"/>
            <w:bottom w:val="none" w:sz="0" w:space="0" w:color="auto"/>
            <w:right w:val="none" w:sz="0" w:space="0" w:color="auto"/>
          </w:divBdr>
          <w:divsChild>
            <w:div w:id="489566650">
              <w:marLeft w:val="0"/>
              <w:marRight w:val="0"/>
              <w:marTop w:val="0"/>
              <w:marBottom w:val="0"/>
              <w:divBdr>
                <w:top w:val="none" w:sz="0" w:space="0" w:color="auto"/>
                <w:left w:val="none" w:sz="0" w:space="0" w:color="auto"/>
                <w:bottom w:val="none" w:sz="0" w:space="0" w:color="auto"/>
                <w:right w:val="none" w:sz="0" w:space="0" w:color="auto"/>
              </w:divBdr>
            </w:div>
          </w:divsChild>
        </w:div>
        <w:div w:id="1108042447">
          <w:marLeft w:val="0"/>
          <w:marRight w:val="0"/>
          <w:marTop w:val="0"/>
          <w:marBottom w:val="0"/>
          <w:divBdr>
            <w:top w:val="none" w:sz="0" w:space="0" w:color="auto"/>
            <w:left w:val="none" w:sz="0" w:space="0" w:color="auto"/>
            <w:bottom w:val="none" w:sz="0" w:space="0" w:color="auto"/>
            <w:right w:val="none" w:sz="0" w:space="0" w:color="auto"/>
          </w:divBdr>
          <w:divsChild>
            <w:div w:id="25644840">
              <w:marLeft w:val="0"/>
              <w:marRight w:val="0"/>
              <w:marTop w:val="0"/>
              <w:marBottom w:val="0"/>
              <w:divBdr>
                <w:top w:val="none" w:sz="0" w:space="0" w:color="auto"/>
                <w:left w:val="none" w:sz="0" w:space="0" w:color="auto"/>
                <w:bottom w:val="none" w:sz="0" w:space="0" w:color="auto"/>
                <w:right w:val="none" w:sz="0" w:space="0" w:color="auto"/>
              </w:divBdr>
            </w:div>
          </w:divsChild>
        </w:div>
        <w:div w:id="1133525764">
          <w:marLeft w:val="0"/>
          <w:marRight w:val="0"/>
          <w:marTop w:val="0"/>
          <w:marBottom w:val="0"/>
          <w:divBdr>
            <w:top w:val="none" w:sz="0" w:space="0" w:color="auto"/>
            <w:left w:val="none" w:sz="0" w:space="0" w:color="auto"/>
            <w:bottom w:val="none" w:sz="0" w:space="0" w:color="auto"/>
            <w:right w:val="none" w:sz="0" w:space="0" w:color="auto"/>
          </w:divBdr>
          <w:divsChild>
            <w:div w:id="2054496660">
              <w:marLeft w:val="0"/>
              <w:marRight w:val="0"/>
              <w:marTop w:val="0"/>
              <w:marBottom w:val="0"/>
              <w:divBdr>
                <w:top w:val="none" w:sz="0" w:space="0" w:color="auto"/>
                <w:left w:val="none" w:sz="0" w:space="0" w:color="auto"/>
                <w:bottom w:val="none" w:sz="0" w:space="0" w:color="auto"/>
                <w:right w:val="none" w:sz="0" w:space="0" w:color="auto"/>
              </w:divBdr>
            </w:div>
          </w:divsChild>
        </w:div>
        <w:div w:id="1140458829">
          <w:marLeft w:val="0"/>
          <w:marRight w:val="0"/>
          <w:marTop w:val="0"/>
          <w:marBottom w:val="0"/>
          <w:divBdr>
            <w:top w:val="none" w:sz="0" w:space="0" w:color="auto"/>
            <w:left w:val="none" w:sz="0" w:space="0" w:color="auto"/>
            <w:bottom w:val="none" w:sz="0" w:space="0" w:color="auto"/>
            <w:right w:val="none" w:sz="0" w:space="0" w:color="auto"/>
          </w:divBdr>
          <w:divsChild>
            <w:div w:id="1803813720">
              <w:marLeft w:val="0"/>
              <w:marRight w:val="0"/>
              <w:marTop w:val="0"/>
              <w:marBottom w:val="0"/>
              <w:divBdr>
                <w:top w:val="none" w:sz="0" w:space="0" w:color="auto"/>
                <w:left w:val="none" w:sz="0" w:space="0" w:color="auto"/>
                <w:bottom w:val="none" w:sz="0" w:space="0" w:color="auto"/>
                <w:right w:val="none" w:sz="0" w:space="0" w:color="auto"/>
              </w:divBdr>
            </w:div>
          </w:divsChild>
        </w:div>
        <w:div w:id="1152722678">
          <w:marLeft w:val="0"/>
          <w:marRight w:val="0"/>
          <w:marTop w:val="0"/>
          <w:marBottom w:val="0"/>
          <w:divBdr>
            <w:top w:val="none" w:sz="0" w:space="0" w:color="auto"/>
            <w:left w:val="none" w:sz="0" w:space="0" w:color="auto"/>
            <w:bottom w:val="none" w:sz="0" w:space="0" w:color="auto"/>
            <w:right w:val="none" w:sz="0" w:space="0" w:color="auto"/>
          </w:divBdr>
          <w:divsChild>
            <w:div w:id="1882597167">
              <w:marLeft w:val="0"/>
              <w:marRight w:val="0"/>
              <w:marTop w:val="0"/>
              <w:marBottom w:val="0"/>
              <w:divBdr>
                <w:top w:val="none" w:sz="0" w:space="0" w:color="auto"/>
                <w:left w:val="none" w:sz="0" w:space="0" w:color="auto"/>
                <w:bottom w:val="none" w:sz="0" w:space="0" w:color="auto"/>
                <w:right w:val="none" w:sz="0" w:space="0" w:color="auto"/>
              </w:divBdr>
            </w:div>
          </w:divsChild>
        </w:div>
        <w:div w:id="1155414169">
          <w:marLeft w:val="0"/>
          <w:marRight w:val="0"/>
          <w:marTop w:val="0"/>
          <w:marBottom w:val="0"/>
          <w:divBdr>
            <w:top w:val="none" w:sz="0" w:space="0" w:color="auto"/>
            <w:left w:val="none" w:sz="0" w:space="0" w:color="auto"/>
            <w:bottom w:val="none" w:sz="0" w:space="0" w:color="auto"/>
            <w:right w:val="none" w:sz="0" w:space="0" w:color="auto"/>
          </w:divBdr>
          <w:divsChild>
            <w:div w:id="396710276">
              <w:marLeft w:val="0"/>
              <w:marRight w:val="0"/>
              <w:marTop w:val="0"/>
              <w:marBottom w:val="0"/>
              <w:divBdr>
                <w:top w:val="none" w:sz="0" w:space="0" w:color="auto"/>
                <w:left w:val="none" w:sz="0" w:space="0" w:color="auto"/>
                <w:bottom w:val="none" w:sz="0" w:space="0" w:color="auto"/>
                <w:right w:val="none" w:sz="0" w:space="0" w:color="auto"/>
              </w:divBdr>
            </w:div>
          </w:divsChild>
        </w:div>
        <w:div w:id="1168400932">
          <w:marLeft w:val="0"/>
          <w:marRight w:val="0"/>
          <w:marTop w:val="0"/>
          <w:marBottom w:val="0"/>
          <w:divBdr>
            <w:top w:val="none" w:sz="0" w:space="0" w:color="auto"/>
            <w:left w:val="none" w:sz="0" w:space="0" w:color="auto"/>
            <w:bottom w:val="none" w:sz="0" w:space="0" w:color="auto"/>
            <w:right w:val="none" w:sz="0" w:space="0" w:color="auto"/>
          </w:divBdr>
          <w:divsChild>
            <w:div w:id="727343529">
              <w:marLeft w:val="0"/>
              <w:marRight w:val="0"/>
              <w:marTop w:val="0"/>
              <w:marBottom w:val="0"/>
              <w:divBdr>
                <w:top w:val="none" w:sz="0" w:space="0" w:color="auto"/>
                <w:left w:val="none" w:sz="0" w:space="0" w:color="auto"/>
                <w:bottom w:val="none" w:sz="0" w:space="0" w:color="auto"/>
                <w:right w:val="none" w:sz="0" w:space="0" w:color="auto"/>
              </w:divBdr>
            </w:div>
          </w:divsChild>
        </w:div>
        <w:div w:id="1175151993">
          <w:marLeft w:val="0"/>
          <w:marRight w:val="0"/>
          <w:marTop w:val="0"/>
          <w:marBottom w:val="0"/>
          <w:divBdr>
            <w:top w:val="none" w:sz="0" w:space="0" w:color="auto"/>
            <w:left w:val="none" w:sz="0" w:space="0" w:color="auto"/>
            <w:bottom w:val="none" w:sz="0" w:space="0" w:color="auto"/>
            <w:right w:val="none" w:sz="0" w:space="0" w:color="auto"/>
          </w:divBdr>
          <w:divsChild>
            <w:div w:id="2017950770">
              <w:marLeft w:val="0"/>
              <w:marRight w:val="0"/>
              <w:marTop w:val="0"/>
              <w:marBottom w:val="0"/>
              <w:divBdr>
                <w:top w:val="none" w:sz="0" w:space="0" w:color="auto"/>
                <w:left w:val="none" w:sz="0" w:space="0" w:color="auto"/>
                <w:bottom w:val="none" w:sz="0" w:space="0" w:color="auto"/>
                <w:right w:val="none" w:sz="0" w:space="0" w:color="auto"/>
              </w:divBdr>
            </w:div>
          </w:divsChild>
        </w:div>
        <w:div w:id="1179195007">
          <w:marLeft w:val="0"/>
          <w:marRight w:val="0"/>
          <w:marTop w:val="0"/>
          <w:marBottom w:val="0"/>
          <w:divBdr>
            <w:top w:val="none" w:sz="0" w:space="0" w:color="auto"/>
            <w:left w:val="none" w:sz="0" w:space="0" w:color="auto"/>
            <w:bottom w:val="none" w:sz="0" w:space="0" w:color="auto"/>
            <w:right w:val="none" w:sz="0" w:space="0" w:color="auto"/>
          </w:divBdr>
          <w:divsChild>
            <w:div w:id="991451264">
              <w:marLeft w:val="0"/>
              <w:marRight w:val="0"/>
              <w:marTop w:val="0"/>
              <w:marBottom w:val="0"/>
              <w:divBdr>
                <w:top w:val="none" w:sz="0" w:space="0" w:color="auto"/>
                <w:left w:val="none" w:sz="0" w:space="0" w:color="auto"/>
                <w:bottom w:val="none" w:sz="0" w:space="0" w:color="auto"/>
                <w:right w:val="none" w:sz="0" w:space="0" w:color="auto"/>
              </w:divBdr>
            </w:div>
          </w:divsChild>
        </w:div>
        <w:div w:id="1181510825">
          <w:marLeft w:val="0"/>
          <w:marRight w:val="0"/>
          <w:marTop w:val="0"/>
          <w:marBottom w:val="0"/>
          <w:divBdr>
            <w:top w:val="none" w:sz="0" w:space="0" w:color="auto"/>
            <w:left w:val="none" w:sz="0" w:space="0" w:color="auto"/>
            <w:bottom w:val="none" w:sz="0" w:space="0" w:color="auto"/>
            <w:right w:val="none" w:sz="0" w:space="0" w:color="auto"/>
          </w:divBdr>
          <w:divsChild>
            <w:div w:id="732627279">
              <w:marLeft w:val="0"/>
              <w:marRight w:val="0"/>
              <w:marTop w:val="0"/>
              <w:marBottom w:val="0"/>
              <w:divBdr>
                <w:top w:val="none" w:sz="0" w:space="0" w:color="auto"/>
                <w:left w:val="none" w:sz="0" w:space="0" w:color="auto"/>
                <w:bottom w:val="none" w:sz="0" w:space="0" w:color="auto"/>
                <w:right w:val="none" w:sz="0" w:space="0" w:color="auto"/>
              </w:divBdr>
            </w:div>
          </w:divsChild>
        </w:div>
        <w:div w:id="1201362548">
          <w:marLeft w:val="0"/>
          <w:marRight w:val="0"/>
          <w:marTop w:val="0"/>
          <w:marBottom w:val="0"/>
          <w:divBdr>
            <w:top w:val="none" w:sz="0" w:space="0" w:color="auto"/>
            <w:left w:val="none" w:sz="0" w:space="0" w:color="auto"/>
            <w:bottom w:val="none" w:sz="0" w:space="0" w:color="auto"/>
            <w:right w:val="none" w:sz="0" w:space="0" w:color="auto"/>
          </w:divBdr>
          <w:divsChild>
            <w:div w:id="1314334468">
              <w:marLeft w:val="0"/>
              <w:marRight w:val="0"/>
              <w:marTop w:val="0"/>
              <w:marBottom w:val="0"/>
              <w:divBdr>
                <w:top w:val="none" w:sz="0" w:space="0" w:color="auto"/>
                <w:left w:val="none" w:sz="0" w:space="0" w:color="auto"/>
                <w:bottom w:val="none" w:sz="0" w:space="0" w:color="auto"/>
                <w:right w:val="none" w:sz="0" w:space="0" w:color="auto"/>
              </w:divBdr>
            </w:div>
          </w:divsChild>
        </w:div>
        <w:div w:id="1219509575">
          <w:marLeft w:val="0"/>
          <w:marRight w:val="0"/>
          <w:marTop w:val="0"/>
          <w:marBottom w:val="0"/>
          <w:divBdr>
            <w:top w:val="none" w:sz="0" w:space="0" w:color="auto"/>
            <w:left w:val="none" w:sz="0" w:space="0" w:color="auto"/>
            <w:bottom w:val="none" w:sz="0" w:space="0" w:color="auto"/>
            <w:right w:val="none" w:sz="0" w:space="0" w:color="auto"/>
          </w:divBdr>
          <w:divsChild>
            <w:div w:id="847673851">
              <w:marLeft w:val="0"/>
              <w:marRight w:val="0"/>
              <w:marTop w:val="0"/>
              <w:marBottom w:val="0"/>
              <w:divBdr>
                <w:top w:val="none" w:sz="0" w:space="0" w:color="auto"/>
                <w:left w:val="none" w:sz="0" w:space="0" w:color="auto"/>
                <w:bottom w:val="none" w:sz="0" w:space="0" w:color="auto"/>
                <w:right w:val="none" w:sz="0" w:space="0" w:color="auto"/>
              </w:divBdr>
            </w:div>
          </w:divsChild>
        </w:div>
        <w:div w:id="1221746361">
          <w:marLeft w:val="0"/>
          <w:marRight w:val="0"/>
          <w:marTop w:val="0"/>
          <w:marBottom w:val="0"/>
          <w:divBdr>
            <w:top w:val="none" w:sz="0" w:space="0" w:color="auto"/>
            <w:left w:val="none" w:sz="0" w:space="0" w:color="auto"/>
            <w:bottom w:val="none" w:sz="0" w:space="0" w:color="auto"/>
            <w:right w:val="none" w:sz="0" w:space="0" w:color="auto"/>
          </w:divBdr>
          <w:divsChild>
            <w:div w:id="1066026077">
              <w:marLeft w:val="0"/>
              <w:marRight w:val="0"/>
              <w:marTop w:val="0"/>
              <w:marBottom w:val="0"/>
              <w:divBdr>
                <w:top w:val="none" w:sz="0" w:space="0" w:color="auto"/>
                <w:left w:val="none" w:sz="0" w:space="0" w:color="auto"/>
                <w:bottom w:val="none" w:sz="0" w:space="0" w:color="auto"/>
                <w:right w:val="none" w:sz="0" w:space="0" w:color="auto"/>
              </w:divBdr>
            </w:div>
          </w:divsChild>
        </w:div>
        <w:div w:id="1229848978">
          <w:marLeft w:val="0"/>
          <w:marRight w:val="0"/>
          <w:marTop w:val="0"/>
          <w:marBottom w:val="0"/>
          <w:divBdr>
            <w:top w:val="none" w:sz="0" w:space="0" w:color="auto"/>
            <w:left w:val="none" w:sz="0" w:space="0" w:color="auto"/>
            <w:bottom w:val="none" w:sz="0" w:space="0" w:color="auto"/>
            <w:right w:val="none" w:sz="0" w:space="0" w:color="auto"/>
          </w:divBdr>
          <w:divsChild>
            <w:div w:id="1036858570">
              <w:marLeft w:val="0"/>
              <w:marRight w:val="0"/>
              <w:marTop w:val="0"/>
              <w:marBottom w:val="0"/>
              <w:divBdr>
                <w:top w:val="none" w:sz="0" w:space="0" w:color="auto"/>
                <w:left w:val="none" w:sz="0" w:space="0" w:color="auto"/>
                <w:bottom w:val="none" w:sz="0" w:space="0" w:color="auto"/>
                <w:right w:val="none" w:sz="0" w:space="0" w:color="auto"/>
              </w:divBdr>
            </w:div>
          </w:divsChild>
        </w:div>
        <w:div w:id="1242372442">
          <w:marLeft w:val="0"/>
          <w:marRight w:val="0"/>
          <w:marTop w:val="0"/>
          <w:marBottom w:val="0"/>
          <w:divBdr>
            <w:top w:val="none" w:sz="0" w:space="0" w:color="auto"/>
            <w:left w:val="none" w:sz="0" w:space="0" w:color="auto"/>
            <w:bottom w:val="none" w:sz="0" w:space="0" w:color="auto"/>
            <w:right w:val="none" w:sz="0" w:space="0" w:color="auto"/>
          </w:divBdr>
          <w:divsChild>
            <w:div w:id="84035257">
              <w:marLeft w:val="0"/>
              <w:marRight w:val="0"/>
              <w:marTop w:val="0"/>
              <w:marBottom w:val="0"/>
              <w:divBdr>
                <w:top w:val="none" w:sz="0" w:space="0" w:color="auto"/>
                <w:left w:val="none" w:sz="0" w:space="0" w:color="auto"/>
                <w:bottom w:val="none" w:sz="0" w:space="0" w:color="auto"/>
                <w:right w:val="none" w:sz="0" w:space="0" w:color="auto"/>
              </w:divBdr>
            </w:div>
          </w:divsChild>
        </w:div>
        <w:div w:id="1250039396">
          <w:marLeft w:val="0"/>
          <w:marRight w:val="0"/>
          <w:marTop w:val="0"/>
          <w:marBottom w:val="0"/>
          <w:divBdr>
            <w:top w:val="none" w:sz="0" w:space="0" w:color="auto"/>
            <w:left w:val="none" w:sz="0" w:space="0" w:color="auto"/>
            <w:bottom w:val="none" w:sz="0" w:space="0" w:color="auto"/>
            <w:right w:val="none" w:sz="0" w:space="0" w:color="auto"/>
          </w:divBdr>
          <w:divsChild>
            <w:div w:id="1584608769">
              <w:marLeft w:val="0"/>
              <w:marRight w:val="0"/>
              <w:marTop w:val="0"/>
              <w:marBottom w:val="0"/>
              <w:divBdr>
                <w:top w:val="none" w:sz="0" w:space="0" w:color="auto"/>
                <w:left w:val="none" w:sz="0" w:space="0" w:color="auto"/>
                <w:bottom w:val="none" w:sz="0" w:space="0" w:color="auto"/>
                <w:right w:val="none" w:sz="0" w:space="0" w:color="auto"/>
              </w:divBdr>
            </w:div>
          </w:divsChild>
        </w:div>
        <w:div w:id="1260674090">
          <w:marLeft w:val="0"/>
          <w:marRight w:val="0"/>
          <w:marTop w:val="0"/>
          <w:marBottom w:val="0"/>
          <w:divBdr>
            <w:top w:val="none" w:sz="0" w:space="0" w:color="auto"/>
            <w:left w:val="none" w:sz="0" w:space="0" w:color="auto"/>
            <w:bottom w:val="none" w:sz="0" w:space="0" w:color="auto"/>
            <w:right w:val="none" w:sz="0" w:space="0" w:color="auto"/>
          </w:divBdr>
          <w:divsChild>
            <w:div w:id="909655300">
              <w:marLeft w:val="0"/>
              <w:marRight w:val="0"/>
              <w:marTop w:val="0"/>
              <w:marBottom w:val="0"/>
              <w:divBdr>
                <w:top w:val="none" w:sz="0" w:space="0" w:color="auto"/>
                <w:left w:val="none" w:sz="0" w:space="0" w:color="auto"/>
                <w:bottom w:val="none" w:sz="0" w:space="0" w:color="auto"/>
                <w:right w:val="none" w:sz="0" w:space="0" w:color="auto"/>
              </w:divBdr>
            </w:div>
          </w:divsChild>
        </w:div>
        <w:div w:id="1281761920">
          <w:marLeft w:val="0"/>
          <w:marRight w:val="0"/>
          <w:marTop w:val="0"/>
          <w:marBottom w:val="0"/>
          <w:divBdr>
            <w:top w:val="none" w:sz="0" w:space="0" w:color="auto"/>
            <w:left w:val="none" w:sz="0" w:space="0" w:color="auto"/>
            <w:bottom w:val="none" w:sz="0" w:space="0" w:color="auto"/>
            <w:right w:val="none" w:sz="0" w:space="0" w:color="auto"/>
          </w:divBdr>
          <w:divsChild>
            <w:div w:id="1149638976">
              <w:marLeft w:val="0"/>
              <w:marRight w:val="0"/>
              <w:marTop w:val="0"/>
              <w:marBottom w:val="0"/>
              <w:divBdr>
                <w:top w:val="none" w:sz="0" w:space="0" w:color="auto"/>
                <w:left w:val="none" w:sz="0" w:space="0" w:color="auto"/>
                <w:bottom w:val="none" w:sz="0" w:space="0" w:color="auto"/>
                <w:right w:val="none" w:sz="0" w:space="0" w:color="auto"/>
              </w:divBdr>
            </w:div>
          </w:divsChild>
        </w:div>
        <w:div w:id="1290546220">
          <w:marLeft w:val="0"/>
          <w:marRight w:val="0"/>
          <w:marTop w:val="0"/>
          <w:marBottom w:val="0"/>
          <w:divBdr>
            <w:top w:val="none" w:sz="0" w:space="0" w:color="auto"/>
            <w:left w:val="none" w:sz="0" w:space="0" w:color="auto"/>
            <w:bottom w:val="none" w:sz="0" w:space="0" w:color="auto"/>
            <w:right w:val="none" w:sz="0" w:space="0" w:color="auto"/>
          </w:divBdr>
          <w:divsChild>
            <w:div w:id="1215120574">
              <w:marLeft w:val="0"/>
              <w:marRight w:val="0"/>
              <w:marTop w:val="0"/>
              <w:marBottom w:val="0"/>
              <w:divBdr>
                <w:top w:val="none" w:sz="0" w:space="0" w:color="auto"/>
                <w:left w:val="none" w:sz="0" w:space="0" w:color="auto"/>
                <w:bottom w:val="none" w:sz="0" w:space="0" w:color="auto"/>
                <w:right w:val="none" w:sz="0" w:space="0" w:color="auto"/>
              </w:divBdr>
            </w:div>
          </w:divsChild>
        </w:div>
        <w:div w:id="1311179758">
          <w:marLeft w:val="0"/>
          <w:marRight w:val="0"/>
          <w:marTop w:val="0"/>
          <w:marBottom w:val="0"/>
          <w:divBdr>
            <w:top w:val="none" w:sz="0" w:space="0" w:color="auto"/>
            <w:left w:val="none" w:sz="0" w:space="0" w:color="auto"/>
            <w:bottom w:val="none" w:sz="0" w:space="0" w:color="auto"/>
            <w:right w:val="none" w:sz="0" w:space="0" w:color="auto"/>
          </w:divBdr>
          <w:divsChild>
            <w:div w:id="1669749662">
              <w:marLeft w:val="0"/>
              <w:marRight w:val="0"/>
              <w:marTop w:val="0"/>
              <w:marBottom w:val="0"/>
              <w:divBdr>
                <w:top w:val="none" w:sz="0" w:space="0" w:color="auto"/>
                <w:left w:val="none" w:sz="0" w:space="0" w:color="auto"/>
                <w:bottom w:val="none" w:sz="0" w:space="0" w:color="auto"/>
                <w:right w:val="none" w:sz="0" w:space="0" w:color="auto"/>
              </w:divBdr>
            </w:div>
          </w:divsChild>
        </w:div>
        <w:div w:id="1316299733">
          <w:marLeft w:val="0"/>
          <w:marRight w:val="0"/>
          <w:marTop w:val="0"/>
          <w:marBottom w:val="0"/>
          <w:divBdr>
            <w:top w:val="none" w:sz="0" w:space="0" w:color="auto"/>
            <w:left w:val="none" w:sz="0" w:space="0" w:color="auto"/>
            <w:bottom w:val="none" w:sz="0" w:space="0" w:color="auto"/>
            <w:right w:val="none" w:sz="0" w:space="0" w:color="auto"/>
          </w:divBdr>
          <w:divsChild>
            <w:div w:id="2006128073">
              <w:marLeft w:val="0"/>
              <w:marRight w:val="0"/>
              <w:marTop w:val="0"/>
              <w:marBottom w:val="0"/>
              <w:divBdr>
                <w:top w:val="none" w:sz="0" w:space="0" w:color="auto"/>
                <w:left w:val="none" w:sz="0" w:space="0" w:color="auto"/>
                <w:bottom w:val="none" w:sz="0" w:space="0" w:color="auto"/>
                <w:right w:val="none" w:sz="0" w:space="0" w:color="auto"/>
              </w:divBdr>
            </w:div>
          </w:divsChild>
        </w:div>
        <w:div w:id="1317761201">
          <w:marLeft w:val="0"/>
          <w:marRight w:val="0"/>
          <w:marTop w:val="0"/>
          <w:marBottom w:val="0"/>
          <w:divBdr>
            <w:top w:val="none" w:sz="0" w:space="0" w:color="auto"/>
            <w:left w:val="none" w:sz="0" w:space="0" w:color="auto"/>
            <w:bottom w:val="none" w:sz="0" w:space="0" w:color="auto"/>
            <w:right w:val="none" w:sz="0" w:space="0" w:color="auto"/>
          </w:divBdr>
          <w:divsChild>
            <w:div w:id="612328383">
              <w:marLeft w:val="0"/>
              <w:marRight w:val="0"/>
              <w:marTop w:val="0"/>
              <w:marBottom w:val="0"/>
              <w:divBdr>
                <w:top w:val="none" w:sz="0" w:space="0" w:color="auto"/>
                <w:left w:val="none" w:sz="0" w:space="0" w:color="auto"/>
                <w:bottom w:val="none" w:sz="0" w:space="0" w:color="auto"/>
                <w:right w:val="none" w:sz="0" w:space="0" w:color="auto"/>
              </w:divBdr>
            </w:div>
          </w:divsChild>
        </w:div>
        <w:div w:id="1326056937">
          <w:marLeft w:val="0"/>
          <w:marRight w:val="0"/>
          <w:marTop w:val="0"/>
          <w:marBottom w:val="0"/>
          <w:divBdr>
            <w:top w:val="none" w:sz="0" w:space="0" w:color="auto"/>
            <w:left w:val="none" w:sz="0" w:space="0" w:color="auto"/>
            <w:bottom w:val="none" w:sz="0" w:space="0" w:color="auto"/>
            <w:right w:val="none" w:sz="0" w:space="0" w:color="auto"/>
          </w:divBdr>
          <w:divsChild>
            <w:div w:id="845367266">
              <w:marLeft w:val="0"/>
              <w:marRight w:val="0"/>
              <w:marTop w:val="0"/>
              <w:marBottom w:val="0"/>
              <w:divBdr>
                <w:top w:val="none" w:sz="0" w:space="0" w:color="auto"/>
                <w:left w:val="none" w:sz="0" w:space="0" w:color="auto"/>
                <w:bottom w:val="none" w:sz="0" w:space="0" w:color="auto"/>
                <w:right w:val="none" w:sz="0" w:space="0" w:color="auto"/>
              </w:divBdr>
            </w:div>
          </w:divsChild>
        </w:div>
        <w:div w:id="1333070113">
          <w:marLeft w:val="0"/>
          <w:marRight w:val="0"/>
          <w:marTop w:val="0"/>
          <w:marBottom w:val="0"/>
          <w:divBdr>
            <w:top w:val="none" w:sz="0" w:space="0" w:color="auto"/>
            <w:left w:val="none" w:sz="0" w:space="0" w:color="auto"/>
            <w:bottom w:val="none" w:sz="0" w:space="0" w:color="auto"/>
            <w:right w:val="none" w:sz="0" w:space="0" w:color="auto"/>
          </w:divBdr>
          <w:divsChild>
            <w:div w:id="389420706">
              <w:marLeft w:val="0"/>
              <w:marRight w:val="0"/>
              <w:marTop w:val="0"/>
              <w:marBottom w:val="0"/>
              <w:divBdr>
                <w:top w:val="none" w:sz="0" w:space="0" w:color="auto"/>
                <w:left w:val="none" w:sz="0" w:space="0" w:color="auto"/>
                <w:bottom w:val="none" w:sz="0" w:space="0" w:color="auto"/>
                <w:right w:val="none" w:sz="0" w:space="0" w:color="auto"/>
              </w:divBdr>
            </w:div>
          </w:divsChild>
        </w:div>
        <w:div w:id="1333682811">
          <w:marLeft w:val="0"/>
          <w:marRight w:val="0"/>
          <w:marTop w:val="0"/>
          <w:marBottom w:val="0"/>
          <w:divBdr>
            <w:top w:val="none" w:sz="0" w:space="0" w:color="auto"/>
            <w:left w:val="none" w:sz="0" w:space="0" w:color="auto"/>
            <w:bottom w:val="none" w:sz="0" w:space="0" w:color="auto"/>
            <w:right w:val="none" w:sz="0" w:space="0" w:color="auto"/>
          </w:divBdr>
          <w:divsChild>
            <w:div w:id="1533302645">
              <w:marLeft w:val="0"/>
              <w:marRight w:val="0"/>
              <w:marTop w:val="0"/>
              <w:marBottom w:val="0"/>
              <w:divBdr>
                <w:top w:val="none" w:sz="0" w:space="0" w:color="auto"/>
                <w:left w:val="none" w:sz="0" w:space="0" w:color="auto"/>
                <w:bottom w:val="none" w:sz="0" w:space="0" w:color="auto"/>
                <w:right w:val="none" w:sz="0" w:space="0" w:color="auto"/>
              </w:divBdr>
            </w:div>
          </w:divsChild>
        </w:div>
        <w:div w:id="1337028003">
          <w:marLeft w:val="0"/>
          <w:marRight w:val="0"/>
          <w:marTop w:val="0"/>
          <w:marBottom w:val="0"/>
          <w:divBdr>
            <w:top w:val="none" w:sz="0" w:space="0" w:color="auto"/>
            <w:left w:val="none" w:sz="0" w:space="0" w:color="auto"/>
            <w:bottom w:val="none" w:sz="0" w:space="0" w:color="auto"/>
            <w:right w:val="none" w:sz="0" w:space="0" w:color="auto"/>
          </w:divBdr>
          <w:divsChild>
            <w:div w:id="1475874018">
              <w:marLeft w:val="0"/>
              <w:marRight w:val="0"/>
              <w:marTop w:val="0"/>
              <w:marBottom w:val="0"/>
              <w:divBdr>
                <w:top w:val="none" w:sz="0" w:space="0" w:color="auto"/>
                <w:left w:val="none" w:sz="0" w:space="0" w:color="auto"/>
                <w:bottom w:val="none" w:sz="0" w:space="0" w:color="auto"/>
                <w:right w:val="none" w:sz="0" w:space="0" w:color="auto"/>
              </w:divBdr>
            </w:div>
          </w:divsChild>
        </w:div>
        <w:div w:id="1337999658">
          <w:marLeft w:val="0"/>
          <w:marRight w:val="0"/>
          <w:marTop w:val="0"/>
          <w:marBottom w:val="0"/>
          <w:divBdr>
            <w:top w:val="none" w:sz="0" w:space="0" w:color="auto"/>
            <w:left w:val="none" w:sz="0" w:space="0" w:color="auto"/>
            <w:bottom w:val="none" w:sz="0" w:space="0" w:color="auto"/>
            <w:right w:val="none" w:sz="0" w:space="0" w:color="auto"/>
          </w:divBdr>
          <w:divsChild>
            <w:div w:id="1994211404">
              <w:marLeft w:val="0"/>
              <w:marRight w:val="0"/>
              <w:marTop w:val="0"/>
              <w:marBottom w:val="0"/>
              <w:divBdr>
                <w:top w:val="none" w:sz="0" w:space="0" w:color="auto"/>
                <w:left w:val="none" w:sz="0" w:space="0" w:color="auto"/>
                <w:bottom w:val="none" w:sz="0" w:space="0" w:color="auto"/>
                <w:right w:val="none" w:sz="0" w:space="0" w:color="auto"/>
              </w:divBdr>
            </w:div>
          </w:divsChild>
        </w:div>
        <w:div w:id="1338115205">
          <w:marLeft w:val="0"/>
          <w:marRight w:val="0"/>
          <w:marTop w:val="0"/>
          <w:marBottom w:val="0"/>
          <w:divBdr>
            <w:top w:val="none" w:sz="0" w:space="0" w:color="auto"/>
            <w:left w:val="none" w:sz="0" w:space="0" w:color="auto"/>
            <w:bottom w:val="none" w:sz="0" w:space="0" w:color="auto"/>
            <w:right w:val="none" w:sz="0" w:space="0" w:color="auto"/>
          </w:divBdr>
          <w:divsChild>
            <w:div w:id="32703594">
              <w:marLeft w:val="0"/>
              <w:marRight w:val="0"/>
              <w:marTop w:val="0"/>
              <w:marBottom w:val="0"/>
              <w:divBdr>
                <w:top w:val="none" w:sz="0" w:space="0" w:color="auto"/>
                <w:left w:val="none" w:sz="0" w:space="0" w:color="auto"/>
                <w:bottom w:val="none" w:sz="0" w:space="0" w:color="auto"/>
                <w:right w:val="none" w:sz="0" w:space="0" w:color="auto"/>
              </w:divBdr>
            </w:div>
          </w:divsChild>
        </w:div>
        <w:div w:id="1341078895">
          <w:marLeft w:val="0"/>
          <w:marRight w:val="0"/>
          <w:marTop w:val="0"/>
          <w:marBottom w:val="0"/>
          <w:divBdr>
            <w:top w:val="none" w:sz="0" w:space="0" w:color="auto"/>
            <w:left w:val="none" w:sz="0" w:space="0" w:color="auto"/>
            <w:bottom w:val="none" w:sz="0" w:space="0" w:color="auto"/>
            <w:right w:val="none" w:sz="0" w:space="0" w:color="auto"/>
          </w:divBdr>
          <w:divsChild>
            <w:div w:id="59443736">
              <w:marLeft w:val="0"/>
              <w:marRight w:val="0"/>
              <w:marTop w:val="0"/>
              <w:marBottom w:val="0"/>
              <w:divBdr>
                <w:top w:val="none" w:sz="0" w:space="0" w:color="auto"/>
                <w:left w:val="none" w:sz="0" w:space="0" w:color="auto"/>
                <w:bottom w:val="none" w:sz="0" w:space="0" w:color="auto"/>
                <w:right w:val="none" w:sz="0" w:space="0" w:color="auto"/>
              </w:divBdr>
            </w:div>
          </w:divsChild>
        </w:div>
        <w:div w:id="1354654351">
          <w:marLeft w:val="0"/>
          <w:marRight w:val="0"/>
          <w:marTop w:val="0"/>
          <w:marBottom w:val="0"/>
          <w:divBdr>
            <w:top w:val="none" w:sz="0" w:space="0" w:color="auto"/>
            <w:left w:val="none" w:sz="0" w:space="0" w:color="auto"/>
            <w:bottom w:val="none" w:sz="0" w:space="0" w:color="auto"/>
            <w:right w:val="none" w:sz="0" w:space="0" w:color="auto"/>
          </w:divBdr>
          <w:divsChild>
            <w:div w:id="1910923036">
              <w:marLeft w:val="0"/>
              <w:marRight w:val="0"/>
              <w:marTop w:val="0"/>
              <w:marBottom w:val="0"/>
              <w:divBdr>
                <w:top w:val="none" w:sz="0" w:space="0" w:color="auto"/>
                <w:left w:val="none" w:sz="0" w:space="0" w:color="auto"/>
                <w:bottom w:val="none" w:sz="0" w:space="0" w:color="auto"/>
                <w:right w:val="none" w:sz="0" w:space="0" w:color="auto"/>
              </w:divBdr>
            </w:div>
          </w:divsChild>
        </w:div>
        <w:div w:id="1370448081">
          <w:marLeft w:val="0"/>
          <w:marRight w:val="0"/>
          <w:marTop w:val="0"/>
          <w:marBottom w:val="0"/>
          <w:divBdr>
            <w:top w:val="none" w:sz="0" w:space="0" w:color="auto"/>
            <w:left w:val="none" w:sz="0" w:space="0" w:color="auto"/>
            <w:bottom w:val="none" w:sz="0" w:space="0" w:color="auto"/>
            <w:right w:val="none" w:sz="0" w:space="0" w:color="auto"/>
          </w:divBdr>
          <w:divsChild>
            <w:div w:id="2025159694">
              <w:marLeft w:val="0"/>
              <w:marRight w:val="0"/>
              <w:marTop w:val="0"/>
              <w:marBottom w:val="0"/>
              <w:divBdr>
                <w:top w:val="none" w:sz="0" w:space="0" w:color="auto"/>
                <w:left w:val="none" w:sz="0" w:space="0" w:color="auto"/>
                <w:bottom w:val="none" w:sz="0" w:space="0" w:color="auto"/>
                <w:right w:val="none" w:sz="0" w:space="0" w:color="auto"/>
              </w:divBdr>
            </w:div>
          </w:divsChild>
        </w:div>
        <w:div w:id="1382899843">
          <w:marLeft w:val="0"/>
          <w:marRight w:val="0"/>
          <w:marTop w:val="0"/>
          <w:marBottom w:val="0"/>
          <w:divBdr>
            <w:top w:val="none" w:sz="0" w:space="0" w:color="auto"/>
            <w:left w:val="none" w:sz="0" w:space="0" w:color="auto"/>
            <w:bottom w:val="none" w:sz="0" w:space="0" w:color="auto"/>
            <w:right w:val="none" w:sz="0" w:space="0" w:color="auto"/>
          </w:divBdr>
          <w:divsChild>
            <w:div w:id="719593493">
              <w:marLeft w:val="0"/>
              <w:marRight w:val="0"/>
              <w:marTop w:val="0"/>
              <w:marBottom w:val="0"/>
              <w:divBdr>
                <w:top w:val="none" w:sz="0" w:space="0" w:color="auto"/>
                <w:left w:val="none" w:sz="0" w:space="0" w:color="auto"/>
                <w:bottom w:val="none" w:sz="0" w:space="0" w:color="auto"/>
                <w:right w:val="none" w:sz="0" w:space="0" w:color="auto"/>
              </w:divBdr>
            </w:div>
          </w:divsChild>
        </w:div>
        <w:div w:id="1396587662">
          <w:marLeft w:val="0"/>
          <w:marRight w:val="0"/>
          <w:marTop w:val="0"/>
          <w:marBottom w:val="0"/>
          <w:divBdr>
            <w:top w:val="none" w:sz="0" w:space="0" w:color="auto"/>
            <w:left w:val="none" w:sz="0" w:space="0" w:color="auto"/>
            <w:bottom w:val="none" w:sz="0" w:space="0" w:color="auto"/>
            <w:right w:val="none" w:sz="0" w:space="0" w:color="auto"/>
          </w:divBdr>
          <w:divsChild>
            <w:div w:id="739749">
              <w:marLeft w:val="0"/>
              <w:marRight w:val="0"/>
              <w:marTop w:val="0"/>
              <w:marBottom w:val="0"/>
              <w:divBdr>
                <w:top w:val="none" w:sz="0" w:space="0" w:color="auto"/>
                <w:left w:val="none" w:sz="0" w:space="0" w:color="auto"/>
                <w:bottom w:val="none" w:sz="0" w:space="0" w:color="auto"/>
                <w:right w:val="none" w:sz="0" w:space="0" w:color="auto"/>
              </w:divBdr>
            </w:div>
          </w:divsChild>
        </w:div>
        <w:div w:id="1402675735">
          <w:marLeft w:val="0"/>
          <w:marRight w:val="0"/>
          <w:marTop w:val="0"/>
          <w:marBottom w:val="0"/>
          <w:divBdr>
            <w:top w:val="none" w:sz="0" w:space="0" w:color="auto"/>
            <w:left w:val="none" w:sz="0" w:space="0" w:color="auto"/>
            <w:bottom w:val="none" w:sz="0" w:space="0" w:color="auto"/>
            <w:right w:val="none" w:sz="0" w:space="0" w:color="auto"/>
          </w:divBdr>
          <w:divsChild>
            <w:div w:id="1121798615">
              <w:marLeft w:val="0"/>
              <w:marRight w:val="0"/>
              <w:marTop w:val="0"/>
              <w:marBottom w:val="0"/>
              <w:divBdr>
                <w:top w:val="none" w:sz="0" w:space="0" w:color="auto"/>
                <w:left w:val="none" w:sz="0" w:space="0" w:color="auto"/>
                <w:bottom w:val="none" w:sz="0" w:space="0" w:color="auto"/>
                <w:right w:val="none" w:sz="0" w:space="0" w:color="auto"/>
              </w:divBdr>
            </w:div>
          </w:divsChild>
        </w:div>
        <w:div w:id="1424448006">
          <w:marLeft w:val="0"/>
          <w:marRight w:val="0"/>
          <w:marTop w:val="0"/>
          <w:marBottom w:val="0"/>
          <w:divBdr>
            <w:top w:val="none" w:sz="0" w:space="0" w:color="auto"/>
            <w:left w:val="none" w:sz="0" w:space="0" w:color="auto"/>
            <w:bottom w:val="none" w:sz="0" w:space="0" w:color="auto"/>
            <w:right w:val="none" w:sz="0" w:space="0" w:color="auto"/>
          </w:divBdr>
          <w:divsChild>
            <w:div w:id="1576553710">
              <w:marLeft w:val="0"/>
              <w:marRight w:val="0"/>
              <w:marTop w:val="0"/>
              <w:marBottom w:val="0"/>
              <w:divBdr>
                <w:top w:val="none" w:sz="0" w:space="0" w:color="auto"/>
                <w:left w:val="none" w:sz="0" w:space="0" w:color="auto"/>
                <w:bottom w:val="none" w:sz="0" w:space="0" w:color="auto"/>
                <w:right w:val="none" w:sz="0" w:space="0" w:color="auto"/>
              </w:divBdr>
            </w:div>
          </w:divsChild>
        </w:div>
        <w:div w:id="1429960369">
          <w:marLeft w:val="0"/>
          <w:marRight w:val="0"/>
          <w:marTop w:val="0"/>
          <w:marBottom w:val="0"/>
          <w:divBdr>
            <w:top w:val="none" w:sz="0" w:space="0" w:color="auto"/>
            <w:left w:val="none" w:sz="0" w:space="0" w:color="auto"/>
            <w:bottom w:val="none" w:sz="0" w:space="0" w:color="auto"/>
            <w:right w:val="none" w:sz="0" w:space="0" w:color="auto"/>
          </w:divBdr>
          <w:divsChild>
            <w:div w:id="1307858622">
              <w:marLeft w:val="0"/>
              <w:marRight w:val="0"/>
              <w:marTop w:val="0"/>
              <w:marBottom w:val="0"/>
              <w:divBdr>
                <w:top w:val="none" w:sz="0" w:space="0" w:color="auto"/>
                <w:left w:val="none" w:sz="0" w:space="0" w:color="auto"/>
                <w:bottom w:val="none" w:sz="0" w:space="0" w:color="auto"/>
                <w:right w:val="none" w:sz="0" w:space="0" w:color="auto"/>
              </w:divBdr>
            </w:div>
          </w:divsChild>
        </w:div>
        <w:div w:id="1434863856">
          <w:marLeft w:val="0"/>
          <w:marRight w:val="0"/>
          <w:marTop w:val="0"/>
          <w:marBottom w:val="0"/>
          <w:divBdr>
            <w:top w:val="none" w:sz="0" w:space="0" w:color="auto"/>
            <w:left w:val="none" w:sz="0" w:space="0" w:color="auto"/>
            <w:bottom w:val="none" w:sz="0" w:space="0" w:color="auto"/>
            <w:right w:val="none" w:sz="0" w:space="0" w:color="auto"/>
          </w:divBdr>
          <w:divsChild>
            <w:div w:id="1066994521">
              <w:marLeft w:val="0"/>
              <w:marRight w:val="0"/>
              <w:marTop w:val="0"/>
              <w:marBottom w:val="0"/>
              <w:divBdr>
                <w:top w:val="none" w:sz="0" w:space="0" w:color="auto"/>
                <w:left w:val="none" w:sz="0" w:space="0" w:color="auto"/>
                <w:bottom w:val="none" w:sz="0" w:space="0" w:color="auto"/>
                <w:right w:val="none" w:sz="0" w:space="0" w:color="auto"/>
              </w:divBdr>
            </w:div>
          </w:divsChild>
        </w:div>
        <w:div w:id="1439249888">
          <w:marLeft w:val="0"/>
          <w:marRight w:val="0"/>
          <w:marTop w:val="0"/>
          <w:marBottom w:val="0"/>
          <w:divBdr>
            <w:top w:val="none" w:sz="0" w:space="0" w:color="auto"/>
            <w:left w:val="none" w:sz="0" w:space="0" w:color="auto"/>
            <w:bottom w:val="none" w:sz="0" w:space="0" w:color="auto"/>
            <w:right w:val="none" w:sz="0" w:space="0" w:color="auto"/>
          </w:divBdr>
          <w:divsChild>
            <w:div w:id="1250847740">
              <w:marLeft w:val="0"/>
              <w:marRight w:val="0"/>
              <w:marTop w:val="0"/>
              <w:marBottom w:val="0"/>
              <w:divBdr>
                <w:top w:val="none" w:sz="0" w:space="0" w:color="auto"/>
                <w:left w:val="none" w:sz="0" w:space="0" w:color="auto"/>
                <w:bottom w:val="none" w:sz="0" w:space="0" w:color="auto"/>
                <w:right w:val="none" w:sz="0" w:space="0" w:color="auto"/>
              </w:divBdr>
            </w:div>
          </w:divsChild>
        </w:div>
        <w:div w:id="1440678529">
          <w:marLeft w:val="0"/>
          <w:marRight w:val="0"/>
          <w:marTop w:val="0"/>
          <w:marBottom w:val="0"/>
          <w:divBdr>
            <w:top w:val="none" w:sz="0" w:space="0" w:color="auto"/>
            <w:left w:val="none" w:sz="0" w:space="0" w:color="auto"/>
            <w:bottom w:val="none" w:sz="0" w:space="0" w:color="auto"/>
            <w:right w:val="none" w:sz="0" w:space="0" w:color="auto"/>
          </w:divBdr>
          <w:divsChild>
            <w:div w:id="1575551068">
              <w:marLeft w:val="0"/>
              <w:marRight w:val="0"/>
              <w:marTop w:val="0"/>
              <w:marBottom w:val="0"/>
              <w:divBdr>
                <w:top w:val="none" w:sz="0" w:space="0" w:color="auto"/>
                <w:left w:val="none" w:sz="0" w:space="0" w:color="auto"/>
                <w:bottom w:val="none" w:sz="0" w:space="0" w:color="auto"/>
                <w:right w:val="none" w:sz="0" w:space="0" w:color="auto"/>
              </w:divBdr>
            </w:div>
          </w:divsChild>
        </w:div>
        <w:div w:id="1456363528">
          <w:marLeft w:val="0"/>
          <w:marRight w:val="0"/>
          <w:marTop w:val="0"/>
          <w:marBottom w:val="0"/>
          <w:divBdr>
            <w:top w:val="none" w:sz="0" w:space="0" w:color="auto"/>
            <w:left w:val="none" w:sz="0" w:space="0" w:color="auto"/>
            <w:bottom w:val="none" w:sz="0" w:space="0" w:color="auto"/>
            <w:right w:val="none" w:sz="0" w:space="0" w:color="auto"/>
          </w:divBdr>
          <w:divsChild>
            <w:div w:id="1419136158">
              <w:marLeft w:val="0"/>
              <w:marRight w:val="0"/>
              <w:marTop w:val="0"/>
              <w:marBottom w:val="0"/>
              <w:divBdr>
                <w:top w:val="none" w:sz="0" w:space="0" w:color="auto"/>
                <w:left w:val="none" w:sz="0" w:space="0" w:color="auto"/>
                <w:bottom w:val="none" w:sz="0" w:space="0" w:color="auto"/>
                <w:right w:val="none" w:sz="0" w:space="0" w:color="auto"/>
              </w:divBdr>
            </w:div>
          </w:divsChild>
        </w:div>
        <w:div w:id="1489057574">
          <w:marLeft w:val="0"/>
          <w:marRight w:val="0"/>
          <w:marTop w:val="0"/>
          <w:marBottom w:val="0"/>
          <w:divBdr>
            <w:top w:val="none" w:sz="0" w:space="0" w:color="auto"/>
            <w:left w:val="none" w:sz="0" w:space="0" w:color="auto"/>
            <w:bottom w:val="none" w:sz="0" w:space="0" w:color="auto"/>
            <w:right w:val="none" w:sz="0" w:space="0" w:color="auto"/>
          </w:divBdr>
          <w:divsChild>
            <w:div w:id="512688214">
              <w:marLeft w:val="0"/>
              <w:marRight w:val="0"/>
              <w:marTop w:val="0"/>
              <w:marBottom w:val="0"/>
              <w:divBdr>
                <w:top w:val="none" w:sz="0" w:space="0" w:color="auto"/>
                <w:left w:val="none" w:sz="0" w:space="0" w:color="auto"/>
                <w:bottom w:val="none" w:sz="0" w:space="0" w:color="auto"/>
                <w:right w:val="none" w:sz="0" w:space="0" w:color="auto"/>
              </w:divBdr>
            </w:div>
          </w:divsChild>
        </w:div>
        <w:div w:id="1495874249">
          <w:marLeft w:val="0"/>
          <w:marRight w:val="0"/>
          <w:marTop w:val="0"/>
          <w:marBottom w:val="0"/>
          <w:divBdr>
            <w:top w:val="none" w:sz="0" w:space="0" w:color="auto"/>
            <w:left w:val="none" w:sz="0" w:space="0" w:color="auto"/>
            <w:bottom w:val="none" w:sz="0" w:space="0" w:color="auto"/>
            <w:right w:val="none" w:sz="0" w:space="0" w:color="auto"/>
          </w:divBdr>
          <w:divsChild>
            <w:div w:id="1084062057">
              <w:marLeft w:val="0"/>
              <w:marRight w:val="0"/>
              <w:marTop w:val="0"/>
              <w:marBottom w:val="0"/>
              <w:divBdr>
                <w:top w:val="none" w:sz="0" w:space="0" w:color="auto"/>
                <w:left w:val="none" w:sz="0" w:space="0" w:color="auto"/>
                <w:bottom w:val="none" w:sz="0" w:space="0" w:color="auto"/>
                <w:right w:val="none" w:sz="0" w:space="0" w:color="auto"/>
              </w:divBdr>
            </w:div>
          </w:divsChild>
        </w:div>
        <w:div w:id="1495874583">
          <w:marLeft w:val="0"/>
          <w:marRight w:val="0"/>
          <w:marTop w:val="0"/>
          <w:marBottom w:val="0"/>
          <w:divBdr>
            <w:top w:val="none" w:sz="0" w:space="0" w:color="auto"/>
            <w:left w:val="none" w:sz="0" w:space="0" w:color="auto"/>
            <w:bottom w:val="none" w:sz="0" w:space="0" w:color="auto"/>
            <w:right w:val="none" w:sz="0" w:space="0" w:color="auto"/>
          </w:divBdr>
          <w:divsChild>
            <w:div w:id="2121410018">
              <w:marLeft w:val="0"/>
              <w:marRight w:val="0"/>
              <w:marTop w:val="0"/>
              <w:marBottom w:val="0"/>
              <w:divBdr>
                <w:top w:val="none" w:sz="0" w:space="0" w:color="auto"/>
                <w:left w:val="none" w:sz="0" w:space="0" w:color="auto"/>
                <w:bottom w:val="none" w:sz="0" w:space="0" w:color="auto"/>
                <w:right w:val="none" w:sz="0" w:space="0" w:color="auto"/>
              </w:divBdr>
            </w:div>
          </w:divsChild>
        </w:div>
        <w:div w:id="1526215820">
          <w:marLeft w:val="0"/>
          <w:marRight w:val="0"/>
          <w:marTop w:val="0"/>
          <w:marBottom w:val="0"/>
          <w:divBdr>
            <w:top w:val="none" w:sz="0" w:space="0" w:color="auto"/>
            <w:left w:val="none" w:sz="0" w:space="0" w:color="auto"/>
            <w:bottom w:val="none" w:sz="0" w:space="0" w:color="auto"/>
            <w:right w:val="none" w:sz="0" w:space="0" w:color="auto"/>
          </w:divBdr>
          <w:divsChild>
            <w:div w:id="912810533">
              <w:marLeft w:val="0"/>
              <w:marRight w:val="0"/>
              <w:marTop w:val="0"/>
              <w:marBottom w:val="0"/>
              <w:divBdr>
                <w:top w:val="none" w:sz="0" w:space="0" w:color="auto"/>
                <w:left w:val="none" w:sz="0" w:space="0" w:color="auto"/>
                <w:bottom w:val="none" w:sz="0" w:space="0" w:color="auto"/>
                <w:right w:val="none" w:sz="0" w:space="0" w:color="auto"/>
              </w:divBdr>
            </w:div>
          </w:divsChild>
        </w:div>
        <w:div w:id="1526556601">
          <w:marLeft w:val="0"/>
          <w:marRight w:val="0"/>
          <w:marTop w:val="0"/>
          <w:marBottom w:val="0"/>
          <w:divBdr>
            <w:top w:val="none" w:sz="0" w:space="0" w:color="auto"/>
            <w:left w:val="none" w:sz="0" w:space="0" w:color="auto"/>
            <w:bottom w:val="none" w:sz="0" w:space="0" w:color="auto"/>
            <w:right w:val="none" w:sz="0" w:space="0" w:color="auto"/>
          </w:divBdr>
          <w:divsChild>
            <w:div w:id="923491207">
              <w:marLeft w:val="0"/>
              <w:marRight w:val="0"/>
              <w:marTop w:val="0"/>
              <w:marBottom w:val="0"/>
              <w:divBdr>
                <w:top w:val="none" w:sz="0" w:space="0" w:color="auto"/>
                <w:left w:val="none" w:sz="0" w:space="0" w:color="auto"/>
                <w:bottom w:val="none" w:sz="0" w:space="0" w:color="auto"/>
                <w:right w:val="none" w:sz="0" w:space="0" w:color="auto"/>
              </w:divBdr>
            </w:div>
          </w:divsChild>
        </w:div>
        <w:div w:id="1530947476">
          <w:marLeft w:val="0"/>
          <w:marRight w:val="0"/>
          <w:marTop w:val="0"/>
          <w:marBottom w:val="0"/>
          <w:divBdr>
            <w:top w:val="none" w:sz="0" w:space="0" w:color="auto"/>
            <w:left w:val="none" w:sz="0" w:space="0" w:color="auto"/>
            <w:bottom w:val="none" w:sz="0" w:space="0" w:color="auto"/>
            <w:right w:val="none" w:sz="0" w:space="0" w:color="auto"/>
          </w:divBdr>
          <w:divsChild>
            <w:div w:id="1022971321">
              <w:marLeft w:val="0"/>
              <w:marRight w:val="0"/>
              <w:marTop w:val="0"/>
              <w:marBottom w:val="0"/>
              <w:divBdr>
                <w:top w:val="none" w:sz="0" w:space="0" w:color="auto"/>
                <w:left w:val="none" w:sz="0" w:space="0" w:color="auto"/>
                <w:bottom w:val="none" w:sz="0" w:space="0" w:color="auto"/>
                <w:right w:val="none" w:sz="0" w:space="0" w:color="auto"/>
              </w:divBdr>
            </w:div>
          </w:divsChild>
        </w:div>
        <w:div w:id="1539855079">
          <w:marLeft w:val="0"/>
          <w:marRight w:val="0"/>
          <w:marTop w:val="0"/>
          <w:marBottom w:val="0"/>
          <w:divBdr>
            <w:top w:val="none" w:sz="0" w:space="0" w:color="auto"/>
            <w:left w:val="none" w:sz="0" w:space="0" w:color="auto"/>
            <w:bottom w:val="none" w:sz="0" w:space="0" w:color="auto"/>
            <w:right w:val="none" w:sz="0" w:space="0" w:color="auto"/>
          </w:divBdr>
          <w:divsChild>
            <w:div w:id="938178390">
              <w:marLeft w:val="0"/>
              <w:marRight w:val="0"/>
              <w:marTop w:val="0"/>
              <w:marBottom w:val="0"/>
              <w:divBdr>
                <w:top w:val="none" w:sz="0" w:space="0" w:color="auto"/>
                <w:left w:val="none" w:sz="0" w:space="0" w:color="auto"/>
                <w:bottom w:val="none" w:sz="0" w:space="0" w:color="auto"/>
                <w:right w:val="none" w:sz="0" w:space="0" w:color="auto"/>
              </w:divBdr>
            </w:div>
          </w:divsChild>
        </w:div>
        <w:div w:id="1559394734">
          <w:marLeft w:val="0"/>
          <w:marRight w:val="0"/>
          <w:marTop w:val="0"/>
          <w:marBottom w:val="0"/>
          <w:divBdr>
            <w:top w:val="none" w:sz="0" w:space="0" w:color="auto"/>
            <w:left w:val="none" w:sz="0" w:space="0" w:color="auto"/>
            <w:bottom w:val="none" w:sz="0" w:space="0" w:color="auto"/>
            <w:right w:val="none" w:sz="0" w:space="0" w:color="auto"/>
          </w:divBdr>
          <w:divsChild>
            <w:div w:id="1327827854">
              <w:marLeft w:val="0"/>
              <w:marRight w:val="0"/>
              <w:marTop w:val="0"/>
              <w:marBottom w:val="0"/>
              <w:divBdr>
                <w:top w:val="none" w:sz="0" w:space="0" w:color="auto"/>
                <w:left w:val="none" w:sz="0" w:space="0" w:color="auto"/>
                <w:bottom w:val="none" w:sz="0" w:space="0" w:color="auto"/>
                <w:right w:val="none" w:sz="0" w:space="0" w:color="auto"/>
              </w:divBdr>
            </w:div>
          </w:divsChild>
        </w:div>
        <w:div w:id="1572427168">
          <w:marLeft w:val="0"/>
          <w:marRight w:val="0"/>
          <w:marTop w:val="0"/>
          <w:marBottom w:val="0"/>
          <w:divBdr>
            <w:top w:val="none" w:sz="0" w:space="0" w:color="auto"/>
            <w:left w:val="none" w:sz="0" w:space="0" w:color="auto"/>
            <w:bottom w:val="none" w:sz="0" w:space="0" w:color="auto"/>
            <w:right w:val="none" w:sz="0" w:space="0" w:color="auto"/>
          </w:divBdr>
          <w:divsChild>
            <w:div w:id="1331954103">
              <w:marLeft w:val="0"/>
              <w:marRight w:val="0"/>
              <w:marTop w:val="0"/>
              <w:marBottom w:val="0"/>
              <w:divBdr>
                <w:top w:val="none" w:sz="0" w:space="0" w:color="auto"/>
                <w:left w:val="none" w:sz="0" w:space="0" w:color="auto"/>
                <w:bottom w:val="none" w:sz="0" w:space="0" w:color="auto"/>
                <w:right w:val="none" w:sz="0" w:space="0" w:color="auto"/>
              </w:divBdr>
            </w:div>
          </w:divsChild>
        </w:div>
        <w:div w:id="1573272968">
          <w:marLeft w:val="0"/>
          <w:marRight w:val="0"/>
          <w:marTop w:val="0"/>
          <w:marBottom w:val="0"/>
          <w:divBdr>
            <w:top w:val="none" w:sz="0" w:space="0" w:color="auto"/>
            <w:left w:val="none" w:sz="0" w:space="0" w:color="auto"/>
            <w:bottom w:val="none" w:sz="0" w:space="0" w:color="auto"/>
            <w:right w:val="none" w:sz="0" w:space="0" w:color="auto"/>
          </w:divBdr>
          <w:divsChild>
            <w:div w:id="1267274505">
              <w:marLeft w:val="0"/>
              <w:marRight w:val="0"/>
              <w:marTop w:val="0"/>
              <w:marBottom w:val="0"/>
              <w:divBdr>
                <w:top w:val="none" w:sz="0" w:space="0" w:color="auto"/>
                <w:left w:val="none" w:sz="0" w:space="0" w:color="auto"/>
                <w:bottom w:val="none" w:sz="0" w:space="0" w:color="auto"/>
                <w:right w:val="none" w:sz="0" w:space="0" w:color="auto"/>
              </w:divBdr>
            </w:div>
          </w:divsChild>
        </w:div>
        <w:div w:id="1578827934">
          <w:marLeft w:val="0"/>
          <w:marRight w:val="0"/>
          <w:marTop w:val="0"/>
          <w:marBottom w:val="0"/>
          <w:divBdr>
            <w:top w:val="none" w:sz="0" w:space="0" w:color="auto"/>
            <w:left w:val="none" w:sz="0" w:space="0" w:color="auto"/>
            <w:bottom w:val="none" w:sz="0" w:space="0" w:color="auto"/>
            <w:right w:val="none" w:sz="0" w:space="0" w:color="auto"/>
          </w:divBdr>
          <w:divsChild>
            <w:div w:id="1990093200">
              <w:marLeft w:val="0"/>
              <w:marRight w:val="0"/>
              <w:marTop w:val="0"/>
              <w:marBottom w:val="0"/>
              <w:divBdr>
                <w:top w:val="none" w:sz="0" w:space="0" w:color="auto"/>
                <w:left w:val="none" w:sz="0" w:space="0" w:color="auto"/>
                <w:bottom w:val="none" w:sz="0" w:space="0" w:color="auto"/>
                <w:right w:val="none" w:sz="0" w:space="0" w:color="auto"/>
              </w:divBdr>
            </w:div>
          </w:divsChild>
        </w:div>
        <w:div w:id="1586106831">
          <w:marLeft w:val="0"/>
          <w:marRight w:val="0"/>
          <w:marTop w:val="0"/>
          <w:marBottom w:val="0"/>
          <w:divBdr>
            <w:top w:val="none" w:sz="0" w:space="0" w:color="auto"/>
            <w:left w:val="none" w:sz="0" w:space="0" w:color="auto"/>
            <w:bottom w:val="none" w:sz="0" w:space="0" w:color="auto"/>
            <w:right w:val="none" w:sz="0" w:space="0" w:color="auto"/>
          </w:divBdr>
          <w:divsChild>
            <w:div w:id="1525484153">
              <w:marLeft w:val="0"/>
              <w:marRight w:val="0"/>
              <w:marTop w:val="0"/>
              <w:marBottom w:val="0"/>
              <w:divBdr>
                <w:top w:val="none" w:sz="0" w:space="0" w:color="auto"/>
                <w:left w:val="none" w:sz="0" w:space="0" w:color="auto"/>
                <w:bottom w:val="none" w:sz="0" w:space="0" w:color="auto"/>
                <w:right w:val="none" w:sz="0" w:space="0" w:color="auto"/>
              </w:divBdr>
            </w:div>
          </w:divsChild>
        </w:div>
        <w:div w:id="1589728222">
          <w:marLeft w:val="0"/>
          <w:marRight w:val="0"/>
          <w:marTop w:val="0"/>
          <w:marBottom w:val="0"/>
          <w:divBdr>
            <w:top w:val="none" w:sz="0" w:space="0" w:color="auto"/>
            <w:left w:val="none" w:sz="0" w:space="0" w:color="auto"/>
            <w:bottom w:val="none" w:sz="0" w:space="0" w:color="auto"/>
            <w:right w:val="none" w:sz="0" w:space="0" w:color="auto"/>
          </w:divBdr>
          <w:divsChild>
            <w:div w:id="374669631">
              <w:marLeft w:val="0"/>
              <w:marRight w:val="0"/>
              <w:marTop w:val="0"/>
              <w:marBottom w:val="0"/>
              <w:divBdr>
                <w:top w:val="none" w:sz="0" w:space="0" w:color="auto"/>
                <w:left w:val="none" w:sz="0" w:space="0" w:color="auto"/>
                <w:bottom w:val="none" w:sz="0" w:space="0" w:color="auto"/>
                <w:right w:val="none" w:sz="0" w:space="0" w:color="auto"/>
              </w:divBdr>
            </w:div>
          </w:divsChild>
        </w:div>
        <w:div w:id="1605386022">
          <w:marLeft w:val="0"/>
          <w:marRight w:val="0"/>
          <w:marTop w:val="0"/>
          <w:marBottom w:val="0"/>
          <w:divBdr>
            <w:top w:val="none" w:sz="0" w:space="0" w:color="auto"/>
            <w:left w:val="none" w:sz="0" w:space="0" w:color="auto"/>
            <w:bottom w:val="none" w:sz="0" w:space="0" w:color="auto"/>
            <w:right w:val="none" w:sz="0" w:space="0" w:color="auto"/>
          </w:divBdr>
          <w:divsChild>
            <w:div w:id="2123852">
              <w:marLeft w:val="0"/>
              <w:marRight w:val="0"/>
              <w:marTop w:val="0"/>
              <w:marBottom w:val="0"/>
              <w:divBdr>
                <w:top w:val="none" w:sz="0" w:space="0" w:color="auto"/>
                <w:left w:val="none" w:sz="0" w:space="0" w:color="auto"/>
                <w:bottom w:val="none" w:sz="0" w:space="0" w:color="auto"/>
                <w:right w:val="none" w:sz="0" w:space="0" w:color="auto"/>
              </w:divBdr>
            </w:div>
          </w:divsChild>
        </w:div>
        <w:div w:id="1612392234">
          <w:marLeft w:val="0"/>
          <w:marRight w:val="0"/>
          <w:marTop w:val="0"/>
          <w:marBottom w:val="0"/>
          <w:divBdr>
            <w:top w:val="none" w:sz="0" w:space="0" w:color="auto"/>
            <w:left w:val="none" w:sz="0" w:space="0" w:color="auto"/>
            <w:bottom w:val="none" w:sz="0" w:space="0" w:color="auto"/>
            <w:right w:val="none" w:sz="0" w:space="0" w:color="auto"/>
          </w:divBdr>
          <w:divsChild>
            <w:div w:id="1934588492">
              <w:marLeft w:val="0"/>
              <w:marRight w:val="0"/>
              <w:marTop w:val="0"/>
              <w:marBottom w:val="0"/>
              <w:divBdr>
                <w:top w:val="none" w:sz="0" w:space="0" w:color="auto"/>
                <w:left w:val="none" w:sz="0" w:space="0" w:color="auto"/>
                <w:bottom w:val="none" w:sz="0" w:space="0" w:color="auto"/>
                <w:right w:val="none" w:sz="0" w:space="0" w:color="auto"/>
              </w:divBdr>
            </w:div>
          </w:divsChild>
        </w:div>
        <w:div w:id="1622567630">
          <w:marLeft w:val="0"/>
          <w:marRight w:val="0"/>
          <w:marTop w:val="0"/>
          <w:marBottom w:val="0"/>
          <w:divBdr>
            <w:top w:val="none" w:sz="0" w:space="0" w:color="auto"/>
            <w:left w:val="none" w:sz="0" w:space="0" w:color="auto"/>
            <w:bottom w:val="none" w:sz="0" w:space="0" w:color="auto"/>
            <w:right w:val="none" w:sz="0" w:space="0" w:color="auto"/>
          </w:divBdr>
          <w:divsChild>
            <w:div w:id="372001786">
              <w:marLeft w:val="0"/>
              <w:marRight w:val="0"/>
              <w:marTop w:val="0"/>
              <w:marBottom w:val="0"/>
              <w:divBdr>
                <w:top w:val="none" w:sz="0" w:space="0" w:color="auto"/>
                <w:left w:val="none" w:sz="0" w:space="0" w:color="auto"/>
                <w:bottom w:val="none" w:sz="0" w:space="0" w:color="auto"/>
                <w:right w:val="none" w:sz="0" w:space="0" w:color="auto"/>
              </w:divBdr>
            </w:div>
          </w:divsChild>
        </w:div>
        <w:div w:id="1630014054">
          <w:marLeft w:val="0"/>
          <w:marRight w:val="0"/>
          <w:marTop w:val="0"/>
          <w:marBottom w:val="0"/>
          <w:divBdr>
            <w:top w:val="none" w:sz="0" w:space="0" w:color="auto"/>
            <w:left w:val="none" w:sz="0" w:space="0" w:color="auto"/>
            <w:bottom w:val="none" w:sz="0" w:space="0" w:color="auto"/>
            <w:right w:val="none" w:sz="0" w:space="0" w:color="auto"/>
          </w:divBdr>
          <w:divsChild>
            <w:div w:id="823161983">
              <w:marLeft w:val="0"/>
              <w:marRight w:val="0"/>
              <w:marTop w:val="0"/>
              <w:marBottom w:val="0"/>
              <w:divBdr>
                <w:top w:val="none" w:sz="0" w:space="0" w:color="auto"/>
                <w:left w:val="none" w:sz="0" w:space="0" w:color="auto"/>
                <w:bottom w:val="none" w:sz="0" w:space="0" w:color="auto"/>
                <w:right w:val="none" w:sz="0" w:space="0" w:color="auto"/>
              </w:divBdr>
            </w:div>
          </w:divsChild>
        </w:div>
        <w:div w:id="1634824532">
          <w:marLeft w:val="0"/>
          <w:marRight w:val="0"/>
          <w:marTop w:val="0"/>
          <w:marBottom w:val="0"/>
          <w:divBdr>
            <w:top w:val="none" w:sz="0" w:space="0" w:color="auto"/>
            <w:left w:val="none" w:sz="0" w:space="0" w:color="auto"/>
            <w:bottom w:val="none" w:sz="0" w:space="0" w:color="auto"/>
            <w:right w:val="none" w:sz="0" w:space="0" w:color="auto"/>
          </w:divBdr>
          <w:divsChild>
            <w:div w:id="1280142012">
              <w:marLeft w:val="0"/>
              <w:marRight w:val="0"/>
              <w:marTop w:val="0"/>
              <w:marBottom w:val="0"/>
              <w:divBdr>
                <w:top w:val="none" w:sz="0" w:space="0" w:color="auto"/>
                <w:left w:val="none" w:sz="0" w:space="0" w:color="auto"/>
                <w:bottom w:val="none" w:sz="0" w:space="0" w:color="auto"/>
                <w:right w:val="none" w:sz="0" w:space="0" w:color="auto"/>
              </w:divBdr>
            </w:div>
          </w:divsChild>
        </w:div>
        <w:div w:id="1636831560">
          <w:marLeft w:val="0"/>
          <w:marRight w:val="0"/>
          <w:marTop w:val="0"/>
          <w:marBottom w:val="0"/>
          <w:divBdr>
            <w:top w:val="none" w:sz="0" w:space="0" w:color="auto"/>
            <w:left w:val="none" w:sz="0" w:space="0" w:color="auto"/>
            <w:bottom w:val="none" w:sz="0" w:space="0" w:color="auto"/>
            <w:right w:val="none" w:sz="0" w:space="0" w:color="auto"/>
          </w:divBdr>
          <w:divsChild>
            <w:div w:id="68313531">
              <w:marLeft w:val="0"/>
              <w:marRight w:val="0"/>
              <w:marTop w:val="0"/>
              <w:marBottom w:val="0"/>
              <w:divBdr>
                <w:top w:val="none" w:sz="0" w:space="0" w:color="auto"/>
                <w:left w:val="none" w:sz="0" w:space="0" w:color="auto"/>
                <w:bottom w:val="none" w:sz="0" w:space="0" w:color="auto"/>
                <w:right w:val="none" w:sz="0" w:space="0" w:color="auto"/>
              </w:divBdr>
            </w:div>
          </w:divsChild>
        </w:div>
        <w:div w:id="1640302487">
          <w:marLeft w:val="0"/>
          <w:marRight w:val="0"/>
          <w:marTop w:val="0"/>
          <w:marBottom w:val="0"/>
          <w:divBdr>
            <w:top w:val="none" w:sz="0" w:space="0" w:color="auto"/>
            <w:left w:val="none" w:sz="0" w:space="0" w:color="auto"/>
            <w:bottom w:val="none" w:sz="0" w:space="0" w:color="auto"/>
            <w:right w:val="none" w:sz="0" w:space="0" w:color="auto"/>
          </w:divBdr>
          <w:divsChild>
            <w:div w:id="259260932">
              <w:marLeft w:val="0"/>
              <w:marRight w:val="0"/>
              <w:marTop w:val="0"/>
              <w:marBottom w:val="0"/>
              <w:divBdr>
                <w:top w:val="none" w:sz="0" w:space="0" w:color="auto"/>
                <w:left w:val="none" w:sz="0" w:space="0" w:color="auto"/>
                <w:bottom w:val="none" w:sz="0" w:space="0" w:color="auto"/>
                <w:right w:val="none" w:sz="0" w:space="0" w:color="auto"/>
              </w:divBdr>
            </w:div>
          </w:divsChild>
        </w:div>
        <w:div w:id="1645431805">
          <w:marLeft w:val="0"/>
          <w:marRight w:val="0"/>
          <w:marTop w:val="0"/>
          <w:marBottom w:val="0"/>
          <w:divBdr>
            <w:top w:val="none" w:sz="0" w:space="0" w:color="auto"/>
            <w:left w:val="none" w:sz="0" w:space="0" w:color="auto"/>
            <w:bottom w:val="none" w:sz="0" w:space="0" w:color="auto"/>
            <w:right w:val="none" w:sz="0" w:space="0" w:color="auto"/>
          </w:divBdr>
          <w:divsChild>
            <w:div w:id="359355257">
              <w:marLeft w:val="0"/>
              <w:marRight w:val="0"/>
              <w:marTop w:val="0"/>
              <w:marBottom w:val="0"/>
              <w:divBdr>
                <w:top w:val="none" w:sz="0" w:space="0" w:color="auto"/>
                <w:left w:val="none" w:sz="0" w:space="0" w:color="auto"/>
                <w:bottom w:val="none" w:sz="0" w:space="0" w:color="auto"/>
                <w:right w:val="none" w:sz="0" w:space="0" w:color="auto"/>
              </w:divBdr>
            </w:div>
          </w:divsChild>
        </w:div>
        <w:div w:id="1648365342">
          <w:marLeft w:val="0"/>
          <w:marRight w:val="0"/>
          <w:marTop w:val="0"/>
          <w:marBottom w:val="0"/>
          <w:divBdr>
            <w:top w:val="none" w:sz="0" w:space="0" w:color="auto"/>
            <w:left w:val="none" w:sz="0" w:space="0" w:color="auto"/>
            <w:bottom w:val="none" w:sz="0" w:space="0" w:color="auto"/>
            <w:right w:val="none" w:sz="0" w:space="0" w:color="auto"/>
          </w:divBdr>
          <w:divsChild>
            <w:div w:id="406651753">
              <w:marLeft w:val="0"/>
              <w:marRight w:val="0"/>
              <w:marTop w:val="0"/>
              <w:marBottom w:val="0"/>
              <w:divBdr>
                <w:top w:val="none" w:sz="0" w:space="0" w:color="auto"/>
                <w:left w:val="none" w:sz="0" w:space="0" w:color="auto"/>
                <w:bottom w:val="none" w:sz="0" w:space="0" w:color="auto"/>
                <w:right w:val="none" w:sz="0" w:space="0" w:color="auto"/>
              </w:divBdr>
            </w:div>
          </w:divsChild>
        </w:div>
        <w:div w:id="1655179518">
          <w:marLeft w:val="0"/>
          <w:marRight w:val="0"/>
          <w:marTop w:val="0"/>
          <w:marBottom w:val="0"/>
          <w:divBdr>
            <w:top w:val="none" w:sz="0" w:space="0" w:color="auto"/>
            <w:left w:val="none" w:sz="0" w:space="0" w:color="auto"/>
            <w:bottom w:val="none" w:sz="0" w:space="0" w:color="auto"/>
            <w:right w:val="none" w:sz="0" w:space="0" w:color="auto"/>
          </w:divBdr>
          <w:divsChild>
            <w:div w:id="135345759">
              <w:marLeft w:val="0"/>
              <w:marRight w:val="0"/>
              <w:marTop w:val="0"/>
              <w:marBottom w:val="0"/>
              <w:divBdr>
                <w:top w:val="none" w:sz="0" w:space="0" w:color="auto"/>
                <w:left w:val="none" w:sz="0" w:space="0" w:color="auto"/>
                <w:bottom w:val="none" w:sz="0" w:space="0" w:color="auto"/>
                <w:right w:val="none" w:sz="0" w:space="0" w:color="auto"/>
              </w:divBdr>
            </w:div>
          </w:divsChild>
        </w:div>
        <w:div w:id="1669018711">
          <w:marLeft w:val="0"/>
          <w:marRight w:val="0"/>
          <w:marTop w:val="0"/>
          <w:marBottom w:val="0"/>
          <w:divBdr>
            <w:top w:val="none" w:sz="0" w:space="0" w:color="auto"/>
            <w:left w:val="none" w:sz="0" w:space="0" w:color="auto"/>
            <w:bottom w:val="none" w:sz="0" w:space="0" w:color="auto"/>
            <w:right w:val="none" w:sz="0" w:space="0" w:color="auto"/>
          </w:divBdr>
          <w:divsChild>
            <w:div w:id="1464998833">
              <w:marLeft w:val="0"/>
              <w:marRight w:val="0"/>
              <w:marTop w:val="0"/>
              <w:marBottom w:val="0"/>
              <w:divBdr>
                <w:top w:val="none" w:sz="0" w:space="0" w:color="auto"/>
                <w:left w:val="none" w:sz="0" w:space="0" w:color="auto"/>
                <w:bottom w:val="none" w:sz="0" w:space="0" w:color="auto"/>
                <w:right w:val="none" w:sz="0" w:space="0" w:color="auto"/>
              </w:divBdr>
            </w:div>
          </w:divsChild>
        </w:div>
        <w:div w:id="1724715059">
          <w:marLeft w:val="0"/>
          <w:marRight w:val="0"/>
          <w:marTop w:val="0"/>
          <w:marBottom w:val="0"/>
          <w:divBdr>
            <w:top w:val="none" w:sz="0" w:space="0" w:color="auto"/>
            <w:left w:val="none" w:sz="0" w:space="0" w:color="auto"/>
            <w:bottom w:val="none" w:sz="0" w:space="0" w:color="auto"/>
            <w:right w:val="none" w:sz="0" w:space="0" w:color="auto"/>
          </w:divBdr>
          <w:divsChild>
            <w:div w:id="702557607">
              <w:marLeft w:val="0"/>
              <w:marRight w:val="0"/>
              <w:marTop w:val="0"/>
              <w:marBottom w:val="0"/>
              <w:divBdr>
                <w:top w:val="none" w:sz="0" w:space="0" w:color="auto"/>
                <w:left w:val="none" w:sz="0" w:space="0" w:color="auto"/>
                <w:bottom w:val="none" w:sz="0" w:space="0" w:color="auto"/>
                <w:right w:val="none" w:sz="0" w:space="0" w:color="auto"/>
              </w:divBdr>
            </w:div>
          </w:divsChild>
        </w:div>
        <w:div w:id="1735347624">
          <w:marLeft w:val="0"/>
          <w:marRight w:val="0"/>
          <w:marTop w:val="0"/>
          <w:marBottom w:val="0"/>
          <w:divBdr>
            <w:top w:val="none" w:sz="0" w:space="0" w:color="auto"/>
            <w:left w:val="none" w:sz="0" w:space="0" w:color="auto"/>
            <w:bottom w:val="none" w:sz="0" w:space="0" w:color="auto"/>
            <w:right w:val="none" w:sz="0" w:space="0" w:color="auto"/>
          </w:divBdr>
          <w:divsChild>
            <w:div w:id="486091855">
              <w:marLeft w:val="0"/>
              <w:marRight w:val="0"/>
              <w:marTop w:val="0"/>
              <w:marBottom w:val="0"/>
              <w:divBdr>
                <w:top w:val="none" w:sz="0" w:space="0" w:color="auto"/>
                <w:left w:val="none" w:sz="0" w:space="0" w:color="auto"/>
                <w:bottom w:val="none" w:sz="0" w:space="0" w:color="auto"/>
                <w:right w:val="none" w:sz="0" w:space="0" w:color="auto"/>
              </w:divBdr>
            </w:div>
          </w:divsChild>
        </w:div>
        <w:div w:id="1737704460">
          <w:marLeft w:val="0"/>
          <w:marRight w:val="0"/>
          <w:marTop w:val="0"/>
          <w:marBottom w:val="0"/>
          <w:divBdr>
            <w:top w:val="none" w:sz="0" w:space="0" w:color="auto"/>
            <w:left w:val="none" w:sz="0" w:space="0" w:color="auto"/>
            <w:bottom w:val="none" w:sz="0" w:space="0" w:color="auto"/>
            <w:right w:val="none" w:sz="0" w:space="0" w:color="auto"/>
          </w:divBdr>
          <w:divsChild>
            <w:div w:id="49037769">
              <w:marLeft w:val="0"/>
              <w:marRight w:val="0"/>
              <w:marTop w:val="0"/>
              <w:marBottom w:val="0"/>
              <w:divBdr>
                <w:top w:val="none" w:sz="0" w:space="0" w:color="auto"/>
                <w:left w:val="none" w:sz="0" w:space="0" w:color="auto"/>
                <w:bottom w:val="none" w:sz="0" w:space="0" w:color="auto"/>
                <w:right w:val="none" w:sz="0" w:space="0" w:color="auto"/>
              </w:divBdr>
            </w:div>
          </w:divsChild>
        </w:div>
        <w:div w:id="1743526482">
          <w:marLeft w:val="0"/>
          <w:marRight w:val="0"/>
          <w:marTop w:val="0"/>
          <w:marBottom w:val="0"/>
          <w:divBdr>
            <w:top w:val="none" w:sz="0" w:space="0" w:color="auto"/>
            <w:left w:val="none" w:sz="0" w:space="0" w:color="auto"/>
            <w:bottom w:val="none" w:sz="0" w:space="0" w:color="auto"/>
            <w:right w:val="none" w:sz="0" w:space="0" w:color="auto"/>
          </w:divBdr>
          <w:divsChild>
            <w:div w:id="2014140191">
              <w:marLeft w:val="0"/>
              <w:marRight w:val="0"/>
              <w:marTop w:val="0"/>
              <w:marBottom w:val="0"/>
              <w:divBdr>
                <w:top w:val="none" w:sz="0" w:space="0" w:color="auto"/>
                <w:left w:val="none" w:sz="0" w:space="0" w:color="auto"/>
                <w:bottom w:val="none" w:sz="0" w:space="0" w:color="auto"/>
                <w:right w:val="none" w:sz="0" w:space="0" w:color="auto"/>
              </w:divBdr>
            </w:div>
          </w:divsChild>
        </w:div>
        <w:div w:id="1750618267">
          <w:marLeft w:val="0"/>
          <w:marRight w:val="0"/>
          <w:marTop w:val="0"/>
          <w:marBottom w:val="0"/>
          <w:divBdr>
            <w:top w:val="none" w:sz="0" w:space="0" w:color="auto"/>
            <w:left w:val="none" w:sz="0" w:space="0" w:color="auto"/>
            <w:bottom w:val="none" w:sz="0" w:space="0" w:color="auto"/>
            <w:right w:val="none" w:sz="0" w:space="0" w:color="auto"/>
          </w:divBdr>
          <w:divsChild>
            <w:div w:id="1352293705">
              <w:marLeft w:val="0"/>
              <w:marRight w:val="0"/>
              <w:marTop w:val="0"/>
              <w:marBottom w:val="0"/>
              <w:divBdr>
                <w:top w:val="none" w:sz="0" w:space="0" w:color="auto"/>
                <w:left w:val="none" w:sz="0" w:space="0" w:color="auto"/>
                <w:bottom w:val="none" w:sz="0" w:space="0" w:color="auto"/>
                <w:right w:val="none" w:sz="0" w:space="0" w:color="auto"/>
              </w:divBdr>
            </w:div>
          </w:divsChild>
        </w:div>
        <w:div w:id="1761953076">
          <w:marLeft w:val="0"/>
          <w:marRight w:val="0"/>
          <w:marTop w:val="0"/>
          <w:marBottom w:val="0"/>
          <w:divBdr>
            <w:top w:val="none" w:sz="0" w:space="0" w:color="auto"/>
            <w:left w:val="none" w:sz="0" w:space="0" w:color="auto"/>
            <w:bottom w:val="none" w:sz="0" w:space="0" w:color="auto"/>
            <w:right w:val="none" w:sz="0" w:space="0" w:color="auto"/>
          </w:divBdr>
          <w:divsChild>
            <w:div w:id="1444306960">
              <w:marLeft w:val="0"/>
              <w:marRight w:val="0"/>
              <w:marTop w:val="0"/>
              <w:marBottom w:val="0"/>
              <w:divBdr>
                <w:top w:val="none" w:sz="0" w:space="0" w:color="auto"/>
                <w:left w:val="none" w:sz="0" w:space="0" w:color="auto"/>
                <w:bottom w:val="none" w:sz="0" w:space="0" w:color="auto"/>
                <w:right w:val="none" w:sz="0" w:space="0" w:color="auto"/>
              </w:divBdr>
            </w:div>
          </w:divsChild>
        </w:div>
        <w:div w:id="1784571969">
          <w:marLeft w:val="0"/>
          <w:marRight w:val="0"/>
          <w:marTop w:val="0"/>
          <w:marBottom w:val="0"/>
          <w:divBdr>
            <w:top w:val="none" w:sz="0" w:space="0" w:color="auto"/>
            <w:left w:val="none" w:sz="0" w:space="0" w:color="auto"/>
            <w:bottom w:val="none" w:sz="0" w:space="0" w:color="auto"/>
            <w:right w:val="none" w:sz="0" w:space="0" w:color="auto"/>
          </w:divBdr>
          <w:divsChild>
            <w:div w:id="1747612266">
              <w:marLeft w:val="0"/>
              <w:marRight w:val="0"/>
              <w:marTop w:val="0"/>
              <w:marBottom w:val="0"/>
              <w:divBdr>
                <w:top w:val="none" w:sz="0" w:space="0" w:color="auto"/>
                <w:left w:val="none" w:sz="0" w:space="0" w:color="auto"/>
                <w:bottom w:val="none" w:sz="0" w:space="0" w:color="auto"/>
                <w:right w:val="none" w:sz="0" w:space="0" w:color="auto"/>
              </w:divBdr>
            </w:div>
          </w:divsChild>
        </w:div>
        <w:div w:id="1790852065">
          <w:marLeft w:val="0"/>
          <w:marRight w:val="0"/>
          <w:marTop w:val="0"/>
          <w:marBottom w:val="0"/>
          <w:divBdr>
            <w:top w:val="none" w:sz="0" w:space="0" w:color="auto"/>
            <w:left w:val="none" w:sz="0" w:space="0" w:color="auto"/>
            <w:bottom w:val="none" w:sz="0" w:space="0" w:color="auto"/>
            <w:right w:val="none" w:sz="0" w:space="0" w:color="auto"/>
          </w:divBdr>
          <w:divsChild>
            <w:div w:id="1956714837">
              <w:marLeft w:val="0"/>
              <w:marRight w:val="0"/>
              <w:marTop w:val="0"/>
              <w:marBottom w:val="0"/>
              <w:divBdr>
                <w:top w:val="none" w:sz="0" w:space="0" w:color="auto"/>
                <w:left w:val="none" w:sz="0" w:space="0" w:color="auto"/>
                <w:bottom w:val="none" w:sz="0" w:space="0" w:color="auto"/>
                <w:right w:val="none" w:sz="0" w:space="0" w:color="auto"/>
              </w:divBdr>
            </w:div>
          </w:divsChild>
        </w:div>
        <w:div w:id="1818107844">
          <w:marLeft w:val="0"/>
          <w:marRight w:val="0"/>
          <w:marTop w:val="0"/>
          <w:marBottom w:val="0"/>
          <w:divBdr>
            <w:top w:val="none" w:sz="0" w:space="0" w:color="auto"/>
            <w:left w:val="none" w:sz="0" w:space="0" w:color="auto"/>
            <w:bottom w:val="none" w:sz="0" w:space="0" w:color="auto"/>
            <w:right w:val="none" w:sz="0" w:space="0" w:color="auto"/>
          </w:divBdr>
          <w:divsChild>
            <w:div w:id="1446391047">
              <w:marLeft w:val="0"/>
              <w:marRight w:val="0"/>
              <w:marTop w:val="0"/>
              <w:marBottom w:val="0"/>
              <w:divBdr>
                <w:top w:val="none" w:sz="0" w:space="0" w:color="auto"/>
                <w:left w:val="none" w:sz="0" w:space="0" w:color="auto"/>
                <w:bottom w:val="none" w:sz="0" w:space="0" w:color="auto"/>
                <w:right w:val="none" w:sz="0" w:space="0" w:color="auto"/>
              </w:divBdr>
            </w:div>
          </w:divsChild>
        </w:div>
        <w:div w:id="1818111287">
          <w:marLeft w:val="0"/>
          <w:marRight w:val="0"/>
          <w:marTop w:val="0"/>
          <w:marBottom w:val="0"/>
          <w:divBdr>
            <w:top w:val="none" w:sz="0" w:space="0" w:color="auto"/>
            <w:left w:val="none" w:sz="0" w:space="0" w:color="auto"/>
            <w:bottom w:val="none" w:sz="0" w:space="0" w:color="auto"/>
            <w:right w:val="none" w:sz="0" w:space="0" w:color="auto"/>
          </w:divBdr>
          <w:divsChild>
            <w:div w:id="816185971">
              <w:marLeft w:val="0"/>
              <w:marRight w:val="0"/>
              <w:marTop w:val="0"/>
              <w:marBottom w:val="0"/>
              <w:divBdr>
                <w:top w:val="none" w:sz="0" w:space="0" w:color="auto"/>
                <w:left w:val="none" w:sz="0" w:space="0" w:color="auto"/>
                <w:bottom w:val="none" w:sz="0" w:space="0" w:color="auto"/>
                <w:right w:val="none" w:sz="0" w:space="0" w:color="auto"/>
              </w:divBdr>
            </w:div>
          </w:divsChild>
        </w:div>
        <w:div w:id="1818298609">
          <w:marLeft w:val="0"/>
          <w:marRight w:val="0"/>
          <w:marTop w:val="0"/>
          <w:marBottom w:val="0"/>
          <w:divBdr>
            <w:top w:val="none" w:sz="0" w:space="0" w:color="auto"/>
            <w:left w:val="none" w:sz="0" w:space="0" w:color="auto"/>
            <w:bottom w:val="none" w:sz="0" w:space="0" w:color="auto"/>
            <w:right w:val="none" w:sz="0" w:space="0" w:color="auto"/>
          </w:divBdr>
          <w:divsChild>
            <w:div w:id="255484994">
              <w:marLeft w:val="0"/>
              <w:marRight w:val="0"/>
              <w:marTop w:val="0"/>
              <w:marBottom w:val="0"/>
              <w:divBdr>
                <w:top w:val="none" w:sz="0" w:space="0" w:color="auto"/>
                <w:left w:val="none" w:sz="0" w:space="0" w:color="auto"/>
                <w:bottom w:val="none" w:sz="0" w:space="0" w:color="auto"/>
                <w:right w:val="none" w:sz="0" w:space="0" w:color="auto"/>
              </w:divBdr>
            </w:div>
          </w:divsChild>
        </w:div>
        <w:div w:id="1818574824">
          <w:marLeft w:val="0"/>
          <w:marRight w:val="0"/>
          <w:marTop w:val="0"/>
          <w:marBottom w:val="0"/>
          <w:divBdr>
            <w:top w:val="none" w:sz="0" w:space="0" w:color="auto"/>
            <w:left w:val="none" w:sz="0" w:space="0" w:color="auto"/>
            <w:bottom w:val="none" w:sz="0" w:space="0" w:color="auto"/>
            <w:right w:val="none" w:sz="0" w:space="0" w:color="auto"/>
          </w:divBdr>
          <w:divsChild>
            <w:div w:id="415134237">
              <w:marLeft w:val="0"/>
              <w:marRight w:val="0"/>
              <w:marTop w:val="0"/>
              <w:marBottom w:val="0"/>
              <w:divBdr>
                <w:top w:val="none" w:sz="0" w:space="0" w:color="auto"/>
                <w:left w:val="none" w:sz="0" w:space="0" w:color="auto"/>
                <w:bottom w:val="none" w:sz="0" w:space="0" w:color="auto"/>
                <w:right w:val="none" w:sz="0" w:space="0" w:color="auto"/>
              </w:divBdr>
            </w:div>
          </w:divsChild>
        </w:div>
        <w:div w:id="1830169410">
          <w:marLeft w:val="0"/>
          <w:marRight w:val="0"/>
          <w:marTop w:val="0"/>
          <w:marBottom w:val="0"/>
          <w:divBdr>
            <w:top w:val="none" w:sz="0" w:space="0" w:color="auto"/>
            <w:left w:val="none" w:sz="0" w:space="0" w:color="auto"/>
            <w:bottom w:val="none" w:sz="0" w:space="0" w:color="auto"/>
            <w:right w:val="none" w:sz="0" w:space="0" w:color="auto"/>
          </w:divBdr>
          <w:divsChild>
            <w:div w:id="275870604">
              <w:marLeft w:val="0"/>
              <w:marRight w:val="0"/>
              <w:marTop w:val="0"/>
              <w:marBottom w:val="0"/>
              <w:divBdr>
                <w:top w:val="none" w:sz="0" w:space="0" w:color="auto"/>
                <w:left w:val="none" w:sz="0" w:space="0" w:color="auto"/>
                <w:bottom w:val="none" w:sz="0" w:space="0" w:color="auto"/>
                <w:right w:val="none" w:sz="0" w:space="0" w:color="auto"/>
              </w:divBdr>
            </w:div>
          </w:divsChild>
        </w:div>
        <w:div w:id="1835218884">
          <w:marLeft w:val="0"/>
          <w:marRight w:val="0"/>
          <w:marTop w:val="0"/>
          <w:marBottom w:val="0"/>
          <w:divBdr>
            <w:top w:val="none" w:sz="0" w:space="0" w:color="auto"/>
            <w:left w:val="none" w:sz="0" w:space="0" w:color="auto"/>
            <w:bottom w:val="none" w:sz="0" w:space="0" w:color="auto"/>
            <w:right w:val="none" w:sz="0" w:space="0" w:color="auto"/>
          </w:divBdr>
          <w:divsChild>
            <w:div w:id="753667172">
              <w:marLeft w:val="0"/>
              <w:marRight w:val="0"/>
              <w:marTop w:val="0"/>
              <w:marBottom w:val="0"/>
              <w:divBdr>
                <w:top w:val="none" w:sz="0" w:space="0" w:color="auto"/>
                <w:left w:val="none" w:sz="0" w:space="0" w:color="auto"/>
                <w:bottom w:val="none" w:sz="0" w:space="0" w:color="auto"/>
                <w:right w:val="none" w:sz="0" w:space="0" w:color="auto"/>
              </w:divBdr>
            </w:div>
          </w:divsChild>
        </w:div>
        <w:div w:id="1835532850">
          <w:marLeft w:val="0"/>
          <w:marRight w:val="0"/>
          <w:marTop w:val="0"/>
          <w:marBottom w:val="0"/>
          <w:divBdr>
            <w:top w:val="none" w:sz="0" w:space="0" w:color="auto"/>
            <w:left w:val="none" w:sz="0" w:space="0" w:color="auto"/>
            <w:bottom w:val="none" w:sz="0" w:space="0" w:color="auto"/>
            <w:right w:val="none" w:sz="0" w:space="0" w:color="auto"/>
          </w:divBdr>
          <w:divsChild>
            <w:div w:id="925309009">
              <w:marLeft w:val="0"/>
              <w:marRight w:val="0"/>
              <w:marTop w:val="0"/>
              <w:marBottom w:val="0"/>
              <w:divBdr>
                <w:top w:val="none" w:sz="0" w:space="0" w:color="auto"/>
                <w:left w:val="none" w:sz="0" w:space="0" w:color="auto"/>
                <w:bottom w:val="none" w:sz="0" w:space="0" w:color="auto"/>
                <w:right w:val="none" w:sz="0" w:space="0" w:color="auto"/>
              </w:divBdr>
            </w:div>
          </w:divsChild>
        </w:div>
        <w:div w:id="1851021376">
          <w:marLeft w:val="0"/>
          <w:marRight w:val="0"/>
          <w:marTop w:val="0"/>
          <w:marBottom w:val="0"/>
          <w:divBdr>
            <w:top w:val="none" w:sz="0" w:space="0" w:color="auto"/>
            <w:left w:val="none" w:sz="0" w:space="0" w:color="auto"/>
            <w:bottom w:val="none" w:sz="0" w:space="0" w:color="auto"/>
            <w:right w:val="none" w:sz="0" w:space="0" w:color="auto"/>
          </w:divBdr>
          <w:divsChild>
            <w:div w:id="687173960">
              <w:marLeft w:val="0"/>
              <w:marRight w:val="0"/>
              <w:marTop w:val="0"/>
              <w:marBottom w:val="0"/>
              <w:divBdr>
                <w:top w:val="none" w:sz="0" w:space="0" w:color="auto"/>
                <w:left w:val="none" w:sz="0" w:space="0" w:color="auto"/>
                <w:bottom w:val="none" w:sz="0" w:space="0" w:color="auto"/>
                <w:right w:val="none" w:sz="0" w:space="0" w:color="auto"/>
              </w:divBdr>
            </w:div>
          </w:divsChild>
        </w:div>
        <w:div w:id="1892572461">
          <w:marLeft w:val="0"/>
          <w:marRight w:val="0"/>
          <w:marTop w:val="0"/>
          <w:marBottom w:val="0"/>
          <w:divBdr>
            <w:top w:val="none" w:sz="0" w:space="0" w:color="auto"/>
            <w:left w:val="none" w:sz="0" w:space="0" w:color="auto"/>
            <w:bottom w:val="none" w:sz="0" w:space="0" w:color="auto"/>
            <w:right w:val="none" w:sz="0" w:space="0" w:color="auto"/>
          </w:divBdr>
          <w:divsChild>
            <w:div w:id="2048985158">
              <w:marLeft w:val="0"/>
              <w:marRight w:val="0"/>
              <w:marTop w:val="0"/>
              <w:marBottom w:val="0"/>
              <w:divBdr>
                <w:top w:val="none" w:sz="0" w:space="0" w:color="auto"/>
                <w:left w:val="none" w:sz="0" w:space="0" w:color="auto"/>
                <w:bottom w:val="none" w:sz="0" w:space="0" w:color="auto"/>
                <w:right w:val="none" w:sz="0" w:space="0" w:color="auto"/>
              </w:divBdr>
            </w:div>
          </w:divsChild>
        </w:div>
        <w:div w:id="1898082017">
          <w:marLeft w:val="0"/>
          <w:marRight w:val="0"/>
          <w:marTop w:val="0"/>
          <w:marBottom w:val="0"/>
          <w:divBdr>
            <w:top w:val="none" w:sz="0" w:space="0" w:color="auto"/>
            <w:left w:val="none" w:sz="0" w:space="0" w:color="auto"/>
            <w:bottom w:val="none" w:sz="0" w:space="0" w:color="auto"/>
            <w:right w:val="none" w:sz="0" w:space="0" w:color="auto"/>
          </w:divBdr>
          <w:divsChild>
            <w:div w:id="478544395">
              <w:marLeft w:val="0"/>
              <w:marRight w:val="0"/>
              <w:marTop w:val="0"/>
              <w:marBottom w:val="0"/>
              <w:divBdr>
                <w:top w:val="none" w:sz="0" w:space="0" w:color="auto"/>
                <w:left w:val="none" w:sz="0" w:space="0" w:color="auto"/>
                <w:bottom w:val="none" w:sz="0" w:space="0" w:color="auto"/>
                <w:right w:val="none" w:sz="0" w:space="0" w:color="auto"/>
              </w:divBdr>
            </w:div>
          </w:divsChild>
        </w:div>
        <w:div w:id="1910339205">
          <w:marLeft w:val="0"/>
          <w:marRight w:val="0"/>
          <w:marTop w:val="0"/>
          <w:marBottom w:val="0"/>
          <w:divBdr>
            <w:top w:val="none" w:sz="0" w:space="0" w:color="auto"/>
            <w:left w:val="none" w:sz="0" w:space="0" w:color="auto"/>
            <w:bottom w:val="none" w:sz="0" w:space="0" w:color="auto"/>
            <w:right w:val="none" w:sz="0" w:space="0" w:color="auto"/>
          </w:divBdr>
          <w:divsChild>
            <w:div w:id="28990593">
              <w:marLeft w:val="0"/>
              <w:marRight w:val="0"/>
              <w:marTop w:val="0"/>
              <w:marBottom w:val="0"/>
              <w:divBdr>
                <w:top w:val="none" w:sz="0" w:space="0" w:color="auto"/>
                <w:left w:val="none" w:sz="0" w:space="0" w:color="auto"/>
                <w:bottom w:val="none" w:sz="0" w:space="0" w:color="auto"/>
                <w:right w:val="none" w:sz="0" w:space="0" w:color="auto"/>
              </w:divBdr>
            </w:div>
          </w:divsChild>
        </w:div>
        <w:div w:id="1915163374">
          <w:marLeft w:val="0"/>
          <w:marRight w:val="0"/>
          <w:marTop w:val="0"/>
          <w:marBottom w:val="0"/>
          <w:divBdr>
            <w:top w:val="none" w:sz="0" w:space="0" w:color="auto"/>
            <w:left w:val="none" w:sz="0" w:space="0" w:color="auto"/>
            <w:bottom w:val="none" w:sz="0" w:space="0" w:color="auto"/>
            <w:right w:val="none" w:sz="0" w:space="0" w:color="auto"/>
          </w:divBdr>
          <w:divsChild>
            <w:div w:id="90708693">
              <w:marLeft w:val="0"/>
              <w:marRight w:val="0"/>
              <w:marTop w:val="0"/>
              <w:marBottom w:val="0"/>
              <w:divBdr>
                <w:top w:val="none" w:sz="0" w:space="0" w:color="auto"/>
                <w:left w:val="none" w:sz="0" w:space="0" w:color="auto"/>
                <w:bottom w:val="none" w:sz="0" w:space="0" w:color="auto"/>
                <w:right w:val="none" w:sz="0" w:space="0" w:color="auto"/>
              </w:divBdr>
            </w:div>
          </w:divsChild>
        </w:div>
        <w:div w:id="1916472192">
          <w:marLeft w:val="0"/>
          <w:marRight w:val="0"/>
          <w:marTop w:val="0"/>
          <w:marBottom w:val="0"/>
          <w:divBdr>
            <w:top w:val="none" w:sz="0" w:space="0" w:color="auto"/>
            <w:left w:val="none" w:sz="0" w:space="0" w:color="auto"/>
            <w:bottom w:val="none" w:sz="0" w:space="0" w:color="auto"/>
            <w:right w:val="none" w:sz="0" w:space="0" w:color="auto"/>
          </w:divBdr>
          <w:divsChild>
            <w:div w:id="1109085406">
              <w:marLeft w:val="0"/>
              <w:marRight w:val="0"/>
              <w:marTop w:val="0"/>
              <w:marBottom w:val="0"/>
              <w:divBdr>
                <w:top w:val="none" w:sz="0" w:space="0" w:color="auto"/>
                <w:left w:val="none" w:sz="0" w:space="0" w:color="auto"/>
                <w:bottom w:val="none" w:sz="0" w:space="0" w:color="auto"/>
                <w:right w:val="none" w:sz="0" w:space="0" w:color="auto"/>
              </w:divBdr>
            </w:div>
          </w:divsChild>
        </w:div>
        <w:div w:id="1918515678">
          <w:marLeft w:val="0"/>
          <w:marRight w:val="0"/>
          <w:marTop w:val="0"/>
          <w:marBottom w:val="0"/>
          <w:divBdr>
            <w:top w:val="none" w:sz="0" w:space="0" w:color="auto"/>
            <w:left w:val="none" w:sz="0" w:space="0" w:color="auto"/>
            <w:bottom w:val="none" w:sz="0" w:space="0" w:color="auto"/>
            <w:right w:val="none" w:sz="0" w:space="0" w:color="auto"/>
          </w:divBdr>
          <w:divsChild>
            <w:div w:id="1791974623">
              <w:marLeft w:val="0"/>
              <w:marRight w:val="0"/>
              <w:marTop w:val="0"/>
              <w:marBottom w:val="0"/>
              <w:divBdr>
                <w:top w:val="none" w:sz="0" w:space="0" w:color="auto"/>
                <w:left w:val="none" w:sz="0" w:space="0" w:color="auto"/>
                <w:bottom w:val="none" w:sz="0" w:space="0" w:color="auto"/>
                <w:right w:val="none" w:sz="0" w:space="0" w:color="auto"/>
              </w:divBdr>
            </w:div>
          </w:divsChild>
        </w:div>
        <w:div w:id="1935093574">
          <w:marLeft w:val="0"/>
          <w:marRight w:val="0"/>
          <w:marTop w:val="0"/>
          <w:marBottom w:val="0"/>
          <w:divBdr>
            <w:top w:val="none" w:sz="0" w:space="0" w:color="auto"/>
            <w:left w:val="none" w:sz="0" w:space="0" w:color="auto"/>
            <w:bottom w:val="none" w:sz="0" w:space="0" w:color="auto"/>
            <w:right w:val="none" w:sz="0" w:space="0" w:color="auto"/>
          </w:divBdr>
          <w:divsChild>
            <w:div w:id="943612754">
              <w:marLeft w:val="0"/>
              <w:marRight w:val="0"/>
              <w:marTop w:val="0"/>
              <w:marBottom w:val="0"/>
              <w:divBdr>
                <w:top w:val="none" w:sz="0" w:space="0" w:color="auto"/>
                <w:left w:val="none" w:sz="0" w:space="0" w:color="auto"/>
                <w:bottom w:val="none" w:sz="0" w:space="0" w:color="auto"/>
                <w:right w:val="none" w:sz="0" w:space="0" w:color="auto"/>
              </w:divBdr>
            </w:div>
          </w:divsChild>
        </w:div>
        <w:div w:id="1963421677">
          <w:marLeft w:val="0"/>
          <w:marRight w:val="0"/>
          <w:marTop w:val="0"/>
          <w:marBottom w:val="0"/>
          <w:divBdr>
            <w:top w:val="none" w:sz="0" w:space="0" w:color="auto"/>
            <w:left w:val="none" w:sz="0" w:space="0" w:color="auto"/>
            <w:bottom w:val="none" w:sz="0" w:space="0" w:color="auto"/>
            <w:right w:val="none" w:sz="0" w:space="0" w:color="auto"/>
          </w:divBdr>
          <w:divsChild>
            <w:div w:id="808282206">
              <w:marLeft w:val="0"/>
              <w:marRight w:val="0"/>
              <w:marTop w:val="0"/>
              <w:marBottom w:val="0"/>
              <w:divBdr>
                <w:top w:val="none" w:sz="0" w:space="0" w:color="auto"/>
                <w:left w:val="none" w:sz="0" w:space="0" w:color="auto"/>
                <w:bottom w:val="none" w:sz="0" w:space="0" w:color="auto"/>
                <w:right w:val="none" w:sz="0" w:space="0" w:color="auto"/>
              </w:divBdr>
            </w:div>
          </w:divsChild>
        </w:div>
        <w:div w:id="1980647477">
          <w:marLeft w:val="0"/>
          <w:marRight w:val="0"/>
          <w:marTop w:val="0"/>
          <w:marBottom w:val="0"/>
          <w:divBdr>
            <w:top w:val="none" w:sz="0" w:space="0" w:color="auto"/>
            <w:left w:val="none" w:sz="0" w:space="0" w:color="auto"/>
            <w:bottom w:val="none" w:sz="0" w:space="0" w:color="auto"/>
            <w:right w:val="none" w:sz="0" w:space="0" w:color="auto"/>
          </w:divBdr>
          <w:divsChild>
            <w:div w:id="1782918984">
              <w:marLeft w:val="0"/>
              <w:marRight w:val="0"/>
              <w:marTop w:val="0"/>
              <w:marBottom w:val="0"/>
              <w:divBdr>
                <w:top w:val="none" w:sz="0" w:space="0" w:color="auto"/>
                <w:left w:val="none" w:sz="0" w:space="0" w:color="auto"/>
                <w:bottom w:val="none" w:sz="0" w:space="0" w:color="auto"/>
                <w:right w:val="none" w:sz="0" w:space="0" w:color="auto"/>
              </w:divBdr>
            </w:div>
          </w:divsChild>
        </w:div>
        <w:div w:id="1986741064">
          <w:marLeft w:val="0"/>
          <w:marRight w:val="0"/>
          <w:marTop w:val="0"/>
          <w:marBottom w:val="0"/>
          <w:divBdr>
            <w:top w:val="none" w:sz="0" w:space="0" w:color="auto"/>
            <w:left w:val="none" w:sz="0" w:space="0" w:color="auto"/>
            <w:bottom w:val="none" w:sz="0" w:space="0" w:color="auto"/>
            <w:right w:val="none" w:sz="0" w:space="0" w:color="auto"/>
          </w:divBdr>
          <w:divsChild>
            <w:div w:id="1249845914">
              <w:marLeft w:val="0"/>
              <w:marRight w:val="0"/>
              <w:marTop w:val="0"/>
              <w:marBottom w:val="0"/>
              <w:divBdr>
                <w:top w:val="none" w:sz="0" w:space="0" w:color="auto"/>
                <w:left w:val="none" w:sz="0" w:space="0" w:color="auto"/>
                <w:bottom w:val="none" w:sz="0" w:space="0" w:color="auto"/>
                <w:right w:val="none" w:sz="0" w:space="0" w:color="auto"/>
              </w:divBdr>
            </w:div>
          </w:divsChild>
        </w:div>
        <w:div w:id="1988972990">
          <w:marLeft w:val="0"/>
          <w:marRight w:val="0"/>
          <w:marTop w:val="0"/>
          <w:marBottom w:val="0"/>
          <w:divBdr>
            <w:top w:val="none" w:sz="0" w:space="0" w:color="auto"/>
            <w:left w:val="none" w:sz="0" w:space="0" w:color="auto"/>
            <w:bottom w:val="none" w:sz="0" w:space="0" w:color="auto"/>
            <w:right w:val="none" w:sz="0" w:space="0" w:color="auto"/>
          </w:divBdr>
          <w:divsChild>
            <w:div w:id="1937445122">
              <w:marLeft w:val="0"/>
              <w:marRight w:val="0"/>
              <w:marTop w:val="0"/>
              <w:marBottom w:val="0"/>
              <w:divBdr>
                <w:top w:val="none" w:sz="0" w:space="0" w:color="auto"/>
                <w:left w:val="none" w:sz="0" w:space="0" w:color="auto"/>
                <w:bottom w:val="none" w:sz="0" w:space="0" w:color="auto"/>
                <w:right w:val="none" w:sz="0" w:space="0" w:color="auto"/>
              </w:divBdr>
            </w:div>
          </w:divsChild>
        </w:div>
        <w:div w:id="2005277884">
          <w:marLeft w:val="0"/>
          <w:marRight w:val="0"/>
          <w:marTop w:val="0"/>
          <w:marBottom w:val="0"/>
          <w:divBdr>
            <w:top w:val="none" w:sz="0" w:space="0" w:color="auto"/>
            <w:left w:val="none" w:sz="0" w:space="0" w:color="auto"/>
            <w:bottom w:val="none" w:sz="0" w:space="0" w:color="auto"/>
            <w:right w:val="none" w:sz="0" w:space="0" w:color="auto"/>
          </w:divBdr>
          <w:divsChild>
            <w:div w:id="1577783217">
              <w:marLeft w:val="0"/>
              <w:marRight w:val="0"/>
              <w:marTop w:val="0"/>
              <w:marBottom w:val="0"/>
              <w:divBdr>
                <w:top w:val="none" w:sz="0" w:space="0" w:color="auto"/>
                <w:left w:val="none" w:sz="0" w:space="0" w:color="auto"/>
                <w:bottom w:val="none" w:sz="0" w:space="0" w:color="auto"/>
                <w:right w:val="none" w:sz="0" w:space="0" w:color="auto"/>
              </w:divBdr>
            </w:div>
          </w:divsChild>
        </w:div>
        <w:div w:id="2016492695">
          <w:marLeft w:val="0"/>
          <w:marRight w:val="0"/>
          <w:marTop w:val="0"/>
          <w:marBottom w:val="0"/>
          <w:divBdr>
            <w:top w:val="none" w:sz="0" w:space="0" w:color="auto"/>
            <w:left w:val="none" w:sz="0" w:space="0" w:color="auto"/>
            <w:bottom w:val="none" w:sz="0" w:space="0" w:color="auto"/>
            <w:right w:val="none" w:sz="0" w:space="0" w:color="auto"/>
          </w:divBdr>
          <w:divsChild>
            <w:div w:id="1234120600">
              <w:marLeft w:val="0"/>
              <w:marRight w:val="0"/>
              <w:marTop w:val="0"/>
              <w:marBottom w:val="0"/>
              <w:divBdr>
                <w:top w:val="none" w:sz="0" w:space="0" w:color="auto"/>
                <w:left w:val="none" w:sz="0" w:space="0" w:color="auto"/>
                <w:bottom w:val="none" w:sz="0" w:space="0" w:color="auto"/>
                <w:right w:val="none" w:sz="0" w:space="0" w:color="auto"/>
              </w:divBdr>
            </w:div>
          </w:divsChild>
        </w:div>
        <w:div w:id="2029789816">
          <w:marLeft w:val="0"/>
          <w:marRight w:val="0"/>
          <w:marTop w:val="0"/>
          <w:marBottom w:val="0"/>
          <w:divBdr>
            <w:top w:val="none" w:sz="0" w:space="0" w:color="auto"/>
            <w:left w:val="none" w:sz="0" w:space="0" w:color="auto"/>
            <w:bottom w:val="none" w:sz="0" w:space="0" w:color="auto"/>
            <w:right w:val="none" w:sz="0" w:space="0" w:color="auto"/>
          </w:divBdr>
          <w:divsChild>
            <w:div w:id="1797917383">
              <w:marLeft w:val="0"/>
              <w:marRight w:val="0"/>
              <w:marTop w:val="0"/>
              <w:marBottom w:val="0"/>
              <w:divBdr>
                <w:top w:val="none" w:sz="0" w:space="0" w:color="auto"/>
                <w:left w:val="none" w:sz="0" w:space="0" w:color="auto"/>
                <w:bottom w:val="none" w:sz="0" w:space="0" w:color="auto"/>
                <w:right w:val="none" w:sz="0" w:space="0" w:color="auto"/>
              </w:divBdr>
            </w:div>
          </w:divsChild>
        </w:div>
        <w:div w:id="2030527612">
          <w:marLeft w:val="0"/>
          <w:marRight w:val="0"/>
          <w:marTop w:val="0"/>
          <w:marBottom w:val="0"/>
          <w:divBdr>
            <w:top w:val="none" w:sz="0" w:space="0" w:color="auto"/>
            <w:left w:val="none" w:sz="0" w:space="0" w:color="auto"/>
            <w:bottom w:val="none" w:sz="0" w:space="0" w:color="auto"/>
            <w:right w:val="none" w:sz="0" w:space="0" w:color="auto"/>
          </w:divBdr>
          <w:divsChild>
            <w:div w:id="1497115611">
              <w:marLeft w:val="0"/>
              <w:marRight w:val="0"/>
              <w:marTop w:val="0"/>
              <w:marBottom w:val="0"/>
              <w:divBdr>
                <w:top w:val="none" w:sz="0" w:space="0" w:color="auto"/>
                <w:left w:val="none" w:sz="0" w:space="0" w:color="auto"/>
                <w:bottom w:val="none" w:sz="0" w:space="0" w:color="auto"/>
                <w:right w:val="none" w:sz="0" w:space="0" w:color="auto"/>
              </w:divBdr>
            </w:div>
          </w:divsChild>
        </w:div>
        <w:div w:id="2065179726">
          <w:marLeft w:val="0"/>
          <w:marRight w:val="0"/>
          <w:marTop w:val="0"/>
          <w:marBottom w:val="0"/>
          <w:divBdr>
            <w:top w:val="none" w:sz="0" w:space="0" w:color="auto"/>
            <w:left w:val="none" w:sz="0" w:space="0" w:color="auto"/>
            <w:bottom w:val="none" w:sz="0" w:space="0" w:color="auto"/>
            <w:right w:val="none" w:sz="0" w:space="0" w:color="auto"/>
          </w:divBdr>
          <w:divsChild>
            <w:div w:id="101533420">
              <w:marLeft w:val="0"/>
              <w:marRight w:val="0"/>
              <w:marTop w:val="0"/>
              <w:marBottom w:val="0"/>
              <w:divBdr>
                <w:top w:val="none" w:sz="0" w:space="0" w:color="auto"/>
                <w:left w:val="none" w:sz="0" w:space="0" w:color="auto"/>
                <w:bottom w:val="none" w:sz="0" w:space="0" w:color="auto"/>
                <w:right w:val="none" w:sz="0" w:space="0" w:color="auto"/>
              </w:divBdr>
            </w:div>
          </w:divsChild>
        </w:div>
        <w:div w:id="2068258946">
          <w:marLeft w:val="0"/>
          <w:marRight w:val="0"/>
          <w:marTop w:val="0"/>
          <w:marBottom w:val="0"/>
          <w:divBdr>
            <w:top w:val="none" w:sz="0" w:space="0" w:color="auto"/>
            <w:left w:val="none" w:sz="0" w:space="0" w:color="auto"/>
            <w:bottom w:val="none" w:sz="0" w:space="0" w:color="auto"/>
            <w:right w:val="none" w:sz="0" w:space="0" w:color="auto"/>
          </w:divBdr>
          <w:divsChild>
            <w:div w:id="583494863">
              <w:marLeft w:val="0"/>
              <w:marRight w:val="0"/>
              <w:marTop w:val="0"/>
              <w:marBottom w:val="0"/>
              <w:divBdr>
                <w:top w:val="none" w:sz="0" w:space="0" w:color="auto"/>
                <w:left w:val="none" w:sz="0" w:space="0" w:color="auto"/>
                <w:bottom w:val="none" w:sz="0" w:space="0" w:color="auto"/>
                <w:right w:val="none" w:sz="0" w:space="0" w:color="auto"/>
              </w:divBdr>
            </w:div>
          </w:divsChild>
        </w:div>
        <w:div w:id="2069839624">
          <w:marLeft w:val="0"/>
          <w:marRight w:val="0"/>
          <w:marTop w:val="0"/>
          <w:marBottom w:val="0"/>
          <w:divBdr>
            <w:top w:val="none" w:sz="0" w:space="0" w:color="auto"/>
            <w:left w:val="none" w:sz="0" w:space="0" w:color="auto"/>
            <w:bottom w:val="none" w:sz="0" w:space="0" w:color="auto"/>
            <w:right w:val="none" w:sz="0" w:space="0" w:color="auto"/>
          </w:divBdr>
          <w:divsChild>
            <w:div w:id="942960437">
              <w:marLeft w:val="0"/>
              <w:marRight w:val="0"/>
              <w:marTop w:val="0"/>
              <w:marBottom w:val="0"/>
              <w:divBdr>
                <w:top w:val="none" w:sz="0" w:space="0" w:color="auto"/>
                <w:left w:val="none" w:sz="0" w:space="0" w:color="auto"/>
                <w:bottom w:val="none" w:sz="0" w:space="0" w:color="auto"/>
                <w:right w:val="none" w:sz="0" w:space="0" w:color="auto"/>
              </w:divBdr>
            </w:div>
          </w:divsChild>
        </w:div>
        <w:div w:id="2072338405">
          <w:marLeft w:val="0"/>
          <w:marRight w:val="0"/>
          <w:marTop w:val="0"/>
          <w:marBottom w:val="0"/>
          <w:divBdr>
            <w:top w:val="none" w:sz="0" w:space="0" w:color="auto"/>
            <w:left w:val="none" w:sz="0" w:space="0" w:color="auto"/>
            <w:bottom w:val="none" w:sz="0" w:space="0" w:color="auto"/>
            <w:right w:val="none" w:sz="0" w:space="0" w:color="auto"/>
          </w:divBdr>
          <w:divsChild>
            <w:div w:id="1871338832">
              <w:marLeft w:val="0"/>
              <w:marRight w:val="0"/>
              <w:marTop w:val="0"/>
              <w:marBottom w:val="0"/>
              <w:divBdr>
                <w:top w:val="none" w:sz="0" w:space="0" w:color="auto"/>
                <w:left w:val="none" w:sz="0" w:space="0" w:color="auto"/>
                <w:bottom w:val="none" w:sz="0" w:space="0" w:color="auto"/>
                <w:right w:val="none" w:sz="0" w:space="0" w:color="auto"/>
              </w:divBdr>
            </w:div>
          </w:divsChild>
        </w:div>
        <w:div w:id="2072998164">
          <w:marLeft w:val="0"/>
          <w:marRight w:val="0"/>
          <w:marTop w:val="0"/>
          <w:marBottom w:val="0"/>
          <w:divBdr>
            <w:top w:val="none" w:sz="0" w:space="0" w:color="auto"/>
            <w:left w:val="none" w:sz="0" w:space="0" w:color="auto"/>
            <w:bottom w:val="none" w:sz="0" w:space="0" w:color="auto"/>
            <w:right w:val="none" w:sz="0" w:space="0" w:color="auto"/>
          </w:divBdr>
          <w:divsChild>
            <w:div w:id="538737999">
              <w:marLeft w:val="0"/>
              <w:marRight w:val="0"/>
              <w:marTop w:val="0"/>
              <w:marBottom w:val="0"/>
              <w:divBdr>
                <w:top w:val="none" w:sz="0" w:space="0" w:color="auto"/>
                <w:left w:val="none" w:sz="0" w:space="0" w:color="auto"/>
                <w:bottom w:val="none" w:sz="0" w:space="0" w:color="auto"/>
                <w:right w:val="none" w:sz="0" w:space="0" w:color="auto"/>
              </w:divBdr>
            </w:div>
          </w:divsChild>
        </w:div>
        <w:div w:id="2073312263">
          <w:marLeft w:val="0"/>
          <w:marRight w:val="0"/>
          <w:marTop w:val="0"/>
          <w:marBottom w:val="0"/>
          <w:divBdr>
            <w:top w:val="none" w:sz="0" w:space="0" w:color="auto"/>
            <w:left w:val="none" w:sz="0" w:space="0" w:color="auto"/>
            <w:bottom w:val="none" w:sz="0" w:space="0" w:color="auto"/>
            <w:right w:val="none" w:sz="0" w:space="0" w:color="auto"/>
          </w:divBdr>
          <w:divsChild>
            <w:div w:id="1247882263">
              <w:marLeft w:val="0"/>
              <w:marRight w:val="0"/>
              <w:marTop w:val="0"/>
              <w:marBottom w:val="0"/>
              <w:divBdr>
                <w:top w:val="none" w:sz="0" w:space="0" w:color="auto"/>
                <w:left w:val="none" w:sz="0" w:space="0" w:color="auto"/>
                <w:bottom w:val="none" w:sz="0" w:space="0" w:color="auto"/>
                <w:right w:val="none" w:sz="0" w:space="0" w:color="auto"/>
              </w:divBdr>
            </w:div>
          </w:divsChild>
        </w:div>
        <w:div w:id="2085104722">
          <w:marLeft w:val="0"/>
          <w:marRight w:val="0"/>
          <w:marTop w:val="0"/>
          <w:marBottom w:val="0"/>
          <w:divBdr>
            <w:top w:val="none" w:sz="0" w:space="0" w:color="auto"/>
            <w:left w:val="none" w:sz="0" w:space="0" w:color="auto"/>
            <w:bottom w:val="none" w:sz="0" w:space="0" w:color="auto"/>
            <w:right w:val="none" w:sz="0" w:space="0" w:color="auto"/>
          </w:divBdr>
          <w:divsChild>
            <w:div w:id="912473345">
              <w:marLeft w:val="0"/>
              <w:marRight w:val="0"/>
              <w:marTop w:val="0"/>
              <w:marBottom w:val="0"/>
              <w:divBdr>
                <w:top w:val="none" w:sz="0" w:space="0" w:color="auto"/>
                <w:left w:val="none" w:sz="0" w:space="0" w:color="auto"/>
                <w:bottom w:val="none" w:sz="0" w:space="0" w:color="auto"/>
                <w:right w:val="none" w:sz="0" w:space="0" w:color="auto"/>
              </w:divBdr>
            </w:div>
          </w:divsChild>
        </w:div>
        <w:div w:id="2091610465">
          <w:marLeft w:val="0"/>
          <w:marRight w:val="0"/>
          <w:marTop w:val="0"/>
          <w:marBottom w:val="0"/>
          <w:divBdr>
            <w:top w:val="none" w:sz="0" w:space="0" w:color="auto"/>
            <w:left w:val="none" w:sz="0" w:space="0" w:color="auto"/>
            <w:bottom w:val="none" w:sz="0" w:space="0" w:color="auto"/>
            <w:right w:val="none" w:sz="0" w:space="0" w:color="auto"/>
          </w:divBdr>
          <w:divsChild>
            <w:div w:id="451560399">
              <w:marLeft w:val="0"/>
              <w:marRight w:val="0"/>
              <w:marTop w:val="0"/>
              <w:marBottom w:val="0"/>
              <w:divBdr>
                <w:top w:val="none" w:sz="0" w:space="0" w:color="auto"/>
                <w:left w:val="none" w:sz="0" w:space="0" w:color="auto"/>
                <w:bottom w:val="none" w:sz="0" w:space="0" w:color="auto"/>
                <w:right w:val="none" w:sz="0" w:space="0" w:color="auto"/>
              </w:divBdr>
            </w:div>
          </w:divsChild>
        </w:div>
        <w:div w:id="2106530456">
          <w:marLeft w:val="0"/>
          <w:marRight w:val="0"/>
          <w:marTop w:val="0"/>
          <w:marBottom w:val="0"/>
          <w:divBdr>
            <w:top w:val="none" w:sz="0" w:space="0" w:color="auto"/>
            <w:left w:val="none" w:sz="0" w:space="0" w:color="auto"/>
            <w:bottom w:val="none" w:sz="0" w:space="0" w:color="auto"/>
            <w:right w:val="none" w:sz="0" w:space="0" w:color="auto"/>
          </w:divBdr>
          <w:divsChild>
            <w:div w:id="2020699257">
              <w:marLeft w:val="0"/>
              <w:marRight w:val="0"/>
              <w:marTop w:val="0"/>
              <w:marBottom w:val="0"/>
              <w:divBdr>
                <w:top w:val="none" w:sz="0" w:space="0" w:color="auto"/>
                <w:left w:val="none" w:sz="0" w:space="0" w:color="auto"/>
                <w:bottom w:val="none" w:sz="0" w:space="0" w:color="auto"/>
                <w:right w:val="none" w:sz="0" w:space="0" w:color="auto"/>
              </w:divBdr>
            </w:div>
          </w:divsChild>
        </w:div>
        <w:div w:id="2118745967">
          <w:marLeft w:val="0"/>
          <w:marRight w:val="0"/>
          <w:marTop w:val="0"/>
          <w:marBottom w:val="0"/>
          <w:divBdr>
            <w:top w:val="none" w:sz="0" w:space="0" w:color="auto"/>
            <w:left w:val="none" w:sz="0" w:space="0" w:color="auto"/>
            <w:bottom w:val="none" w:sz="0" w:space="0" w:color="auto"/>
            <w:right w:val="none" w:sz="0" w:space="0" w:color="auto"/>
          </w:divBdr>
          <w:divsChild>
            <w:div w:id="23605658">
              <w:marLeft w:val="0"/>
              <w:marRight w:val="0"/>
              <w:marTop w:val="0"/>
              <w:marBottom w:val="0"/>
              <w:divBdr>
                <w:top w:val="none" w:sz="0" w:space="0" w:color="auto"/>
                <w:left w:val="none" w:sz="0" w:space="0" w:color="auto"/>
                <w:bottom w:val="none" w:sz="0" w:space="0" w:color="auto"/>
                <w:right w:val="none" w:sz="0" w:space="0" w:color="auto"/>
              </w:divBdr>
            </w:div>
          </w:divsChild>
        </w:div>
        <w:div w:id="2125689605">
          <w:marLeft w:val="0"/>
          <w:marRight w:val="0"/>
          <w:marTop w:val="0"/>
          <w:marBottom w:val="0"/>
          <w:divBdr>
            <w:top w:val="none" w:sz="0" w:space="0" w:color="auto"/>
            <w:left w:val="none" w:sz="0" w:space="0" w:color="auto"/>
            <w:bottom w:val="none" w:sz="0" w:space="0" w:color="auto"/>
            <w:right w:val="none" w:sz="0" w:space="0" w:color="auto"/>
          </w:divBdr>
          <w:divsChild>
            <w:div w:id="1394232585">
              <w:marLeft w:val="0"/>
              <w:marRight w:val="0"/>
              <w:marTop w:val="0"/>
              <w:marBottom w:val="0"/>
              <w:divBdr>
                <w:top w:val="none" w:sz="0" w:space="0" w:color="auto"/>
                <w:left w:val="none" w:sz="0" w:space="0" w:color="auto"/>
                <w:bottom w:val="none" w:sz="0" w:space="0" w:color="auto"/>
                <w:right w:val="none" w:sz="0" w:space="0" w:color="auto"/>
              </w:divBdr>
            </w:div>
          </w:divsChild>
        </w:div>
        <w:div w:id="2126460414">
          <w:marLeft w:val="0"/>
          <w:marRight w:val="0"/>
          <w:marTop w:val="0"/>
          <w:marBottom w:val="0"/>
          <w:divBdr>
            <w:top w:val="none" w:sz="0" w:space="0" w:color="auto"/>
            <w:left w:val="none" w:sz="0" w:space="0" w:color="auto"/>
            <w:bottom w:val="none" w:sz="0" w:space="0" w:color="auto"/>
            <w:right w:val="none" w:sz="0" w:space="0" w:color="auto"/>
          </w:divBdr>
          <w:divsChild>
            <w:div w:id="2007589261">
              <w:marLeft w:val="0"/>
              <w:marRight w:val="0"/>
              <w:marTop w:val="0"/>
              <w:marBottom w:val="0"/>
              <w:divBdr>
                <w:top w:val="none" w:sz="0" w:space="0" w:color="auto"/>
                <w:left w:val="none" w:sz="0" w:space="0" w:color="auto"/>
                <w:bottom w:val="none" w:sz="0" w:space="0" w:color="auto"/>
                <w:right w:val="none" w:sz="0" w:space="0" w:color="auto"/>
              </w:divBdr>
            </w:div>
          </w:divsChild>
        </w:div>
        <w:div w:id="2139370920">
          <w:marLeft w:val="0"/>
          <w:marRight w:val="0"/>
          <w:marTop w:val="0"/>
          <w:marBottom w:val="0"/>
          <w:divBdr>
            <w:top w:val="none" w:sz="0" w:space="0" w:color="auto"/>
            <w:left w:val="none" w:sz="0" w:space="0" w:color="auto"/>
            <w:bottom w:val="none" w:sz="0" w:space="0" w:color="auto"/>
            <w:right w:val="none" w:sz="0" w:space="0" w:color="auto"/>
          </w:divBdr>
          <w:divsChild>
            <w:div w:id="1181700245">
              <w:marLeft w:val="0"/>
              <w:marRight w:val="0"/>
              <w:marTop w:val="0"/>
              <w:marBottom w:val="0"/>
              <w:divBdr>
                <w:top w:val="none" w:sz="0" w:space="0" w:color="auto"/>
                <w:left w:val="none" w:sz="0" w:space="0" w:color="auto"/>
                <w:bottom w:val="none" w:sz="0" w:space="0" w:color="auto"/>
                <w:right w:val="none" w:sz="0" w:space="0" w:color="auto"/>
              </w:divBdr>
            </w:div>
          </w:divsChild>
        </w:div>
        <w:div w:id="2145924496">
          <w:marLeft w:val="0"/>
          <w:marRight w:val="0"/>
          <w:marTop w:val="0"/>
          <w:marBottom w:val="0"/>
          <w:divBdr>
            <w:top w:val="none" w:sz="0" w:space="0" w:color="auto"/>
            <w:left w:val="none" w:sz="0" w:space="0" w:color="auto"/>
            <w:bottom w:val="none" w:sz="0" w:space="0" w:color="auto"/>
            <w:right w:val="none" w:sz="0" w:space="0" w:color="auto"/>
          </w:divBdr>
          <w:divsChild>
            <w:div w:id="1671790060">
              <w:marLeft w:val="0"/>
              <w:marRight w:val="0"/>
              <w:marTop w:val="0"/>
              <w:marBottom w:val="0"/>
              <w:divBdr>
                <w:top w:val="none" w:sz="0" w:space="0" w:color="auto"/>
                <w:left w:val="none" w:sz="0" w:space="0" w:color="auto"/>
                <w:bottom w:val="none" w:sz="0" w:space="0" w:color="auto"/>
                <w:right w:val="none" w:sz="0" w:space="0" w:color="auto"/>
              </w:divBdr>
            </w:div>
          </w:divsChild>
        </w:div>
        <w:div w:id="2147237298">
          <w:marLeft w:val="0"/>
          <w:marRight w:val="0"/>
          <w:marTop w:val="0"/>
          <w:marBottom w:val="0"/>
          <w:divBdr>
            <w:top w:val="none" w:sz="0" w:space="0" w:color="auto"/>
            <w:left w:val="none" w:sz="0" w:space="0" w:color="auto"/>
            <w:bottom w:val="none" w:sz="0" w:space="0" w:color="auto"/>
            <w:right w:val="none" w:sz="0" w:space="0" w:color="auto"/>
          </w:divBdr>
          <w:divsChild>
            <w:div w:id="9274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037309">
      <w:bodyDiv w:val="1"/>
      <w:marLeft w:val="0"/>
      <w:marRight w:val="0"/>
      <w:marTop w:val="0"/>
      <w:marBottom w:val="0"/>
      <w:divBdr>
        <w:top w:val="none" w:sz="0" w:space="0" w:color="auto"/>
        <w:left w:val="none" w:sz="0" w:space="0" w:color="auto"/>
        <w:bottom w:val="none" w:sz="0" w:space="0" w:color="auto"/>
        <w:right w:val="none" w:sz="0" w:space="0" w:color="auto"/>
      </w:divBdr>
    </w:div>
    <w:div w:id="1265770592">
      <w:bodyDiv w:val="1"/>
      <w:marLeft w:val="0"/>
      <w:marRight w:val="0"/>
      <w:marTop w:val="0"/>
      <w:marBottom w:val="0"/>
      <w:divBdr>
        <w:top w:val="none" w:sz="0" w:space="0" w:color="auto"/>
        <w:left w:val="none" w:sz="0" w:space="0" w:color="auto"/>
        <w:bottom w:val="none" w:sz="0" w:space="0" w:color="auto"/>
        <w:right w:val="none" w:sz="0" w:space="0" w:color="auto"/>
      </w:divBdr>
    </w:div>
    <w:div w:id="1267155203">
      <w:bodyDiv w:val="1"/>
      <w:marLeft w:val="0"/>
      <w:marRight w:val="0"/>
      <w:marTop w:val="0"/>
      <w:marBottom w:val="0"/>
      <w:divBdr>
        <w:top w:val="none" w:sz="0" w:space="0" w:color="auto"/>
        <w:left w:val="none" w:sz="0" w:space="0" w:color="auto"/>
        <w:bottom w:val="none" w:sz="0" w:space="0" w:color="auto"/>
        <w:right w:val="none" w:sz="0" w:space="0" w:color="auto"/>
      </w:divBdr>
    </w:div>
    <w:div w:id="1298103513">
      <w:bodyDiv w:val="1"/>
      <w:marLeft w:val="0"/>
      <w:marRight w:val="0"/>
      <w:marTop w:val="0"/>
      <w:marBottom w:val="0"/>
      <w:divBdr>
        <w:top w:val="none" w:sz="0" w:space="0" w:color="auto"/>
        <w:left w:val="none" w:sz="0" w:space="0" w:color="auto"/>
        <w:bottom w:val="none" w:sz="0" w:space="0" w:color="auto"/>
        <w:right w:val="none" w:sz="0" w:space="0" w:color="auto"/>
      </w:divBdr>
    </w:div>
    <w:div w:id="1336299188">
      <w:bodyDiv w:val="1"/>
      <w:marLeft w:val="0"/>
      <w:marRight w:val="0"/>
      <w:marTop w:val="0"/>
      <w:marBottom w:val="0"/>
      <w:divBdr>
        <w:top w:val="none" w:sz="0" w:space="0" w:color="auto"/>
        <w:left w:val="none" w:sz="0" w:space="0" w:color="auto"/>
        <w:bottom w:val="none" w:sz="0" w:space="0" w:color="auto"/>
        <w:right w:val="none" w:sz="0" w:space="0" w:color="auto"/>
      </w:divBdr>
    </w:div>
    <w:div w:id="1352879702">
      <w:bodyDiv w:val="1"/>
      <w:marLeft w:val="0"/>
      <w:marRight w:val="0"/>
      <w:marTop w:val="0"/>
      <w:marBottom w:val="0"/>
      <w:divBdr>
        <w:top w:val="none" w:sz="0" w:space="0" w:color="auto"/>
        <w:left w:val="none" w:sz="0" w:space="0" w:color="auto"/>
        <w:bottom w:val="none" w:sz="0" w:space="0" w:color="auto"/>
        <w:right w:val="none" w:sz="0" w:space="0" w:color="auto"/>
      </w:divBdr>
    </w:div>
    <w:div w:id="1433479021">
      <w:bodyDiv w:val="1"/>
      <w:marLeft w:val="0"/>
      <w:marRight w:val="0"/>
      <w:marTop w:val="0"/>
      <w:marBottom w:val="0"/>
      <w:divBdr>
        <w:top w:val="none" w:sz="0" w:space="0" w:color="auto"/>
        <w:left w:val="none" w:sz="0" w:space="0" w:color="auto"/>
        <w:bottom w:val="none" w:sz="0" w:space="0" w:color="auto"/>
        <w:right w:val="none" w:sz="0" w:space="0" w:color="auto"/>
      </w:divBdr>
    </w:div>
    <w:div w:id="1485118533">
      <w:bodyDiv w:val="1"/>
      <w:marLeft w:val="0"/>
      <w:marRight w:val="0"/>
      <w:marTop w:val="0"/>
      <w:marBottom w:val="0"/>
      <w:divBdr>
        <w:top w:val="none" w:sz="0" w:space="0" w:color="auto"/>
        <w:left w:val="none" w:sz="0" w:space="0" w:color="auto"/>
        <w:bottom w:val="none" w:sz="0" w:space="0" w:color="auto"/>
        <w:right w:val="none" w:sz="0" w:space="0" w:color="auto"/>
      </w:divBdr>
    </w:div>
    <w:div w:id="1488859977">
      <w:bodyDiv w:val="1"/>
      <w:marLeft w:val="0"/>
      <w:marRight w:val="0"/>
      <w:marTop w:val="0"/>
      <w:marBottom w:val="0"/>
      <w:divBdr>
        <w:top w:val="none" w:sz="0" w:space="0" w:color="auto"/>
        <w:left w:val="none" w:sz="0" w:space="0" w:color="auto"/>
        <w:bottom w:val="none" w:sz="0" w:space="0" w:color="auto"/>
        <w:right w:val="none" w:sz="0" w:space="0" w:color="auto"/>
      </w:divBdr>
    </w:div>
    <w:div w:id="1697463457">
      <w:bodyDiv w:val="1"/>
      <w:marLeft w:val="0"/>
      <w:marRight w:val="0"/>
      <w:marTop w:val="0"/>
      <w:marBottom w:val="0"/>
      <w:divBdr>
        <w:top w:val="none" w:sz="0" w:space="0" w:color="auto"/>
        <w:left w:val="none" w:sz="0" w:space="0" w:color="auto"/>
        <w:bottom w:val="none" w:sz="0" w:space="0" w:color="auto"/>
        <w:right w:val="none" w:sz="0" w:space="0" w:color="auto"/>
      </w:divBdr>
    </w:div>
    <w:div w:id="1701512358">
      <w:bodyDiv w:val="1"/>
      <w:marLeft w:val="0"/>
      <w:marRight w:val="0"/>
      <w:marTop w:val="0"/>
      <w:marBottom w:val="0"/>
      <w:divBdr>
        <w:top w:val="none" w:sz="0" w:space="0" w:color="auto"/>
        <w:left w:val="none" w:sz="0" w:space="0" w:color="auto"/>
        <w:bottom w:val="none" w:sz="0" w:space="0" w:color="auto"/>
        <w:right w:val="none" w:sz="0" w:space="0" w:color="auto"/>
      </w:divBdr>
    </w:div>
    <w:div w:id="1777171064">
      <w:bodyDiv w:val="1"/>
      <w:marLeft w:val="0"/>
      <w:marRight w:val="0"/>
      <w:marTop w:val="0"/>
      <w:marBottom w:val="0"/>
      <w:divBdr>
        <w:top w:val="none" w:sz="0" w:space="0" w:color="auto"/>
        <w:left w:val="none" w:sz="0" w:space="0" w:color="auto"/>
        <w:bottom w:val="none" w:sz="0" w:space="0" w:color="auto"/>
        <w:right w:val="none" w:sz="0" w:space="0" w:color="auto"/>
      </w:divBdr>
    </w:div>
    <w:div w:id="1778795846">
      <w:bodyDiv w:val="1"/>
      <w:marLeft w:val="0"/>
      <w:marRight w:val="0"/>
      <w:marTop w:val="0"/>
      <w:marBottom w:val="0"/>
      <w:divBdr>
        <w:top w:val="none" w:sz="0" w:space="0" w:color="auto"/>
        <w:left w:val="none" w:sz="0" w:space="0" w:color="auto"/>
        <w:bottom w:val="none" w:sz="0" w:space="0" w:color="auto"/>
        <w:right w:val="none" w:sz="0" w:space="0" w:color="auto"/>
      </w:divBdr>
    </w:div>
    <w:div w:id="1878271249">
      <w:bodyDiv w:val="1"/>
      <w:marLeft w:val="0"/>
      <w:marRight w:val="0"/>
      <w:marTop w:val="0"/>
      <w:marBottom w:val="0"/>
      <w:divBdr>
        <w:top w:val="none" w:sz="0" w:space="0" w:color="auto"/>
        <w:left w:val="none" w:sz="0" w:space="0" w:color="auto"/>
        <w:bottom w:val="none" w:sz="0" w:space="0" w:color="auto"/>
        <w:right w:val="none" w:sz="0" w:space="0" w:color="auto"/>
      </w:divBdr>
    </w:div>
    <w:div w:id="1961646964">
      <w:bodyDiv w:val="1"/>
      <w:marLeft w:val="0"/>
      <w:marRight w:val="0"/>
      <w:marTop w:val="0"/>
      <w:marBottom w:val="0"/>
      <w:divBdr>
        <w:top w:val="none" w:sz="0" w:space="0" w:color="auto"/>
        <w:left w:val="none" w:sz="0" w:space="0" w:color="auto"/>
        <w:bottom w:val="none" w:sz="0" w:space="0" w:color="auto"/>
        <w:right w:val="none" w:sz="0" w:space="0" w:color="auto"/>
      </w:divBdr>
    </w:div>
    <w:div w:id="2034265376">
      <w:bodyDiv w:val="1"/>
      <w:marLeft w:val="0"/>
      <w:marRight w:val="0"/>
      <w:marTop w:val="0"/>
      <w:marBottom w:val="0"/>
      <w:divBdr>
        <w:top w:val="none" w:sz="0" w:space="0" w:color="auto"/>
        <w:left w:val="none" w:sz="0" w:space="0" w:color="auto"/>
        <w:bottom w:val="none" w:sz="0" w:space="0" w:color="auto"/>
        <w:right w:val="none" w:sz="0" w:space="0" w:color="auto"/>
      </w:divBdr>
      <w:divsChild>
        <w:div w:id="154956840">
          <w:marLeft w:val="0"/>
          <w:marRight w:val="0"/>
          <w:marTop w:val="0"/>
          <w:marBottom w:val="0"/>
          <w:divBdr>
            <w:top w:val="none" w:sz="0" w:space="0" w:color="auto"/>
            <w:left w:val="none" w:sz="0" w:space="0" w:color="auto"/>
            <w:bottom w:val="none" w:sz="0" w:space="0" w:color="auto"/>
            <w:right w:val="none" w:sz="0" w:space="0" w:color="auto"/>
          </w:divBdr>
          <w:divsChild>
            <w:div w:id="609971154">
              <w:marLeft w:val="0"/>
              <w:marRight w:val="0"/>
              <w:marTop w:val="0"/>
              <w:marBottom w:val="0"/>
              <w:divBdr>
                <w:top w:val="none" w:sz="0" w:space="0" w:color="auto"/>
                <w:left w:val="none" w:sz="0" w:space="0" w:color="auto"/>
                <w:bottom w:val="none" w:sz="0" w:space="0" w:color="auto"/>
                <w:right w:val="none" w:sz="0" w:space="0" w:color="auto"/>
              </w:divBdr>
            </w:div>
          </w:divsChild>
        </w:div>
        <w:div w:id="218249927">
          <w:marLeft w:val="0"/>
          <w:marRight w:val="0"/>
          <w:marTop w:val="0"/>
          <w:marBottom w:val="0"/>
          <w:divBdr>
            <w:top w:val="none" w:sz="0" w:space="0" w:color="auto"/>
            <w:left w:val="none" w:sz="0" w:space="0" w:color="auto"/>
            <w:bottom w:val="none" w:sz="0" w:space="0" w:color="auto"/>
            <w:right w:val="none" w:sz="0" w:space="0" w:color="auto"/>
          </w:divBdr>
          <w:divsChild>
            <w:div w:id="1520973611">
              <w:marLeft w:val="0"/>
              <w:marRight w:val="0"/>
              <w:marTop w:val="0"/>
              <w:marBottom w:val="0"/>
              <w:divBdr>
                <w:top w:val="none" w:sz="0" w:space="0" w:color="auto"/>
                <w:left w:val="none" w:sz="0" w:space="0" w:color="auto"/>
                <w:bottom w:val="none" w:sz="0" w:space="0" w:color="auto"/>
                <w:right w:val="none" w:sz="0" w:space="0" w:color="auto"/>
              </w:divBdr>
            </w:div>
          </w:divsChild>
        </w:div>
        <w:div w:id="574979251">
          <w:marLeft w:val="0"/>
          <w:marRight w:val="0"/>
          <w:marTop w:val="0"/>
          <w:marBottom w:val="0"/>
          <w:divBdr>
            <w:top w:val="none" w:sz="0" w:space="0" w:color="auto"/>
            <w:left w:val="none" w:sz="0" w:space="0" w:color="auto"/>
            <w:bottom w:val="none" w:sz="0" w:space="0" w:color="auto"/>
            <w:right w:val="none" w:sz="0" w:space="0" w:color="auto"/>
          </w:divBdr>
          <w:divsChild>
            <w:div w:id="70201195">
              <w:marLeft w:val="0"/>
              <w:marRight w:val="0"/>
              <w:marTop w:val="0"/>
              <w:marBottom w:val="0"/>
              <w:divBdr>
                <w:top w:val="none" w:sz="0" w:space="0" w:color="auto"/>
                <w:left w:val="none" w:sz="0" w:space="0" w:color="auto"/>
                <w:bottom w:val="none" w:sz="0" w:space="0" w:color="auto"/>
                <w:right w:val="none" w:sz="0" w:space="0" w:color="auto"/>
              </w:divBdr>
            </w:div>
            <w:div w:id="510729541">
              <w:marLeft w:val="0"/>
              <w:marRight w:val="0"/>
              <w:marTop w:val="0"/>
              <w:marBottom w:val="0"/>
              <w:divBdr>
                <w:top w:val="none" w:sz="0" w:space="0" w:color="auto"/>
                <w:left w:val="none" w:sz="0" w:space="0" w:color="auto"/>
                <w:bottom w:val="none" w:sz="0" w:space="0" w:color="auto"/>
                <w:right w:val="none" w:sz="0" w:space="0" w:color="auto"/>
              </w:divBdr>
            </w:div>
            <w:div w:id="749431234">
              <w:marLeft w:val="0"/>
              <w:marRight w:val="0"/>
              <w:marTop w:val="0"/>
              <w:marBottom w:val="0"/>
              <w:divBdr>
                <w:top w:val="none" w:sz="0" w:space="0" w:color="auto"/>
                <w:left w:val="none" w:sz="0" w:space="0" w:color="auto"/>
                <w:bottom w:val="none" w:sz="0" w:space="0" w:color="auto"/>
                <w:right w:val="none" w:sz="0" w:space="0" w:color="auto"/>
              </w:divBdr>
            </w:div>
            <w:div w:id="2128814881">
              <w:marLeft w:val="0"/>
              <w:marRight w:val="0"/>
              <w:marTop w:val="0"/>
              <w:marBottom w:val="0"/>
              <w:divBdr>
                <w:top w:val="none" w:sz="0" w:space="0" w:color="auto"/>
                <w:left w:val="none" w:sz="0" w:space="0" w:color="auto"/>
                <w:bottom w:val="none" w:sz="0" w:space="0" w:color="auto"/>
                <w:right w:val="none" w:sz="0" w:space="0" w:color="auto"/>
              </w:divBdr>
            </w:div>
          </w:divsChild>
        </w:div>
        <w:div w:id="701243266">
          <w:marLeft w:val="0"/>
          <w:marRight w:val="0"/>
          <w:marTop w:val="0"/>
          <w:marBottom w:val="0"/>
          <w:divBdr>
            <w:top w:val="none" w:sz="0" w:space="0" w:color="auto"/>
            <w:left w:val="none" w:sz="0" w:space="0" w:color="auto"/>
            <w:bottom w:val="none" w:sz="0" w:space="0" w:color="auto"/>
            <w:right w:val="none" w:sz="0" w:space="0" w:color="auto"/>
          </w:divBdr>
          <w:divsChild>
            <w:div w:id="2057312125">
              <w:marLeft w:val="0"/>
              <w:marRight w:val="0"/>
              <w:marTop w:val="0"/>
              <w:marBottom w:val="0"/>
              <w:divBdr>
                <w:top w:val="none" w:sz="0" w:space="0" w:color="auto"/>
                <w:left w:val="none" w:sz="0" w:space="0" w:color="auto"/>
                <w:bottom w:val="none" w:sz="0" w:space="0" w:color="auto"/>
                <w:right w:val="none" w:sz="0" w:space="0" w:color="auto"/>
              </w:divBdr>
            </w:div>
          </w:divsChild>
        </w:div>
        <w:div w:id="761225254">
          <w:marLeft w:val="0"/>
          <w:marRight w:val="0"/>
          <w:marTop w:val="0"/>
          <w:marBottom w:val="0"/>
          <w:divBdr>
            <w:top w:val="none" w:sz="0" w:space="0" w:color="auto"/>
            <w:left w:val="none" w:sz="0" w:space="0" w:color="auto"/>
            <w:bottom w:val="none" w:sz="0" w:space="0" w:color="auto"/>
            <w:right w:val="none" w:sz="0" w:space="0" w:color="auto"/>
          </w:divBdr>
          <w:divsChild>
            <w:div w:id="1324119223">
              <w:marLeft w:val="0"/>
              <w:marRight w:val="0"/>
              <w:marTop w:val="0"/>
              <w:marBottom w:val="0"/>
              <w:divBdr>
                <w:top w:val="none" w:sz="0" w:space="0" w:color="auto"/>
                <w:left w:val="none" w:sz="0" w:space="0" w:color="auto"/>
                <w:bottom w:val="none" w:sz="0" w:space="0" w:color="auto"/>
                <w:right w:val="none" w:sz="0" w:space="0" w:color="auto"/>
              </w:divBdr>
            </w:div>
          </w:divsChild>
        </w:div>
        <w:div w:id="861090665">
          <w:marLeft w:val="0"/>
          <w:marRight w:val="0"/>
          <w:marTop w:val="0"/>
          <w:marBottom w:val="0"/>
          <w:divBdr>
            <w:top w:val="none" w:sz="0" w:space="0" w:color="auto"/>
            <w:left w:val="none" w:sz="0" w:space="0" w:color="auto"/>
            <w:bottom w:val="none" w:sz="0" w:space="0" w:color="auto"/>
            <w:right w:val="none" w:sz="0" w:space="0" w:color="auto"/>
          </w:divBdr>
          <w:divsChild>
            <w:div w:id="1738429153">
              <w:marLeft w:val="0"/>
              <w:marRight w:val="0"/>
              <w:marTop w:val="0"/>
              <w:marBottom w:val="0"/>
              <w:divBdr>
                <w:top w:val="none" w:sz="0" w:space="0" w:color="auto"/>
                <w:left w:val="none" w:sz="0" w:space="0" w:color="auto"/>
                <w:bottom w:val="none" w:sz="0" w:space="0" w:color="auto"/>
                <w:right w:val="none" w:sz="0" w:space="0" w:color="auto"/>
              </w:divBdr>
            </w:div>
          </w:divsChild>
        </w:div>
        <w:div w:id="933516392">
          <w:marLeft w:val="0"/>
          <w:marRight w:val="0"/>
          <w:marTop w:val="0"/>
          <w:marBottom w:val="0"/>
          <w:divBdr>
            <w:top w:val="none" w:sz="0" w:space="0" w:color="auto"/>
            <w:left w:val="none" w:sz="0" w:space="0" w:color="auto"/>
            <w:bottom w:val="none" w:sz="0" w:space="0" w:color="auto"/>
            <w:right w:val="none" w:sz="0" w:space="0" w:color="auto"/>
          </w:divBdr>
          <w:divsChild>
            <w:div w:id="491604766">
              <w:marLeft w:val="0"/>
              <w:marRight w:val="0"/>
              <w:marTop w:val="0"/>
              <w:marBottom w:val="0"/>
              <w:divBdr>
                <w:top w:val="none" w:sz="0" w:space="0" w:color="auto"/>
                <w:left w:val="none" w:sz="0" w:space="0" w:color="auto"/>
                <w:bottom w:val="none" w:sz="0" w:space="0" w:color="auto"/>
                <w:right w:val="none" w:sz="0" w:space="0" w:color="auto"/>
              </w:divBdr>
            </w:div>
            <w:div w:id="903217757">
              <w:marLeft w:val="0"/>
              <w:marRight w:val="0"/>
              <w:marTop w:val="0"/>
              <w:marBottom w:val="0"/>
              <w:divBdr>
                <w:top w:val="none" w:sz="0" w:space="0" w:color="auto"/>
                <w:left w:val="none" w:sz="0" w:space="0" w:color="auto"/>
                <w:bottom w:val="none" w:sz="0" w:space="0" w:color="auto"/>
                <w:right w:val="none" w:sz="0" w:space="0" w:color="auto"/>
              </w:divBdr>
            </w:div>
          </w:divsChild>
        </w:div>
        <w:div w:id="1108306770">
          <w:marLeft w:val="0"/>
          <w:marRight w:val="0"/>
          <w:marTop w:val="0"/>
          <w:marBottom w:val="0"/>
          <w:divBdr>
            <w:top w:val="none" w:sz="0" w:space="0" w:color="auto"/>
            <w:left w:val="none" w:sz="0" w:space="0" w:color="auto"/>
            <w:bottom w:val="none" w:sz="0" w:space="0" w:color="auto"/>
            <w:right w:val="none" w:sz="0" w:space="0" w:color="auto"/>
          </w:divBdr>
          <w:divsChild>
            <w:div w:id="1121388419">
              <w:marLeft w:val="0"/>
              <w:marRight w:val="0"/>
              <w:marTop w:val="0"/>
              <w:marBottom w:val="0"/>
              <w:divBdr>
                <w:top w:val="none" w:sz="0" w:space="0" w:color="auto"/>
                <w:left w:val="none" w:sz="0" w:space="0" w:color="auto"/>
                <w:bottom w:val="none" w:sz="0" w:space="0" w:color="auto"/>
                <w:right w:val="none" w:sz="0" w:space="0" w:color="auto"/>
              </w:divBdr>
            </w:div>
          </w:divsChild>
        </w:div>
        <w:div w:id="1205867425">
          <w:marLeft w:val="0"/>
          <w:marRight w:val="0"/>
          <w:marTop w:val="0"/>
          <w:marBottom w:val="0"/>
          <w:divBdr>
            <w:top w:val="none" w:sz="0" w:space="0" w:color="auto"/>
            <w:left w:val="none" w:sz="0" w:space="0" w:color="auto"/>
            <w:bottom w:val="none" w:sz="0" w:space="0" w:color="auto"/>
            <w:right w:val="none" w:sz="0" w:space="0" w:color="auto"/>
          </w:divBdr>
          <w:divsChild>
            <w:div w:id="193004082">
              <w:marLeft w:val="0"/>
              <w:marRight w:val="0"/>
              <w:marTop w:val="0"/>
              <w:marBottom w:val="0"/>
              <w:divBdr>
                <w:top w:val="none" w:sz="0" w:space="0" w:color="auto"/>
                <w:left w:val="none" w:sz="0" w:space="0" w:color="auto"/>
                <w:bottom w:val="none" w:sz="0" w:space="0" w:color="auto"/>
                <w:right w:val="none" w:sz="0" w:space="0" w:color="auto"/>
              </w:divBdr>
            </w:div>
          </w:divsChild>
        </w:div>
        <w:div w:id="1732538996">
          <w:marLeft w:val="0"/>
          <w:marRight w:val="0"/>
          <w:marTop w:val="0"/>
          <w:marBottom w:val="0"/>
          <w:divBdr>
            <w:top w:val="none" w:sz="0" w:space="0" w:color="auto"/>
            <w:left w:val="none" w:sz="0" w:space="0" w:color="auto"/>
            <w:bottom w:val="none" w:sz="0" w:space="0" w:color="auto"/>
            <w:right w:val="none" w:sz="0" w:space="0" w:color="auto"/>
          </w:divBdr>
          <w:divsChild>
            <w:div w:id="607663557">
              <w:marLeft w:val="0"/>
              <w:marRight w:val="0"/>
              <w:marTop w:val="0"/>
              <w:marBottom w:val="0"/>
              <w:divBdr>
                <w:top w:val="none" w:sz="0" w:space="0" w:color="auto"/>
                <w:left w:val="none" w:sz="0" w:space="0" w:color="auto"/>
                <w:bottom w:val="none" w:sz="0" w:space="0" w:color="auto"/>
                <w:right w:val="none" w:sz="0" w:space="0" w:color="auto"/>
              </w:divBdr>
            </w:div>
            <w:div w:id="995954094">
              <w:marLeft w:val="0"/>
              <w:marRight w:val="0"/>
              <w:marTop w:val="0"/>
              <w:marBottom w:val="0"/>
              <w:divBdr>
                <w:top w:val="none" w:sz="0" w:space="0" w:color="auto"/>
                <w:left w:val="none" w:sz="0" w:space="0" w:color="auto"/>
                <w:bottom w:val="none" w:sz="0" w:space="0" w:color="auto"/>
                <w:right w:val="none" w:sz="0" w:space="0" w:color="auto"/>
              </w:divBdr>
            </w:div>
            <w:div w:id="1866821465">
              <w:marLeft w:val="0"/>
              <w:marRight w:val="0"/>
              <w:marTop w:val="0"/>
              <w:marBottom w:val="0"/>
              <w:divBdr>
                <w:top w:val="none" w:sz="0" w:space="0" w:color="auto"/>
                <w:left w:val="none" w:sz="0" w:space="0" w:color="auto"/>
                <w:bottom w:val="none" w:sz="0" w:space="0" w:color="auto"/>
                <w:right w:val="none" w:sz="0" w:space="0" w:color="auto"/>
              </w:divBdr>
            </w:div>
          </w:divsChild>
        </w:div>
        <w:div w:id="2008821969">
          <w:marLeft w:val="0"/>
          <w:marRight w:val="0"/>
          <w:marTop w:val="0"/>
          <w:marBottom w:val="0"/>
          <w:divBdr>
            <w:top w:val="none" w:sz="0" w:space="0" w:color="auto"/>
            <w:left w:val="none" w:sz="0" w:space="0" w:color="auto"/>
            <w:bottom w:val="none" w:sz="0" w:space="0" w:color="auto"/>
            <w:right w:val="none" w:sz="0" w:space="0" w:color="auto"/>
          </w:divBdr>
          <w:divsChild>
            <w:div w:id="37897784">
              <w:marLeft w:val="0"/>
              <w:marRight w:val="0"/>
              <w:marTop w:val="0"/>
              <w:marBottom w:val="0"/>
              <w:divBdr>
                <w:top w:val="none" w:sz="0" w:space="0" w:color="auto"/>
                <w:left w:val="none" w:sz="0" w:space="0" w:color="auto"/>
                <w:bottom w:val="none" w:sz="0" w:space="0" w:color="auto"/>
                <w:right w:val="none" w:sz="0" w:space="0" w:color="auto"/>
              </w:divBdr>
            </w:div>
          </w:divsChild>
        </w:div>
        <w:div w:id="2092040308">
          <w:marLeft w:val="0"/>
          <w:marRight w:val="0"/>
          <w:marTop w:val="0"/>
          <w:marBottom w:val="0"/>
          <w:divBdr>
            <w:top w:val="none" w:sz="0" w:space="0" w:color="auto"/>
            <w:left w:val="none" w:sz="0" w:space="0" w:color="auto"/>
            <w:bottom w:val="none" w:sz="0" w:space="0" w:color="auto"/>
            <w:right w:val="none" w:sz="0" w:space="0" w:color="auto"/>
          </w:divBdr>
          <w:divsChild>
            <w:div w:id="7097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3022">
      <w:bodyDiv w:val="1"/>
      <w:marLeft w:val="0"/>
      <w:marRight w:val="0"/>
      <w:marTop w:val="0"/>
      <w:marBottom w:val="0"/>
      <w:divBdr>
        <w:top w:val="none" w:sz="0" w:space="0" w:color="auto"/>
        <w:left w:val="none" w:sz="0" w:space="0" w:color="auto"/>
        <w:bottom w:val="none" w:sz="0" w:space="0" w:color="auto"/>
        <w:right w:val="none" w:sz="0" w:space="0" w:color="auto"/>
      </w:divBdr>
    </w:div>
    <w:div w:id="2118715851">
      <w:bodyDiv w:val="1"/>
      <w:marLeft w:val="0"/>
      <w:marRight w:val="0"/>
      <w:marTop w:val="0"/>
      <w:marBottom w:val="0"/>
      <w:divBdr>
        <w:top w:val="none" w:sz="0" w:space="0" w:color="auto"/>
        <w:left w:val="none" w:sz="0" w:space="0" w:color="auto"/>
        <w:bottom w:val="none" w:sz="0" w:space="0" w:color="auto"/>
        <w:right w:val="none" w:sz="0" w:space="0" w:color="auto"/>
      </w:divBdr>
      <w:divsChild>
        <w:div w:id="7366532">
          <w:marLeft w:val="0"/>
          <w:marRight w:val="0"/>
          <w:marTop w:val="0"/>
          <w:marBottom w:val="0"/>
          <w:divBdr>
            <w:top w:val="none" w:sz="0" w:space="0" w:color="auto"/>
            <w:left w:val="none" w:sz="0" w:space="0" w:color="auto"/>
            <w:bottom w:val="none" w:sz="0" w:space="0" w:color="auto"/>
            <w:right w:val="none" w:sz="0" w:space="0" w:color="auto"/>
          </w:divBdr>
          <w:divsChild>
            <w:div w:id="2030176160">
              <w:marLeft w:val="0"/>
              <w:marRight w:val="0"/>
              <w:marTop w:val="0"/>
              <w:marBottom w:val="0"/>
              <w:divBdr>
                <w:top w:val="none" w:sz="0" w:space="0" w:color="auto"/>
                <w:left w:val="none" w:sz="0" w:space="0" w:color="auto"/>
                <w:bottom w:val="none" w:sz="0" w:space="0" w:color="auto"/>
                <w:right w:val="none" w:sz="0" w:space="0" w:color="auto"/>
              </w:divBdr>
            </w:div>
          </w:divsChild>
        </w:div>
        <w:div w:id="7685952">
          <w:marLeft w:val="0"/>
          <w:marRight w:val="0"/>
          <w:marTop w:val="0"/>
          <w:marBottom w:val="0"/>
          <w:divBdr>
            <w:top w:val="none" w:sz="0" w:space="0" w:color="auto"/>
            <w:left w:val="none" w:sz="0" w:space="0" w:color="auto"/>
            <w:bottom w:val="none" w:sz="0" w:space="0" w:color="auto"/>
            <w:right w:val="none" w:sz="0" w:space="0" w:color="auto"/>
          </w:divBdr>
          <w:divsChild>
            <w:div w:id="335772067">
              <w:marLeft w:val="0"/>
              <w:marRight w:val="0"/>
              <w:marTop w:val="0"/>
              <w:marBottom w:val="0"/>
              <w:divBdr>
                <w:top w:val="none" w:sz="0" w:space="0" w:color="auto"/>
                <w:left w:val="none" w:sz="0" w:space="0" w:color="auto"/>
                <w:bottom w:val="none" w:sz="0" w:space="0" w:color="auto"/>
                <w:right w:val="none" w:sz="0" w:space="0" w:color="auto"/>
              </w:divBdr>
            </w:div>
          </w:divsChild>
        </w:div>
        <w:div w:id="11151409">
          <w:marLeft w:val="0"/>
          <w:marRight w:val="0"/>
          <w:marTop w:val="0"/>
          <w:marBottom w:val="0"/>
          <w:divBdr>
            <w:top w:val="none" w:sz="0" w:space="0" w:color="auto"/>
            <w:left w:val="none" w:sz="0" w:space="0" w:color="auto"/>
            <w:bottom w:val="none" w:sz="0" w:space="0" w:color="auto"/>
            <w:right w:val="none" w:sz="0" w:space="0" w:color="auto"/>
          </w:divBdr>
          <w:divsChild>
            <w:div w:id="899748021">
              <w:marLeft w:val="0"/>
              <w:marRight w:val="0"/>
              <w:marTop w:val="0"/>
              <w:marBottom w:val="0"/>
              <w:divBdr>
                <w:top w:val="none" w:sz="0" w:space="0" w:color="auto"/>
                <w:left w:val="none" w:sz="0" w:space="0" w:color="auto"/>
                <w:bottom w:val="none" w:sz="0" w:space="0" w:color="auto"/>
                <w:right w:val="none" w:sz="0" w:space="0" w:color="auto"/>
              </w:divBdr>
            </w:div>
          </w:divsChild>
        </w:div>
        <w:div w:id="12804540">
          <w:marLeft w:val="0"/>
          <w:marRight w:val="0"/>
          <w:marTop w:val="0"/>
          <w:marBottom w:val="0"/>
          <w:divBdr>
            <w:top w:val="none" w:sz="0" w:space="0" w:color="auto"/>
            <w:left w:val="none" w:sz="0" w:space="0" w:color="auto"/>
            <w:bottom w:val="none" w:sz="0" w:space="0" w:color="auto"/>
            <w:right w:val="none" w:sz="0" w:space="0" w:color="auto"/>
          </w:divBdr>
          <w:divsChild>
            <w:div w:id="23676336">
              <w:marLeft w:val="0"/>
              <w:marRight w:val="0"/>
              <w:marTop w:val="0"/>
              <w:marBottom w:val="0"/>
              <w:divBdr>
                <w:top w:val="none" w:sz="0" w:space="0" w:color="auto"/>
                <w:left w:val="none" w:sz="0" w:space="0" w:color="auto"/>
                <w:bottom w:val="none" w:sz="0" w:space="0" w:color="auto"/>
                <w:right w:val="none" w:sz="0" w:space="0" w:color="auto"/>
              </w:divBdr>
            </w:div>
          </w:divsChild>
        </w:div>
        <w:div w:id="21904754">
          <w:marLeft w:val="0"/>
          <w:marRight w:val="0"/>
          <w:marTop w:val="0"/>
          <w:marBottom w:val="0"/>
          <w:divBdr>
            <w:top w:val="none" w:sz="0" w:space="0" w:color="auto"/>
            <w:left w:val="none" w:sz="0" w:space="0" w:color="auto"/>
            <w:bottom w:val="none" w:sz="0" w:space="0" w:color="auto"/>
            <w:right w:val="none" w:sz="0" w:space="0" w:color="auto"/>
          </w:divBdr>
          <w:divsChild>
            <w:div w:id="1037851841">
              <w:marLeft w:val="0"/>
              <w:marRight w:val="0"/>
              <w:marTop w:val="0"/>
              <w:marBottom w:val="0"/>
              <w:divBdr>
                <w:top w:val="none" w:sz="0" w:space="0" w:color="auto"/>
                <w:left w:val="none" w:sz="0" w:space="0" w:color="auto"/>
                <w:bottom w:val="none" w:sz="0" w:space="0" w:color="auto"/>
                <w:right w:val="none" w:sz="0" w:space="0" w:color="auto"/>
              </w:divBdr>
            </w:div>
          </w:divsChild>
        </w:div>
        <w:div w:id="26101260">
          <w:marLeft w:val="0"/>
          <w:marRight w:val="0"/>
          <w:marTop w:val="0"/>
          <w:marBottom w:val="0"/>
          <w:divBdr>
            <w:top w:val="none" w:sz="0" w:space="0" w:color="auto"/>
            <w:left w:val="none" w:sz="0" w:space="0" w:color="auto"/>
            <w:bottom w:val="none" w:sz="0" w:space="0" w:color="auto"/>
            <w:right w:val="none" w:sz="0" w:space="0" w:color="auto"/>
          </w:divBdr>
          <w:divsChild>
            <w:div w:id="343440046">
              <w:marLeft w:val="0"/>
              <w:marRight w:val="0"/>
              <w:marTop w:val="0"/>
              <w:marBottom w:val="0"/>
              <w:divBdr>
                <w:top w:val="none" w:sz="0" w:space="0" w:color="auto"/>
                <w:left w:val="none" w:sz="0" w:space="0" w:color="auto"/>
                <w:bottom w:val="none" w:sz="0" w:space="0" w:color="auto"/>
                <w:right w:val="none" w:sz="0" w:space="0" w:color="auto"/>
              </w:divBdr>
            </w:div>
          </w:divsChild>
        </w:div>
        <w:div w:id="26108905">
          <w:marLeft w:val="0"/>
          <w:marRight w:val="0"/>
          <w:marTop w:val="0"/>
          <w:marBottom w:val="0"/>
          <w:divBdr>
            <w:top w:val="none" w:sz="0" w:space="0" w:color="auto"/>
            <w:left w:val="none" w:sz="0" w:space="0" w:color="auto"/>
            <w:bottom w:val="none" w:sz="0" w:space="0" w:color="auto"/>
            <w:right w:val="none" w:sz="0" w:space="0" w:color="auto"/>
          </w:divBdr>
          <w:divsChild>
            <w:div w:id="1846705815">
              <w:marLeft w:val="0"/>
              <w:marRight w:val="0"/>
              <w:marTop w:val="0"/>
              <w:marBottom w:val="0"/>
              <w:divBdr>
                <w:top w:val="none" w:sz="0" w:space="0" w:color="auto"/>
                <w:left w:val="none" w:sz="0" w:space="0" w:color="auto"/>
                <w:bottom w:val="none" w:sz="0" w:space="0" w:color="auto"/>
                <w:right w:val="none" w:sz="0" w:space="0" w:color="auto"/>
              </w:divBdr>
            </w:div>
          </w:divsChild>
        </w:div>
        <w:div w:id="34889589">
          <w:marLeft w:val="0"/>
          <w:marRight w:val="0"/>
          <w:marTop w:val="0"/>
          <w:marBottom w:val="0"/>
          <w:divBdr>
            <w:top w:val="none" w:sz="0" w:space="0" w:color="auto"/>
            <w:left w:val="none" w:sz="0" w:space="0" w:color="auto"/>
            <w:bottom w:val="none" w:sz="0" w:space="0" w:color="auto"/>
            <w:right w:val="none" w:sz="0" w:space="0" w:color="auto"/>
          </w:divBdr>
          <w:divsChild>
            <w:div w:id="1093669082">
              <w:marLeft w:val="0"/>
              <w:marRight w:val="0"/>
              <w:marTop w:val="0"/>
              <w:marBottom w:val="0"/>
              <w:divBdr>
                <w:top w:val="none" w:sz="0" w:space="0" w:color="auto"/>
                <w:left w:val="none" w:sz="0" w:space="0" w:color="auto"/>
                <w:bottom w:val="none" w:sz="0" w:space="0" w:color="auto"/>
                <w:right w:val="none" w:sz="0" w:space="0" w:color="auto"/>
              </w:divBdr>
            </w:div>
          </w:divsChild>
        </w:div>
        <w:div w:id="40906092">
          <w:marLeft w:val="0"/>
          <w:marRight w:val="0"/>
          <w:marTop w:val="0"/>
          <w:marBottom w:val="0"/>
          <w:divBdr>
            <w:top w:val="none" w:sz="0" w:space="0" w:color="auto"/>
            <w:left w:val="none" w:sz="0" w:space="0" w:color="auto"/>
            <w:bottom w:val="none" w:sz="0" w:space="0" w:color="auto"/>
            <w:right w:val="none" w:sz="0" w:space="0" w:color="auto"/>
          </w:divBdr>
          <w:divsChild>
            <w:div w:id="1215582197">
              <w:marLeft w:val="0"/>
              <w:marRight w:val="0"/>
              <w:marTop w:val="0"/>
              <w:marBottom w:val="0"/>
              <w:divBdr>
                <w:top w:val="none" w:sz="0" w:space="0" w:color="auto"/>
                <w:left w:val="none" w:sz="0" w:space="0" w:color="auto"/>
                <w:bottom w:val="none" w:sz="0" w:space="0" w:color="auto"/>
                <w:right w:val="none" w:sz="0" w:space="0" w:color="auto"/>
              </w:divBdr>
            </w:div>
          </w:divsChild>
        </w:div>
        <w:div w:id="99184662">
          <w:marLeft w:val="0"/>
          <w:marRight w:val="0"/>
          <w:marTop w:val="0"/>
          <w:marBottom w:val="0"/>
          <w:divBdr>
            <w:top w:val="none" w:sz="0" w:space="0" w:color="auto"/>
            <w:left w:val="none" w:sz="0" w:space="0" w:color="auto"/>
            <w:bottom w:val="none" w:sz="0" w:space="0" w:color="auto"/>
            <w:right w:val="none" w:sz="0" w:space="0" w:color="auto"/>
          </w:divBdr>
          <w:divsChild>
            <w:div w:id="1611012928">
              <w:marLeft w:val="0"/>
              <w:marRight w:val="0"/>
              <w:marTop w:val="0"/>
              <w:marBottom w:val="0"/>
              <w:divBdr>
                <w:top w:val="none" w:sz="0" w:space="0" w:color="auto"/>
                <w:left w:val="none" w:sz="0" w:space="0" w:color="auto"/>
                <w:bottom w:val="none" w:sz="0" w:space="0" w:color="auto"/>
                <w:right w:val="none" w:sz="0" w:space="0" w:color="auto"/>
              </w:divBdr>
            </w:div>
          </w:divsChild>
        </w:div>
        <w:div w:id="100224108">
          <w:marLeft w:val="0"/>
          <w:marRight w:val="0"/>
          <w:marTop w:val="0"/>
          <w:marBottom w:val="0"/>
          <w:divBdr>
            <w:top w:val="none" w:sz="0" w:space="0" w:color="auto"/>
            <w:left w:val="none" w:sz="0" w:space="0" w:color="auto"/>
            <w:bottom w:val="none" w:sz="0" w:space="0" w:color="auto"/>
            <w:right w:val="none" w:sz="0" w:space="0" w:color="auto"/>
          </w:divBdr>
          <w:divsChild>
            <w:div w:id="1175000723">
              <w:marLeft w:val="0"/>
              <w:marRight w:val="0"/>
              <w:marTop w:val="0"/>
              <w:marBottom w:val="0"/>
              <w:divBdr>
                <w:top w:val="none" w:sz="0" w:space="0" w:color="auto"/>
                <w:left w:val="none" w:sz="0" w:space="0" w:color="auto"/>
                <w:bottom w:val="none" w:sz="0" w:space="0" w:color="auto"/>
                <w:right w:val="none" w:sz="0" w:space="0" w:color="auto"/>
              </w:divBdr>
            </w:div>
          </w:divsChild>
        </w:div>
        <w:div w:id="100803393">
          <w:marLeft w:val="0"/>
          <w:marRight w:val="0"/>
          <w:marTop w:val="0"/>
          <w:marBottom w:val="0"/>
          <w:divBdr>
            <w:top w:val="none" w:sz="0" w:space="0" w:color="auto"/>
            <w:left w:val="none" w:sz="0" w:space="0" w:color="auto"/>
            <w:bottom w:val="none" w:sz="0" w:space="0" w:color="auto"/>
            <w:right w:val="none" w:sz="0" w:space="0" w:color="auto"/>
          </w:divBdr>
          <w:divsChild>
            <w:div w:id="1408303975">
              <w:marLeft w:val="0"/>
              <w:marRight w:val="0"/>
              <w:marTop w:val="0"/>
              <w:marBottom w:val="0"/>
              <w:divBdr>
                <w:top w:val="none" w:sz="0" w:space="0" w:color="auto"/>
                <w:left w:val="none" w:sz="0" w:space="0" w:color="auto"/>
                <w:bottom w:val="none" w:sz="0" w:space="0" w:color="auto"/>
                <w:right w:val="none" w:sz="0" w:space="0" w:color="auto"/>
              </w:divBdr>
            </w:div>
          </w:divsChild>
        </w:div>
        <w:div w:id="134612773">
          <w:marLeft w:val="0"/>
          <w:marRight w:val="0"/>
          <w:marTop w:val="0"/>
          <w:marBottom w:val="0"/>
          <w:divBdr>
            <w:top w:val="none" w:sz="0" w:space="0" w:color="auto"/>
            <w:left w:val="none" w:sz="0" w:space="0" w:color="auto"/>
            <w:bottom w:val="none" w:sz="0" w:space="0" w:color="auto"/>
            <w:right w:val="none" w:sz="0" w:space="0" w:color="auto"/>
          </w:divBdr>
          <w:divsChild>
            <w:div w:id="875966281">
              <w:marLeft w:val="0"/>
              <w:marRight w:val="0"/>
              <w:marTop w:val="0"/>
              <w:marBottom w:val="0"/>
              <w:divBdr>
                <w:top w:val="none" w:sz="0" w:space="0" w:color="auto"/>
                <w:left w:val="none" w:sz="0" w:space="0" w:color="auto"/>
                <w:bottom w:val="none" w:sz="0" w:space="0" w:color="auto"/>
                <w:right w:val="none" w:sz="0" w:space="0" w:color="auto"/>
              </w:divBdr>
            </w:div>
          </w:divsChild>
        </w:div>
        <w:div w:id="140271846">
          <w:marLeft w:val="0"/>
          <w:marRight w:val="0"/>
          <w:marTop w:val="0"/>
          <w:marBottom w:val="0"/>
          <w:divBdr>
            <w:top w:val="none" w:sz="0" w:space="0" w:color="auto"/>
            <w:left w:val="none" w:sz="0" w:space="0" w:color="auto"/>
            <w:bottom w:val="none" w:sz="0" w:space="0" w:color="auto"/>
            <w:right w:val="none" w:sz="0" w:space="0" w:color="auto"/>
          </w:divBdr>
          <w:divsChild>
            <w:div w:id="482818572">
              <w:marLeft w:val="0"/>
              <w:marRight w:val="0"/>
              <w:marTop w:val="0"/>
              <w:marBottom w:val="0"/>
              <w:divBdr>
                <w:top w:val="none" w:sz="0" w:space="0" w:color="auto"/>
                <w:left w:val="none" w:sz="0" w:space="0" w:color="auto"/>
                <w:bottom w:val="none" w:sz="0" w:space="0" w:color="auto"/>
                <w:right w:val="none" w:sz="0" w:space="0" w:color="auto"/>
              </w:divBdr>
            </w:div>
          </w:divsChild>
        </w:div>
        <w:div w:id="157699726">
          <w:marLeft w:val="0"/>
          <w:marRight w:val="0"/>
          <w:marTop w:val="0"/>
          <w:marBottom w:val="0"/>
          <w:divBdr>
            <w:top w:val="none" w:sz="0" w:space="0" w:color="auto"/>
            <w:left w:val="none" w:sz="0" w:space="0" w:color="auto"/>
            <w:bottom w:val="none" w:sz="0" w:space="0" w:color="auto"/>
            <w:right w:val="none" w:sz="0" w:space="0" w:color="auto"/>
          </w:divBdr>
          <w:divsChild>
            <w:div w:id="1522819963">
              <w:marLeft w:val="0"/>
              <w:marRight w:val="0"/>
              <w:marTop w:val="0"/>
              <w:marBottom w:val="0"/>
              <w:divBdr>
                <w:top w:val="none" w:sz="0" w:space="0" w:color="auto"/>
                <w:left w:val="none" w:sz="0" w:space="0" w:color="auto"/>
                <w:bottom w:val="none" w:sz="0" w:space="0" w:color="auto"/>
                <w:right w:val="none" w:sz="0" w:space="0" w:color="auto"/>
              </w:divBdr>
            </w:div>
          </w:divsChild>
        </w:div>
        <w:div w:id="158693844">
          <w:marLeft w:val="0"/>
          <w:marRight w:val="0"/>
          <w:marTop w:val="0"/>
          <w:marBottom w:val="0"/>
          <w:divBdr>
            <w:top w:val="none" w:sz="0" w:space="0" w:color="auto"/>
            <w:left w:val="none" w:sz="0" w:space="0" w:color="auto"/>
            <w:bottom w:val="none" w:sz="0" w:space="0" w:color="auto"/>
            <w:right w:val="none" w:sz="0" w:space="0" w:color="auto"/>
          </w:divBdr>
          <w:divsChild>
            <w:div w:id="1993637747">
              <w:marLeft w:val="0"/>
              <w:marRight w:val="0"/>
              <w:marTop w:val="0"/>
              <w:marBottom w:val="0"/>
              <w:divBdr>
                <w:top w:val="none" w:sz="0" w:space="0" w:color="auto"/>
                <w:left w:val="none" w:sz="0" w:space="0" w:color="auto"/>
                <w:bottom w:val="none" w:sz="0" w:space="0" w:color="auto"/>
                <w:right w:val="none" w:sz="0" w:space="0" w:color="auto"/>
              </w:divBdr>
            </w:div>
          </w:divsChild>
        </w:div>
        <w:div w:id="162865064">
          <w:marLeft w:val="0"/>
          <w:marRight w:val="0"/>
          <w:marTop w:val="0"/>
          <w:marBottom w:val="0"/>
          <w:divBdr>
            <w:top w:val="none" w:sz="0" w:space="0" w:color="auto"/>
            <w:left w:val="none" w:sz="0" w:space="0" w:color="auto"/>
            <w:bottom w:val="none" w:sz="0" w:space="0" w:color="auto"/>
            <w:right w:val="none" w:sz="0" w:space="0" w:color="auto"/>
          </w:divBdr>
          <w:divsChild>
            <w:div w:id="830751565">
              <w:marLeft w:val="0"/>
              <w:marRight w:val="0"/>
              <w:marTop w:val="0"/>
              <w:marBottom w:val="0"/>
              <w:divBdr>
                <w:top w:val="none" w:sz="0" w:space="0" w:color="auto"/>
                <w:left w:val="none" w:sz="0" w:space="0" w:color="auto"/>
                <w:bottom w:val="none" w:sz="0" w:space="0" w:color="auto"/>
                <w:right w:val="none" w:sz="0" w:space="0" w:color="auto"/>
              </w:divBdr>
            </w:div>
          </w:divsChild>
        </w:div>
        <w:div w:id="163015113">
          <w:marLeft w:val="0"/>
          <w:marRight w:val="0"/>
          <w:marTop w:val="0"/>
          <w:marBottom w:val="0"/>
          <w:divBdr>
            <w:top w:val="none" w:sz="0" w:space="0" w:color="auto"/>
            <w:left w:val="none" w:sz="0" w:space="0" w:color="auto"/>
            <w:bottom w:val="none" w:sz="0" w:space="0" w:color="auto"/>
            <w:right w:val="none" w:sz="0" w:space="0" w:color="auto"/>
          </w:divBdr>
          <w:divsChild>
            <w:div w:id="1380203264">
              <w:marLeft w:val="0"/>
              <w:marRight w:val="0"/>
              <w:marTop w:val="0"/>
              <w:marBottom w:val="0"/>
              <w:divBdr>
                <w:top w:val="none" w:sz="0" w:space="0" w:color="auto"/>
                <w:left w:val="none" w:sz="0" w:space="0" w:color="auto"/>
                <w:bottom w:val="none" w:sz="0" w:space="0" w:color="auto"/>
                <w:right w:val="none" w:sz="0" w:space="0" w:color="auto"/>
              </w:divBdr>
            </w:div>
          </w:divsChild>
        </w:div>
        <w:div w:id="166100437">
          <w:marLeft w:val="0"/>
          <w:marRight w:val="0"/>
          <w:marTop w:val="0"/>
          <w:marBottom w:val="0"/>
          <w:divBdr>
            <w:top w:val="none" w:sz="0" w:space="0" w:color="auto"/>
            <w:left w:val="none" w:sz="0" w:space="0" w:color="auto"/>
            <w:bottom w:val="none" w:sz="0" w:space="0" w:color="auto"/>
            <w:right w:val="none" w:sz="0" w:space="0" w:color="auto"/>
          </w:divBdr>
          <w:divsChild>
            <w:div w:id="607086793">
              <w:marLeft w:val="0"/>
              <w:marRight w:val="0"/>
              <w:marTop w:val="0"/>
              <w:marBottom w:val="0"/>
              <w:divBdr>
                <w:top w:val="none" w:sz="0" w:space="0" w:color="auto"/>
                <w:left w:val="none" w:sz="0" w:space="0" w:color="auto"/>
                <w:bottom w:val="none" w:sz="0" w:space="0" w:color="auto"/>
                <w:right w:val="none" w:sz="0" w:space="0" w:color="auto"/>
              </w:divBdr>
            </w:div>
          </w:divsChild>
        </w:div>
        <w:div w:id="168058352">
          <w:marLeft w:val="0"/>
          <w:marRight w:val="0"/>
          <w:marTop w:val="0"/>
          <w:marBottom w:val="0"/>
          <w:divBdr>
            <w:top w:val="none" w:sz="0" w:space="0" w:color="auto"/>
            <w:left w:val="none" w:sz="0" w:space="0" w:color="auto"/>
            <w:bottom w:val="none" w:sz="0" w:space="0" w:color="auto"/>
            <w:right w:val="none" w:sz="0" w:space="0" w:color="auto"/>
          </w:divBdr>
          <w:divsChild>
            <w:div w:id="2079857222">
              <w:marLeft w:val="0"/>
              <w:marRight w:val="0"/>
              <w:marTop w:val="0"/>
              <w:marBottom w:val="0"/>
              <w:divBdr>
                <w:top w:val="none" w:sz="0" w:space="0" w:color="auto"/>
                <w:left w:val="none" w:sz="0" w:space="0" w:color="auto"/>
                <w:bottom w:val="none" w:sz="0" w:space="0" w:color="auto"/>
                <w:right w:val="none" w:sz="0" w:space="0" w:color="auto"/>
              </w:divBdr>
            </w:div>
          </w:divsChild>
        </w:div>
        <w:div w:id="168107431">
          <w:marLeft w:val="0"/>
          <w:marRight w:val="0"/>
          <w:marTop w:val="0"/>
          <w:marBottom w:val="0"/>
          <w:divBdr>
            <w:top w:val="none" w:sz="0" w:space="0" w:color="auto"/>
            <w:left w:val="none" w:sz="0" w:space="0" w:color="auto"/>
            <w:bottom w:val="none" w:sz="0" w:space="0" w:color="auto"/>
            <w:right w:val="none" w:sz="0" w:space="0" w:color="auto"/>
          </w:divBdr>
          <w:divsChild>
            <w:div w:id="1443377973">
              <w:marLeft w:val="0"/>
              <w:marRight w:val="0"/>
              <w:marTop w:val="0"/>
              <w:marBottom w:val="0"/>
              <w:divBdr>
                <w:top w:val="none" w:sz="0" w:space="0" w:color="auto"/>
                <w:left w:val="none" w:sz="0" w:space="0" w:color="auto"/>
                <w:bottom w:val="none" w:sz="0" w:space="0" w:color="auto"/>
                <w:right w:val="none" w:sz="0" w:space="0" w:color="auto"/>
              </w:divBdr>
            </w:div>
          </w:divsChild>
        </w:div>
        <w:div w:id="176501284">
          <w:marLeft w:val="0"/>
          <w:marRight w:val="0"/>
          <w:marTop w:val="0"/>
          <w:marBottom w:val="0"/>
          <w:divBdr>
            <w:top w:val="none" w:sz="0" w:space="0" w:color="auto"/>
            <w:left w:val="none" w:sz="0" w:space="0" w:color="auto"/>
            <w:bottom w:val="none" w:sz="0" w:space="0" w:color="auto"/>
            <w:right w:val="none" w:sz="0" w:space="0" w:color="auto"/>
          </w:divBdr>
          <w:divsChild>
            <w:div w:id="871264744">
              <w:marLeft w:val="0"/>
              <w:marRight w:val="0"/>
              <w:marTop w:val="0"/>
              <w:marBottom w:val="0"/>
              <w:divBdr>
                <w:top w:val="none" w:sz="0" w:space="0" w:color="auto"/>
                <w:left w:val="none" w:sz="0" w:space="0" w:color="auto"/>
                <w:bottom w:val="none" w:sz="0" w:space="0" w:color="auto"/>
                <w:right w:val="none" w:sz="0" w:space="0" w:color="auto"/>
              </w:divBdr>
            </w:div>
          </w:divsChild>
        </w:div>
        <w:div w:id="178276575">
          <w:marLeft w:val="0"/>
          <w:marRight w:val="0"/>
          <w:marTop w:val="0"/>
          <w:marBottom w:val="0"/>
          <w:divBdr>
            <w:top w:val="none" w:sz="0" w:space="0" w:color="auto"/>
            <w:left w:val="none" w:sz="0" w:space="0" w:color="auto"/>
            <w:bottom w:val="none" w:sz="0" w:space="0" w:color="auto"/>
            <w:right w:val="none" w:sz="0" w:space="0" w:color="auto"/>
          </w:divBdr>
          <w:divsChild>
            <w:div w:id="1194467080">
              <w:marLeft w:val="0"/>
              <w:marRight w:val="0"/>
              <w:marTop w:val="0"/>
              <w:marBottom w:val="0"/>
              <w:divBdr>
                <w:top w:val="none" w:sz="0" w:space="0" w:color="auto"/>
                <w:left w:val="none" w:sz="0" w:space="0" w:color="auto"/>
                <w:bottom w:val="none" w:sz="0" w:space="0" w:color="auto"/>
                <w:right w:val="none" w:sz="0" w:space="0" w:color="auto"/>
              </w:divBdr>
            </w:div>
          </w:divsChild>
        </w:div>
        <w:div w:id="179900480">
          <w:marLeft w:val="0"/>
          <w:marRight w:val="0"/>
          <w:marTop w:val="0"/>
          <w:marBottom w:val="0"/>
          <w:divBdr>
            <w:top w:val="none" w:sz="0" w:space="0" w:color="auto"/>
            <w:left w:val="none" w:sz="0" w:space="0" w:color="auto"/>
            <w:bottom w:val="none" w:sz="0" w:space="0" w:color="auto"/>
            <w:right w:val="none" w:sz="0" w:space="0" w:color="auto"/>
          </w:divBdr>
          <w:divsChild>
            <w:div w:id="1898517786">
              <w:marLeft w:val="0"/>
              <w:marRight w:val="0"/>
              <w:marTop w:val="0"/>
              <w:marBottom w:val="0"/>
              <w:divBdr>
                <w:top w:val="none" w:sz="0" w:space="0" w:color="auto"/>
                <w:left w:val="none" w:sz="0" w:space="0" w:color="auto"/>
                <w:bottom w:val="none" w:sz="0" w:space="0" w:color="auto"/>
                <w:right w:val="none" w:sz="0" w:space="0" w:color="auto"/>
              </w:divBdr>
            </w:div>
          </w:divsChild>
        </w:div>
        <w:div w:id="186220239">
          <w:marLeft w:val="0"/>
          <w:marRight w:val="0"/>
          <w:marTop w:val="0"/>
          <w:marBottom w:val="0"/>
          <w:divBdr>
            <w:top w:val="none" w:sz="0" w:space="0" w:color="auto"/>
            <w:left w:val="none" w:sz="0" w:space="0" w:color="auto"/>
            <w:bottom w:val="none" w:sz="0" w:space="0" w:color="auto"/>
            <w:right w:val="none" w:sz="0" w:space="0" w:color="auto"/>
          </w:divBdr>
          <w:divsChild>
            <w:div w:id="1265383848">
              <w:marLeft w:val="0"/>
              <w:marRight w:val="0"/>
              <w:marTop w:val="0"/>
              <w:marBottom w:val="0"/>
              <w:divBdr>
                <w:top w:val="none" w:sz="0" w:space="0" w:color="auto"/>
                <w:left w:val="none" w:sz="0" w:space="0" w:color="auto"/>
                <w:bottom w:val="none" w:sz="0" w:space="0" w:color="auto"/>
                <w:right w:val="none" w:sz="0" w:space="0" w:color="auto"/>
              </w:divBdr>
            </w:div>
          </w:divsChild>
        </w:div>
        <w:div w:id="216019374">
          <w:marLeft w:val="0"/>
          <w:marRight w:val="0"/>
          <w:marTop w:val="0"/>
          <w:marBottom w:val="0"/>
          <w:divBdr>
            <w:top w:val="none" w:sz="0" w:space="0" w:color="auto"/>
            <w:left w:val="none" w:sz="0" w:space="0" w:color="auto"/>
            <w:bottom w:val="none" w:sz="0" w:space="0" w:color="auto"/>
            <w:right w:val="none" w:sz="0" w:space="0" w:color="auto"/>
          </w:divBdr>
          <w:divsChild>
            <w:div w:id="829252655">
              <w:marLeft w:val="0"/>
              <w:marRight w:val="0"/>
              <w:marTop w:val="0"/>
              <w:marBottom w:val="0"/>
              <w:divBdr>
                <w:top w:val="none" w:sz="0" w:space="0" w:color="auto"/>
                <w:left w:val="none" w:sz="0" w:space="0" w:color="auto"/>
                <w:bottom w:val="none" w:sz="0" w:space="0" w:color="auto"/>
                <w:right w:val="none" w:sz="0" w:space="0" w:color="auto"/>
              </w:divBdr>
            </w:div>
          </w:divsChild>
        </w:div>
        <w:div w:id="217478129">
          <w:marLeft w:val="0"/>
          <w:marRight w:val="0"/>
          <w:marTop w:val="0"/>
          <w:marBottom w:val="0"/>
          <w:divBdr>
            <w:top w:val="none" w:sz="0" w:space="0" w:color="auto"/>
            <w:left w:val="none" w:sz="0" w:space="0" w:color="auto"/>
            <w:bottom w:val="none" w:sz="0" w:space="0" w:color="auto"/>
            <w:right w:val="none" w:sz="0" w:space="0" w:color="auto"/>
          </w:divBdr>
          <w:divsChild>
            <w:div w:id="795952713">
              <w:marLeft w:val="0"/>
              <w:marRight w:val="0"/>
              <w:marTop w:val="0"/>
              <w:marBottom w:val="0"/>
              <w:divBdr>
                <w:top w:val="none" w:sz="0" w:space="0" w:color="auto"/>
                <w:left w:val="none" w:sz="0" w:space="0" w:color="auto"/>
                <w:bottom w:val="none" w:sz="0" w:space="0" w:color="auto"/>
                <w:right w:val="none" w:sz="0" w:space="0" w:color="auto"/>
              </w:divBdr>
            </w:div>
          </w:divsChild>
        </w:div>
        <w:div w:id="217934065">
          <w:marLeft w:val="0"/>
          <w:marRight w:val="0"/>
          <w:marTop w:val="0"/>
          <w:marBottom w:val="0"/>
          <w:divBdr>
            <w:top w:val="none" w:sz="0" w:space="0" w:color="auto"/>
            <w:left w:val="none" w:sz="0" w:space="0" w:color="auto"/>
            <w:bottom w:val="none" w:sz="0" w:space="0" w:color="auto"/>
            <w:right w:val="none" w:sz="0" w:space="0" w:color="auto"/>
          </w:divBdr>
          <w:divsChild>
            <w:div w:id="1624725774">
              <w:marLeft w:val="0"/>
              <w:marRight w:val="0"/>
              <w:marTop w:val="0"/>
              <w:marBottom w:val="0"/>
              <w:divBdr>
                <w:top w:val="none" w:sz="0" w:space="0" w:color="auto"/>
                <w:left w:val="none" w:sz="0" w:space="0" w:color="auto"/>
                <w:bottom w:val="none" w:sz="0" w:space="0" w:color="auto"/>
                <w:right w:val="none" w:sz="0" w:space="0" w:color="auto"/>
              </w:divBdr>
            </w:div>
          </w:divsChild>
        </w:div>
        <w:div w:id="240724121">
          <w:marLeft w:val="0"/>
          <w:marRight w:val="0"/>
          <w:marTop w:val="0"/>
          <w:marBottom w:val="0"/>
          <w:divBdr>
            <w:top w:val="none" w:sz="0" w:space="0" w:color="auto"/>
            <w:left w:val="none" w:sz="0" w:space="0" w:color="auto"/>
            <w:bottom w:val="none" w:sz="0" w:space="0" w:color="auto"/>
            <w:right w:val="none" w:sz="0" w:space="0" w:color="auto"/>
          </w:divBdr>
          <w:divsChild>
            <w:div w:id="368803098">
              <w:marLeft w:val="0"/>
              <w:marRight w:val="0"/>
              <w:marTop w:val="0"/>
              <w:marBottom w:val="0"/>
              <w:divBdr>
                <w:top w:val="none" w:sz="0" w:space="0" w:color="auto"/>
                <w:left w:val="none" w:sz="0" w:space="0" w:color="auto"/>
                <w:bottom w:val="none" w:sz="0" w:space="0" w:color="auto"/>
                <w:right w:val="none" w:sz="0" w:space="0" w:color="auto"/>
              </w:divBdr>
            </w:div>
          </w:divsChild>
        </w:div>
        <w:div w:id="258753939">
          <w:marLeft w:val="0"/>
          <w:marRight w:val="0"/>
          <w:marTop w:val="0"/>
          <w:marBottom w:val="0"/>
          <w:divBdr>
            <w:top w:val="none" w:sz="0" w:space="0" w:color="auto"/>
            <w:left w:val="none" w:sz="0" w:space="0" w:color="auto"/>
            <w:bottom w:val="none" w:sz="0" w:space="0" w:color="auto"/>
            <w:right w:val="none" w:sz="0" w:space="0" w:color="auto"/>
          </w:divBdr>
          <w:divsChild>
            <w:div w:id="2025545488">
              <w:marLeft w:val="0"/>
              <w:marRight w:val="0"/>
              <w:marTop w:val="0"/>
              <w:marBottom w:val="0"/>
              <w:divBdr>
                <w:top w:val="none" w:sz="0" w:space="0" w:color="auto"/>
                <w:left w:val="none" w:sz="0" w:space="0" w:color="auto"/>
                <w:bottom w:val="none" w:sz="0" w:space="0" w:color="auto"/>
                <w:right w:val="none" w:sz="0" w:space="0" w:color="auto"/>
              </w:divBdr>
            </w:div>
          </w:divsChild>
        </w:div>
        <w:div w:id="273289714">
          <w:marLeft w:val="0"/>
          <w:marRight w:val="0"/>
          <w:marTop w:val="0"/>
          <w:marBottom w:val="0"/>
          <w:divBdr>
            <w:top w:val="none" w:sz="0" w:space="0" w:color="auto"/>
            <w:left w:val="none" w:sz="0" w:space="0" w:color="auto"/>
            <w:bottom w:val="none" w:sz="0" w:space="0" w:color="auto"/>
            <w:right w:val="none" w:sz="0" w:space="0" w:color="auto"/>
          </w:divBdr>
          <w:divsChild>
            <w:div w:id="266356051">
              <w:marLeft w:val="0"/>
              <w:marRight w:val="0"/>
              <w:marTop w:val="0"/>
              <w:marBottom w:val="0"/>
              <w:divBdr>
                <w:top w:val="none" w:sz="0" w:space="0" w:color="auto"/>
                <w:left w:val="none" w:sz="0" w:space="0" w:color="auto"/>
                <w:bottom w:val="none" w:sz="0" w:space="0" w:color="auto"/>
                <w:right w:val="none" w:sz="0" w:space="0" w:color="auto"/>
              </w:divBdr>
            </w:div>
          </w:divsChild>
        </w:div>
        <w:div w:id="273683109">
          <w:marLeft w:val="0"/>
          <w:marRight w:val="0"/>
          <w:marTop w:val="0"/>
          <w:marBottom w:val="0"/>
          <w:divBdr>
            <w:top w:val="none" w:sz="0" w:space="0" w:color="auto"/>
            <w:left w:val="none" w:sz="0" w:space="0" w:color="auto"/>
            <w:bottom w:val="none" w:sz="0" w:space="0" w:color="auto"/>
            <w:right w:val="none" w:sz="0" w:space="0" w:color="auto"/>
          </w:divBdr>
          <w:divsChild>
            <w:div w:id="254024326">
              <w:marLeft w:val="0"/>
              <w:marRight w:val="0"/>
              <w:marTop w:val="0"/>
              <w:marBottom w:val="0"/>
              <w:divBdr>
                <w:top w:val="none" w:sz="0" w:space="0" w:color="auto"/>
                <w:left w:val="none" w:sz="0" w:space="0" w:color="auto"/>
                <w:bottom w:val="none" w:sz="0" w:space="0" w:color="auto"/>
                <w:right w:val="none" w:sz="0" w:space="0" w:color="auto"/>
              </w:divBdr>
            </w:div>
          </w:divsChild>
        </w:div>
        <w:div w:id="305017276">
          <w:marLeft w:val="0"/>
          <w:marRight w:val="0"/>
          <w:marTop w:val="0"/>
          <w:marBottom w:val="0"/>
          <w:divBdr>
            <w:top w:val="none" w:sz="0" w:space="0" w:color="auto"/>
            <w:left w:val="none" w:sz="0" w:space="0" w:color="auto"/>
            <w:bottom w:val="none" w:sz="0" w:space="0" w:color="auto"/>
            <w:right w:val="none" w:sz="0" w:space="0" w:color="auto"/>
          </w:divBdr>
          <w:divsChild>
            <w:div w:id="311836076">
              <w:marLeft w:val="0"/>
              <w:marRight w:val="0"/>
              <w:marTop w:val="0"/>
              <w:marBottom w:val="0"/>
              <w:divBdr>
                <w:top w:val="none" w:sz="0" w:space="0" w:color="auto"/>
                <w:left w:val="none" w:sz="0" w:space="0" w:color="auto"/>
                <w:bottom w:val="none" w:sz="0" w:space="0" w:color="auto"/>
                <w:right w:val="none" w:sz="0" w:space="0" w:color="auto"/>
              </w:divBdr>
            </w:div>
          </w:divsChild>
        </w:div>
        <w:div w:id="305477521">
          <w:marLeft w:val="0"/>
          <w:marRight w:val="0"/>
          <w:marTop w:val="0"/>
          <w:marBottom w:val="0"/>
          <w:divBdr>
            <w:top w:val="none" w:sz="0" w:space="0" w:color="auto"/>
            <w:left w:val="none" w:sz="0" w:space="0" w:color="auto"/>
            <w:bottom w:val="none" w:sz="0" w:space="0" w:color="auto"/>
            <w:right w:val="none" w:sz="0" w:space="0" w:color="auto"/>
          </w:divBdr>
          <w:divsChild>
            <w:div w:id="604850875">
              <w:marLeft w:val="0"/>
              <w:marRight w:val="0"/>
              <w:marTop w:val="0"/>
              <w:marBottom w:val="0"/>
              <w:divBdr>
                <w:top w:val="none" w:sz="0" w:space="0" w:color="auto"/>
                <w:left w:val="none" w:sz="0" w:space="0" w:color="auto"/>
                <w:bottom w:val="none" w:sz="0" w:space="0" w:color="auto"/>
                <w:right w:val="none" w:sz="0" w:space="0" w:color="auto"/>
              </w:divBdr>
            </w:div>
          </w:divsChild>
        </w:div>
        <w:div w:id="316418796">
          <w:marLeft w:val="0"/>
          <w:marRight w:val="0"/>
          <w:marTop w:val="0"/>
          <w:marBottom w:val="0"/>
          <w:divBdr>
            <w:top w:val="none" w:sz="0" w:space="0" w:color="auto"/>
            <w:left w:val="none" w:sz="0" w:space="0" w:color="auto"/>
            <w:bottom w:val="none" w:sz="0" w:space="0" w:color="auto"/>
            <w:right w:val="none" w:sz="0" w:space="0" w:color="auto"/>
          </w:divBdr>
          <w:divsChild>
            <w:div w:id="1703089964">
              <w:marLeft w:val="0"/>
              <w:marRight w:val="0"/>
              <w:marTop w:val="0"/>
              <w:marBottom w:val="0"/>
              <w:divBdr>
                <w:top w:val="none" w:sz="0" w:space="0" w:color="auto"/>
                <w:left w:val="none" w:sz="0" w:space="0" w:color="auto"/>
                <w:bottom w:val="none" w:sz="0" w:space="0" w:color="auto"/>
                <w:right w:val="none" w:sz="0" w:space="0" w:color="auto"/>
              </w:divBdr>
            </w:div>
          </w:divsChild>
        </w:div>
        <w:div w:id="316614088">
          <w:marLeft w:val="0"/>
          <w:marRight w:val="0"/>
          <w:marTop w:val="0"/>
          <w:marBottom w:val="0"/>
          <w:divBdr>
            <w:top w:val="none" w:sz="0" w:space="0" w:color="auto"/>
            <w:left w:val="none" w:sz="0" w:space="0" w:color="auto"/>
            <w:bottom w:val="none" w:sz="0" w:space="0" w:color="auto"/>
            <w:right w:val="none" w:sz="0" w:space="0" w:color="auto"/>
          </w:divBdr>
          <w:divsChild>
            <w:div w:id="231740841">
              <w:marLeft w:val="0"/>
              <w:marRight w:val="0"/>
              <w:marTop w:val="0"/>
              <w:marBottom w:val="0"/>
              <w:divBdr>
                <w:top w:val="none" w:sz="0" w:space="0" w:color="auto"/>
                <w:left w:val="none" w:sz="0" w:space="0" w:color="auto"/>
                <w:bottom w:val="none" w:sz="0" w:space="0" w:color="auto"/>
                <w:right w:val="none" w:sz="0" w:space="0" w:color="auto"/>
              </w:divBdr>
            </w:div>
          </w:divsChild>
        </w:div>
        <w:div w:id="316959780">
          <w:marLeft w:val="0"/>
          <w:marRight w:val="0"/>
          <w:marTop w:val="0"/>
          <w:marBottom w:val="0"/>
          <w:divBdr>
            <w:top w:val="none" w:sz="0" w:space="0" w:color="auto"/>
            <w:left w:val="none" w:sz="0" w:space="0" w:color="auto"/>
            <w:bottom w:val="none" w:sz="0" w:space="0" w:color="auto"/>
            <w:right w:val="none" w:sz="0" w:space="0" w:color="auto"/>
          </w:divBdr>
          <w:divsChild>
            <w:div w:id="46416978">
              <w:marLeft w:val="0"/>
              <w:marRight w:val="0"/>
              <w:marTop w:val="0"/>
              <w:marBottom w:val="0"/>
              <w:divBdr>
                <w:top w:val="none" w:sz="0" w:space="0" w:color="auto"/>
                <w:left w:val="none" w:sz="0" w:space="0" w:color="auto"/>
                <w:bottom w:val="none" w:sz="0" w:space="0" w:color="auto"/>
                <w:right w:val="none" w:sz="0" w:space="0" w:color="auto"/>
              </w:divBdr>
            </w:div>
          </w:divsChild>
        </w:div>
        <w:div w:id="320012964">
          <w:marLeft w:val="0"/>
          <w:marRight w:val="0"/>
          <w:marTop w:val="0"/>
          <w:marBottom w:val="0"/>
          <w:divBdr>
            <w:top w:val="none" w:sz="0" w:space="0" w:color="auto"/>
            <w:left w:val="none" w:sz="0" w:space="0" w:color="auto"/>
            <w:bottom w:val="none" w:sz="0" w:space="0" w:color="auto"/>
            <w:right w:val="none" w:sz="0" w:space="0" w:color="auto"/>
          </w:divBdr>
          <w:divsChild>
            <w:div w:id="323240725">
              <w:marLeft w:val="0"/>
              <w:marRight w:val="0"/>
              <w:marTop w:val="0"/>
              <w:marBottom w:val="0"/>
              <w:divBdr>
                <w:top w:val="none" w:sz="0" w:space="0" w:color="auto"/>
                <w:left w:val="none" w:sz="0" w:space="0" w:color="auto"/>
                <w:bottom w:val="none" w:sz="0" w:space="0" w:color="auto"/>
                <w:right w:val="none" w:sz="0" w:space="0" w:color="auto"/>
              </w:divBdr>
            </w:div>
          </w:divsChild>
        </w:div>
        <w:div w:id="325939234">
          <w:marLeft w:val="0"/>
          <w:marRight w:val="0"/>
          <w:marTop w:val="0"/>
          <w:marBottom w:val="0"/>
          <w:divBdr>
            <w:top w:val="none" w:sz="0" w:space="0" w:color="auto"/>
            <w:left w:val="none" w:sz="0" w:space="0" w:color="auto"/>
            <w:bottom w:val="none" w:sz="0" w:space="0" w:color="auto"/>
            <w:right w:val="none" w:sz="0" w:space="0" w:color="auto"/>
          </w:divBdr>
          <w:divsChild>
            <w:div w:id="1475676424">
              <w:marLeft w:val="0"/>
              <w:marRight w:val="0"/>
              <w:marTop w:val="0"/>
              <w:marBottom w:val="0"/>
              <w:divBdr>
                <w:top w:val="none" w:sz="0" w:space="0" w:color="auto"/>
                <w:left w:val="none" w:sz="0" w:space="0" w:color="auto"/>
                <w:bottom w:val="none" w:sz="0" w:space="0" w:color="auto"/>
                <w:right w:val="none" w:sz="0" w:space="0" w:color="auto"/>
              </w:divBdr>
            </w:div>
          </w:divsChild>
        </w:div>
        <w:div w:id="362293025">
          <w:marLeft w:val="0"/>
          <w:marRight w:val="0"/>
          <w:marTop w:val="0"/>
          <w:marBottom w:val="0"/>
          <w:divBdr>
            <w:top w:val="none" w:sz="0" w:space="0" w:color="auto"/>
            <w:left w:val="none" w:sz="0" w:space="0" w:color="auto"/>
            <w:bottom w:val="none" w:sz="0" w:space="0" w:color="auto"/>
            <w:right w:val="none" w:sz="0" w:space="0" w:color="auto"/>
          </w:divBdr>
          <w:divsChild>
            <w:div w:id="116267827">
              <w:marLeft w:val="0"/>
              <w:marRight w:val="0"/>
              <w:marTop w:val="0"/>
              <w:marBottom w:val="0"/>
              <w:divBdr>
                <w:top w:val="none" w:sz="0" w:space="0" w:color="auto"/>
                <w:left w:val="none" w:sz="0" w:space="0" w:color="auto"/>
                <w:bottom w:val="none" w:sz="0" w:space="0" w:color="auto"/>
                <w:right w:val="none" w:sz="0" w:space="0" w:color="auto"/>
              </w:divBdr>
            </w:div>
          </w:divsChild>
        </w:div>
        <w:div w:id="365982247">
          <w:marLeft w:val="0"/>
          <w:marRight w:val="0"/>
          <w:marTop w:val="0"/>
          <w:marBottom w:val="0"/>
          <w:divBdr>
            <w:top w:val="none" w:sz="0" w:space="0" w:color="auto"/>
            <w:left w:val="none" w:sz="0" w:space="0" w:color="auto"/>
            <w:bottom w:val="none" w:sz="0" w:space="0" w:color="auto"/>
            <w:right w:val="none" w:sz="0" w:space="0" w:color="auto"/>
          </w:divBdr>
          <w:divsChild>
            <w:div w:id="1253929395">
              <w:marLeft w:val="0"/>
              <w:marRight w:val="0"/>
              <w:marTop w:val="0"/>
              <w:marBottom w:val="0"/>
              <w:divBdr>
                <w:top w:val="none" w:sz="0" w:space="0" w:color="auto"/>
                <w:left w:val="none" w:sz="0" w:space="0" w:color="auto"/>
                <w:bottom w:val="none" w:sz="0" w:space="0" w:color="auto"/>
                <w:right w:val="none" w:sz="0" w:space="0" w:color="auto"/>
              </w:divBdr>
            </w:div>
          </w:divsChild>
        </w:div>
        <w:div w:id="374085148">
          <w:marLeft w:val="0"/>
          <w:marRight w:val="0"/>
          <w:marTop w:val="0"/>
          <w:marBottom w:val="0"/>
          <w:divBdr>
            <w:top w:val="none" w:sz="0" w:space="0" w:color="auto"/>
            <w:left w:val="none" w:sz="0" w:space="0" w:color="auto"/>
            <w:bottom w:val="none" w:sz="0" w:space="0" w:color="auto"/>
            <w:right w:val="none" w:sz="0" w:space="0" w:color="auto"/>
          </w:divBdr>
          <w:divsChild>
            <w:div w:id="1992631499">
              <w:marLeft w:val="0"/>
              <w:marRight w:val="0"/>
              <w:marTop w:val="0"/>
              <w:marBottom w:val="0"/>
              <w:divBdr>
                <w:top w:val="none" w:sz="0" w:space="0" w:color="auto"/>
                <w:left w:val="none" w:sz="0" w:space="0" w:color="auto"/>
                <w:bottom w:val="none" w:sz="0" w:space="0" w:color="auto"/>
                <w:right w:val="none" w:sz="0" w:space="0" w:color="auto"/>
              </w:divBdr>
            </w:div>
          </w:divsChild>
        </w:div>
        <w:div w:id="389160074">
          <w:marLeft w:val="0"/>
          <w:marRight w:val="0"/>
          <w:marTop w:val="0"/>
          <w:marBottom w:val="0"/>
          <w:divBdr>
            <w:top w:val="none" w:sz="0" w:space="0" w:color="auto"/>
            <w:left w:val="none" w:sz="0" w:space="0" w:color="auto"/>
            <w:bottom w:val="none" w:sz="0" w:space="0" w:color="auto"/>
            <w:right w:val="none" w:sz="0" w:space="0" w:color="auto"/>
          </w:divBdr>
          <w:divsChild>
            <w:div w:id="1297565268">
              <w:marLeft w:val="0"/>
              <w:marRight w:val="0"/>
              <w:marTop w:val="0"/>
              <w:marBottom w:val="0"/>
              <w:divBdr>
                <w:top w:val="none" w:sz="0" w:space="0" w:color="auto"/>
                <w:left w:val="none" w:sz="0" w:space="0" w:color="auto"/>
                <w:bottom w:val="none" w:sz="0" w:space="0" w:color="auto"/>
                <w:right w:val="none" w:sz="0" w:space="0" w:color="auto"/>
              </w:divBdr>
            </w:div>
          </w:divsChild>
        </w:div>
        <w:div w:id="396783066">
          <w:marLeft w:val="0"/>
          <w:marRight w:val="0"/>
          <w:marTop w:val="0"/>
          <w:marBottom w:val="0"/>
          <w:divBdr>
            <w:top w:val="none" w:sz="0" w:space="0" w:color="auto"/>
            <w:left w:val="none" w:sz="0" w:space="0" w:color="auto"/>
            <w:bottom w:val="none" w:sz="0" w:space="0" w:color="auto"/>
            <w:right w:val="none" w:sz="0" w:space="0" w:color="auto"/>
          </w:divBdr>
          <w:divsChild>
            <w:div w:id="766314964">
              <w:marLeft w:val="0"/>
              <w:marRight w:val="0"/>
              <w:marTop w:val="0"/>
              <w:marBottom w:val="0"/>
              <w:divBdr>
                <w:top w:val="none" w:sz="0" w:space="0" w:color="auto"/>
                <w:left w:val="none" w:sz="0" w:space="0" w:color="auto"/>
                <w:bottom w:val="none" w:sz="0" w:space="0" w:color="auto"/>
                <w:right w:val="none" w:sz="0" w:space="0" w:color="auto"/>
              </w:divBdr>
            </w:div>
          </w:divsChild>
        </w:div>
        <w:div w:id="399063348">
          <w:marLeft w:val="0"/>
          <w:marRight w:val="0"/>
          <w:marTop w:val="0"/>
          <w:marBottom w:val="0"/>
          <w:divBdr>
            <w:top w:val="none" w:sz="0" w:space="0" w:color="auto"/>
            <w:left w:val="none" w:sz="0" w:space="0" w:color="auto"/>
            <w:bottom w:val="none" w:sz="0" w:space="0" w:color="auto"/>
            <w:right w:val="none" w:sz="0" w:space="0" w:color="auto"/>
          </w:divBdr>
          <w:divsChild>
            <w:div w:id="2026786669">
              <w:marLeft w:val="0"/>
              <w:marRight w:val="0"/>
              <w:marTop w:val="0"/>
              <w:marBottom w:val="0"/>
              <w:divBdr>
                <w:top w:val="none" w:sz="0" w:space="0" w:color="auto"/>
                <w:left w:val="none" w:sz="0" w:space="0" w:color="auto"/>
                <w:bottom w:val="none" w:sz="0" w:space="0" w:color="auto"/>
                <w:right w:val="none" w:sz="0" w:space="0" w:color="auto"/>
              </w:divBdr>
            </w:div>
          </w:divsChild>
        </w:div>
        <w:div w:id="417210648">
          <w:marLeft w:val="0"/>
          <w:marRight w:val="0"/>
          <w:marTop w:val="0"/>
          <w:marBottom w:val="0"/>
          <w:divBdr>
            <w:top w:val="none" w:sz="0" w:space="0" w:color="auto"/>
            <w:left w:val="none" w:sz="0" w:space="0" w:color="auto"/>
            <w:bottom w:val="none" w:sz="0" w:space="0" w:color="auto"/>
            <w:right w:val="none" w:sz="0" w:space="0" w:color="auto"/>
          </w:divBdr>
          <w:divsChild>
            <w:div w:id="295835653">
              <w:marLeft w:val="0"/>
              <w:marRight w:val="0"/>
              <w:marTop w:val="0"/>
              <w:marBottom w:val="0"/>
              <w:divBdr>
                <w:top w:val="none" w:sz="0" w:space="0" w:color="auto"/>
                <w:left w:val="none" w:sz="0" w:space="0" w:color="auto"/>
                <w:bottom w:val="none" w:sz="0" w:space="0" w:color="auto"/>
                <w:right w:val="none" w:sz="0" w:space="0" w:color="auto"/>
              </w:divBdr>
            </w:div>
          </w:divsChild>
        </w:div>
        <w:div w:id="424149809">
          <w:marLeft w:val="0"/>
          <w:marRight w:val="0"/>
          <w:marTop w:val="0"/>
          <w:marBottom w:val="0"/>
          <w:divBdr>
            <w:top w:val="none" w:sz="0" w:space="0" w:color="auto"/>
            <w:left w:val="none" w:sz="0" w:space="0" w:color="auto"/>
            <w:bottom w:val="none" w:sz="0" w:space="0" w:color="auto"/>
            <w:right w:val="none" w:sz="0" w:space="0" w:color="auto"/>
          </w:divBdr>
          <w:divsChild>
            <w:div w:id="1485974805">
              <w:marLeft w:val="0"/>
              <w:marRight w:val="0"/>
              <w:marTop w:val="0"/>
              <w:marBottom w:val="0"/>
              <w:divBdr>
                <w:top w:val="none" w:sz="0" w:space="0" w:color="auto"/>
                <w:left w:val="none" w:sz="0" w:space="0" w:color="auto"/>
                <w:bottom w:val="none" w:sz="0" w:space="0" w:color="auto"/>
                <w:right w:val="none" w:sz="0" w:space="0" w:color="auto"/>
              </w:divBdr>
            </w:div>
          </w:divsChild>
        </w:div>
        <w:div w:id="433598807">
          <w:marLeft w:val="0"/>
          <w:marRight w:val="0"/>
          <w:marTop w:val="0"/>
          <w:marBottom w:val="0"/>
          <w:divBdr>
            <w:top w:val="none" w:sz="0" w:space="0" w:color="auto"/>
            <w:left w:val="none" w:sz="0" w:space="0" w:color="auto"/>
            <w:bottom w:val="none" w:sz="0" w:space="0" w:color="auto"/>
            <w:right w:val="none" w:sz="0" w:space="0" w:color="auto"/>
          </w:divBdr>
          <w:divsChild>
            <w:div w:id="1414745561">
              <w:marLeft w:val="0"/>
              <w:marRight w:val="0"/>
              <w:marTop w:val="0"/>
              <w:marBottom w:val="0"/>
              <w:divBdr>
                <w:top w:val="none" w:sz="0" w:space="0" w:color="auto"/>
                <w:left w:val="none" w:sz="0" w:space="0" w:color="auto"/>
                <w:bottom w:val="none" w:sz="0" w:space="0" w:color="auto"/>
                <w:right w:val="none" w:sz="0" w:space="0" w:color="auto"/>
              </w:divBdr>
            </w:div>
          </w:divsChild>
        </w:div>
        <w:div w:id="434792204">
          <w:marLeft w:val="0"/>
          <w:marRight w:val="0"/>
          <w:marTop w:val="0"/>
          <w:marBottom w:val="0"/>
          <w:divBdr>
            <w:top w:val="none" w:sz="0" w:space="0" w:color="auto"/>
            <w:left w:val="none" w:sz="0" w:space="0" w:color="auto"/>
            <w:bottom w:val="none" w:sz="0" w:space="0" w:color="auto"/>
            <w:right w:val="none" w:sz="0" w:space="0" w:color="auto"/>
          </w:divBdr>
          <w:divsChild>
            <w:div w:id="1961185213">
              <w:marLeft w:val="0"/>
              <w:marRight w:val="0"/>
              <w:marTop w:val="0"/>
              <w:marBottom w:val="0"/>
              <w:divBdr>
                <w:top w:val="none" w:sz="0" w:space="0" w:color="auto"/>
                <w:left w:val="none" w:sz="0" w:space="0" w:color="auto"/>
                <w:bottom w:val="none" w:sz="0" w:space="0" w:color="auto"/>
                <w:right w:val="none" w:sz="0" w:space="0" w:color="auto"/>
              </w:divBdr>
            </w:div>
          </w:divsChild>
        </w:div>
        <w:div w:id="454763215">
          <w:marLeft w:val="0"/>
          <w:marRight w:val="0"/>
          <w:marTop w:val="0"/>
          <w:marBottom w:val="0"/>
          <w:divBdr>
            <w:top w:val="none" w:sz="0" w:space="0" w:color="auto"/>
            <w:left w:val="none" w:sz="0" w:space="0" w:color="auto"/>
            <w:bottom w:val="none" w:sz="0" w:space="0" w:color="auto"/>
            <w:right w:val="none" w:sz="0" w:space="0" w:color="auto"/>
          </w:divBdr>
          <w:divsChild>
            <w:div w:id="1434352512">
              <w:marLeft w:val="0"/>
              <w:marRight w:val="0"/>
              <w:marTop w:val="0"/>
              <w:marBottom w:val="0"/>
              <w:divBdr>
                <w:top w:val="none" w:sz="0" w:space="0" w:color="auto"/>
                <w:left w:val="none" w:sz="0" w:space="0" w:color="auto"/>
                <w:bottom w:val="none" w:sz="0" w:space="0" w:color="auto"/>
                <w:right w:val="none" w:sz="0" w:space="0" w:color="auto"/>
              </w:divBdr>
            </w:div>
          </w:divsChild>
        </w:div>
        <w:div w:id="478303697">
          <w:marLeft w:val="0"/>
          <w:marRight w:val="0"/>
          <w:marTop w:val="0"/>
          <w:marBottom w:val="0"/>
          <w:divBdr>
            <w:top w:val="none" w:sz="0" w:space="0" w:color="auto"/>
            <w:left w:val="none" w:sz="0" w:space="0" w:color="auto"/>
            <w:bottom w:val="none" w:sz="0" w:space="0" w:color="auto"/>
            <w:right w:val="none" w:sz="0" w:space="0" w:color="auto"/>
          </w:divBdr>
          <w:divsChild>
            <w:div w:id="1974172318">
              <w:marLeft w:val="0"/>
              <w:marRight w:val="0"/>
              <w:marTop w:val="0"/>
              <w:marBottom w:val="0"/>
              <w:divBdr>
                <w:top w:val="none" w:sz="0" w:space="0" w:color="auto"/>
                <w:left w:val="none" w:sz="0" w:space="0" w:color="auto"/>
                <w:bottom w:val="none" w:sz="0" w:space="0" w:color="auto"/>
                <w:right w:val="none" w:sz="0" w:space="0" w:color="auto"/>
              </w:divBdr>
            </w:div>
          </w:divsChild>
        </w:div>
        <w:div w:id="491602913">
          <w:marLeft w:val="0"/>
          <w:marRight w:val="0"/>
          <w:marTop w:val="0"/>
          <w:marBottom w:val="0"/>
          <w:divBdr>
            <w:top w:val="none" w:sz="0" w:space="0" w:color="auto"/>
            <w:left w:val="none" w:sz="0" w:space="0" w:color="auto"/>
            <w:bottom w:val="none" w:sz="0" w:space="0" w:color="auto"/>
            <w:right w:val="none" w:sz="0" w:space="0" w:color="auto"/>
          </w:divBdr>
          <w:divsChild>
            <w:div w:id="1025406324">
              <w:marLeft w:val="0"/>
              <w:marRight w:val="0"/>
              <w:marTop w:val="0"/>
              <w:marBottom w:val="0"/>
              <w:divBdr>
                <w:top w:val="none" w:sz="0" w:space="0" w:color="auto"/>
                <w:left w:val="none" w:sz="0" w:space="0" w:color="auto"/>
                <w:bottom w:val="none" w:sz="0" w:space="0" w:color="auto"/>
                <w:right w:val="none" w:sz="0" w:space="0" w:color="auto"/>
              </w:divBdr>
            </w:div>
          </w:divsChild>
        </w:div>
        <w:div w:id="492991459">
          <w:marLeft w:val="0"/>
          <w:marRight w:val="0"/>
          <w:marTop w:val="0"/>
          <w:marBottom w:val="0"/>
          <w:divBdr>
            <w:top w:val="none" w:sz="0" w:space="0" w:color="auto"/>
            <w:left w:val="none" w:sz="0" w:space="0" w:color="auto"/>
            <w:bottom w:val="none" w:sz="0" w:space="0" w:color="auto"/>
            <w:right w:val="none" w:sz="0" w:space="0" w:color="auto"/>
          </w:divBdr>
          <w:divsChild>
            <w:div w:id="10036411">
              <w:marLeft w:val="0"/>
              <w:marRight w:val="0"/>
              <w:marTop w:val="0"/>
              <w:marBottom w:val="0"/>
              <w:divBdr>
                <w:top w:val="none" w:sz="0" w:space="0" w:color="auto"/>
                <w:left w:val="none" w:sz="0" w:space="0" w:color="auto"/>
                <w:bottom w:val="none" w:sz="0" w:space="0" w:color="auto"/>
                <w:right w:val="none" w:sz="0" w:space="0" w:color="auto"/>
              </w:divBdr>
            </w:div>
          </w:divsChild>
        </w:div>
        <w:div w:id="503859384">
          <w:marLeft w:val="0"/>
          <w:marRight w:val="0"/>
          <w:marTop w:val="0"/>
          <w:marBottom w:val="0"/>
          <w:divBdr>
            <w:top w:val="none" w:sz="0" w:space="0" w:color="auto"/>
            <w:left w:val="none" w:sz="0" w:space="0" w:color="auto"/>
            <w:bottom w:val="none" w:sz="0" w:space="0" w:color="auto"/>
            <w:right w:val="none" w:sz="0" w:space="0" w:color="auto"/>
          </w:divBdr>
          <w:divsChild>
            <w:div w:id="1819305174">
              <w:marLeft w:val="0"/>
              <w:marRight w:val="0"/>
              <w:marTop w:val="0"/>
              <w:marBottom w:val="0"/>
              <w:divBdr>
                <w:top w:val="none" w:sz="0" w:space="0" w:color="auto"/>
                <w:left w:val="none" w:sz="0" w:space="0" w:color="auto"/>
                <w:bottom w:val="none" w:sz="0" w:space="0" w:color="auto"/>
                <w:right w:val="none" w:sz="0" w:space="0" w:color="auto"/>
              </w:divBdr>
            </w:div>
          </w:divsChild>
        </w:div>
        <w:div w:id="505480739">
          <w:marLeft w:val="0"/>
          <w:marRight w:val="0"/>
          <w:marTop w:val="0"/>
          <w:marBottom w:val="0"/>
          <w:divBdr>
            <w:top w:val="none" w:sz="0" w:space="0" w:color="auto"/>
            <w:left w:val="none" w:sz="0" w:space="0" w:color="auto"/>
            <w:bottom w:val="none" w:sz="0" w:space="0" w:color="auto"/>
            <w:right w:val="none" w:sz="0" w:space="0" w:color="auto"/>
          </w:divBdr>
          <w:divsChild>
            <w:div w:id="1151949734">
              <w:marLeft w:val="0"/>
              <w:marRight w:val="0"/>
              <w:marTop w:val="0"/>
              <w:marBottom w:val="0"/>
              <w:divBdr>
                <w:top w:val="none" w:sz="0" w:space="0" w:color="auto"/>
                <w:left w:val="none" w:sz="0" w:space="0" w:color="auto"/>
                <w:bottom w:val="none" w:sz="0" w:space="0" w:color="auto"/>
                <w:right w:val="none" w:sz="0" w:space="0" w:color="auto"/>
              </w:divBdr>
            </w:div>
          </w:divsChild>
        </w:div>
        <w:div w:id="507057914">
          <w:marLeft w:val="0"/>
          <w:marRight w:val="0"/>
          <w:marTop w:val="0"/>
          <w:marBottom w:val="0"/>
          <w:divBdr>
            <w:top w:val="none" w:sz="0" w:space="0" w:color="auto"/>
            <w:left w:val="none" w:sz="0" w:space="0" w:color="auto"/>
            <w:bottom w:val="none" w:sz="0" w:space="0" w:color="auto"/>
            <w:right w:val="none" w:sz="0" w:space="0" w:color="auto"/>
          </w:divBdr>
          <w:divsChild>
            <w:div w:id="2037149865">
              <w:marLeft w:val="0"/>
              <w:marRight w:val="0"/>
              <w:marTop w:val="0"/>
              <w:marBottom w:val="0"/>
              <w:divBdr>
                <w:top w:val="none" w:sz="0" w:space="0" w:color="auto"/>
                <w:left w:val="none" w:sz="0" w:space="0" w:color="auto"/>
                <w:bottom w:val="none" w:sz="0" w:space="0" w:color="auto"/>
                <w:right w:val="none" w:sz="0" w:space="0" w:color="auto"/>
              </w:divBdr>
            </w:div>
          </w:divsChild>
        </w:div>
        <w:div w:id="527110503">
          <w:marLeft w:val="0"/>
          <w:marRight w:val="0"/>
          <w:marTop w:val="0"/>
          <w:marBottom w:val="0"/>
          <w:divBdr>
            <w:top w:val="none" w:sz="0" w:space="0" w:color="auto"/>
            <w:left w:val="none" w:sz="0" w:space="0" w:color="auto"/>
            <w:bottom w:val="none" w:sz="0" w:space="0" w:color="auto"/>
            <w:right w:val="none" w:sz="0" w:space="0" w:color="auto"/>
          </w:divBdr>
          <w:divsChild>
            <w:div w:id="1762094742">
              <w:marLeft w:val="0"/>
              <w:marRight w:val="0"/>
              <w:marTop w:val="0"/>
              <w:marBottom w:val="0"/>
              <w:divBdr>
                <w:top w:val="none" w:sz="0" w:space="0" w:color="auto"/>
                <w:left w:val="none" w:sz="0" w:space="0" w:color="auto"/>
                <w:bottom w:val="none" w:sz="0" w:space="0" w:color="auto"/>
                <w:right w:val="none" w:sz="0" w:space="0" w:color="auto"/>
              </w:divBdr>
            </w:div>
          </w:divsChild>
        </w:div>
        <w:div w:id="544026674">
          <w:marLeft w:val="0"/>
          <w:marRight w:val="0"/>
          <w:marTop w:val="0"/>
          <w:marBottom w:val="0"/>
          <w:divBdr>
            <w:top w:val="none" w:sz="0" w:space="0" w:color="auto"/>
            <w:left w:val="none" w:sz="0" w:space="0" w:color="auto"/>
            <w:bottom w:val="none" w:sz="0" w:space="0" w:color="auto"/>
            <w:right w:val="none" w:sz="0" w:space="0" w:color="auto"/>
          </w:divBdr>
          <w:divsChild>
            <w:div w:id="990521801">
              <w:marLeft w:val="0"/>
              <w:marRight w:val="0"/>
              <w:marTop w:val="0"/>
              <w:marBottom w:val="0"/>
              <w:divBdr>
                <w:top w:val="none" w:sz="0" w:space="0" w:color="auto"/>
                <w:left w:val="none" w:sz="0" w:space="0" w:color="auto"/>
                <w:bottom w:val="none" w:sz="0" w:space="0" w:color="auto"/>
                <w:right w:val="none" w:sz="0" w:space="0" w:color="auto"/>
              </w:divBdr>
            </w:div>
          </w:divsChild>
        </w:div>
        <w:div w:id="552279376">
          <w:marLeft w:val="0"/>
          <w:marRight w:val="0"/>
          <w:marTop w:val="0"/>
          <w:marBottom w:val="0"/>
          <w:divBdr>
            <w:top w:val="none" w:sz="0" w:space="0" w:color="auto"/>
            <w:left w:val="none" w:sz="0" w:space="0" w:color="auto"/>
            <w:bottom w:val="none" w:sz="0" w:space="0" w:color="auto"/>
            <w:right w:val="none" w:sz="0" w:space="0" w:color="auto"/>
          </w:divBdr>
          <w:divsChild>
            <w:div w:id="975333971">
              <w:marLeft w:val="0"/>
              <w:marRight w:val="0"/>
              <w:marTop w:val="0"/>
              <w:marBottom w:val="0"/>
              <w:divBdr>
                <w:top w:val="none" w:sz="0" w:space="0" w:color="auto"/>
                <w:left w:val="none" w:sz="0" w:space="0" w:color="auto"/>
                <w:bottom w:val="none" w:sz="0" w:space="0" w:color="auto"/>
                <w:right w:val="none" w:sz="0" w:space="0" w:color="auto"/>
              </w:divBdr>
            </w:div>
          </w:divsChild>
        </w:div>
        <w:div w:id="555970594">
          <w:marLeft w:val="0"/>
          <w:marRight w:val="0"/>
          <w:marTop w:val="0"/>
          <w:marBottom w:val="0"/>
          <w:divBdr>
            <w:top w:val="none" w:sz="0" w:space="0" w:color="auto"/>
            <w:left w:val="none" w:sz="0" w:space="0" w:color="auto"/>
            <w:bottom w:val="none" w:sz="0" w:space="0" w:color="auto"/>
            <w:right w:val="none" w:sz="0" w:space="0" w:color="auto"/>
          </w:divBdr>
          <w:divsChild>
            <w:div w:id="1787919643">
              <w:marLeft w:val="0"/>
              <w:marRight w:val="0"/>
              <w:marTop w:val="0"/>
              <w:marBottom w:val="0"/>
              <w:divBdr>
                <w:top w:val="none" w:sz="0" w:space="0" w:color="auto"/>
                <w:left w:val="none" w:sz="0" w:space="0" w:color="auto"/>
                <w:bottom w:val="none" w:sz="0" w:space="0" w:color="auto"/>
                <w:right w:val="none" w:sz="0" w:space="0" w:color="auto"/>
              </w:divBdr>
            </w:div>
          </w:divsChild>
        </w:div>
        <w:div w:id="556169585">
          <w:marLeft w:val="0"/>
          <w:marRight w:val="0"/>
          <w:marTop w:val="0"/>
          <w:marBottom w:val="0"/>
          <w:divBdr>
            <w:top w:val="none" w:sz="0" w:space="0" w:color="auto"/>
            <w:left w:val="none" w:sz="0" w:space="0" w:color="auto"/>
            <w:bottom w:val="none" w:sz="0" w:space="0" w:color="auto"/>
            <w:right w:val="none" w:sz="0" w:space="0" w:color="auto"/>
          </w:divBdr>
          <w:divsChild>
            <w:div w:id="1102140723">
              <w:marLeft w:val="0"/>
              <w:marRight w:val="0"/>
              <w:marTop w:val="0"/>
              <w:marBottom w:val="0"/>
              <w:divBdr>
                <w:top w:val="none" w:sz="0" w:space="0" w:color="auto"/>
                <w:left w:val="none" w:sz="0" w:space="0" w:color="auto"/>
                <w:bottom w:val="none" w:sz="0" w:space="0" w:color="auto"/>
                <w:right w:val="none" w:sz="0" w:space="0" w:color="auto"/>
              </w:divBdr>
            </w:div>
          </w:divsChild>
        </w:div>
        <w:div w:id="558249913">
          <w:marLeft w:val="0"/>
          <w:marRight w:val="0"/>
          <w:marTop w:val="0"/>
          <w:marBottom w:val="0"/>
          <w:divBdr>
            <w:top w:val="none" w:sz="0" w:space="0" w:color="auto"/>
            <w:left w:val="none" w:sz="0" w:space="0" w:color="auto"/>
            <w:bottom w:val="none" w:sz="0" w:space="0" w:color="auto"/>
            <w:right w:val="none" w:sz="0" w:space="0" w:color="auto"/>
          </w:divBdr>
          <w:divsChild>
            <w:div w:id="1914704978">
              <w:marLeft w:val="0"/>
              <w:marRight w:val="0"/>
              <w:marTop w:val="0"/>
              <w:marBottom w:val="0"/>
              <w:divBdr>
                <w:top w:val="none" w:sz="0" w:space="0" w:color="auto"/>
                <w:left w:val="none" w:sz="0" w:space="0" w:color="auto"/>
                <w:bottom w:val="none" w:sz="0" w:space="0" w:color="auto"/>
                <w:right w:val="none" w:sz="0" w:space="0" w:color="auto"/>
              </w:divBdr>
            </w:div>
          </w:divsChild>
        </w:div>
        <w:div w:id="558521464">
          <w:marLeft w:val="0"/>
          <w:marRight w:val="0"/>
          <w:marTop w:val="0"/>
          <w:marBottom w:val="0"/>
          <w:divBdr>
            <w:top w:val="none" w:sz="0" w:space="0" w:color="auto"/>
            <w:left w:val="none" w:sz="0" w:space="0" w:color="auto"/>
            <w:bottom w:val="none" w:sz="0" w:space="0" w:color="auto"/>
            <w:right w:val="none" w:sz="0" w:space="0" w:color="auto"/>
          </w:divBdr>
          <w:divsChild>
            <w:div w:id="236286197">
              <w:marLeft w:val="0"/>
              <w:marRight w:val="0"/>
              <w:marTop w:val="0"/>
              <w:marBottom w:val="0"/>
              <w:divBdr>
                <w:top w:val="none" w:sz="0" w:space="0" w:color="auto"/>
                <w:left w:val="none" w:sz="0" w:space="0" w:color="auto"/>
                <w:bottom w:val="none" w:sz="0" w:space="0" w:color="auto"/>
                <w:right w:val="none" w:sz="0" w:space="0" w:color="auto"/>
              </w:divBdr>
            </w:div>
          </w:divsChild>
        </w:div>
        <w:div w:id="566258788">
          <w:marLeft w:val="0"/>
          <w:marRight w:val="0"/>
          <w:marTop w:val="0"/>
          <w:marBottom w:val="0"/>
          <w:divBdr>
            <w:top w:val="none" w:sz="0" w:space="0" w:color="auto"/>
            <w:left w:val="none" w:sz="0" w:space="0" w:color="auto"/>
            <w:bottom w:val="none" w:sz="0" w:space="0" w:color="auto"/>
            <w:right w:val="none" w:sz="0" w:space="0" w:color="auto"/>
          </w:divBdr>
          <w:divsChild>
            <w:div w:id="209416020">
              <w:marLeft w:val="0"/>
              <w:marRight w:val="0"/>
              <w:marTop w:val="0"/>
              <w:marBottom w:val="0"/>
              <w:divBdr>
                <w:top w:val="none" w:sz="0" w:space="0" w:color="auto"/>
                <w:left w:val="none" w:sz="0" w:space="0" w:color="auto"/>
                <w:bottom w:val="none" w:sz="0" w:space="0" w:color="auto"/>
                <w:right w:val="none" w:sz="0" w:space="0" w:color="auto"/>
              </w:divBdr>
            </w:div>
          </w:divsChild>
        </w:div>
        <w:div w:id="573592518">
          <w:marLeft w:val="0"/>
          <w:marRight w:val="0"/>
          <w:marTop w:val="0"/>
          <w:marBottom w:val="0"/>
          <w:divBdr>
            <w:top w:val="none" w:sz="0" w:space="0" w:color="auto"/>
            <w:left w:val="none" w:sz="0" w:space="0" w:color="auto"/>
            <w:bottom w:val="none" w:sz="0" w:space="0" w:color="auto"/>
            <w:right w:val="none" w:sz="0" w:space="0" w:color="auto"/>
          </w:divBdr>
          <w:divsChild>
            <w:div w:id="2074616658">
              <w:marLeft w:val="0"/>
              <w:marRight w:val="0"/>
              <w:marTop w:val="0"/>
              <w:marBottom w:val="0"/>
              <w:divBdr>
                <w:top w:val="none" w:sz="0" w:space="0" w:color="auto"/>
                <w:left w:val="none" w:sz="0" w:space="0" w:color="auto"/>
                <w:bottom w:val="none" w:sz="0" w:space="0" w:color="auto"/>
                <w:right w:val="none" w:sz="0" w:space="0" w:color="auto"/>
              </w:divBdr>
            </w:div>
          </w:divsChild>
        </w:div>
        <w:div w:id="576208396">
          <w:marLeft w:val="0"/>
          <w:marRight w:val="0"/>
          <w:marTop w:val="0"/>
          <w:marBottom w:val="0"/>
          <w:divBdr>
            <w:top w:val="none" w:sz="0" w:space="0" w:color="auto"/>
            <w:left w:val="none" w:sz="0" w:space="0" w:color="auto"/>
            <w:bottom w:val="none" w:sz="0" w:space="0" w:color="auto"/>
            <w:right w:val="none" w:sz="0" w:space="0" w:color="auto"/>
          </w:divBdr>
          <w:divsChild>
            <w:div w:id="201525833">
              <w:marLeft w:val="0"/>
              <w:marRight w:val="0"/>
              <w:marTop w:val="0"/>
              <w:marBottom w:val="0"/>
              <w:divBdr>
                <w:top w:val="none" w:sz="0" w:space="0" w:color="auto"/>
                <w:left w:val="none" w:sz="0" w:space="0" w:color="auto"/>
                <w:bottom w:val="none" w:sz="0" w:space="0" w:color="auto"/>
                <w:right w:val="none" w:sz="0" w:space="0" w:color="auto"/>
              </w:divBdr>
            </w:div>
          </w:divsChild>
        </w:div>
        <w:div w:id="582102288">
          <w:marLeft w:val="0"/>
          <w:marRight w:val="0"/>
          <w:marTop w:val="0"/>
          <w:marBottom w:val="0"/>
          <w:divBdr>
            <w:top w:val="none" w:sz="0" w:space="0" w:color="auto"/>
            <w:left w:val="none" w:sz="0" w:space="0" w:color="auto"/>
            <w:bottom w:val="none" w:sz="0" w:space="0" w:color="auto"/>
            <w:right w:val="none" w:sz="0" w:space="0" w:color="auto"/>
          </w:divBdr>
          <w:divsChild>
            <w:div w:id="800536961">
              <w:marLeft w:val="0"/>
              <w:marRight w:val="0"/>
              <w:marTop w:val="0"/>
              <w:marBottom w:val="0"/>
              <w:divBdr>
                <w:top w:val="none" w:sz="0" w:space="0" w:color="auto"/>
                <w:left w:val="none" w:sz="0" w:space="0" w:color="auto"/>
                <w:bottom w:val="none" w:sz="0" w:space="0" w:color="auto"/>
                <w:right w:val="none" w:sz="0" w:space="0" w:color="auto"/>
              </w:divBdr>
            </w:div>
          </w:divsChild>
        </w:div>
        <w:div w:id="583688782">
          <w:marLeft w:val="0"/>
          <w:marRight w:val="0"/>
          <w:marTop w:val="0"/>
          <w:marBottom w:val="0"/>
          <w:divBdr>
            <w:top w:val="none" w:sz="0" w:space="0" w:color="auto"/>
            <w:left w:val="none" w:sz="0" w:space="0" w:color="auto"/>
            <w:bottom w:val="none" w:sz="0" w:space="0" w:color="auto"/>
            <w:right w:val="none" w:sz="0" w:space="0" w:color="auto"/>
          </w:divBdr>
          <w:divsChild>
            <w:div w:id="768505618">
              <w:marLeft w:val="0"/>
              <w:marRight w:val="0"/>
              <w:marTop w:val="0"/>
              <w:marBottom w:val="0"/>
              <w:divBdr>
                <w:top w:val="none" w:sz="0" w:space="0" w:color="auto"/>
                <w:left w:val="none" w:sz="0" w:space="0" w:color="auto"/>
                <w:bottom w:val="none" w:sz="0" w:space="0" w:color="auto"/>
                <w:right w:val="none" w:sz="0" w:space="0" w:color="auto"/>
              </w:divBdr>
            </w:div>
          </w:divsChild>
        </w:div>
        <w:div w:id="586768689">
          <w:marLeft w:val="0"/>
          <w:marRight w:val="0"/>
          <w:marTop w:val="0"/>
          <w:marBottom w:val="0"/>
          <w:divBdr>
            <w:top w:val="none" w:sz="0" w:space="0" w:color="auto"/>
            <w:left w:val="none" w:sz="0" w:space="0" w:color="auto"/>
            <w:bottom w:val="none" w:sz="0" w:space="0" w:color="auto"/>
            <w:right w:val="none" w:sz="0" w:space="0" w:color="auto"/>
          </w:divBdr>
          <w:divsChild>
            <w:div w:id="1128356047">
              <w:marLeft w:val="0"/>
              <w:marRight w:val="0"/>
              <w:marTop w:val="0"/>
              <w:marBottom w:val="0"/>
              <w:divBdr>
                <w:top w:val="none" w:sz="0" w:space="0" w:color="auto"/>
                <w:left w:val="none" w:sz="0" w:space="0" w:color="auto"/>
                <w:bottom w:val="none" w:sz="0" w:space="0" w:color="auto"/>
                <w:right w:val="none" w:sz="0" w:space="0" w:color="auto"/>
              </w:divBdr>
            </w:div>
          </w:divsChild>
        </w:div>
        <w:div w:id="587931832">
          <w:marLeft w:val="0"/>
          <w:marRight w:val="0"/>
          <w:marTop w:val="0"/>
          <w:marBottom w:val="0"/>
          <w:divBdr>
            <w:top w:val="none" w:sz="0" w:space="0" w:color="auto"/>
            <w:left w:val="none" w:sz="0" w:space="0" w:color="auto"/>
            <w:bottom w:val="none" w:sz="0" w:space="0" w:color="auto"/>
            <w:right w:val="none" w:sz="0" w:space="0" w:color="auto"/>
          </w:divBdr>
          <w:divsChild>
            <w:div w:id="2103723934">
              <w:marLeft w:val="0"/>
              <w:marRight w:val="0"/>
              <w:marTop w:val="0"/>
              <w:marBottom w:val="0"/>
              <w:divBdr>
                <w:top w:val="none" w:sz="0" w:space="0" w:color="auto"/>
                <w:left w:val="none" w:sz="0" w:space="0" w:color="auto"/>
                <w:bottom w:val="none" w:sz="0" w:space="0" w:color="auto"/>
                <w:right w:val="none" w:sz="0" w:space="0" w:color="auto"/>
              </w:divBdr>
            </w:div>
          </w:divsChild>
        </w:div>
        <w:div w:id="594561878">
          <w:marLeft w:val="0"/>
          <w:marRight w:val="0"/>
          <w:marTop w:val="0"/>
          <w:marBottom w:val="0"/>
          <w:divBdr>
            <w:top w:val="none" w:sz="0" w:space="0" w:color="auto"/>
            <w:left w:val="none" w:sz="0" w:space="0" w:color="auto"/>
            <w:bottom w:val="none" w:sz="0" w:space="0" w:color="auto"/>
            <w:right w:val="none" w:sz="0" w:space="0" w:color="auto"/>
          </w:divBdr>
          <w:divsChild>
            <w:div w:id="1487820757">
              <w:marLeft w:val="0"/>
              <w:marRight w:val="0"/>
              <w:marTop w:val="0"/>
              <w:marBottom w:val="0"/>
              <w:divBdr>
                <w:top w:val="none" w:sz="0" w:space="0" w:color="auto"/>
                <w:left w:val="none" w:sz="0" w:space="0" w:color="auto"/>
                <w:bottom w:val="none" w:sz="0" w:space="0" w:color="auto"/>
                <w:right w:val="none" w:sz="0" w:space="0" w:color="auto"/>
              </w:divBdr>
            </w:div>
          </w:divsChild>
        </w:div>
        <w:div w:id="600720629">
          <w:marLeft w:val="0"/>
          <w:marRight w:val="0"/>
          <w:marTop w:val="0"/>
          <w:marBottom w:val="0"/>
          <w:divBdr>
            <w:top w:val="none" w:sz="0" w:space="0" w:color="auto"/>
            <w:left w:val="none" w:sz="0" w:space="0" w:color="auto"/>
            <w:bottom w:val="none" w:sz="0" w:space="0" w:color="auto"/>
            <w:right w:val="none" w:sz="0" w:space="0" w:color="auto"/>
          </w:divBdr>
          <w:divsChild>
            <w:div w:id="732774145">
              <w:marLeft w:val="0"/>
              <w:marRight w:val="0"/>
              <w:marTop w:val="0"/>
              <w:marBottom w:val="0"/>
              <w:divBdr>
                <w:top w:val="none" w:sz="0" w:space="0" w:color="auto"/>
                <w:left w:val="none" w:sz="0" w:space="0" w:color="auto"/>
                <w:bottom w:val="none" w:sz="0" w:space="0" w:color="auto"/>
                <w:right w:val="none" w:sz="0" w:space="0" w:color="auto"/>
              </w:divBdr>
            </w:div>
          </w:divsChild>
        </w:div>
        <w:div w:id="619067444">
          <w:marLeft w:val="0"/>
          <w:marRight w:val="0"/>
          <w:marTop w:val="0"/>
          <w:marBottom w:val="0"/>
          <w:divBdr>
            <w:top w:val="none" w:sz="0" w:space="0" w:color="auto"/>
            <w:left w:val="none" w:sz="0" w:space="0" w:color="auto"/>
            <w:bottom w:val="none" w:sz="0" w:space="0" w:color="auto"/>
            <w:right w:val="none" w:sz="0" w:space="0" w:color="auto"/>
          </w:divBdr>
          <w:divsChild>
            <w:div w:id="1668828833">
              <w:marLeft w:val="0"/>
              <w:marRight w:val="0"/>
              <w:marTop w:val="0"/>
              <w:marBottom w:val="0"/>
              <w:divBdr>
                <w:top w:val="none" w:sz="0" w:space="0" w:color="auto"/>
                <w:left w:val="none" w:sz="0" w:space="0" w:color="auto"/>
                <w:bottom w:val="none" w:sz="0" w:space="0" w:color="auto"/>
                <w:right w:val="none" w:sz="0" w:space="0" w:color="auto"/>
              </w:divBdr>
            </w:div>
          </w:divsChild>
        </w:div>
        <w:div w:id="620453107">
          <w:marLeft w:val="0"/>
          <w:marRight w:val="0"/>
          <w:marTop w:val="0"/>
          <w:marBottom w:val="0"/>
          <w:divBdr>
            <w:top w:val="none" w:sz="0" w:space="0" w:color="auto"/>
            <w:left w:val="none" w:sz="0" w:space="0" w:color="auto"/>
            <w:bottom w:val="none" w:sz="0" w:space="0" w:color="auto"/>
            <w:right w:val="none" w:sz="0" w:space="0" w:color="auto"/>
          </w:divBdr>
          <w:divsChild>
            <w:div w:id="117191721">
              <w:marLeft w:val="0"/>
              <w:marRight w:val="0"/>
              <w:marTop w:val="0"/>
              <w:marBottom w:val="0"/>
              <w:divBdr>
                <w:top w:val="none" w:sz="0" w:space="0" w:color="auto"/>
                <w:left w:val="none" w:sz="0" w:space="0" w:color="auto"/>
                <w:bottom w:val="none" w:sz="0" w:space="0" w:color="auto"/>
                <w:right w:val="none" w:sz="0" w:space="0" w:color="auto"/>
              </w:divBdr>
            </w:div>
          </w:divsChild>
        </w:div>
        <w:div w:id="622350385">
          <w:marLeft w:val="0"/>
          <w:marRight w:val="0"/>
          <w:marTop w:val="0"/>
          <w:marBottom w:val="0"/>
          <w:divBdr>
            <w:top w:val="none" w:sz="0" w:space="0" w:color="auto"/>
            <w:left w:val="none" w:sz="0" w:space="0" w:color="auto"/>
            <w:bottom w:val="none" w:sz="0" w:space="0" w:color="auto"/>
            <w:right w:val="none" w:sz="0" w:space="0" w:color="auto"/>
          </w:divBdr>
          <w:divsChild>
            <w:div w:id="2141653998">
              <w:marLeft w:val="0"/>
              <w:marRight w:val="0"/>
              <w:marTop w:val="0"/>
              <w:marBottom w:val="0"/>
              <w:divBdr>
                <w:top w:val="none" w:sz="0" w:space="0" w:color="auto"/>
                <w:left w:val="none" w:sz="0" w:space="0" w:color="auto"/>
                <w:bottom w:val="none" w:sz="0" w:space="0" w:color="auto"/>
                <w:right w:val="none" w:sz="0" w:space="0" w:color="auto"/>
              </w:divBdr>
            </w:div>
          </w:divsChild>
        </w:div>
        <w:div w:id="626474062">
          <w:marLeft w:val="0"/>
          <w:marRight w:val="0"/>
          <w:marTop w:val="0"/>
          <w:marBottom w:val="0"/>
          <w:divBdr>
            <w:top w:val="none" w:sz="0" w:space="0" w:color="auto"/>
            <w:left w:val="none" w:sz="0" w:space="0" w:color="auto"/>
            <w:bottom w:val="none" w:sz="0" w:space="0" w:color="auto"/>
            <w:right w:val="none" w:sz="0" w:space="0" w:color="auto"/>
          </w:divBdr>
          <w:divsChild>
            <w:div w:id="1836610005">
              <w:marLeft w:val="0"/>
              <w:marRight w:val="0"/>
              <w:marTop w:val="0"/>
              <w:marBottom w:val="0"/>
              <w:divBdr>
                <w:top w:val="none" w:sz="0" w:space="0" w:color="auto"/>
                <w:left w:val="none" w:sz="0" w:space="0" w:color="auto"/>
                <w:bottom w:val="none" w:sz="0" w:space="0" w:color="auto"/>
                <w:right w:val="none" w:sz="0" w:space="0" w:color="auto"/>
              </w:divBdr>
            </w:div>
          </w:divsChild>
        </w:div>
        <w:div w:id="629173033">
          <w:marLeft w:val="0"/>
          <w:marRight w:val="0"/>
          <w:marTop w:val="0"/>
          <w:marBottom w:val="0"/>
          <w:divBdr>
            <w:top w:val="none" w:sz="0" w:space="0" w:color="auto"/>
            <w:left w:val="none" w:sz="0" w:space="0" w:color="auto"/>
            <w:bottom w:val="none" w:sz="0" w:space="0" w:color="auto"/>
            <w:right w:val="none" w:sz="0" w:space="0" w:color="auto"/>
          </w:divBdr>
          <w:divsChild>
            <w:div w:id="1873687189">
              <w:marLeft w:val="0"/>
              <w:marRight w:val="0"/>
              <w:marTop w:val="0"/>
              <w:marBottom w:val="0"/>
              <w:divBdr>
                <w:top w:val="none" w:sz="0" w:space="0" w:color="auto"/>
                <w:left w:val="none" w:sz="0" w:space="0" w:color="auto"/>
                <w:bottom w:val="none" w:sz="0" w:space="0" w:color="auto"/>
                <w:right w:val="none" w:sz="0" w:space="0" w:color="auto"/>
              </w:divBdr>
            </w:div>
          </w:divsChild>
        </w:div>
        <w:div w:id="634726256">
          <w:marLeft w:val="0"/>
          <w:marRight w:val="0"/>
          <w:marTop w:val="0"/>
          <w:marBottom w:val="0"/>
          <w:divBdr>
            <w:top w:val="none" w:sz="0" w:space="0" w:color="auto"/>
            <w:left w:val="none" w:sz="0" w:space="0" w:color="auto"/>
            <w:bottom w:val="none" w:sz="0" w:space="0" w:color="auto"/>
            <w:right w:val="none" w:sz="0" w:space="0" w:color="auto"/>
          </w:divBdr>
          <w:divsChild>
            <w:div w:id="2033339198">
              <w:marLeft w:val="0"/>
              <w:marRight w:val="0"/>
              <w:marTop w:val="0"/>
              <w:marBottom w:val="0"/>
              <w:divBdr>
                <w:top w:val="none" w:sz="0" w:space="0" w:color="auto"/>
                <w:left w:val="none" w:sz="0" w:space="0" w:color="auto"/>
                <w:bottom w:val="none" w:sz="0" w:space="0" w:color="auto"/>
                <w:right w:val="none" w:sz="0" w:space="0" w:color="auto"/>
              </w:divBdr>
            </w:div>
          </w:divsChild>
        </w:div>
        <w:div w:id="647051575">
          <w:marLeft w:val="0"/>
          <w:marRight w:val="0"/>
          <w:marTop w:val="0"/>
          <w:marBottom w:val="0"/>
          <w:divBdr>
            <w:top w:val="none" w:sz="0" w:space="0" w:color="auto"/>
            <w:left w:val="none" w:sz="0" w:space="0" w:color="auto"/>
            <w:bottom w:val="none" w:sz="0" w:space="0" w:color="auto"/>
            <w:right w:val="none" w:sz="0" w:space="0" w:color="auto"/>
          </w:divBdr>
          <w:divsChild>
            <w:div w:id="588775425">
              <w:marLeft w:val="0"/>
              <w:marRight w:val="0"/>
              <w:marTop w:val="0"/>
              <w:marBottom w:val="0"/>
              <w:divBdr>
                <w:top w:val="none" w:sz="0" w:space="0" w:color="auto"/>
                <w:left w:val="none" w:sz="0" w:space="0" w:color="auto"/>
                <w:bottom w:val="none" w:sz="0" w:space="0" w:color="auto"/>
                <w:right w:val="none" w:sz="0" w:space="0" w:color="auto"/>
              </w:divBdr>
            </w:div>
          </w:divsChild>
        </w:div>
        <w:div w:id="675694817">
          <w:marLeft w:val="0"/>
          <w:marRight w:val="0"/>
          <w:marTop w:val="0"/>
          <w:marBottom w:val="0"/>
          <w:divBdr>
            <w:top w:val="none" w:sz="0" w:space="0" w:color="auto"/>
            <w:left w:val="none" w:sz="0" w:space="0" w:color="auto"/>
            <w:bottom w:val="none" w:sz="0" w:space="0" w:color="auto"/>
            <w:right w:val="none" w:sz="0" w:space="0" w:color="auto"/>
          </w:divBdr>
          <w:divsChild>
            <w:div w:id="849956327">
              <w:marLeft w:val="0"/>
              <w:marRight w:val="0"/>
              <w:marTop w:val="0"/>
              <w:marBottom w:val="0"/>
              <w:divBdr>
                <w:top w:val="none" w:sz="0" w:space="0" w:color="auto"/>
                <w:left w:val="none" w:sz="0" w:space="0" w:color="auto"/>
                <w:bottom w:val="none" w:sz="0" w:space="0" w:color="auto"/>
                <w:right w:val="none" w:sz="0" w:space="0" w:color="auto"/>
              </w:divBdr>
            </w:div>
          </w:divsChild>
        </w:div>
        <w:div w:id="682364161">
          <w:marLeft w:val="0"/>
          <w:marRight w:val="0"/>
          <w:marTop w:val="0"/>
          <w:marBottom w:val="0"/>
          <w:divBdr>
            <w:top w:val="none" w:sz="0" w:space="0" w:color="auto"/>
            <w:left w:val="none" w:sz="0" w:space="0" w:color="auto"/>
            <w:bottom w:val="none" w:sz="0" w:space="0" w:color="auto"/>
            <w:right w:val="none" w:sz="0" w:space="0" w:color="auto"/>
          </w:divBdr>
          <w:divsChild>
            <w:div w:id="1347056162">
              <w:marLeft w:val="0"/>
              <w:marRight w:val="0"/>
              <w:marTop w:val="0"/>
              <w:marBottom w:val="0"/>
              <w:divBdr>
                <w:top w:val="none" w:sz="0" w:space="0" w:color="auto"/>
                <w:left w:val="none" w:sz="0" w:space="0" w:color="auto"/>
                <w:bottom w:val="none" w:sz="0" w:space="0" w:color="auto"/>
                <w:right w:val="none" w:sz="0" w:space="0" w:color="auto"/>
              </w:divBdr>
            </w:div>
          </w:divsChild>
        </w:div>
        <w:div w:id="706369183">
          <w:marLeft w:val="0"/>
          <w:marRight w:val="0"/>
          <w:marTop w:val="0"/>
          <w:marBottom w:val="0"/>
          <w:divBdr>
            <w:top w:val="none" w:sz="0" w:space="0" w:color="auto"/>
            <w:left w:val="none" w:sz="0" w:space="0" w:color="auto"/>
            <w:bottom w:val="none" w:sz="0" w:space="0" w:color="auto"/>
            <w:right w:val="none" w:sz="0" w:space="0" w:color="auto"/>
          </w:divBdr>
          <w:divsChild>
            <w:div w:id="840781894">
              <w:marLeft w:val="0"/>
              <w:marRight w:val="0"/>
              <w:marTop w:val="0"/>
              <w:marBottom w:val="0"/>
              <w:divBdr>
                <w:top w:val="none" w:sz="0" w:space="0" w:color="auto"/>
                <w:left w:val="none" w:sz="0" w:space="0" w:color="auto"/>
                <w:bottom w:val="none" w:sz="0" w:space="0" w:color="auto"/>
                <w:right w:val="none" w:sz="0" w:space="0" w:color="auto"/>
              </w:divBdr>
            </w:div>
          </w:divsChild>
        </w:div>
        <w:div w:id="706485657">
          <w:marLeft w:val="0"/>
          <w:marRight w:val="0"/>
          <w:marTop w:val="0"/>
          <w:marBottom w:val="0"/>
          <w:divBdr>
            <w:top w:val="none" w:sz="0" w:space="0" w:color="auto"/>
            <w:left w:val="none" w:sz="0" w:space="0" w:color="auto"/>
            <w:bottom w:val="none" w:sz="0" w:space="0" w:color="auto"/>
            <w:right w:val="none" w:sz="0" w:space="0" w:color="auto"/>
          </w:divBdr>
          <w:divsChild>
            <w:div w:id="1469854094">
              <w:marLeft w:val="0"/>
              <w:marRight w:val="0"/>
              <w:marTop w:val="0"/>
              <w:marBottom w:val="0"/>
              <w:divBdr>
                <w:top w:val="none" w:sz="0" w:space="0" w:color="auto"/>
                <w:left w:val="none" w:sz="0" w:space="0" w:color="auto"/>
                <w:bottom w:val="none" w:sz="0" w:space="0" w:color="auto"/>
                <w:right w:val="none" w:sz="0" w:space="0" w:color="auto"/>
              </w:divBdr>
            </w:div>
          </w:divsChild>
        </w:div>
        <w:div w:id="711460596">
          <w:marLeft w:val="0"/>
          <w:marRight w:val="0"/>
          <w:marTop w:val="0"/>
          <w:marBottom w:val="0"/>
          <w:divBdr>
            <w:top w:val="none" w:sz="0" w:space="0" w:color="auto"/>
            <w:left w:val="none" w:sz="0" w:space="0" w:color="auto"/>
            <w:bottom w:val="none" w:sz="0" w:space="0" w:color="auto"/>
            <w:right w:val="none" w:sz="0" w:space="0" w:color="auto"/>
          </w:divBdr>
          <w:divsChild>
            <w:div w:id="1578243968">
              <w:marLeft w:val="0"/>
              <w:marRight w:val="0"/>
              <w:marTop w:val="0"/>
              <w:marBottom w:val="0"/>
              <w:divBdr>
                <w:top w:val="none" w:sz="0" w:space="0" w:color="auto"/>
                <w:left w:val="none" w:sz="0" w:space="0" w:color="auto"/>
                <w:bottom w:val="none" w:sz="0" w:space="0" w:color="auto"/>
                <w:right w:val="none" w:sz="0" w:space="0" w:color="auto"/>
              </w:divBdr>
            </w:div>
          </w:divsChild>
        </w:div>
        <w:div w:id="717051554">
          <w:marLeft w:val="0"/>
          <w:marRight w:val="0"/>
          <w:marTop w:val="0"/>
          <w:marBottom w:val="0"/>
          <w:divBdr>
            <w:top w:val="none" w:sz="0" w:space="0" w:color="auto"/>
            <w:left w:val="none" w:sz="0" w:space="0" w:color="auto"/>
            <w:bottom w:val="none" w:sz="0" w:space="0" w:color="auto"/>
            <w:right w:val="none" w:sz="0" w:space="0" w:color="auto"/>
          </w:divBdr>
          <w:divsChild>
            <w:div w:id="151482881">
              <w:marLeft w:val="0"/>
              <w:marRight w:val="0"/>
              <w:marTop w:val="0"/>
              <w:marBottom w:val="0"/>
              <w:divBdr>
                <w:top w:val="none" w:sz="0" w:space="0" w:color="auto"/>
                <w:left w:val="none" w:sz="0" w:space="0" w:color="auto"/>
                <w:bottom w:val="none" w:sz="0" w:space="0" w:color="auto"/>
                <w:right w:val="none" w:sz="0" w:space="0" w:color="auto"/>
              </w:divBdr>
            </w:div>
          </w:divsChild>
        </w:div>
        <w:div w:id="723215841">
          <w:marLeft w:val="0"/>
          <w:marRight w:val="0"/>
          <w:marTop w:val="0"/>
          <w:marBottom w:val="0"/>
          <w:divBdr>
            <w:top w:val="none" w:sz="0" w:space="0" w:color="auto"/>
            <w:left w:val="none" w:sz="0" w:space="0" w:color="auto"/>
            <w:bottom w:val="none" w:sz="0" w:space="0" w:color="auto"/>
            <w:right w:val="none" w:sz="0" w:space="0" w:color="auto"/>
          </w:divBdr>
          <w:divsChild>
            <w:div w:id="1064334455">
              <w:marLeft w:val="0"/>
              <w:marRight w:val="0"/>
              <w:marTop w:val="0"/>
              <w:marBottom w:val="0"/>
              <w:divBdr>
                <w:top w:val="none" w:sz="0" w:space="0" w:color="auto"/>
                <w:left w:val="none" w:sz="0" w:space="0" w:color="auto"/>
                <w:bottom w:val="none" w:sz="0" w:space="0" w:color="auto"/>
                <w:right w:val="none" w:sz="0" w:space="0" w:color="auto"/>
              </w:divBdr>
            </w:div>
          </w:divsChild>
        </w:div>
        <w:div w:id="744955526">
          <w:marLeft w:val="0"/>
          <w:marRight w:val="0"/>
          <w:marTop w:val="0"/>
          <w:marBottom w:val="0"/>
          <w:divBdr>
            <w:top w:val="none" w:sz="0" w:space="0" w:color="auto"/>
            <w:left w:val="none" w:sz="0" w:space="0" w:color="auto"/>
            <w:bottom w:val="none" w:sz="0" w:space="0" w:color="auto"/>
            <w:right w:val="none" w:sz="0" w:space="0" w:color="auto"/>
          </w:divBdr>
          <w:divsChild>
            <w:div w:id="535966778">
              <w:marLeft w:val="0"/>
              <w:marRight w:val="0"/>
              <w:marTop w:val="0"/>
              <w:marBottom w:val="0"/>
              <w:divBdr>
                <w:top w:val="none" w:sz="0" w:space="0" w:color="auto"/>
                <w:left w:val="none" w:sz="0" w:space="0" w:color="auto"/>
                <w:bottom w:val="none" w:sz="0" w:space="0" w:color="auto"/>
                <w:right w:val="none" w:sz="0" w:space="0" w:color="auto"/>
              </w:divBdr>
            </w:div>
          </w:divsChild>
        </w:div>
        <w:div w:id="752825023">
          <w:marLeft w:val="0"/>
          <w:marRight w:val="0"/>
          <w:marTop w:val="0"/>
          <w:marBottom w:val="0"/>
          <w:divBdr>
            <w:top w:val="none" w:sz="0" w:space="0" w:color="auto"/>
            <w:left w:val="none" w:sz="0" w:space="0" w:color="auto"/>
            <w:bottom w:val="none" w:sz="0" w:space="0" w:color="auto"/>
            <w:right w:val="none" w:sz="0" w:space="0" w:color="auto"/>
          </w:divBdr>
          <w:divsChild>
            <w:div w:id="1802914112">
              <w:marLeft w:val="0"/>
              <w:marRight w:val="0"/>
              <w:marTop w:val="0"/>
              <w:marBottom w:val="0"/>
              <w:divBdr>
                <w:top w:val="none" w:sz="0" w:space="0" w:color="auto"/>
                <w:left w:val="none" w:sz="0" w:space="0" w:color="auto"/>
                <w:bottom w:val="none" w:sz="0" w:space="0" w:color="auto"/>
                <w:right w:val="none" w:sz="0" w:space="0" w:color="auto"/>
              </w:divBdr>
            </w:div>
          </w:divsChild>
        </w:div>
        <w:div w:id="774326323">
          <w:marLeft w:val="0"/>
          <w:marRight w:val="0"/>
          <w:marTop w:val="0"/>
          <w:marBottom w:val="0"/>
          <w:divBdr>
            <w:top w:val="none" w:sz="0" w:space="0" w:color="auto"/>
            <w:left w:val="none" w:sz="0" w:space="0" w:color="auto"/>
            <w:bottom w:val="none" w:sz="0" w:space="0" w:color="auto"/>
            <w:right w:val="none" w:sz="0" w:space="0" w:color="auto"/>
          </w:divBdr>
          <w:divsChild>
            <w:div w:id="159416">
              <w:marLeft w:val="0"/>
              <w:marRight w:val="0"/>
              <w:marTop w:val="0"/>
              <w:marBottom w:val="0"/>
              <w:divBdr>
                <w:top w:val="none" w:sz="0" w:space="0" w:color="auto"/>
                <w:left w:val="none" w:sz="0" w:space="0" w:color="auto"/>
                <w:bottom w:val="none" w:sz="0" w:space="0" w:color="auto"/>
                <w:right w:val="none" w:sz="0" w:space="0" w:color="auto"/>
              </w:divBdr>
            </w:div>
          </w:divsChild>
        </w:div>
        <w:div w:id="778597889">
          <w:marLeft w:val="0"/>
          <w:marRight w:val="0"/>
          <w:marTop w:val="0"/>
          <w:marBottom w:val="0"/>
          <w:divBdr>
            <w:top w:val="none" w:sz="0" w:space="0" w:color="auto"/>
            <w:left w:val="none" w:sz="0" w:space="0" w:color="auto"/>
            <w:bottom w:val="none" w:sz="0" w:space="0" w:color="auto"/>
            <w:right w:val="none" w:sz="0" w:space="0" w:color="auto"/>
          </w:divBdr>
          <w:divsChild>
            <w:div w:id="1714620004">
              <w:marLeft w:val="0"/>
              <w:marRight w:val="0"/>
              <w:marTop w:val="0"/>
              <w:marBottom w:val="0"/>
              <w:divBdr>
                <w:top w:val="none" w:sz="0" w:space="0" w:color="auto"/>
                <w:left w:val="none" w:sz="0" w:space="0" w:color="auto"/>
                <w:bottom w:val="none" w:sz="0" w:space="0" w:color="auto"/>
                <w:right w:val="none" w:sz="0" w:space="0" w:color="auto"/>
              </w:divBdr>
            </w:div>
          </w:divsChild>
        </w:div>
        <w:div w:id="782506151">
          <w:marLeft w:val="0"/>
          <w:marRight w:val="0"/>
          <w:marTop w:val="0"/>
          <w:marBottom w:val="0"/>
          <w:divBdr>
            <w:top w:val="none" w:sz="0" w:space="0" w:color="auto"/>
            <w:left w:val="none" w:sz="0" w:space="0" w:color="auto"/>
            <w:bottom w:val="none" w:sz="0" w:space="0" w:color="auto"/>
            <w:right w:val="none" w:sz="0" w:space="0" w:color="auto"/>
          </w:divBdr>
          <w:divsChild>
            <w:div w:id="2075228009">
              <w:marLeft w:val="0"/>
              <w:marRight w:val="0"/>
              <w:marTop w:val="0"/>
              <w:marBottom w:val="0"/>
              <w:divBdr>
                <w:top w:val="none" w:sz="0" w:space="0" w:color="auto"/>
                <w:left w:val="none" w:sz="0" w:space="0" w:color="auto"/>
                <w:bottom w:val="none" w:sz="0" w:space="0" w:color="auto"/>
                <w:right w:val="none" w:sz="0" w:space="0" w:color="auto"/>
              </w:divBdr>
            </w:div>
          </w:divsChild>
        </w:div>
        <w:div w:id="782530737">
          <w:marLeft w:val="0"/>
          <w:marRight w:val="0"/>
          <w:marTop w:val="0"/>
          <w:marBottom w:val="0"/>
          <w:divBdr>
            <w:top w:val="none" w:sz="0" w:space="0" w:color="auto"/>
            <w:left w:val="none" w:sz="0" w:space="0" w:color="auto"/>
            <w:bottom w:val="none" w:sz="0" w:space="0" w:color="auto"/>
            <w:right w:val="none" w:sz="0" w:space="0" w:color="auto"/>
          </w:divBdr>
          <w:divsChild>
            <w:div w:id="1985239217">
              <w:marLeft w:val="0"/>
              <w:marRight w:val="0"/>
              <w:marTop w:val="0"/>
              <w:marBottom w:val="0"/>
              <w:divBdr>
                <w:top w:val="none" w:sz="0" w:space="0" w:color="auto"/>
                <w:left w:val="none" w:sz="0" w:space="0" w:color="auto"/>
                <w:bottom w:val="none" w:sz="0" w:space="0" w:color="auto"/>
                <w:right w:val="none" w:sz="0" w:space="0" w:color="auto"/>
              </w:divBdr>
            </w:div>
          </w:divsChild>
        </w:div>
        <w:div w:id="808016421">
          <w:marLeft w:val="0"/>
          <w:marRight w:val="0"/>
          <w:marTop w:val="0"/>
          <w:marBottom w:val="0"/>
          <w:divBdr>
            <w:top w:val="none" w:sz="0" w:space="0" w:color="auto"/>
            <w:left w:val="none" w:sz="0" w:space="0" w:color="auto"/>
            <w:bottom w:val="none" w:sz="0" w:space="0" w:color="auto"/>
            <w:right w:val="none" w:sz="0" w:space="0" w:color="auto"/>
          </w:divBdr>
          <w:divsChild>
            <w:div w:id="883106046">
              <w:marLeft w:val="0"/>
              <w:marRight w:val="0"/>
              <w:marTop w:val="0"/>
              <w:marBottom w:val="0"/>
              <w:divBdr>
                <w:top w:val="none" w:sz="0" w:space="0" w:color="auto"/>
                <w:left w:val="none" w:sz="0" w:space="0" w:color="auto"/>
                <w:bottom w:val="none" w:sz="0" w:space="0" w:color="auto"/>
                <w:right w:val="none" w:sz="0" w:space="0" w:color="auto"/>
              </w:divBdr>
            </w:div>
          </w:divsChild>
        </w:div>
        <w:div w:id="814759680">
          <w:marLeft w:val="0"/>
          <w:marRight w:val="0"/>
          <w:marTop w:val="0"/>
          <w:marBottom w:val="0"/>
          <w:divBdr>
            <w:top w:val="none" w:sz="0" w:space="0" w:color="auto"/>
            <w:left w:val="none" w:sz="0" w:space="0" w:color="auto"/>
            <w:bottom w:val="none" w:sz="0" w:space="0" w:color="auto"/>
            <w:right w:val="none" w:sz="0" w:space="0" w:color="auto"/>
          </w:divBdr>
          <w:divsChild>
            <w:div w:id="1200171275">
              <w:marLeft w:val="0"/>
              <w:marRight w:val="0"/>
              <w:marTop w:val="0"/>
              <w:marBottom w:val="0"/>
              <w:divBdr>
                <w:top w:val="none" w:sz="0" w:space="0" w:color="auto"/>
                <w:left w:val="none" w:sz="0" w:space="0" w:color="auto"/>
                <w:bottom w:val="none" w:sz="0" w:space="0" w:color="auto"/>
                <w:right w:val="none" w:sz="0" w:space="0" w:color="auto"/>
              </w:divBdr>
            </w:div>
          </w:divsChild>
        </w:div>
        <w:div w:id="817258766">
          <w:marLeft w:val="0"/>
          <w:marRight w:val="0"/>
          <w:marTop w:val="0"/>
          <w:marBottom w:val="0"/>
          <w:divBdr>
            <w:top w:val="none" w:sz="0" w:space="0" w:color="auto"/>
            <w:left w:val="none" w:sz="0" w:space="0" w:color="auto"/>
            <w:bottom w:val="none" w:sz="0" w:space="0" w:color="auto"/>
            <w:right w:val="none" w:sz="0" w:space="0" w:color="auto"/>
          </w:divBdr>
          <w:divsChild>
            <w:div w:id="1398429953">
              <w:marLeft w:val="0"/>
              <w:marRight w:val="0"/>
              <w:marTop w:val="0"/>
              <w:marBottom w:val="0"/>
              <w:divBdr>
                <w:top w:val="none" w:sz="0" w:space="0" w:color="auto"/>
                <w:left w:val="none" w:sz="0" w:space="0" w:color="auto"/>
                <w:bottom w:val="none" w:sz="0" w:space="0" w:color="auto"/>
                <w:right w:val="none" w:sz="0" w:space="0" w:color="auto"/>
              </w:divBdr>
            </w:div>
          </w:divsChild>
        </w:div>
        <w:div w:id="829294664">
          <w:marLeft w:val="0"/>
          <w:marRight w:val="0"/>
          <w:marTop w:val="0"/>
          <w:marBottom w:val="0"/>
          <w:divBdr>
            <w:top w:val="none" w:sz="0" w:space="0" w:color="auto"/>
            <w:left w:val="none" w:sz="0" w:space="0" w:color="auto"/>
            <w:bottom w:val="none" w:sz="0" w:space="0" w:color="auto"/>
            <w:right w:val="none" w:sz="0" w:space="0" w:color="auto"/>
          </w:divBdr>
          <w:divsChild>
            <w:div w:id="349767929">
              <w:marLeft w:val="0"/>
              <w:marRight w:val="0"/>
              <w:marTop w:val="0"/>
              <w:marBottom w:val="0"/>
              <w:divBdr>
                <w:top w:val="none" w:sz="0" w:space="0" w:color="auto"/>
                <w:left w:val="none" w:sz="0" w:space="0" w:color="auto"/>
                <w:bottom w:val="none" w:sz="0" w:space="0" w:color="auto"/>
                <w:right w:val="none" w:sz="0" w:space="0" w:color="auto"/>
              </w:divBdr>
            </w:div>
          </w:divsChild>
        </w:div>
        <w:div w:id="853882507">
          <w:marLeft w:val="0"/>
          <w:marRight w:val="0"/>
          <w:marTop w:val="0"/>
          <w:marBottom w:val="0"/>
          <w:divBdr>
            <w:top w:val="none" w:sz="0" w:space="0" w:color="auto"/>
            <w:left w:val="none" w:sz="0" w:space="0" w:color="auto"/>
            <w:bottom w:val="none" w:sz="0" w:space="0" w:color="auto"/>
            <w:right w:val="none" w:sz="0" w:space="0" w:color="auto"/>
          </w:divBdr>
          <w:divsChild>
            <w:div w:id="844825952">
              <w:marLeft w:val="0"/>
              <w:marRight w:val="0"/>
              <w:marTop w:val="0"/>
              <w:marBottom w:val="0"/>
              <w:divBdr>
                <w:top w:val="none" w:sz="0" w:space="0" w:color="auto"/>
                <w:left w:val="none" w:sz="0" w:space="0" w:color="auto"/>
                <w:bottom w:val="none" w:sz="0" w:space="0" w:color="auto"/>
                <w:right w:val="none" w:sz="0" w:space="0" w:color="auto"/>
              </w:divBdr>
            </w:div>
          </w:divsChild>
        </w:div>
        <w:div w:id="860707802">
          <w:marLeft w:val="0"/>
          <w:marRight w:val="0"/>
          <w:marTop w:val="0"/>
          <w:marBottom w:val="0"/>
          <w:divBdr>
            <w:top w:val="none" w:sz="0" w:space="0" w:color="auto"/>
            <w:left w:val="none" w:sz="0" w:space="0" w:color="auto"/>
            <w:bottom w:val="none" w:sz="0" w:space="0" w:color="auto"/>
            <w:right w:val="none" w:sz="0" w:space="0" w:color="auto"/>
          </w:divBdr>
          <w:divsChild>
            <w:div w:id="1474251736">
              <w:marLeft w:val="0"/>
              <w:marRight w:val="0"/>
              <w:marTop w:val="0"/>
              <w:marBottom w:val="0"/>
              <w:divBdr>
                <w:top w:val="none" w:sz="0" w:space="0" w:color="auto"/>
                <w:left w:val="none" w:sz="0" w:space="0" w:color="auto"/>
                <w:bottom w:val="none" w:sz="0" w:space="0" w:color="auto"/>
                <w:right w:val="none" w:sz="0" w:space="0" w:color="auto"/>
              </w:divBdr>
            </w:div>
          </w:divsChild>
        </w:div>
        <w:div w:id="865564648">
          <w:marLeft w:val="0"/>
          <w:marRight w:val="0"/>
          <w:marTop w:val="0"/>
          <w:marBottom w:val="0"/>
          <w:divBdr>
            <w:top w:val="none" w:sz="0" w:space="0" w:color="auto"/>
            <w:left w:val="none" w:sz="0" w:space="0" w:color="auto"/>
            <w:bottom w:val="none" w:sz="0" w:space="0" w:color="auto"/>
            <w:right w:val="none" w:sz="0" w:space="0" w:color="auto"/>
          </w:divBdr>
          <w:divsChild>
            <w:div w:id="1462727115">
              <w:marLeft w:val="0"/>
              <w:marRight w:val="0"/>
              <w:marTop w:val="0"/>
              <w:marBottom w:val="0"/>
              <w:divBdr>
                <w:top w:val="none" w:sz="0" w:space="0" w:color="auto"/>
                <w:left w:val="none" w:sz="0" w:space="0" w:color="auto"/>
                <w:bottom w:val="none" w:sz="0" w:space="0" w:color="auto"/>
                <w:right w:val="none" w:sz="0" w:space="0" w:color="auto"/>
              </w:divBdr>
            </w:div>
          </w:divsChild>
        </w:div>
        <w:div w:id="891884607">
          <w:marLeft w:val="0"/>
          <w:marRight w:val="0"/>
          <w:marTop w:val="0"/>
          <w:marBottom w:val="0"/>
          <w:divBdr>
            <w:top w:val="none" w:sz="0" w:space="0" w:color="auto"/>
            <w:left w:val="none" w:sz="0" w:space="0" w:color="auto"/>
            <w:bottom w:val="none" w:sz="0" w:space="0" w:color="auto"/>
            <w:right w:val="none" w:sz="0" w:space="0" w:color="auto"/>
          </w:divBdr>
          <w:divsChild>
            <w:div w:id="985233424">
              <w:marLeft w:val="0"/>
              <w:marRight w:val="0"/>
              <w:marTop w:val="0"/>
              <w:marBottom w:val="0"/>
              <w:divBdr>
                <w:top w:val="none" w:sz="0" w:space="0" w:color="auto"/>
                <w:left w:val="none" w:sz="0" w:space="0" w:color="auto"/>
                <w:bottom w:val="none" w:sz="0" w:space="0" w:color="auto"/>
                <w:right w:val="none" w:sz="0" w:space="0" w:color="auto"/>
              </w:divBdr>
            </w:div>
          </w:divsChild>
        </w:div>
        <w:div w:id="894390293">
          <w:marLeft w:val="0"/>
          <w:marRight w:val="0"/>
          <w:marTop w:val="0"/>
          <w:marBottom w:val="0"/>
          <w:divBdr>
            <w:top w:val="none" w:sz="0" w:space="0" w:color="auto"/>
            <w:left w:val="none" w:sz="0" w:space="0" w:color="auto"/>
            <w:bottom w:val="none" w:sz="0" w:space="0" w:color="auto"/>
            <w:right w:val="none" w:sz="0" w:space="0" w:color="auto"/>
          </w:divBdr>
          <w:divsChild>
            <w:div w:id="571040689">
              <w:marLeft w:val="0"/>
              <w:marRight w:val="0"/>
              <w:marTop w:val="0"/>
              <w:marBottom w:val="0"/>
              <w:divBdr>
                <w:top w:val="none" w:sz="0" w:space="0" w:color="auto"/>
                <w:left w:val="none" w:sz="0" w:space="0" w:color="auto"/>
                <w:bottom w:val="none" w:sz="0" w:space="0" w:color="auto"/>
                <w:right w:val="none" w:sz="0" w:space="0" w:color="auto"/>
              </w:divBdr>
            </w:div>
          </w:divsChild>
        </w:div>
        <w:div w:id="894438494">
          <w:marLeft w:val="0"/>
          <w:marRight w:val="0"/>
          <w:marTop w:val="0"/>
          <w:marBottom w:val="0"/>
          <w:divBdr>
            <w:top w:val="none" w:sz="0" w:space="0" w:color="auto"/>
            <w:left w:val="none" w:sz="0" w:space="0" w:color="auto"/>
            <w:bottom w:val="none" w:sz="0" w:space="0" w:color="auto"/>
            <w:right w:val="none" w:sz="0" w:space="0" w:color="auto"/>
          </w:divBdr>
          <w:divsChild>
            <w:div w:id="157497956">
              <w:marLeft w:val="0"/>
              <w:marRight w:val="0"/>
              <w:marTop w:val="0"/>
              <w:marBottom w:val="0"/>
              <w:divBdr>
                <w:top w:val="none" w:sz="0" w:space="0" w:color="auto"/>
                <w:left w:val="none" w:sz="0" w:space="0" w:color="auto"/>
                <w:bottom w:val="none" w:sz="0" w:space="0" w:color="auto"/>
                <w:right w:val="none" w:sz="0" w:space="0" w:color="auto"/>
              </w:divBdr>
            </w:div>
          </w:divsChild>
        </w:div>
        <w:div w:id="899637700">
          <w:marLeft w:val="0"/>
          <w:marRight w:val="0"/>
          <w:marTop w:val="0"/>
          <w:marBottom w:val="0"/>
          <w:divBdr>
            <w:top w:val="none" w:sz="0" w:space="0" w:color="auto"/>
            <w:left w:val="none" w:sz="0" w:space="0" w:color="auto"/>
            <w:bottom w:val="none" w:sz="0" w:space="0" w:color="auto"/>
            <w:right w:val="none" w:sz="0" w:space="0" w:color="auto"/>
          </w:divBdr>
          <w:divsChild>
            <w:div w:id="1618681819">
              <w:marLeft w:val="0"/>
              <w:marRight w:val="0"/>
              <w:marTop w:val="0"/>
              <w:marBottom w:val="0"/>
              <w:divBdr>
                <w:top w:val="none" w:sz="0" w:space="0" w:color="auto"/>
                <w:left w:val="none" w:sz="0" w:space="0" w:color="auto"/>
                <w:bottom w:val="none" w:sz="0" w:space="0" w:color="auto"/>
                <w:right w:val="none" w:sz="0" w:space="0" w:color="auto"/>
              </w:divBdr>
            </w:div>
          </w:divsChild>
        </w:div>
        <w:div w:id="903183132">
          <w:marLeft w:val="0"/>
          <w:marRight w:val="0"/>
          <w:marTop w:val="0"/>
          <w:marBottom w:val="0"/>
          <w:divBdr>
            <w:top w:val="none" w:sz="0" w:space="0" w:color="auto"/>
            <w:left w:val="none" w:sz="0" w:space="0" w:color="auto"/>
            <w:bottom w:val="none" w:sz="0" w:space="0" w:color="auto"/>
            <w:right w:val="none" w:sz="0" w:space="0" w:color="auto"/>
          </w:divBdr>
          <w:divsChild>
            <w:div w:id="79260350">
              <w:marLeft w:val="0"/>
              <w:marRight w:val="0"/>
              <w:marTop w:val="0"/>
              <w:marBottom w:val="0"/>
              <w:divBdr>
                <w:top w:val="none" w:sz="0" w:space="0" w:color="auto"/>
                <w:left w:val="none" w:sz="0" w:space="0" w:color="auto"/>
                <w:bottom w:val="none" w:sz="0" w:space="0" w:color="auto"/>
                <w:right w:val="none" w:sz="0" w:space="0" w:color="auto"/>
              </w:divBdr>
            </w:div>
          </w:divsChild>
        </w:div>
        <w:div w:id="905144970">
          <w:marLeft w:val="0"/>
          <w:marRight w:val="0"/>
          <w:marTop w:val="0"/>
          <w:marBottom w:val="0"/>
          <w:divBdr>
            <w:top w:val="none" w:sz="0" w:space="0" w:color="auto"/>
            <w:left w:val="none" w:sz="0" w:space="0" w:color="auto"/>
            <w:bottom w:val="none" w:sz="0" w:space="0" w:color="auto"/>
            <w:right w:val="none" w:sz="0" w:space="0" w:color="auto"/>
          </w:divBdr>
          <w:divsChild>
            <w:div w:id="1757091659">
              <w:marLeft w:val="0"/>
              <w:marRight w:val="0"/>
              <w:marTop w:val="0"/>
              <w:marBottom w:val="0"/>
              <w:divBdr>
                <w:top w:val="none" w:sz="0" w:space="0" w:color="auto"/>
                <w:left w:val="none" w:sz="0" w:space="0" w:color="auto"/>
                <w:bottom w:val="none" w:sz="0" w:space="0" w:color="auto"/>
                <w:right w:val="none" w:sz="0" w:space="0" w:color="auto"/>
              </w:divBdr>
            </w:div>
          </w:divsChild>
        </w:div>
        <w:div w:id="905260449">
          <w:marLeft w:val="0"/>
          <w:marRight w:val="0"/>
          <w:marTop w:val="0"/>
          <w:marBottom w:val="0"/>
          <w:divBdr>
            <w:top w:val="none" w:sz="0" w:space="0" w:color="auto"/>
            <w:left w:val="none" w:sz="0" w:space="0" w:color="auto"/>
            <w:bottom w:val="none" w:sz="0" w:space="0" w:color="auto"/>
            <w:right w:val="none" w:sz="0" w:space="0" w:color="auto"/>
          </w:divBdr>
          <w:divsChild>
            <w:div w:id="941451946">
              <w:marLeft w:val="0"/>
              <w:marRight w:val="0"/>
              <w:marTop w:val="0"/>
              <w:marBottom w:val="0"/>
              <w:divBdr>
                <w:top w:val="none" w:sz="0" w:space="0" w:color="auto"/>
                <w:left w:val="none" w:sz="0" w:space="0" w:color="auto"/>
                <w:bottom w:val="none" w:sz="0" w:space="0" w:color="auto"/>
                <w:right w:val="none" w:sz="0" w:space="0" w:color="auto"/>
              </w:divBdr>
            </w:div>
          </w:divsChild>
        </w:div>
        <w:div w:id="912853838">
          <w:marLeft w:val="0"/>
          <w:marRight w:val="0"/>
          <w:marTop w:val="0"/>
          <w:marBottom w:val="0"/>
          <w:divBdr>
            <w:top w:val="none" w:sz="0" w:space="0" w:color="auto"/>
            <w:left w:val="none" w:sz="0" w:space="0" w:color="auto"/>
            <w:bottom w:val="none" w:sz="0" w:space="0" w:color="auto"/>
            <w:right w:val="none" w:sz="0" w:space="0" w:color="auto"/>
          </w:divBdr>
          <w:divsChild>
            <w:div w:id="1611156834">
              <w:marLeft w:val="0"/>
              <w:marRight w:val="0"/>
              <w:marTop w:val="0"/>
              <w:marBottom w:val="0"/>
              <w:divBdr>
                <w:top w:val="none" w:sz="0" w:space="0" w:color="auto"/>
                <w:left w:val="none" w:sz="0" w:space="0" w:color="auto"/>
                <w:bottom w:val="none" w:sz="0" w:space="0" w:color="auto"/>
                <w:right w:val="none" w:sz="0" w:space="0" w:color="auto"/>
              </w:divBdr>
            </w:div>
          </w:divsChild>
        </w:div>
        <w:div w:id="914362203">
          <w:marLeft w:val="0"/>
          <w:marRight w:val="0"/>
          <w:marTop w:val="0"/>
          <w:marBottom w:val="0"/>
          <w:divBdr>
            <w:top w:val="none" w:sz="0" w:space="0" w:color="auto"/>
            <w:left w:val="none" w:sz="0" w:space="0" w:color="auto"/>
            <w:bottom w:val="none" w:sz="0" w:space="0" w:color="auto"/>
            <w:right w:val="none" w:sz="0" w:space="0" w:color="auto"/>
          </w:divBdr>
          <w:divsChild>
            <w:div w:id="23795401">
              <w:marLeft w:val="0"/>
              <w:marRight w:val="0"/>
              <w:marTop w:val="0"/>
              <w:marBottom w:val="0"/>
              <w:divBdr>
                <w:top w:val="none" w:sz="0" w:space="0" w:color="auto"/>
                <w:left w:val="none" w:sz="0" w:space="0" w:color="auto"/>
                <w:bottom w:val="none" w:sz="0" w:space="0" w:color="auto"/>
                <w:right w:val="none" w:sz="0" w:space="0" w:color="auto"/>
              </w:divBdr>
            </w:div>
          </w:divsChild>
        </w:div>
        <w:div w:id="917665318">
          <w:marLeft w:val="0"/>
          <w:marRight w:val="0"/>
          <w:marTop w:val="0"/>
          <w:marBottom w:val="0"/>
          <w:divBdr>
            <w:top w:val="none" w:sz="0" w:space="0" w:color="auto"/>
            <w:left w:val="none" w:sz="0" w:space="0" w:color="auto"/>
            <w:bottom w:val="none" w:sz="0" w:space="0" w:color="auto"/>
            <w:right w:val="none" w:sz="0" w:space="0" w:color="auto"/>
          </w:divBdr>
          <w:divsChild>
            <w:div w:id="585039950">
              <w:marLeft w:val="0"/>
              <w:marRight w:val="0"/>
              <w:marTop w:val="0"/>
              <w:marBottom w:val="0"/>
              <w:divBdr>
                <w:top w:val="none" w:sz="0" w:space="0" w:color="auto"/>
                <w:left w:val="none" w:sz="0" w:space="0" w:color="auto"/>
                <w:bottom w:val="none" w:sz="0" w:space="0" w:color="auto"/>
                <w:right w:val="none" w:sz="0" w:space="0" w:color="auto"/>
              </w:divBdr>
            </w:div>
          </w:divsChild>
        </w:div>
        <w:div w:id="923998129">
          <w:marLeft w:val="0"/>
          <w:marRight w:val="0"/>
          <w:marTop w:val="0"/>
          <w:marBottom w:val="0"/>
          <w:divBdr>
            <w:top w:val="none" w:sz="0" w:space="0" w:color="auto"/>
            <w:left w:val="none" w:sz="0" w:space="0" w:color="auto"/>
            <w:bottom w:val="none" w:sz="0" w:space="0" w:color="auto"/>
            <w:right w:val="none" w:sz="0" w:space="0" w:color="auto"/>
          </w:divBdr>
          <w:divsChild>
            <w:div w:id="330182424">
              <w:marLeft w:val="0"/>
              <w:marRight w:val="0"/>
              <w:marTop w:val="0"/>
              <w:marBottom w:val="0"/>
              <w:divBdr>
                <w:top w:val="none" w:sz="0" w:space="0" w:color="auto"/>
                <w:left w:val="none" w:sz="0" w:space="0" w:color="auto"/>
                <w:bottom w:val="none" w:sz="0" w:space="0" w:color="auto"/>
                <w:right w:val="none" w:sz="0" w:space="0" w:color="auto"/>
              </w:divBdr>
            </w:div>
          </w:divsChild>
        </w:div>
        <w:div w:id="954752433">
          <w:marLeft w:val="0"/>
          <w:marRight w:val="0"/>
          <w:marTop w:val="0"/>
          <w:marBottom w:val="0"/>
          <w:divBdr>
            <w:top w:val="none" w:sz="0" w:space="0" w:color="auto"/>
            <w:left w:val="none" w:sz="0" w:space="0" w:color="auto"/>
            <w:bottom w:val="none" w:sz="0" w:space="0" w:color="auto"/>
            <w:right w:val="none" w:sz="0" w:space="0" w:color="auto"/>
          </w:divBdr>
          <w:divsChild>
            <w:div w:id="627316512">
              <w:marLeft w:val="0"/>
              <w:marRight w:val="0"/>
              <w:marTop w:val="0"/>
              <w:marBottom w:val="0"/>
              <w:divBdr>
                <w:top w:val="none" w:sz="0" w:space="0" w:color="auto"/>
                <w:left w:val="none" w:sz="0" w:space="0" w:color="auto"/>
                <w:bottom w:val="none" w:sz="0" w:space="0" w:color="auto"/>
                <w:right w:val="none" w:sz="0" w:space="0" w:color="auto"/>
              </w:divBdr>
            </w:div>
          </w:divsChild>
        </w:div>
        <w:div w:id="967203057">
          <w:marLeft w:val="0"/>
          <w:marRight w:val="0"/>
          <w:marTop w:val="0"/>
          <w:marBottom w:val="0"/>
          <w:divBdr>
            <w:top w:val="none" w:sz="0" w:space="0" w:color="auto"/>
            <w:left w:val="none" w:sz="0" w:space="0" w:color="auto"/>
            <w:bottom w:val="none" w:sz="0" w:space="0" w:color="auto"/>
            <w:right w:val="none" w:sz="0" w:space="0" w:color="auto"/>
          </w:divBdr>
          <w:divsChild>
            <w:div w:id="116684756">
              <w:marLeft w:val="0"/>
              <w:marRight w:val="0"/>
              <w:marTop w:val="0"/>
              <w:marBottom w:val="0"/>
              <w:divBdr>
                <w:top w:val="none" w:sz="0" w:space="0" w:color="auto"/>
                <w:left w:val="none" w:sz="0" w:space="0" w:color="auto"/>
                <w:bottom w:val="none" w:sz="0" w:space="0" w:color="auto"/>
                <w:right w:val="none" w:sz="0" w:space="0" w:color="auto"/>
              </w:divBdr>
            </w:div>
          </w:divsChild>
        </w:div>
        <w:div w:id="979920563">
          <w:marLeft w:val="0"/>
          <w:marRight w:val="0"/>
          <w:marTop w:val="0"/>
          <w:marBottom w:val="0"/>
          <w:divBdr>
            <w:top w:val="none" w:sz="0" w:space="0" w:color="auto"/>
            <w:left w:val="none" w:sz="0" w:space="0" w:color="auto"/>
            <w:bottom w:val="none" w:sz="0" w:space="0" w:color="auto"/>
            <w:right w:val="none" w:sz="0" w:space="0" w:color="auto"/>
          </w:divBdr>
          <w:divsChild>
            <w:div w:id="1258561496">
              <w:marLeft w:val="0"/>
              <w:marRight w:val="0"/>
              <w:marTop w:val="0"/>
              <w:marBottom w:val="0"/>
              <w:divBdr>
                <w:top w:val="none" w:sz="0" w:space="0" w:color="auto"/>
                <w:left w:val="none" w:sz="0" w:space="0" w:color="auto"/>
                <w:bottom w:val="none" w:sz="0" w:space="0" w:color="auto"/>
                <w:right w:val="none" w:sz="0" w:space="0" w:color="auto"/>
              </w:divBdr>
            </w:div>
          </w:divsChild>
        </w:div>
        <w:div w:id="980618656">
          <w:marLeft w:val="0"/>
          <w:marRight w:val="0"/>
          <w:marTop w:val="0"/>
          <w:marBottom w:val="0"/>
          <w:divBdr>
            <w:top w:val="none" w:sz="0" w:space="0" w:color="auto"/>
            <w:left w:val="none" w:sz="0" w:space="0" w:color="auto"/>
            <w:bottom w:val="none" w:sz="0" w:space="0" w:color="auto"/>
            <w:right w:val="none" w:sz="0" w:space="0" w:color="auto"/>
          </w:divBdr>
          <w:divsChild>
            <w:div w:id="1210723526">
              <w:marLeft w:val="0"/>
              <w:marRight w:val="0"/>
              <w:marTop w:val="0"/>
              <w:marBottom w:val="0"/>
              <w:divBdr>
                <w:top w:val="none" w:sz="0" w:space="0" w:color="auto"/>
                <w:left w:val="none" w:sz="0" w:space="0" w:color="auto"/>
                <w:bottom w:val="none" w:sz="0" w:space="0" w:color="auto"/>
                <w:right w:val="none" w:sz="0" w:space="0" w:color="auto"/>
              </w:divBdr>
            </w:div>
          </w:divsChild>
        </w:div>
        <w:div w:id="982344261">
          <w:marLeft w:val="0"/>
          <w:marRight w:val="0"/>
          <w:marTop w:val="0"/>
          <w:marBottom w:val="0"/>
          <w:divBdr>
            <w:top w:val="none" w:sz="0" w:space="0" w:color="auto"/>
            <w:left w:val="none" w:sz="0" w:space="0" w:color="auto"/>
            <w:bottom w:val="none" w:sz="0" w:space="0" w:color="auto"/>
            <w:right w:val="none" w:sz="0" w:space="0" w:color="auto"/>
          </w:divBdr>
          <w:divsChild>
            <w:div w:id="134486">
              <w:marLeft w:val="0"/>
              <w:marRight w:val="0"/>
              <w:marTop w:val="0"/>
              <w:marBottom w:val="0"/>
              <w:divBdr>
                <w:top w:val="none" w:sz="0" w:space="0" w:color="auto"/>
                <w:left w:val="none" w:sz="0" w:space="0" w:color="auto"/>
                <w:bottom w:val="none" w:sz="0" w:space="0" w:color="auto"/>
                <w:right w:val="none" w:sz="0" w:space="0" w:color="auto"/>
              </w:divBdr>
            </w:div>
          </w:divsChild>
        </w:div>
        <w:div w:id="984509479">
          <w:marLeft w:val="0"/>
          <w:marRight w:val="0"/>
          <w:marTop w:val="0"/>
          <w:marBottom w:val="0"/>
          <w:divBdr>
            <w:top w:val="none" w:sz="0" w:space="0" w:color="auto"/>
            <w:left w:val="none" w:sz="0" w:space="0" w:color="auto"/>
            <w:bottom w:val="none" w:sz="0" w:space="0" w:color="auto"/>
            <w:right w:val="none" w:sz="0" w:space="0" w:color="auto"/>
          </w:divBdr>
          <w:divsChild>
            <w:div w:id="693502220">
              <w:marLeft w:val="0"/>
              <w:marRight w:val="0"/>
              <w:marTop w:val="0"/>
              <w:marBottom w:val="0"/>
              <w:divBdr>
                <w:top w:val="none" w:sz="0" w:space="0" w:color="auto"/>
                <w:left w:val="none" w:sz="0" w:space="0" w:color="auto"/>
                <w:bottom w:val="none" w:sz="0" w:space="0" w:color="auto"/>
                <w:right w:val="none" w:sz="0" w:space="0" w:color="auto"/>
              </w:divBdr>
            </w:div>
          </w:divsChild>
        </w:div>
        <w:div w:id="993341777">
          <w:marLeft w:val="0"/>
          <w:marRight w:val="0"/>
          <w:marTop w:val="0"/>
          <w:marBottom w:val="0"/>
          <w:divBdr>
            <w:top w:val="none" w:sz="0" w:space="0" w:color="auto"/>
            <w:left w:val="none" w:sz="0" w:space="0" w:color="auto"/>
            <w:bottom w:val="none" w:sz="0" w:space="0" w:color="auto"/>
            <w:right w:val="none" w:sz="0" w:space="0" w:color="auto"/>
          </w:divBdr>
          <w:divsChild>
            <w:div w:id="1577746376">
              <w:marLeft w:val="0"/>
              <w:marRight w:val="0"/>
              <w:marTop w:val="0"/>
              <w:marBottom w:val="0"/>
              <w:divBdr>
                <w:top w:val="none" w:sz="0" w:space="0" w:color="auto"/>
                <w:left w:val="none" w:sz="0" w:space="0" w:color="auto"/>
                <w:bottom w:val="none" w:sz="0" w:space="0" w:color="auto"/>
                <w:right w:val="none" w:sz="0" w:space="0" w:color="auto"/>
              </w:divBdr>
            </w:div>
          </w:divsChild>
        </w:div>
        <w:div w:id="996114092">
          <w:marLeft w:val="0"/>
          <w:marRight w:val="0"/>
          <w:marTop w:val="0"/>
          <w:marBottom w:val="0"/>
          <w:divBdr>
            <w:top w:val="none" w:sz="0" w:space="0" w:color="auto"/>
            <w:left w:val="none" w:sz="0" w:space="0" w:color="auto"/>
            <w:bottom w:val="none" w:sz="0" w:space="0" w:color="auto"/>
            <w:right w:val="none" w:sz="0" w:space="0" w:color="auto"/>
          </w:divBdr>
          <w:divsChild>
            <w:div w:id="1941643638">
              <w:marLeft w:val="0"/>
              <w:marRight w:val="0"/>
              <w:marTop w:val="0"/>
              <w:marBottom w:val="0"/>
              <w:divBdr>
                <w:top w:val="none" w:sz="0" w:space="0" w:color="auto"/>
                <w:left w:val="none" w:sz="0" w:space="0" w:color="auto"/>
                <w:bottom w:val="none" w:sz="0" w:space="0" w:color="auto"/>
                <w:right w:val="none" w:sz="0" w:space="0" w:color="auto"/>
              </w:divBdr>
            </w:div>
          </w:divsChild>
        </w:div>
        <w:div w:id="1026246749">
          <w:marLeft w:val="0"/>
          <w:marRight w:val="0"/>
          <w:marTop w:val="0"/>
          <w:marBottom w:val="0"/>
          <w:divBdr>
            <w:top w:val="none" w:sz="0" w:space="0" w:color="auto"/>
            <w:left w:val="none" w:sz="0" w:space="0" w:color="auto"/>
            <w:bottom w:val="none" w:sz="0" w:space="0" w:color="auto"/>
            <w:right w:val="none" w:sz="0" w:space="0" w:color="auto"/>
          </w:divBdr>
          <w:divsChild>
            <w:div w:id="1087310216">
              <w:marLeft w:val="0"/>
              <w:marRight w:val="0"/>
              <w:marTop w:val="0"/>
              <w:marBottom w:val="0"/>
              <w:divBdr>
                <w:top w:val="none" w:sz="0" w:space="0" w:color="auto"/>
                <w:left w:val="none" w:sz="0" w:space="0" w:color="auto"/>
                <w:bottom w:val="none" w:sz="0" w:space="0" w:color="auto"/>
                <w:right w:val="none" w:sz="0" w:space="0" w:color="auto"/>
              </w:divBdr>
            </w:div>
          </w:divsChild>
        </w:div>
        <w:div w:id="1028751341">
          <w:marLeft w:val="0"/>
          <w:marRight w:val="0"/>
          <w:marTop w:val="0"/>
          <w:marBottom w:val="0"/>
          <w:divBdr>
            <w:top w:val="none" w:sz="0" w:space="0" w:color="auto"/>
            <w:left w:val="none" w:sz="0" w:space="0" w:color="auto"/>
            <w:bottom w:val="none" w:sz="0" w:space="0" w:color="auto"/>
            <w:right w:val="none" w:sz="0" w:space="0" w:color="auto"/>
          </w:divBdr>
          <w:divsChild>
            <w:div w:id="1911959086">
              <w:marLeft w:val="0"/>
              <w:marRight w:val="0"/>
              <w:marTop w:val="0"/>
              <w:marBottom w:val="0"/>
              <w:divBdr>
                <w:top w:val="none" w:sz="0" w:space="0" w:color="auto"/>
                <w:left w:val="none" w:sz="0" w:space="0" w:color="auto"/>
                <w:bottom w:val="none" w:sz="0" w:space="0" w:color="auto"/>
                <w:right w:val="none" w:sz="0" w:space="0" w:color="auto"/>
              </w:divBdr>
            </w:div>
          </w:divsChild>
        </w:div>
        <w:div w:id="1037703837">
          <w:marLeft w:val="0"/>
          <w:marRight w:val="0"/>
          <w:marTop w:val="0"/>
          <w:marBottom w:val="0"/>
          <w:divBdr>
            <w:top w:val="none" w:sz="0" w:space="0" w:color="auto"/>
            <w:left w:val="none" w:sz="0" w:space="0" w:color="auto"/>
            <w:bottom w:val="none" w:sz="0" w:space="0" w:color="auto"/>
            <w:right w:val="none" w:sz="0" w:space="0" w:color="auto"/>
          </w:divBdr>
          <w:divsChild>
            <w:div w:id="1503158944">
              <w:marLeft w:val="0"/>
              <w:marRight w:val="0"/>
              <w:marTop w:val="0"/>
              <w:marBottom w:val="0"/>
              <w:divBdr>
                <w:top w:val="none" w:sz="0" w:space="0" w:color="auto"/>
                <w:left w:val="none" w:sz="0" w:space="0" w:color="auto"/>
                <w:bottom w:val="none" w:sz="0" w:space="0" w:color="auto"/>
                <w:right w:val="none" w:sz="0" w:space="0" w:color="auto"/>
              </w:divBdr>
            </w:div>
          </w:divsChild>
        </w:div>
        <w:div w:id="1047342890">
          <w:marLeft w:val="0"/>
          <w:marRight w:val="0"/>
          <w:marTop w:val="0"/>
          <w:marBottom w:val="0"/>
          <w:divBdr>
            <w:top w:val="none" w:sz="0" w:space="0" w:color="auto"/>
            <w:left w:val="none" w:sz="0" w:space="0" w:color="auto"/>
            <w:bottom w:val="none" w:sz="0" w:space="0" w:color="auto"/>
            <w:right w:val="none" w:sz="0" w:space="0" w:color="auto"/>
          </w:divBdr>
          <w:divsChild>
            <w:div w:id="995717990">
              <w:marLeft w:val="0"/>
              <w:marRight w:val="0"/>
              <w:marTop w:val="0"/>
              <w:marBottom w:val="0"/>
              <w:divBdr>
                <w:top w:val="none" w:sz="0" w:space="0" w:color="auto"/>
                <w:left w:val="none" w:sz="0" w:space="0" w:color="auto"/>
                <w:bottom w:val="none" w:sz="0" w:space="0" w:color="auto"/>
                <w:right w:val="none" w:sz="0" w:space="0" w:color="auto"/>
              </w:divBdr>
            </w:div>
          </w:divsChild>
        </w:div>
        <w:div w:id="1052001168">
          <w:marLeft w:val="0"/>
          <w:marRight w:val="0"/>
          <w:marTop w:val="0"/>
          <w:marBottom w:val="0"/>
          <w:divBdr>
            <w:top w:val="none" w:sz="0" w:space="0" w:color="auto"/>
            <w:left w:val="none" w:sz="0" w:space="0" w:color="auto"/>
            <w:bottom w:val="none" w:sz="0" w:space="0" w:color="auto"/>
            <w:right w:val="none" w:sz="0" w:space="0" w:color="auto"/>
          </w:divBdr>
          <w:divsChild>
            <w:div w:id="1567257620">
              <w:marLeft w:val="0"/>
              <w:marRight w:val="0"/>
              <w:marTop w:val="0"/>
              <w:marBottom w:val="0"/>
              <w:divBdr>
                <w:top w:val="none" w:sz="0" w:space="0" w:color="auto"/>
                <w:left w:val="none" w:sz="0" w:space="0" w:color="auto"/>
                <w:bottom w:val="none" w:sz="0" w:space="0" w:color="auto"/>
                <w:right w:val="none" w:sz="0" w:space="0" w:color="auto"/>
              </w:divBdr>
            </w:div>
          </w:divsChild>
        </w:div>
        <w:div w:id="1053192209">
          <w:marLeft w:val="0"/>
          <w:marRight w:val="0"/>
          <w:marTop w:val="0"/>
          <w:marBottom w:val="0"/>
          <w:divBdr>
            <w:top w:val="none" w:sz="0" w:space="0" w:color="auto"/>
            <w:left w:val="none" w:sz="0" w:space="0" w:color="auto"/>
            <w:bottom w:val="none" w:sz="0" w:space="0" w:color="auto"/>
            <w:right w:val="none" w:sz="0" w:space="0" w:color="auto"/>
          </w:divBdr>
          <w:divsChild>
            <w:div w:id="445582268">
              <w:marLeft w:val="0"/>
              <w:marRight w:val="0"/>
              <w:marTop w:val="0"/>
              <w:marBottom w:val="0"/>
              <w:divBdr>
                <w:top w:val="none" w:sz="0" w:space="0" w:color="auto"/>
                <w:left w:val="none" w:sz="0" w:space="0" w:color="auto"/>
                <w:bottom w:val="none" w:sz="0" w:space="0" w:color="auto"/>
                <w:right w:val="none" w:sz="0" w:space="0" w:color="auto"/>
              </w:divBdr>
            </w:div>
          </w:divsChild>
        </w:div>
        <w:div w:id="1063602258">
          <w:marLeft w:val="0"/>
          <w:marRight w:val="0"/>
          <w:marTop w:val="0"/>
          <w:marBottom w:val="0"/>
          <w:divBdr>
            <w:top w:val="none" w:sz="0" w:space="0" w:color="auto"/>
            <w:left w:val="none" w:sz="0" w:space="0" w:color="auto"/>
            <w:bottom w:val="none" w:sz="0" w:space="0" w:color="auto"/>
            <w:right w:val="none" w:sz="0" w:space="0" w:color="auto"/>
          </w:divBdr>
          <w:divsChild>
            <w:div w:id="1543596535">
              <w:marLeft w:val="0"/>
              <w:marRight w:val="0"/>
              <w:marTop w:val="0"/>
              <w:marBottom w:val="0"/>
              <w:divBdr>
                <w:top w:val="none" w:sz="0" w:space="0" w:color="auto"/>
                <w:left w:val="none" w:sz="0" w:space="0" w:color="auto"/>
                <w:bottom w:val="none" w:sz="0" w:space="0" w:color="auto"/>
                <w:right w:val="none" w:sz="0" w:space="0" w:color="auto"/>
              </w:divBdr>
            </w:div>
          </w:divsChild>
        </w:div>
        <w:div w:id="1067656311">
          <w:marLeft w:val="0"/>
          <w:marRight w:val="0"/>
          <w:marTop w:val="0"/>
          <w:marBottom w:val="0"/>
          <w:divBdr>
            <w:top w:val="none" w:sz="0" w:space="0" w:color="auto"/>
            <w:left w:val="none" w:sz="0" w:space="0" w:color="auto"/>
            <w:bottom w:val="none" w:sz="0" w:space="0" w:color="auto"/>
            <w:right w:val="none" w:sz="0" w:space="0" w:color="auto"/>
          </w:divBdr>
          <w:divsChild>
            <w:div w:id="1076828864">
              <w:marLeft w:val="0"/>
              <w:marRight w:val="0"/>
              <w:marTop w:val="0"/>
              <w:marBottom w:val="0"/>
              <w:divBdr>
                <w:top w:val="none" w:sz="0" w:space="0" w:color="auto"/>
                <w:left w:val="none" w:sz="0" w:space="0" w:color="auto"/>
                <w:bottom w:val="none" w:sz="0" w:space="0" w:color="auto"/>
                <w:right w:val="none" w:sz="0" w:space="0" w:color="auto"/>
              </w:divBdr>
            </w:div>
          </w:divsChild>
        </w:div>
        <w:div w:id="1077750627">
          <w:marLeft w:val="0"/>
          <w:marRight w:val="0"/>
          <w:marTop w:val="0"/>
          <w:marBottom w:val="0"/>
          <w:divBdr>
            <w:top w:val="none" w:sz="0" w:space="0" w:color="auto"/>
            <w:left w:val="none" w:sz="0" w:space="0" w:color="auto"/>
            <w:bottom w:val="none" w:sz="0" w:space="0" w:color="auto"/>
            <w:right w:val="none" w:sz="0" w:space="0" w:color="auto"/>
          </w:divBdr>
          <w:divsChild>
            <w:div w:id="1796632399">
              <w:marLeft w:val="0"/>
              <w:marRight w:val="0"/>
              <w:marTop w:val="0"/>
              <w:marBottom w:val="0"/>
              <w:divBdr>
                <w:top w:val="none" w:sz="0" w:space="0" w:color="auto"/>
                <w:left w:val="none" w:sz="0" w:space="0" w:color="auto"/>
                <w:bottom w:val="none" w:sz="0" w:space="0" w:color="auto"/>
                <w:right w:val="none" w:sz="0" w:space="0" w:color="auto"/>
              </w:divBdr>
            </w:div>
          </w:divsChild>
        </w:div>
        <w:div w:id="1079640267">
          <w:marLeft w:val="0"/>
          <w:marRight w:val="0"/>
          <w:marTop w:val="0"/>
          <w:marBottom w:val="0"/>
          <w:divBdr>
            <w:top w:val="none" w:sz="0" w:space="0" w:color="auto"/>
            <w:left w:val="none" w:sz="0" w:space="0" w:color="auto"/>
            <w:bottom w:val="none" w:sz="0" w:space="0" w:color="auto"/>
            <w:right w:val="none" w:sz="0" w:space="0" w:color="auto"/>
          </w:divBdr>
          <w:divsChild>
            <w:div w:id="1055661907">
              <w:marLeft w:val="0"/>
              <w:marRight w:val="0"/>
              <w:marTop w:val="0"/>
              <w:marBottom w:val="0"/>
              <w:divBdr>
                <w:top w:val="none" w:sz="0" w:space="0" w:color="auto"/>
                <w:left w:val="none" w:sz="0" w:space="0" w:color="auto"/>
                <w:bottom w:val="none" w:sz="0" w:space="0" w:color="auto"/>
                <w:right w:val="none" w:sz="0" w:space="0" w:color="auto"/>
              </w:divBdr>
            </w:div>
          </w:divsChild>
        </w:div>
        <w:div w:id="1127311397">
          <w:marLeft w:val="0"/>
          <w:marRight w:val="0"/>
          <w:marTop w:val="0"/>
          <w:marBottom w:val="0"/>
          <w:divBdr>
            <w:top w:val="none" w:sz="0" w:space="0" w:color="auto"/>
            <w:left w:val="none" w:sz="0" w:space="0" w:color="auto"/>
            <w:bottom w:val="none" w:sz="0" w:space="0" w:color="auto"/>
            <w:right w:val="none" w:sz="0" w:space="0" w:color="auto"/>
          </w:divBdr>
          <w:divsChild>
            <w:div w:id="1574120493">
              <w:marLeft w:val="0"/>
              <w:marRight w:val="0"/>
              <w:marTop w:val="0"/>
              <w:marBottom w:val="0"/>
              <w:divBdr>
                <w:top w:val="none" w:sz="0" w:space="0" w:color="auto"/>
                <w:left w:val="none" w:sz="0" w:space="0" w:color="auto"/>
                <w:bottom w:val="none" w:sz="0" w:space="0" w:color="auto"/>
                <w:right w:val="none" w:sz="0" w:space="0" w:color="auto"/>
              </w:divBdr>
            </w:div>
          </w:divsChild>
        </w:div>
        <w:div w:id="1134907416">
          <w:marLeft w:val="0"/>
          <w:marRight w:val="0"/>
          <w:marTop w:val="0"/>
          <w:marBottom w:val="0"/>
          <w:divBdr>
            <w:top w:val="none" w:sz="0" w:space="0" w:color="auto"/>
            <w:left w:val="none" w:sz="0" w:space="0" w:color="auto"/>
            <w:bottom w:val="none" w:sz="0" w:space="0" w:color="auto"/>
            <w:right w:val="none" w:sz="0" w:space="0" w:color="auto"/>
          </w:divBdr>
          <w:divsChild>
            <w:div w:id="1188134766">
              <w:marLeft w:val="0"/>
              <w:marRight w:val="0"/>
              <w:marTop w:val="0"/>
              <w:marBottom w:val="0"/>
              <w:divBdr>
                <w:top w:val="none" w:sz="0" w:space="0" w:color="auto"/>
                <w:left w:val="none" w:sz="0" w:space="0" w:color="auto"/>
                <w:bottom w:val="none" w:sz="0" w:space="0" w:color="auto"/>
                <w:right w:val="none" w:sz="0" w:space="0" w:color="auto"/>
              </w:divBdr>
            </w:div>
          </w:divsChild>
        </w:div>
        <w:div w:id="1155755555">
          <w:marLeft w:val="0"/>
          <w:marRight w:val="0"/>
          <w:marTop w:val="0"/>
          <w:marBottom w:val="0"/>
          <w:divBdr>
            <w:top w:val="none" w:sz="0" w:space="0" w:color="auto"/>
            <w:left w:val="none" w:sz="0" w:space="0" w:color="auto"/>
            <w:bottom w:val="none" w:sz="0" w:space="0" w:color="auto"/>
            <w:right w:val="none" w:sz="0" w:space="0" w:color="auto"/>
          </w:divBdr>
          <w:divsChild>
            <w:div w:id="820852701">
              <w:marLeft w:val="0"/>
              <w:marRight w:val="0"/>
              <w:marTop w:val="0"/>
              <w:marBottom w:val="0"/>
              <w:divBdr>
                <w:top w:val="none" w:sz="0" w:space="0" w:color="auto"/>
                <w:left w:val="none" w:sz="0" w:space="0" w:color="auto"/>
                <w:bottom w:val="none" w:sz="0" w:space="0" w:color="auto"/>
                <w:right w:val="none" w:sz="0" w:space="0" w:color="auto"/>
              </w:divBdr>
            </w:div>
          </w:divsChild>
        </w:div>
        <w:div w:id="1158616656">
          <w:marLeft w:val="0"/>
          <w:marRight w:val="0"/>
          <w:marTop w:val="0"/>
          <w:marBottom w:val="0"/>
          <w:divBdr>
            <w:top w:val="none" w:sz="0" w:space="0" w:color="auto"/>
            <w:left w:val="none" w:sz="0" w:space="0" w:color="auto"/>
            <w:bottom w:val="none" w:sz="0" w:space="0" w:color="auto"/>
            <w:right w:val="none" w:sz="0" w:space="0" w:color="auto"/>
          </w:divBdr>
          <w:divsChild>
            <w:div w:id="122045453">
              <w:marLeft w:val="0"/>
              <w:marRight w:val="0"/>
              <w:marTop w:val="0"/>
              <w:marBottom w:val="0"/>
              <w:divBdr>
                <w:top w:val="none" w:sz="0" w:space="0" w:color="auto"/>
                <w:left w:val="none" w:sz="0" w:space="0" w:color="auto"/>
                <w:bottom w:val="none" w:sz="0" w:space="0" w:color="auto"/>
                <w:right w:val="none" w:sz="0" w:space="0" w:color="auto"/>
              </w:divBdr>
            </w:div>
          </w:divsChild>
        </w:div>
        <w:div w:id="1178155073">
          <w:marLeft w:val="0"/>
          <w:marRight w:val="0"/>
          <w:marTop w:val="0"/>
          <w:marBottom w:val="0"/>
          <w:divBdr>
            <w:top w:val="none" w:sz="0" w:space="0" w:color="auto"/>
            <w:left w:val="none" w:sz="0" w:space="0" w:color="auto"/>
            <w:bottom w:val="none" w:sz="0" w:space="0" w:color="auto"/>
            <w:right w:val="none" w:sz="0" w:space="0" w:color="auto"/>
          </w:divBdr>
          <w:divsChild>
            <w:div w:id="272792009">
              <w:marLeft w:val="0"/>
              <w:marRight w:val="0"/>
              <w:marTop w:val="0"/>
              <w:marBottom w:val="0"/>
              <w:divBdr>
                <w:top w:val="none" w:sz="0" w:space="0" w:color="auto"/>
                <w:left w:val="none" w:sz="0" w:space="0" w:color="auto"/>
                <w:bottom w:val="none" w:sz="0" w:space="0" w:color="auto"/>
                <w:right w:val="none" w:sz="0" w:space="0" w:color="auto"/>
              </w:divBdr>
            </w:div>
          </w:divsChild>
        </w:div>
        <w:div w:id="1181621771">
          <w:marLeft w:val="0"/>
          <w:marRight w:val="0"/>
          <w:marTop w:val="0"/>
          <w:marBottom w:val="0"/>
          <w:divBdr>
            <w:top w:val="none" w:sz="0" w:space="0" w:color="auto"/>
            <w:left w:val="none" w:sz="0" w:space="0" w:color="auto"/>
            <w:bottom w:val="none" w:sz="0" w:space="0" w:color="auto"/>
            <w:right w:val="none" w:sz="0" w:space="0" w:color="auto"/>
          </w:divBdr>
          <w:divsChild>
            <w:div w:id="2144690051">
              <w:marLeft w:val="0"/>
              <w:marRight w:val="0"/>
              <w:marTop w:val="0"/>
              <w:marBottom w:val="0"/>
              <w:divBdr>
                <w:top w:val="none" w:sz="0" w:space="0" w:color="auto"/>
                <w:left w:val="none" w:sz="0" w:space="0" w:color="auto"/>
                <w:bottom w:val="none" w:sz="0" w:space="0" w:color="auto"/>
                <w:right w:val="none" w:sz="0" w:space="0" w:color="auto"/>
              </w:divBdr>
            </w:div>
          </w:divsChild>
        </w:div>
        <w:div w:id="1183127629">
          <w:marLeft w:val="0"/>
          <w:marRight w:val="0"/>
          <w:marTop w:val="0"/>
          <w:marBottom w:val="0"/>
          <w:divBdr>
            <w:top w:val="none" w:sz="0" w:space="0" w:color="auto"/>
            <w:left w:val="none" w:sz="0" w:space="0" w:color="auto"/>
            <w:bottom w:val="none" w:sz="0" w:space="0" w:color="auto"/>
            <w:right w:val="none" w:sz="0" w:space="0" w:color="auto"/>
          </w:divBdr>
          <w:divsChild>
            <w:div w:id="856311594">
              <w:marLeft w:val="0"/>
              <w:marRight w:val="0"/>
              <w:marTop w:val="0"/>
              <w:marBottom w:val="0"/>
              <w:divBdr>
                <w:top w:val="none" w:sz="0" w:space="0" w:color="auto"/>
                <w:left w:val="none" w:sz="0" w:space="0" w:color="auto"/>
                <w:bottom w:val="none" w:sz="0" w:space="0" w:color="auto"/>
                <w:right w:val="none" w:sz="0" w:space="0" w:color="auto"/>
              </w:divBdr>
            </w:div>
          </w:divsChild>
        </w:div>
        <w:div w:id="1190996937">
          <w:marLeft w:val="0"/>
          <w:marRight w:val="0"/>
          <w:marTop w:val="0"/>
          <w:marBottom w:val="0"/>
          <w:divBdr>
            <w:top w:val="none" w:sz="0" w:space="0" w:color="auto"/>
            <w:left w:val="none" w:sz="0" w:space="0" w:color="auto"/>
            <w:bottom w:val="none" w:sz="0" w:space="0" w:color="auto"/>
            <w:right w:val="none" w:sz="0" w:space="0" w:color="auto"/>
          </w:divBdr>
          <w:divsChild>
            <w:div w:id="2107578271">
              <w:marLeft w:val="0"/>
              <w:marRight w:val="0"/>
              <w:marTop w:val="0"/>
              <w:marBottom w:val="0"/>
              <w:divBdr>
                <w:top w:val="none" w:sz="0" w:space="0" w:color="auto"/>
                <w:left w:val="none" w:sz="0" w:space="0" w:color="auto"/>
                <w:bottom w:val="none" w:sz="0" w:space="0" w:color="auto"/>
                <w:right w:val="none" w:sz="0" w:space="0" w:color="auto"/>
              </w:divBdr>
            </w:div>
          </w:divsChild>
        </w:div>
        <w:div w:id="1191147913">
          <w:marLeft w:val="0"/>
          <w:marRight w:val="0"/>
          <w:marTop w:val="0"/>
          <w:marBottom w:val="0"/>
          <w:divBdr>
            <w:top w:val="none" w:sz="0" w:space="0" w:color="auto"/>
            <w:left w:val="none" w:sz="0" w:space="0" w:color="auto"/>
            <w:bottom w:val="none" w:sz="0" w:space="0" w:color="auto"/>
            <w:right w:val="none" w:sz="0" w:space="0" w:color="auto"/>
          </w:divBdr>
          <w:divsChild>
            <w:div w:id="241185297">
              <w:marLeft w:val="0"/>
              <w:marRight w:val="0"/>
              <w:marTop w:val="0"/>
              <w:marBottom w:val="0"/>
              <w:divBdr>
                <w:top w:val="none" w:sz="0" w:space="0" w:color="auto"/>
                <w:left w:val="none" w:sz="0" w:space="0" w:color="auto"/>
                <w:bottom w:val="none" w:sz="0" w:space="0" w:color="auto"/>
                <w:right w:val="none" w:sz="0" w:space="0" w:color="auto"/>
              </w:divBdr>
            </w:div>
          </w:divsChild>
        </w:div>
        <w:div w:id="1193302470">
          <w:marLeft w:val="0"/>
          <w:marRight w:val="0"/>
          <w:marTop w:val="0"/>
          <w:marBottom w:val="0"/>
          <w:divBdr>
            <w:top w:val="none" w:sz="0" w:space="0" w:color="auto"/>
            <w:left w:val="none" w:sz="0" w:space="0" w:color="auto"/>
            <w:bottom w:val="none" w:sz="0" w:space="0" w:color="auto"/>
            <w:right w:val="none" w:sz="0" w:space="0" w:color="auto"/>
          </w:divBdr>
          <w:divsChild>
            <w:div w:id="1062946249">
              <w:marLeft w:val="0"/>
              <w:marRight w:val="0"/>
              <w:marTop w:val="0"/>
              <w:marBottom w:val="0"/>
              <w:divBdr>
                <w:top w:val="none" w:sz="0" w:space="0" w:color="auto"/>
                <w:left w:val="none" w:sz="0" w:space="0" w:color="auto"/>
                <w:bottom w:val="none" w:sz="0" w:space="0" w:color="auto"/>
                <w:right w:val="none" w:sz="0" w:space="0" w:color="auto"/>
              </w:divBdr>
            </w:div>
          </w:divsChild>
        </w:div>
        <w:div w:id="1198734862">
          <w:marLeft w:val="0"/>
          <w:marRight w:val="0"/>
          <w:marTop w:val="0"/>
          <w:marBottom w:val="0"/>
          <w:divBdr>
            <w:top w:val="none" w:sz="0" w:space="0" w:color="auto"/>
            <w:left w:val="none" w:sz="0" w:space="0" w:color="auto"/>
            <w:bottom w:val="none" w:sz="0" w:space="0" w:color="auto"/>
            <w:right w:val="none" w:sz="0" w:space="0" w:color="auto"/>
          </w:divBdr>
          <w:divsChild>
            <w:div w:id="1942375901">
              <w:marLeft w:val="0"/>
              <w:marRight w:val="0"/>
              <w:marTop w:val="0"/>
              <w:marBottom w:val="0"/>
              <w:divBdr>
                <w:top w:val="none" w:sz="0" w:space="0" w:color="auto"/>
                <w:left w:val="none" w:sz="0" w:space="0" w:color="auto"/>
                <w:bottom w:val="none" w:sz="0" w:space="0" w:color="auto"/>
                <w:right w:val="none" w:sz="0" w:space="0" w:color="auto"/>
              </w:divBdr>
            </w:div>
          </w:divsChild>
        </w:div>
        <w:div w:id="1237517754">
          <w:marLeft w:val="0"/>
          <w:marRight w:val="0"/>
          <w:marTop w:val="0"/>
          <w:marBottom w:val="0"/>
          <w:divBdr>
            <w:top w:val="none" w:sz="0" w:space="0" w:color="auto"/>
            <w:left w:val="none" w:sz="0" w:space="0" w:color="auto"/>
            <w:bottom w:val="none" w:sz="0" w:space="0" w:color="auto"/>
            <w:right w:val="none" w:sz="0" w:space="0" w:color="auto"/>
          </w:divBdr>
          <w:divsChild>
            <w:div w:id="738092231">
              <w:marLeft w:val="0"/>
              <w:marRight w:val="0"/>
              <w:marTop w:val="0"/>
              <w:marBottom w:val="0"/>
              <w:divBdr>
                <w:top w:val="none" w:sz="0" w:space="0" w:color="auto"/>
                <w:left w:val="none" w:sz="0" w:space="0" w:color="auto"/>
                <w:bottom w:val="none" w:sz="0" w:space="0" w:color="auto"/>
                <w:right w:val="none" w:sz="0" w:space="0" w:color="auto"/>
              </w:divBdr>
            </w:div>
          </w:divsChild>
        </w:div>
        <w:div w:id="1237782164">
          <w:marLeft w:val="0"/>
          <w:marRight w:val="0"/>
          <w:marTop w:val="0"/>
          <w:marBottom w:val="0"/>
          <w:divBdr>
            <w:top w:val="none" w:sz="0" w:space="0" w:color="auto"/>
            <w:left w:val="none" w:sz="0" w:space="0" w:color="auto"/>
            <w:bottom w:val="none" w:sz="0" w:space="0" w:color="auto"/>
            <w:right w:val="none" w:sz="0" w:space="0" w:color="auto"/>
          </w:divBdr>
          <w:divsChild>
            <w:div w:id="1678269795">
              <w:marLeft w:val="0"/>
              <w:marRight w:val="0"/>
              <w:marTop w:val="0"/>
              <w:marBottom w:val="0"/>
              <w:divBdr>
                <w:top w:val="none" w:sz="0" w:space="0" w:color="auto"/>
                <w:left w:val="none" w:sz="0" w:space="0" w:color="auto"/>
                <w:bottom w:val="none" w:sz="0" w:space="0" w:color="auto"/>
                <w:right w:val="none" w:sz="0" w:space="0" w:color="auto"/>
              </w:divBdr>
            </w:div>
          </w:divsChild>
        </w:div>
        <w:div w:id="1242325782">
          <w:marLeft w:val="0"/>
          <w:marRight w:val="0"/>
          <w:marTop w:val="0"/>
          <w:marBottom w:val="0"/>
          <w:divBdr>
            <w:top w:val="none" w:sz="0" w:space="0" w:color="auto"/>
            <w:left w:val="none" w:sz="0" w:space="0" w:color="auto"/>
            <w:bottom w:val="none" w:sz="0" w:space="0" w:color="auto"/>
            <w:right w:val="none" w:sz="0" w:space="0" w:color="auto"/>
          </w:divBdr>
          <w:divsChild>
            <w:div w:id="1932154458">
              <w:marLeft w:val="0"/>
              <w:marRight w:val="0"/>
              <w:marTop w:val="0"/>
              <w:marBottom w:val="0"/>
              <w:divBdr>
                <w:top w:val="none" w:sz="0" w:space="0" w:color="auto"/>
                <w:left w:val="none" w:sz="0" w:space="0" w:color="auto"/>
                <w:bottom w:val="none" w:sz="0" w:space="0" w:color="auto"/>
                <w:right w:val="none" w:sz="0" w:space="0" w:color="auto"/>
              </w:divBdr>
            </w:div>
          </w:divsChild>
        </w:div>
        <w:div w:id="1255043735">
          <w:marLeft w:val="0"/>
          <w:marRight w:val="0"/>
          <w:marTop w:val="0"/>
          <w:marBottom w:val="0"/>
          <w:divBdr>
            <w:top w:val="none" w:sz="0" w:space="0" w:color="auto"/>
            <w:left w:val="none" w:sz="0" w:space="0" w:color="auto"/>
            <w:bottom w:val="none" w:sz="0" w:space="0" w:color="auto"/>
            <w:right w:val="none" w:sz="0" w:space="0" w:color="auto"/>
          </w:divBdr>
          <w:divsChild>
            <w:div w:id="517743734">
              <w:marLeft w:val="0"/>
              <w:marRight w:val="0"/>
              <w:marTop w:val="0"/>
              <w:marBottom w:val="0"/>
              <w:divBdr>
                <w:top w:val="none" w:sz="0" w:space="0" w:color="auto"/>
                <w:left w:val="none" w:sz="0" w:space="0" w:color="auto"/>
                <w:bottom w:val="none" w:sz="0" w:space="0" w:color="auto"/>
                <w:right w:val="none" w:sz="0" w:space="0" w:color="auto"/>
              </w:divBdr>
            </w:div>
          </w:divsChild>
        </w:div>
        <w:div w:id="1257787601">
          <w:marLeft w:val="0"/>
          <w:marRight w:val="0"/>
          <w:marTop w:val="0"/>
          <w:marBottom w:val="0"/>
          <w:divBdr>
            <w:top w:val="none" w:sz="0" w:space="0" w:color="auto"/>
            <w:left w:val="none" w:sz="0" w:space="0" w:color="auto"/>
            <w:bottom w:val="none" w:sz="0" w:space="0" w:color="auto"/>
            <w:right w:val="none" w:sz="0" w:space="0" w:color="auto"/>
          </w:divBdr>
          <w:divsChild>
            <w:div w:id="1391541064">
              <w:marLeft w:val="0"/>
              <w:marRight w:val="0"/>
              <w:marTop w:val="0"/>
              <w:marBottom w:val="0"/>
              <w:divBdr>
                <w:top w:val="none" w:sz="0" w:space="0" w:color="auto"/>
                <w:left w:val="none" w:sz="0" w:space="0" w:color="auto"/>
                <w:bottom w:val="none" w:sz="0" w:space="0" w:color="auto"/>
                <w:right w:val="none" w:sz="0" w:space="0" w:color="auto"/>
              </w:divBdr>
            </w:div>
          </w:divsChild>
        </w:div>
        <w:div w:id="1277519794">
          <w:marLeft w:val="0"/>
          <w:marRight w:val="0"/>
          <w:marTop w:val="0"/>
          <w:marBottom w:val="0"/>
          <w:divBdr>
            <w:top w:val="none" w:sz="0" w:space="0" w:color="auto"/>
            <w:left w:val="none" w:sz="0" w:space="0" w:color="auto"/>
            <w:bottom w:val="none" w:sz="0" w:space="0" w:color="auto"/>
            <w:right w:val="none" w:sz="0" w:space="0" w:color="auto"/>
          </w:divBdr>
          <w:divsChild>
            <w:div w:id="1905291797">
              <w:marLeft w:val="0"/>
              <w:marRight w:val="0"/>
              <w:marTop w:val="0"/>
              <w:marBottom w:val="0"/>
              <w:divBdr>
                <w:top w:val="none" w:sz="0" w:space="0" w:color="auto"/>
                <w:left w:val="none" w:sz="0" w:space="0" w:color="auto"/>
                <w:bottom w:val="none" w:sz="0" w:space="0" w:color="auto"/>
                <w:right w:val="none" w:sz="0" w:space="0" w:color="auto"/>
              </w:divBdr>
            </w:div>
          </w:divsChild>
        </w:div>
        <w:div w:id="1278028029">
          <w:marLeft w:val="0"/>
          <w:marRight w:val="0"/>
          <w:marTop w:val="0"/>
          <w:marBottom w:val="0"/>
          <w:divBdr>
            <w:top w:val="none" w:sz="0" w:space="0" w:color="auto"/>
            <w:left w:val="none" w:sz="0" w:space="0" w:color="auto"/>
            <w:bottom w:val="none" w:sz="0" w:space="0" w:color="auto"/>
            <w:right w:val="none" w:sz="0" w:space="0" w:color="auto"/>
          </w:divBdr>
          <w:divsChild>
            <w:div w:id="98529029">
              <w:marLeft w:val="0"/>
              <w:marRight w:val="0"/>
              <w:marTop w:val="0"/>
              <w:marBottom w:val="0"/>
              <w:divBdr>
                <w:top w:val="none" w:sz="0" w:space="0" w:color="auto"/>
                <w:left w:val="none" w:sz="0" w:space="0" w:color="auto"/>
                <w:bottom w:val="none" w:sz="0" w:space="0" w:color="auto"/>
                <w:right w:val="none" w:sz="0" w:space="0" w:color="auto"/>
              </w:divBdr>
            </w:div>
          </w:divsChild>
        </w:div>
        <w:div w:id="1287152615">
          <w:marLeft w:val="0"/>
          <w:marRight w:val="0"/>
          <w:marTop w:val="0"/>
          <w:marBottom w:val="0"/>
          <w:divBdr>
            <w:top w:val="none" w:sz="0" w:space="0" w:color="auto"/>
            <w:left w:val="none" w:sz="0" w:space="0" w:color="auto"/>
            <w:bottom w:val="none" w:sz="0" w:space="0" w:color="auto"/>
            <w:right w:val="none" w:sz="0" w:space="0" w:color="auto"/>
          </w:divBdr>
          <w:divsChild>
            <w:div w:id="550850467">
              <w:marLeft w:val="0"/>
              <w:marRight w:val="0"/>
              <w:marTop w:val="0"/>
              <w:marBottom w:val="0"/>
              <w:divBdr>
                <w:top w:val="none" w:sz="0" w:space="0" w:color="auto"/>
                <w:left w:val="none" w:sz="0" w:space="0" w:color="auto"/>
                <w:bottom w:val="none" w:sz="0" w:space="0" w:color="auto"/>
                <w:right w:val="none" w:sz="0" w:space="0" w:color="auto"/>
              </w:divBdr>
            </w:div>
          </w:divsChild>
        </w:div>
        <w:div w:id="1288850213">
          <w:marLeft w:val="0"/>
          <w:marRight w:val="0"/>
          <w:marTop w:val="0"/>
          <w:marBottom w:val="0"/>
          <w:divBdr>
            <w:top w:val="none" w:sz="0" w:space="0" w:color="auto"/>
            <w:left w:val="none" w:sz="0" w:space="0" w:color="auto"/>
            <w:bottom w:val="none" w:sz="0" w:space="0" w:color="auto"/>
            <w:right w:val="none" w:sz="0" w:space="0" w:color="auto"/>
          </w:divBdr>
          <w:divsChild>
            <w:div w:id="551962831">
              <w:marLeft w:val="0"/>
              <w:marRight w:val="0"/>
              <w:marTop w:val="0"/>
              <w:marBottom w:val="0"/>
              <w:divBdr>
                <w:top w:val="none" w:sz="0" w:space="0" w:color="auto"/>
                <w:left w:val="none" w:sz="0" w:space="0" w:color="auto"/>
                <w:bottom w:val="none" w:sz="0" w:space="0" w:color="auto"/>
                <w:right w:val="none" w:sz="0" w:space="0" w:color="auto"/>
              </w:divBdr>
            </w:div>
          </w:divsChild>
        </w:div>
        <w:div w:id="1289779753">
          <w:marLeft w:val="0"/>
          <w:marRight w:val="0"/>
          <w:marTop w:val="0"/>
          <w:marBottom w:val="0"/>
          <w:divBdr>
            <w:top w:val="none" w:sz="0" w:space="0" w:color="auto"/>
            <w:left w:val="none" w:sz="0" w:space="0" w:color="auto"/>
            <w:bottom w:val="none" w:sz="0" w:space="0" w:color="auto"/>
            <w:right w:val="none" w:sz="0" w:space="0" w:color="auto"/>
          </w:divBdr>
          <w:divsChild>
            <w:div w:id="1641299591">
              <w:marLeft w:val="0"/>
              <w:marRight w:val="0"/>
              <w:marTop w:val="0"/>
              <w:marBottom w:val="0"/>
              <w:divBdr>
                <w:top w:val="none" w:sz="0" w:space="0" w:color="auto"/>
                <w:left w:val="none" w:sz="0" w:space="0" w:color="auto"/>
                <w:bottom w:val="none" w:sz="0" w:space="0" w:color="auto"/>
                <w:right w:val="none" w:sz="0" w:space="0" w:color="auto"/>
              </w:divBdr>
            </w:div>
          </w:divsChild>
        </w:div>
        <w:div w:id="1305771267">
          <w:marLeft w:val="0"/>
          <w:marRight w:val="0"/>
          <w:marTop w:val="0"/>
          <w:marBottom w:val="0"/>
          <w:divBdr>
            <w:top w:val="none" w:sz="0" w:space="0" w:color="auto"/>
            <w:left w:val="none" w:sz="0" w:space="0" w:color="auto"/>
            <w:bottom w:val="none" w:sz="0" w:space="0" w:color="auto"/>
            <w:right w:val="none" w:sz="0" w:space="0" w:color="auto"/>
          </w:divBdr>
          <w:divsChild>
            <w:div w:id="445583233">
              <w:marLeft w:val="0"/>
              <w:marRight w:val="0"/>
              <w:marTop w:val="0"/>
              <w:marBottom w:val="0"/>
              <w:divBdr>
                <w:top w:val="none" w:sz="0" w:space="0" w:color="auto"/>
                <w:left w:val="none" w:sz="0" w:space="0" w:color="auto"/>
                <w:bottom w:val="none" w:sz="0" w:space="0" w:color="auto"/>
                <w:right w:val="none" w:sz="0" w:space="0" w:color="auto"/>
              </w:divBdr>
            </w:div>
          </w:divsChild>
        </w:div>
        <w:div w:id="1308700612">
          <w:marLeft w:val="0"/>
          <w:marRight w:val="0"/>
          <w:marTop w:val="0"/>
          <w:marBottom w:val="0"/>
          <w:divBdr>
            <w:top w:val="none" w:sz="0" w:space="0" w:color="auto"/>
            <w:left w:val="none" w:sz="0" w:space="0" w:color="auto"/>
            <w:bottom w:val="none" w:sz="0" w:space="0" w:color="auto"/>
            <w:right w:val="none" w:sz="0" w:space="0" w:color="auto"/>
          </w:divBdr>
          <w:divsChild>
            <w:div w:id="1385521127">
              <w:marLeft w:val="0"/>
              <w:marRight w:val="0"/>
              <w:marTop w:val="0"/>
              <w:marBottom w:val="0"/>
              <w:divBdr>
                <w:top w:val="none" w:sz="0" w:space="0" w:color="auto"/>
                <w:left w:val="none" w:sz="0" w:space="0" w:color="auto"/>
                <w:bottom w:val="none" w:sz="0" w:space="0" w:color="auto"/>
                <w:right w:val="none" w:sz="0" w:space="0" w:color="auto"/>
              </w:divBdr>
            </w:div>
          </w:divsChild>
        </w:div>
        <w:div w:id="1310788917">
          <w:marLeft w:val="0"/>
          <w:marRight w:val="0"/>
          <w:marTop w:val="0"/>
          <w:marBottom w:val="0"/>
          <w:divBdr>
            <w:top w:val="none" w:sz="0" w:space="0" w:color="auto"/>
            <w:left w:val="none" w:sz="0" w:space="0" w:color="auto"/>
            <w:bottom w:val="none" w:sz="0" w:space="0" w:color="auto"/>
            <w:right w:val="none" w:sz="0" w:space="0" w:color="auto"/>
          </w:divBdr>
          <w:divsChild>
            <w:div w:id="1921526839">
              <w:marLeft w:val="0"/>
              <w:marRight w:val="0"/>
              <w:marTop w:val="0"/>
              <w:marBottom w:val="0"/>
              <w:divBdr>
                <w:top w:val="none" w:sz="0" w:space="0" w:color="auto"/>
                <w:left w:val="none" w:sz="0" w:space="0" w:color="auto"/>
                <w:bottom w:val="none" w:sz="0" w:space="0" w:color="auto"/>
                <w:right w:val="none" w:sz="0" w:space="0" w:color="auto"/>
              </w:divBdr>
            </w:div>
          </w:divsChild>
        </w:div>
        <w:div w:id="1325939888">
          <w:marLeft w:val="0"/>
          <w:marRight w:val="0"/>
          <w:marTop w:val="0"/>
          <w:marBottom w:val="0"/>
          <w:divBdr>
            <w:top w:val="none" w:sz="0" w:space="0" w:color="auto"/>
            <w:left w:val="none" w:sz="0" w:space="0" w:color="auto"/>
            <w:bottom w:val="none" w:sz="0" w:space="0" w:color="auto"/>
            <w:right w:val="none" w:sz="0" w:space="0" w:color="auto"/>
          </w:divBdr>
          <w:divsChild>
            <w:div w:id="571430540">
              <w:marLeft w:val="0"/>
              <w:marRight w:val="0"/>
              <w:marTop w:val="0"/>
              <w:marBottom w:val="0"/>
              <w:divBdr>
                <w:top w:val="none" w:sz="0" w:space="0" w:color="auto"/>
                <w:left w:val="none" w:sz="0" w:space="0" w:color="auto"/>
                <w:bottom w:val="none" w:sz="0" w:space="0" w:color="auto"/>
                <w:right w:val="none" w:sz="0" w:space="0" w:color="auto"/>
              </w:divBdr>
            </w:div>
          </w:divsChild>
        </w:div>
        <w:div w:id="1326519526">
          <w:marLeft w:val="0"/>
          <w:marRight w:val="0"/>
          <w:marTop w:val="0"/>
          <w:marBottom w:val="0"/>
          <w:divBdr>
            <w:top w:val="none" w:sz="0" w:space="0" w:color="auto"/>
            <w:left w:val="none" w:sz="0" w:space="0" w:color="auto"/>
            <w:bottom w:val="none" w:sz="0" w:space="0" w:color="auto"/>
            <w:right w:val="none" w:sz="0" w:space="0" w:color="auto"/>
          </w:divBdr>
          <w:divsChild>
            <w:div w:id="1569532616">
              <w:marLeft w:val="0"/>
              <w:marRight w:val="0"/>
              <w:marTop w:val="0"/>
              <w:marBottom w:val="0"/>
              <w:divBdr>
                <w:top w:val="none" w:sz="0" w:space="0" w:color="auto"/>
                <w:left w:val="none" w:sz="0" w:space="0" w:color="auto"/>
                <w:bottom w:val="none" w:sz="0" w:space="0" w:color="auto"/>
                <w:right w:val="none" w:sz="0" w:space="0" w:color="auto"/>
              </w:divBdr>
            </w:div>
          </w:divsChild>
        </w:div>
        <w:div w:id="1341004631">
          <w:marLeft w:val="0"/>
          <w:marRight w:val="0"/>
          <w:marTop w:val="0"/>
          <w:marBottom w:val="0"/>
          <w:divBdr>
            <w:top w:val="none" w:sz="0" w:space="0" w:color="auto"/>
            <w:left w:val="none" w:sz="0" w:space="0" w:color="auto"/>
            <w:bottom w:val="none" w:sz="0" w:space="0" w:color="auto"/>
            <w:right w:val="none" w:sz="0" w:space="0" w:color="auto"/>
          </w:divBdr>
          <w:divsChild>
            <w:div w:id="823354594">
              <w:marLeft w:val="0"/>
              <w:marRight w:val="0"/>
              <w:marTop w:val="0"/>
              <w:marBottom w:val="0"/>
              <w:divBdr>
                <w:top w:val="none" w:sz="0" w:space="0" w:color="auto"/>
                <w:left w:val="none" w:sz="0" w:space="0" w:color="auto"/>
                <w:bottom w:val="none" w:sz="0" w:space="0" w:color="auto"/>
                <w:right w:val="none" w:sz="0" w:space="0" w:color="auto"/>
              </w:divBdr>
            </w:div>
          </w:divsChild>
        </w:div>
        <w:div w:id="1349023097">
          <w:marLeft w:val="0"/>
          <w:marRight w:val="0"/>
          <w:marTop w:val="0"/>
          <w:marBottom w:val="0"/>
          <w:divBdr>
            <w:top w:val="none" w:sz="0" w:space="0" w:color="auto"/>
            <w:left w:val="none" w:sz="0" w:space="0" w:color="auto"/>
            <w:bottom w:val="none" w:sz="0" w:space="0" w:color="auto"/>
            <w:right w:val="none" w:sz="0" w:space="0" w:color="auto"/>
          </w:divBdr>
          <w:divsChild>
            <w:div w:id="1027217955">
              <w:marLeft w:val="0"/>
              <w:marRight w:val="0"/>
              <w:marTop w:val="0"/>
              <w:marBottom w:val="0"/>
              <w:divBdr>
                <w:top w:val="none" w:sz="0" w:space="0" w:color="auto"/>
                <w:left w:val="none" w:sz="0" w:space="0" w:color="auto"/>
                <w:bottom w:val="none" w:sz="0" w:space="0" w:color="auto"/>
                <w:right w:val="none" w:sz="0" w:space="0" w:color="auto"/>
              </w:divBdr>
            </w:div>
          </w:divsChild>
        </w:div>
        <w:div w:id="1355424117">
          <w:marLeft w:val="0"/>
          <w:marRight w:val="0"/>
          <w:marTop w:val="0"/>
          <w:marBottom w:val="0"/>
          <w:divBdr>
            <w:top w:val="none" w:sz="0" w:space="0" w:color="auto"/>
            <w:left w:val="none" w:sz="0" w:space="0" w:color="auto"/>
            <w:bottom w:val="none" w:sz="0" w:space="0" w:color="auto"/>
            <w:right w:val="none" w:sz="0" w:space="0" w:color="auto"/>
          </w:divBdr>
          <w:divsChild>
            <w:div w:id="759720496">
              <w:marLeft w:val="0"/>
              <w:marRight w:val="0"/>
              <w:marTop w:val="0"/>
              <w:marBottom w:val="0"/>
              <w:divBdr>
                <w:top w:val="none" w:sz="0" w:space="0" w:color="auto"/>
                <w:left w:val="none" w:sz="0" w:space="0" w:color="auto"/>
                <w:bottom w:val="none" w:sz="0" w:space="0" w:color="auto"/>
                <w:right w:val="none" w:sz="0" w:space="0" w:color="auto"/>
              </w:divBdr>
            </w:div>
          </w:divsChild>
        </w:div>
        <w:div w:id="1357540874">
          <w:marLeft w:val="0"/>
          <w:marRight w:val="0"/>
          <w:marTop w:val="0"/>
          <w:marBottom w:val="0"/>
          <w:divBdr>
            <w:top w:val="none" w:sz="0" w:space="0" w:color="auto"/>
            <w:left w:val="none" w:sz="0" w:space="0" w:color="auto"/>
            <w:bottom w:val="none" w:sz="0" w:space="0" w:color="auto"/>
            <w:right w:val="none" w:sz="0" w:space="0" w:color="auto"/>
          </w:divBdr>
          <w:divsChild>
            <w:div w:id="199246041">
              <w:marLeft w:val="0"/>
              <w:marRight w:val="0"/>
              <w:marTop w:val="0"/>
              <w:marBottom w:val="0"/>
              <w:divBdr>
                <w:top w:val="none" w:sz="0" w:space="0" w:color="auto"/>
                <w:left w:val="none" w:sz="0" w:space="0" w:color="auto"/>
                <w:bottom w:val="none" w:sz="0" w:space="0" w:color="auto"/>
                <w:right w:val="none" w:sz="0" w:space="0" w:color="auto"/>
              </w:divBdr>
            </w:div>
          </w:divsChild>
        </w:div>
        <w:div w:id="1361010253">
          <w:marLeft w:val="0"/>
          <w:marRight w:val="0"/>
          <w:marTop w:val="0"/>
          <w:marBottom w:val="0"/>
          <w:divBdr>
            <w:top w:val="none" w:sz="0" w:space="0" w:color="auto"/>
            <w:left w:val="none" w:sz="0" w:space="0" w:color="auto"/>
            <w:bottom w:val="none" w:sz="0" w:space="0" w:color="auto"/>
            <w:right w:val="none" w:sz="0" w:space="0" w:color="auto"/>
          </w:divBdr>
          <w:divsChild>
            <w:div w:id="140582145">
              <w:marLeft w:val="0"/>
              <w:marRight w:val="0"/>
              <w:marTop w:val="0"/>
              <w:marBottom w:val="0"/>
              <w:divBdr>
                <w:top w:val="none" w:sz="0" w:space="0" w:color="auto"/>
                <w:left w:val="none" w:sz="0" w:space="0" w:color="auto"/>
                <w:bottom w:val="none" w:sz="0" w:space="0" w:color="auto"/>
                <w:right w:val="none" w:sz="0" w:space="0" w:color="auto"/>
              </w:divBdr>
            </w:div>
          </w:divsChild>
        </w:div>
        <w:div w:id="1363048337">
          <w:marLeft w:val="0"/>
          <w:marRight w:val="0"/>
          <w:marTop w:val="0"/>
          <w:marBottom w:val="0"/>
          <w:divBdr>
            <w:top w:val="none" w:sz="0" w:space="0" w:color="auto"/>
            <w:left w:val="none" w:sz="0" w:space="0" w:color="auto"/>
            <w:bottom w:val="none" w:sz="0" w:space="0" w:color="auto"/>
            <w:right w:val="none" w:sz="0" w:space="0" w:color="auto"/>
          </w:divBdr>
          <w:divsChild>
            <w:div w:id="134642865">
              <w:marLeft w:val="0"/>
              <w:marRight w:val="0"/>
              <w:marTop w:val="0"/>
              <w:marBottom w:val="0"/>
              <w:divBdr>
                <w:top w:val="none" w:sz="0" w:space="0" w:color="auto"/>
                <w:left w:val="none" w:sz="0" w:space="0" w:color="auto"/>
                <w:bottom w:val="none" w:sz="0" w:space="0" w:color="auto"/>
                <w:right w:val="none" w:sz="0" w:space="0" w:color="auto"/>
              </w:divBdr>
            </w:div>
          </w:divsChild>
        </w:div>
        <w:div w:id="1389304151">
          <w:marLeft w:val="0"/>
          <w:marRight w:val="0"/>
          <w:marTop w:val="0"/>
          <w:marBottom w:val="0"/>
          <w:divBdr>
            <w:top w:val="none" w:sz="0" w:space="0" w:color="auto"/>
            <w:left w:val="none" w:sz="0" w:space="0" w:color="auto"/>
            <w:bottom w:val="none" w:sz="0" w:space="0" w:color="auto"/>
            <w:right w:val="none" w:sz="0" w:space="0" w:color="auto"/>
          </w:divBdr>
          <w:divsChild>
            <w:div w:id="2077435512">
              <w:marLeft w:val="0"/>
              <w:marRight w:val="0"/>
              <w:marTop w:val="0"/>
              <w:marBottom w:val="0"/>
              <w:divBdr>
                <w:top w:val="none" w:sz="0" w:space="0" w:color="auto"/>
                <w:left w:val="none" w:sz="0" w:space="0" w:color="auto"/>
                <w:bottom w:val="none" w:sz="0" w:space="0" w:color="auto"/>
                <w:right w:val="none" w:sz="0" w:space="0" w:color="auto"/>
              </w:divBdr>
            </w:div>
          </w:divsChild>
        </w:div>
        <w:div w:id="1392458248">
          <w:marLeft w:val="0"/>
          <w:marRight w:val="0"/>
          <w:marTop w:val="0"/>
          <w:marBottom w:val="0"/>
          <w:divBdr>
            <w:top w:val="none" w:sz="0" w:space="0" w:color="auto"/>
            <w:left w:val="none" w:sz="0" w:space="0" w:color="auto"/>
            <w:bottom w:val="none" w:sz="0" w:space="0" w:color="auto"/>
            <w:right w:val="none" w:sz="0" w:space="0" w:color="auto"/>
          </w:divBdr>
          <w:divsChild>
            <w:div w:id="1928801916">
              <w:marLeft w:val="0"/>
              <w:marRight w:val="0"/>
              <w:marTop w:val="0"/>
              <w:marBottom w:val="0"/>
              <w:divBdr>
                <w:top w:val="none" w:sz="0" w:space="0" w:color="auto"/>
                <w:left w:val="none" w:sz="0" w:space="0" w:color="auto"/>
                <w:bottom w:val="none" w:sz="0" w:space="0" w:color="auto"/>
                <w:right w:val="none" w:sz="0" w:space="0" w:color="auto"/>
              </w:divBdr>
            </w:div>
          </w:divsChild>
        </w:div>
        <w:div w:id="1403525018">
          <w:marLeft w:val="0"/>
          <w:marRight w:val="0"/>
          <w:marTop w:val="0"/>
          <w:marBottom w:val="0"/>
          <w:divBdr>
            <w:top w:val="none" w:sz="0" w:space="0" w:color="auto"/>
            <w:left w:val="none" w:sz="0" w:space="0" w:color="auto"/>
            <w:bottom w:val="none" w:sz="0" w:space="0" w:color="auto"/>
            <w:right w:val="none" w:sz="0" w:space="0" w:color="auto"/>
          </w:divBdr>
          <w:divsChild>
            <w:div w:id="930698178">
              <w:marLeft w:val="0"/>
              <w:marRight w:val="0"/>
              <w:marTop w:val="0"/>
              <w:marBottom w:val="0"/>
              <w:divBdr>
                <w:top w:val="none" w:sz="0" w:space="0" w:color="auto"/>
                <w:left w:val="none" w:sz="0" w:space="0" w:color="auto"/>
                <w:bottom w:val="none" w:sz="0" w:space="0" w:color="auto"/>
                <w:right w:val="none" w:sz="0" w:space="0" w:color="auto"/>
              </w:divBdr>
            </w:div>
          </w:divsChild>
        </w:div>
        <w:div w:id="1415468293">
          <w:marLeft w:val="0"/>
          <w:marRight w:val="0"/>
          <w:marTop w:val="0"/>
          <w:marBottom w:val="0"/>
          <w:divBdr>
            <w:top w:val="none" w:sz="0" w:space="0" w:color="auto"/>
            <w:left w:val="none" w:sz="0" w:space="0" w:color="auto"/>
            <w:bottom w:val="none" w:sz="0" w:space="0" w:color="auto"/>
            <w:right w:val="none" w:sz="0" w:space="0" w:color="auto"/>
          </w:divBdr>
          <w:divsChild>
            <w:div w:id="1074279323">
              <w:marLeft w:val="0"/>
              <w:marRight w:val="0"/>
              <w:marTop w:val="0"/>
              <w:marBottom w:val="0"/>
              <w:divBdr>
                <w:top w:val="none" w:sz="0" w:space="0" w:color="auto"/>
                <w:left w:val="none" w:sz="0" w:space="0" w:color="auto"/>
                <w:bottom w:val="none" w:sz="0" w:space="0" w:color="auto"/>
                <w:right w:val="none" w:sz="0" w:space="0" w:color="auto"/>
              </w:divBdr>
            </w:div>
          </w:divsChild>
        </w:div>
        <w:div w:id="1418013977">
          <w:marLeft w:val="0"/>
          <w:marRight w:val="0"/>
          <w:marTop w:val="0"/>
          <w:marBottom w:val="0"/>
          <w:divBdr>
            <w:top w:val="none" w:sz="0" w:space="0" w:color="auto"/>
            <w:left w:val="none" w:sz="0" w:space="0" w:color="auto"/>
            <w:bottom w:val="none" w:sz="0" w:space="0" w:color="auto"/>
            <w:right w:val="none" w:sz="0" w:space="0" w:color="auto"/>
          </w:divBdr>
          <w:divsChild>
            <w:div w:id="1909799815">
              <w:marLeft w:val="0"/>
              <w:marRight w:val="0"/>
              <w:marTop w:val="0"/>
              <w:marBottom w:val="0"/>
              <w:divBdr>
                <w:top w:val="none" w:sz="0" w:space="0" w:color="auto"/>
                <w:left w:val="none" w:sz="0" w:space="0" w:color="auto"/>
                <w:bottom w:val="none" w:sz="0" w:space="0" w:color="auto"/>
                <w:right w:val="none" w:sz="0" w:space="0" w:color="auto"/>
              </w:divBdr>
            </w:div>
          </w:divsChild>
        </w:div>
        <w:div w:id="1420058175">
          <w:marLeft w:val="0"/>
          <w:marRight w:val="0"/>
          <w:marTop w:val="0"/>
          <w:marBottom w:val="0"/>
          <w:divBdr>
            <w:top w:val="none" w:sz="0" w:space="0" w:color="auto"/>
            <w:left w:val="none" w:sz="0" w:space="0" w:color="auto"/>
            <w:bottom w:val="none" w:sz="0" w:space="0" w:color="auto"/>
            <w:right w:val="none" w:sz="0" w:space="0" w:color="auto"/>
          </w:divBdr>
          <w:divsChild>
            <w:div w:id="1555656961">
              <w:marLeft w:val="0"/>
              <w:marRight w:val="0"/>
              <w:marTop w:val="0"/>
              <w:marBottom w:val="0"/>
              <w:divBdr>
                <w:top w:val="none" w:sz="0" w:space="0" w:color="auto"/>
                <w:left w:val="none" w:sz="0" w:space="0" w:color="auto"/>
                <w:bottom w:val="none" w:sz="0" w:space="0" w:color="auto"/>
                <w:right w:val="none" w:sz="0" w:space="0" w:color="auto"/>
              </w:divBdr>
            </w:div>
          </w:divsChild>
        </w:div>
        <w:div w:id="1443920376">
          <w:marLeft w:val="0"/>
          <w:marRight w:val="0"/>
          <w:marTop w:val="0"/>
          <w:marBottom w:val="0"/>
          <w:divBdr>
            <w:top w:val="none" w:sz="0" w:space="0" w:color="auto"/>
            <w:left w:val="none" w:sz="0" w:space="0" w:color="auto"/>
            <w:bottom w:val="none" w:sz="0" w:space="0" w:color="auto"/>
            <w:right w:val="none" w:sz="0" w:space="0" w:color="auto"/>
          </w:divBdr>
          <w:divsChild>
            <w:div w:id="758333790">
              <w:marLeft w:val="0"/>
              <w:marRight w:val="0"/>
              <w:marTop w:val="0"/>
              <w:marBottom w:val="0"/>
              <w:divBdr>
                <w:top w:val="none" w:sz="0" w:space="0" w:color="auto"/>
                <w:left w:val="none" w:sz="0" w:space="0" w:color="auto"/>
                <w:bottom w:val="none" w:sz="0" w:space="0" w:color="auto"/>
                <w:right w:val="none" w:sz="0" w:space="0" w:color="auto"/>
              </w:divBdr>
            </w:div>
          </w:divsChild>
        </w:div>
        <w:div w:id="1447895728">
          <w:marLeft w:val="0"/>
          <w:marRight w:val="0"/>
          <w:marTop w:val="0"/>
          <w:marBottom w:val="0"/>
          <w:divBdr>
            <w:top w:val="none" w:sz="0" w:space="0" w:color="auto"/>
            <w:left w:val="none" w:sz="0" w:space="0" w:color="auto"/>
            <w:bottom w:val="none" w:sz="0" w:space="0" w:color="auto"/>
            <w:right w:val="none" w:sz="0" w:space="0" w:color="auto"/>
          </w:divBdr>
          <w:divsChild>
            <w:div w:id="276454472">
              <w:marLeft w:val="0"/>
              <w:marRight w:val="0"/>
              <w:marTop w:val="0"/>
              <w:marBottom w:val="0"/>
              <w:divBdr>
                <w:top w:val="none" w:sz="0" w:space="0" w:color="auto"/>
                <w:left w:val="none" w:sz="0" w:space="0" w:color="auto"/>
                <w:bottom w:val="none" w:sz="0" w:space="0" w:color="auto"/>
                <w:right w:val="none" w:sz="0" w:space="0" w:color="auto"/>
              </w:divBdr>
            </w:div>
          </w:divsChild>
        </w:div>
        <w:div w:id="1455908662">
          <w:marLeft w:val="0"/>
          <w:marRight w:val="0"/>
          <w:marTop w:val="0"/>
          <w:marBottom w:val="0"/>
          <w:divBdr>
            <w:top w:val="none" w:sz="0" w:space="0" w:color="auto"/>
            <w:left w:val="none" w:sz="0" w:space="0" w:color="auto"/>
            <w:bottom w:val="none" w:sz="0" w:space="0" w:color="auto"/>
            <w:right w:val="none" w:sz="0" w:space="0" w:color="auto"/>
          </w:divBdr>
          <w:divsChild>
            <w:div w:id="464852092">
              <w:marLeft w:val="0"/>
              <w:marRight w:val="0"/>
              <w:marTop w:val="0"/>
              <w:marBottom w:val="0"/>
              <w:divBdr>
                <w:top w:val="none" w:sz="0" w:space="0" w:color="auto"/>
                <w:left w:val="none" w:sz="0" w:space="0" w:color="auto"/>
                <w:bottom w:val="none" w:sz="0" w:space="0" w:color="auto"/>
                <w:right w:val="none" w:sz="0" w:space="0" w:color="auto"/>
              </w:divBdr>
            </w:div>
          </w:divsChild>
        </w:div>
        <w:div w:id="1456480247">
          <w:marLeft w:val="0"/>
          <w:marRight w:val="0"/>
          <w:marTop w:val="0"/>
          <w:marBottom w:val="0"/>
          <w:divBdr>
            <w:top w:val="none" w:sz="0" w:space="0" w:color="auto"/>
            <w:left w:val="none" w:sz="0" w:space="0" w:color="auto"/>
            <w:bottom w:val="none" w:sz="0" w:space="0" w:color="auto"/>
            <w:right w:val="none" w:sz="0" w:space="0" w:color="auto"/>
          </w:divBdr>
          <w:divsChild>
            <w:div w:id="1924753678">
              <w:marLeft w:val="0"/>
              <w:marRight w:val="0"/>
              <w:marTop w:val="0"/>
              <w:marBottom w:val="0"/>
              <w:divBdr>
                <w:top w:val="none" w:sz="0" w:space="0" w:color="auto"/>
                <w:left w:val="none" w:sz="0" w:space="0" w:color="auto"/>
                <w:bottom w:val="none" w:sz="0" w:space="0" w:color="auto"/>
                <w:right w:val="none" w:sz="0" w:space="0" w:color="auto"/>
              </w:divBdr>
            </w:div>
          </w:divsChild>
        </w:div>
        <w:div w:id="1474518535">
          <w:marLeft w:val="0"/>
          <w:marRight w:val="0"/>
          <w:marTop w:val="0"/>
          <w:marBottom w:val="0"/>
          <w:divBdr>
            <w:top w:val="none" w:sz="0" w:space="0" w:color="auto"/>
            <w:left w:val="none" w:sz="0" w:space="0" w:color="auto"/>
            <w:bottom w:val="none" w:sz="0" w:space="0" w:color="auto"/>
            <w:right w:val="none" w:sz="0" w:space="0" w:color="auto"/>
          </w:divBdr>
          <w:divsChild>
            <w:div w:id="1937865695">
              <w:marLeft w:val="0"/>
              <w:marRight w:val="0"/>
              <w:marTop w:val="0"/>
              <w:marBottom w:val="0"/>
              <w:divBdr>
                <w:top w:val="none" w:sz="0" w:space="0" w:color="auto"/>
                <w:left w:val="none" w:sz="0" w:space="0" w:color="auto"/>
                <w:bottom w:val="none" w:sz="0" w:space="0" w:color="auto"/>
                <w:right w:val="none" w:sz="0" w:space="0" w:color="auto"/>
              </w:divBdr>
            </w:div>
          </w:divsChild>
        </w:div>
        <w:div w:id="1476950077">
          <w:marLeft w:val="0"/>
          <w:marRight w:val="0"/>
          <w:marTop w:val="0"/>
          <w:marBottom w:val="0"/>
          <w:divBdr>
            <w:top w:val="none" w:sz="0" w:space="0" w:color="auto"/>
            <w:left w:val="none" w:sz="0" w:space="0" w:color="auto"/>
            <w:bottom w:val="none" w:sz="0" w:space="0" w:color="auto"/>
            <w:right w:val="none" w:sz="0" w:space="0" w:color="auto"/>
          </w:divBdr>
          <w:divsChild>
            <w:div w:id="1129326640">
              <w:marLeft w:val="0"/>
              <w:marRight w:val="0"/>
              <w:marTop w:val="0"/>
              <w:marBottom w:val="0"/>
              <w:divBdr>
                <w:top w:val="none" w:sz="0" w:space="0" w:color="auto"/>
                <w:left w:val="none" w:sz="0" w:space="0" w:color="auto"/>
                <w:bottom w:val="none" w:sz="0" w:space="0" w:color="auto"/>
                <w:right w:val="none" w:sz="0" w:space="0" w:color="auto"/>
              </w:divBdr>
            </w:div>
          </w:divsChild>
        </w:div>
        <w:div w:id="1483156433">
          <w:marLeft w:val="0"/>
          <w:marRight w:val="0"/>
          <w:marTop w:val="0"/>
          <w:marBottom w:val="0"/>
          <w:divBdr>
            <w:top w:val="none" w:sz="0" w:space="0" w:color="auto"/>
            <w:left w:val="none" w:sz="0" w:space="0" w:color="auto"/>
            <w:bottom w:val="none" w:sz="0" w:space="0" w:color="auto"/>
            <w:right w:val="none" w:sz="0" w:space="0" w:color="auto"/>
          </w:divBdr>
          <w:divsChild>
            <w:div w:id="1184979012">
              <w:marLeft w:val="0"/>
              <w:marRight w:val="0"/>
              <w:marTop w:val="0"/>
              <w:marBottom w:val="0"/>
              <w:divBdr>
                <w:top w:val="none" w:sz="0" w:space="0" w:color="auto"/>
                <w:left w:val="none" w:sz="0" w:space="0" w:color="auto"/>
                <w:bottom w:val="none" w:sz="0" w:space="0" w:color="auto"/>
                <w:right w:val="none" w:sz="0" w:space="0" w:color="auto"/>
              </w:divBdr>
            </w:div>
          </w:divsChild>
        </w:div>
        <w:div w:id="1488128378">
          <w:marLeft w:val="0"/>
          <w:marRight w:val="0"/>
          <w:marTop w:val="0"/>
          <w:marBottom w:val="0"/>
          <w:divBdr>
            <w:top w:val="none" w:sz="0" w:space="0" w:color="auto"/>
            <w:left w:val="none" w:sz="0" w:space="0" w:color="auto"/>
            <w:bottom w:val="none" w:sz="0" w:space="0" w:color="auto"/>
            <w:right w:val="none" w:sz="0" w:space="0" w:color="auto"/>
          </w:divBdr>
          <w:divsChild>
            <w:div w:id="2013216578">
              <w:marLeft w:val="0"/>
              <w:marRight w:val="0"/>
              <w:marTop w:val="0"/>
              <w:marBottom w:val="0"/>
              <w:divBdr>
                <w:top w:val="none" w:sz="0" w:space="0" w:color="auto"/>
                <w:left w:val="none" w:sz="0" w:space="0" w:color="auto"/>
                <w:bottom w:val="none" w:sz="0" w:space="0" w:color="auto"/>
                <w:right w:val="none" w:sz="0" w:space="0" w:color="auto"/>
              </w:divBdr>
            </w:div>
          </w:divsChild>
        </w:div>
        <w:div w:id="1489788164">
          <w:marLeft w:val="0"/>
          <w:marRight w:val="0"/>
          <w:marTop w:val="0"/>
          <w:marBottom w:val="0"/>
          <w:divBdr>
            <w:top w:val="none" w:sz="0" w:space="0" w:color="auto"/>
            <w:left w:val="none" w:sz="0" w:space="0" w:color="auto"/>
            <w:bottom w:val="none" w:sz="0" w:space="0" w:color="auto"/>
            <w:right w:val="none" w:sz="0" w:space="0" w:color="auto"/>
          </w:divBdr>
          <w:divsChild>
            <w:div w:id="50345566">
              <w:marLeft w:val="0"/>
              <w:marRight w:val="0"/>
              <w:marTop w:val="0"/>
              <w:marBottom w:val="0"/>
              <w:divBdr>
                <w:top w:val="none" w:sz="0" w:space="0" w:color="auto"/>
                <w:left w:val="none" w:sz="0" w:space="0" w:color="auto"/>
                <w:bottom w:val="none" w:sz="0" w:space="0" w:color="auto"/>
                <w:right w:val="none" w:sz="0" w:space="0" w:color="auto"/>
              </w:divBdr>
            </w:div>
          </w:divsChild>
        </w:div>
        <w:div w:id="1495801374">
          <w:marLeft w:val="0"/>
          <w:marRight w:val="0"/>
          <w:marTop w:val="0"/>
          <w:marBottom w:val="0"/>
          <w:divBdr>
            <w:top w:val="none" w:sz="0" w:space="0" w:color="auto"/>
            <w:left w:val="none" w:sz="0" w:space="0" w:color="auto"/>
            <w:bottom w:val="none" w:sz="0" w:space="0" w:color="auto"/>
            <w:right w:val="none" w:sz="0" w:space="0" w:color="auto"/>
          </w:divBdr>
          <w:divsChild>
            <w:div w:id="2113620149">
              <w:marLeft w:val="0"/>
              <w:marRight w:val="0"/>
              <w:marTop w:val="0"/>
              <w:marBottom w:val="0"/>
              <w:divBdr>
                <w:top w:val="none" w:sz="0" w:space="0" w:color="auto"/>
                <w:left w:val="none" w:sz="0" w:space="0" w:color="auto"/>
                <w:bottom w:val="none" w:sz="0" w:space="0" w:color="auto"/>
                <w:right w:val="none" w:sz="0" w:space="0" w:color="auto"/>
              </w:divBdr>
            </w:div>
          </w:divsChild>
        </w:div>
        <w:div w:id="1517888704">
          <w:marLeft w:val="0"/>
          <w:marRight w:val="0"/>
          <w:marTop w:val="0"/>
          <w:marBottom w:val="0"/>
          <w:divBdr>
            <w:top w:val="none" w:sz="0" w:space="0" w:color="auto"/>
            <w:left w:val="none" w:sz="0" w:space="0" w:color="auto"/>
            <w:bottom w:val="none" w:sz="0" w:space="0" w:color="auto"/>
            <w:right w:val="none" w:sz="0" w:space="0" w:color="auto"/>
          </w:divBdr>
          <w:divsChild>
            <w:div w:id="34738276">
              <w:marLeft w:val="0"/>
              <w:marRight w:val="0"/>
              <w:marTop w:val="0"/>
              <w:marBottom w:val="0"/>
              <w:divBdr>
                <w:top w:val="none" w:sz="0" w:space="0" w:color="auto"/>
                <w:left w:val="none" w:sz="0" w:space="0" w:color="auto"/>
                <w:bottom w:val="none" w:sz="0" w:space="0" w:color="auto"/>
                <w:right w:val="none" w:sz="0" w:space="0" w:color="auto"/>
              </w:divBdr>
            </w:div>
          </w:divsChild>
        </w:div>
        <w:div w:id="1521435689">
          <w:marLeft w:val="0"/>
          <w:marRight w:val="0"/>
          <w:marTop w:val="0"/>
          <w:marBottom w:val="0"/>
          <w:divBdr>
            <w:top w:val="none" w:sz="0" w:space="0" w:color="auto"/>
            <w:left w:val="none" w:sz="0" w:space="0" w:color="auto"/>
            <w:bottom w:val="none" w:sz="0" w:space="0" w:color="auto"/>
            <w:right w:val="none" w:sz="0" w:space="0" w:color="auto"/>
          </w:divBdr>
          <w:divsChild>
            <w:div w:id="1045527132">
              <w:marLeft w:val="0"/>
              <w:marRight w:val="0"/>
              <w:marTop w:val="0"/>
              <w:marBottom w:val="0"/>
              <w:divBdr>
                <w:top w:val="none" w:sz="0" w:space="0" w:color="auto"/>
                <w:left w:val="none" w:sz="0" w:space="0" w:color="auto"/>
                <w:bottom w:val="none" w:sz="0" w:space="0" w:color="auto"/>
                <w:right w:val="none" w:sz="0" w:space="0" w:color="auto"/>
              </w:divBdr>
            </w:div>
          </w:divsChild>
        </w:div>
        <w:div w:id="1539319988">
          <w:marLeft w:val="0"/>
          <w:marRight w:val="0"/>
          <w:marTop w:val="0"/>
          <w:marBottom w:val="0"/>
          <w:divBdr>
            <w:top w:val="none" w:sz="0" w:space="0" w:color="auto"/>
            <w:left w:val="none" w:sz="0" w:space="0" w:color="auto"/>
            <w:bottom w:val="none" w:sz="0" w:space="0" w:color="auto"/>
            <w:right w:val="none" w:sz="0" w:space="0" w:color="auto"/>
          </w:divBdr>
          <w:divsChild>
            <w:div w:id="646132028">
              <w:marLeft w:val="0"/>
              <w:marRight w:val="0"/>
              <w:marTop w:val="0"/>
              <w:marBottom w:val="0"/>
              <w:divBdr>
                <w:top w:val="none" w:sz="0" w:space="0" w:color="auto"/>
                <w:left w:val="none" w:sz="0" w:space="0" w:color="auto"/>
                <w:bottom w:val="none" w:sz="0" w:space="0" w:color="auto"/>
                <w:right w:val="none" w:sz="0" w:space="0" w:color="auto"/>
              </w:divBdr>
            </w:div>
          </w:divsChild>
        </w:div>
        <w:div w:id="1552618655">
          <w:marLeft w:val="0"/>
          <w:marRight w:val="0"/>
          <w:marTop w:val="0"/>
          <w:marBottom w:val="0"/>
          <w:divBdr>
            <w:top w:val="none" w:sz="0" w:space="0" w:color="auto"/>
            <w:left w:val="none" w:sz="0" w:space="0" w:color="auto"/>
            <w:bottom w:val="none" w:sz="0" w:space="0" w:color="auto"/>
            <w:right w:val="none" w:sz="0" w:space="0" w:color="auto"/>
          </w:divBdr>
          <w:divsChild>
            <w:div w:id="1224751174">
              <w:marLeft w:val="0"/>
              <w:marRight w:val="0"/>
              <w:marTop w:val="0"/>
              <w:marBottom w:val="0"/>
              <w:divBdr>
                <w:top w:val="none" w:sz="0" w:space="0" w:color="auto"/>
                <w:left w:val="none" w:sz="0" w:space="0" w:color="auto"/>
                <w:bottom w:val="none" w:sz="0" w:space="0" w:color="auto"/>
                <w:right w:val="none" w:sz="0" w:space="0" w:color="auto"/>
              </w:divBdr>
            </w:div>
          </w:divsChild>
        </w:div>
        <w:div w:id="1553272518">
          <w:marLeft w:val="0"/>
          <w:marRight w:val="0"/>
          <w:marTop w:val="0"/>
          <w:marBottom w:val="0"/>
          <w:divBdr>
            <w:top w:val="none" w:sz="0" w:space="0" w:color="auto"/>
            <w:left w:val="none" w:sz="0" w:space="0" w:color="auto"/>
            <w:bottom w:val="none" w:sz="0" w:space="0" w:color="auto"/>
            <w:right w:val="none" w:sz="0" w:space="0" w:color="auto"/>
          </w:divBdr>
          <w:divsChild>
            <w:div w:id="352343532">
              <w:marLeft w:val="0"/>
              <w:marRight w:val="0"/>
              <w:marTop w:val="0"/>
              <w:marBottom w:val="0"/>
              <w:divBdr>
                <w:top w:val="none" w:sz="0" w:space="0" w:color="auto"/>
                <w:left w:val="none" w:sz="0" w:space="0" w:color="auto"/>
                <w:bottom w:val="none" w:sz="0" w:space="0" w:color="auto"/>
                <w:right w:val="none" w:sz="0" w:space="0" w:color="auto"/>
              </w:divBdr>
            </w:div>
          </w:divsChild>
        </w:div>
        <w:div w:id="1558324149">
          <w:marLeft w:val="0"/>
          <w:marRight w:val="0"/>
          <w:marTop w:val="0"/>
          <w:marBottom w:val="0"/>
          <w:divBdr>
            <w:top w:val="none" w:sz="0" w:space="0" w:color="auto"/>
            <w:left w:val="none" w:sz="0" w:space="0" w:color="auto"/>
            <w:bottom w:val="none" w:sz="0" w:space="0" w:color="auto"/>
            <w:right w:val="none" w:sz="0" w:space="0" w:color="auto"/>
          </w:divBdr>
          <w:divsChild>
            <w:div w:id="1856578742">
              <w:marLeft w:val="0"/>
              <w:marRight w:val="0"/>
              <w:marTop w:val="0"/>
              <w:marBottom w:val="0"/>
              <w:divBdr>
                <w:top w:val="none" w:sz="0" w:space="0" w:color="auto"/>
                <w:left w:val="none" w:sz="0" w:space="0" w:color="auto"/>
                <w:bottom w:val="none" w:sz="0" w:space="0" w:color="auto"/>
                <w:right w:val="none" w:sz="0" w:space="0" w:color="auto"/>
              </w:divBdr>
            </w:div>
          </w:divsChild>
        </w:div>
        <w:div w:id="1570846752">
          <w:marLeft w:val="0"/>
          <w:marRight w:val="0"/>
          <w:marTop w:val="0"/>
          <w:marBottom w:val="0"/>
          <w:divBdr>
            <w:top w:val="none" w:sz="0" w:space="0" w:color="auto"/>
            <w:left w:val="none" w:sz="0" w:space="0" w:color="auto"/>
            <w:bottom w:val="none" w:sz="0" w:space="0" w:color="auto"/>
            <w:right w:val="none" w:sz="0" w:space="0" w:color="auto"/>
          </w:divBdr>
          <w:divsChild>
            <w:div w:id="421731225">
              <w:marLeft w:val="0"/>
              <w:marRight w:val="0"/>
              <w:marTop w:val="0"/>
              <w:marBottom w:val="0"/>
              <w:divBdr>
                <w:top w:val="none" w:sz="0" w:space="0" w:color="auto"/>
                <w:left w:val="none" w:sz="0" w:space="0" w:color="auto"/>
                <w:bottom w:val="none" w:sz="0" w:space="0" w:color="auto"/>
                <w:right w:val="none" w:sz="0" w:space="0" w:color="auto"/>
              </w:divBdr>
            </w:div>
          </w:divsChild>
        </w:div>
        <w:div w:id="1597055863">
          <w:marLeft w:val="0"/>
          <w:marRight w:val="0"/>
          <w:marTop w:val="0"/>
          <w:marBottom w:val="0"/>
          <w:divBdr>
            <w:top w:val="none" w:sz="0" w:space="0" w:color="auto"/>
            <w:left w:val="none" w:sz="0" w:space="0" w:color="auto"/>
            <w:bottom w:val="none" w:sz="0" w:space="0" w:color="auto"/>
            <w:right w:val="none" w:sz="0" w:space="0" w:color="auto"/>
          </w:divBdr>
          <w:divsChild>
            <w:div w:id="299969061">
              <w:marLeft w:val="0"/>
              <w:marRight w:val="0"/>
              <w:marTop w:val="0"/>
              <w:marBottom w:val="0"/>
              <w:divBdr>
                <w:top w:val="none" w:sz="0" w:space="0" w:color="auto"/>
                <w:left w:val="none" w:sz="0" w:space="0" w:color="auto"/>
                <w:bottom w:val="none" w:sz="0" w:space="0" w:color="auto"/>
                <w:right w:val="none" w:sz="0" w:space="0" w:color="auto"/>
              </w:divBdr>
            </w:div>
          </w:divsChild>
        </w:div>
        <w:div w:id="1607469398">
          <w:marLeft w:val="0"/>
          <w:marRight w:val="0"/>
          <w:marTop w:val="0"/>
          <w:marBottom w:val="0"/>
          <w:divBdr>
            <w:top w:val="none" w:sz="0" w:space="0" w:color="auto"/>
            <w:left w:val="none" w:sz="0" w:space="0" w:color="auto"/>
            <w:bottom w:val="none" w:sz="0" w:space="0" w:color="auto"/>
            <w:right w:val="none" w:sz="0" w:space="0" w:color="auto"/>
          </w:divBdr>
          <w:divsChild>
            <w:div w:id="1430080073">
              <w:marLeft w:val="0"/>
              <w:marRight w:val="0"/>
              <w:marTop w:val="0"/>
              <w:marBottom w:val="0"/>
              <w:divBdr>
                <w:top w:val="none" w:sz="0" w:space="0" w:color="auto"/>
                <w:left w:val="none" w:sz="0" w:space="0" w:color="auto"/>
                <w:bottom w:val="none" w:sz="0" w:space="0" w:color="auto"/>
                <w:right w:val="none" w:sz="0" w:space="0" w:color="auto"/>
              </w:divBdr>
            </w:div>
          </w:divsChild>
        </w:div>
        <w:div w:id="1607688601">
          <w:marLeft w:val="0"/>
          <w:marRight w:val="0"/>
          <w:marTop w:val="0"/>
          <w:marBottom w:val="0"/>
          <w:divBdr>
            <w:top w:val="none" w:sz="0" w:space="0" w:color="auto"/>
            <w:left w:val="none" w:sz="0" w:space="0" w:color="auto"/>
            <w:bottom w:val="none" w:sz="0" w:space="0" w:color="auto"/>
            <w:right w:val="none" w:sz="0" w:space="0" w:color="auto"/>
          </w:divBdr>
          <w:divsChild>
            <w:div w:id="1507861429">
              <w:marLeft w:val="0"/>
              <w:marRight w:val="0"/>
              <w:marTop w:val="0"/>
              <w:marBottom w:val="0"/>
              <w:divBdr>
                <w:top w:val="none" w:sz="0" w:space="0" w:color="auto"/>
                <w:left w:val="none" w:sz="0" w:space="0" w:color="auto"/>
                <w:bottom w:val="none" w:sz="0" w:space="0" w:color="auto"/>
                <w:right w:val="none" w:sz="0" w:space="0" w:color="auto"/>
              </w:divBdr>
            </w:div>
          </w:divsChild>
        </w:div>
        <w:div w:id="1637292194">
          <w:marLeft w:val="0"/>
          <w:marRight w:val="0"/>
          <w:marTop w:val="0"/>
          <w:marBottom w:val="0"/>
          <w:divBdr>
            <w:top w:val="none" w:sz="0" w:space="0" w:color="auto"/>
            <w:left w:val="none" w:sz="0" w:space="0" w:color="auto"/>
            <w:bottom w:val="none" w:sz="0" w:space="0" w:color="auto"/>
            <w:right w:val="none" w:sz="0" w:space="0" w:color="auto"/>
          </w:divBdr>
          <w:divsChild>
            <w:div w:id="1526596561">
              <w:marLeft w:val="0"/>
              <w:marRight w:val="0"/>
              <w:marTop w:val="0"/>
              <w:marBottom w:val="0"/>
              <w:divBdr>
                <w:top w:val="none" w:sz="0" w:space="0" w:color="auto"/>
                <w:left w:val="none" w:sz="0" w:space="0" w:color="auto"/>
                <w:bottom w:val="none" w:sz="0" w:space="0" w:color="auto"/>
                <w:right w:val="none" w:sz="0" w:space="0" w:color="auto"/>
              </w:divBdr>
            </w:div>
          </w:divsChild>
        </w:div>
        <w:div w:id="1641690190">
          <w:marLeft w:val="0"/>
          <w:marRight w:val="0"/>
          <w:marTop w:val="0"/>
          <w:marBottom w:val="0"/>
          <w:divBdr>
            <w:top w:val="none" w:sz="0" w:space="0" w:color="auto"/>
            <w:left w:val="none" w:sz="0" w:space="0" w:color="auto"/>
            <w:bottom w:val="none" w:sz="0" w:space="0" w:color="auto"/>
            <w:right w:val="none" w:sz="0" w:space="0" w:color="auto"/>
          </w:divBdr>
          <w:divsChild>
            <w:div w:id="1070618756">
              <w:marLeft w:val="0"/>
              <w:marRight w:val="0"/>
              <w:marTop w:val="0"/>
              <w:marBottom w:val="0"/>
              <w:divBdr>
                <w:top w:val="none" w:sz="0" w:space="0" w:color="auto"/>
                <w:left w:val="none" w:sz="0" w:space="0" w:color="auto"/>
                <w:bottom w:val="none" w:sz="0" w:space="0" w:color="auto"/>
                <w:right w:val="none" w:sz="0" w:space="0" w:color="auto"/>
              </w:divBdr>
            </w:div>
          </w:divsChild>
        </w:div>
        <w:div w:id="1647008885">
          <w:marLeft w:val="0"/>
          <w:marRight w:val="0"/>
          <w:marTop w:val="0"/>
          <w:marBottom w:val="0"/>
          <w:divBdr>
            <w:top w:val="none" w:sz="0" w:space="0" w:color="auto"/>
            <w:left w:val="none" w:sz="0" w:space="0" w:color="auto"/>
            <w:bottom w:val="none" w:sz="0" w:space="0" w:color="auto"/>
            <w:right w:val="none" w:sz="0" w:space="0" w:color="auto"/>
          </w:divBdr>
          <w:divsChild>
            <w:div w:id="2107115573">
              <w:marLeft w:val="0"/>
              <w:marRight w:val="0"/>
              <w:marTop w:val="0"/>
              <w:marBottom w:val="0"/>
              <w:divBdr>
                <w:top w:val="none" w:sz="0" w:space="0" w:color="auto"/>
                <w:left w:val="none" w:sz="0" w:space="0" w:color="auto"/>
                <w:bottom w:val="none" w:sz="0" w:space="0" w:color="auto"/>
                <w:right w:val="none" w:sz="0" w:space="0" w:color="auto"/>
              </w:divBdr>
            </w:div>
          </w:divsChild>
        </w:div>
        <w:div w:id="1662662453">
          <w:marLeft w:val="0"/>
          <w:marRight w:val="0"/>
          <w:marTop w:val="0"/>
          <w:marBottom w:val="0"/>
          <w:divBdr>
            <w:top w:val="none" w:sz="0" w:space="0" w:color="auto"/>
            <w:left w:val="none" w:sz="0" w:space="0" w:color="auto"/>
            <w:bottom w:val="none" w:sz="0" w:space="0" w:color="auto"/>
            <w:right w:val="none" w:sz="0" w:space="0" w:color="auto"/>
          </w:divBdr>
          <w:divsChild>
            <w:div w:id="511918367">
              <w:marLeft w:val="0"/>
              <w:marRight w:val="0"/>
              <w:marTop w:val="0"/>
              <w:marBottom w:val="0"/>
              <w:divBdr>
                <w:top w:val="none" w:sz="0" w:space="0" w:color="auto"/>
                <w:left w:val="none" w:sz="0" w:space="0" w:color="auto"/>
                <w:bottom w:val="none" w:sz="0" w:space="0" w:color="auto"/>
                <w:right w:val="none" w:sz="0" w:space="0" w:color="auto"/>
              </w:divBdr>
            </w:div>
          </w:divsChild>
        </w:div>
        <w:div w:id="1670597559">
          <w:marLeft w:val="0"/>
          <w:marRight w:val="0"/>
          <w:marTop w:val="0"/>
          <w:marBottom w:val="0"/>
          <w:divBdr>
            <w:top w:val="none" w:sz="0" w:space="0" w:color="auto"/>
            <w:left w:val="none" w:sz="0" w:space="0" w:color="auto"/>
            <w:bottom w:val="none" w:sz="0" w:space="0" w:color="auto"/>
            <w:right w:val="none" w:sz="0" w:space="0" w:color="auto"/>
          </w:divBdr>
          <w:divsChild>
            <w:div w:id="183638060">
              <w:marLeft w:val="0"/>
              <w:marRight w:val="0"/>
              <w:marTop w:val="0"/>
              <w:marBottom w:val="0"/>
              <w:divBdr>
                <w:top w:val="none" w:sz="0" w:space="0" w:color="auto"/>
                <w:left w:val="none" w:sz="0" w:space="0" w:color="auto"/>
                <w:bottom w:val="none" w:sz="0" w:space="0" w:color="auto"/>
                <w:right w:val="none" w:sz="0" w:space="0" w:color="auto"/>
              </w:divBdr>
            </w:div>
          </w:divsChild>
        </w:div>
        <w:div w:id="1683043729">
          <w:marLeft w:val="0"/>
          <w:marRight w:val="0"/>
          <w:marTop w:val="0"/>
          <w:marBottom w:val="0"/>
          <w:divBdr>
            <w:top w:val="none" w:sz="0" w:space="0" w:color="auto"/>
            <w:left w:val="none" w:sz="0" w:space="0" w:color="auto"/>
            <w:bottom w:val="none" w:sz="0" w:space="0" w:color="auto"/>
            <w:right w:val="none" w:sz="0" w:space="0" w:color="auto"/>
          </w:divBdr>
          <w:divsChild>
            <w:div w:id="160656731">
              <w:marLeft w:val="0"/>
              <w:marRight w:val="0"/>
              <w:marTop w:val="0"/>
              <w:marBottom w:val="0"/>
              <w:divBdr>
                <w:top w:val="none" w:sz="0" w:space="0" w:color="auto"/>
                <w:left w:val="none" w:sz="0" w:space="0" w:color="auto"/>
                <w:bottom w:val="none" w:sz="0" w:space="0" w:color="auto"/>
                <w:right w:val="none" w:sz="0" w:space="0" w:color="auto"/>
              </w:divBdr>
            </w:div>
          </w:divsChild>
        </w:div>
        <w:div w:id="1690253144">
          <w:marLeft w:val="0"/>
          <w:marRight w:val="0"/>
          <w:marTop w:val="0"/>
          <w:marBottom w:val="0"/>
          <w:divBdr>
            <w:top w:val="none" w:sz="0" w:space="0" w:color="auto"/>
            <w:left w:val="none" w:sz="0" w:space="0" w:color="auto"/>
            <w:bottom w:val="none" w:sz="0" w:space="0" w:color="auto"/>
            <w:right w:val="none" w:sz="0" w:space="0" w:color="auto"/>
          </w:divBdr>
          <w:divsChild>
            <w:div w:id="1456413764">
              <w:marLeft w:val="0"/>
              <w:marRight w:val="0"/>
              <w:marTop w:val="0"/>
              <w:marBottom w:val="0"/>
              <w:divBdr>
                <w:top w:val="none" w:sz="0" w:space="0" w:color="auto"/>
                <w:left w:val="none" w:sz="0" w:space="0" w:color="auto"/>
                <w:bottom w:val="none" w:sz="0" w:space="0" w:color="auto"/>
                <w:right w:val="none" w:sz="0" w:space="0" w:color="auto"/>
              </w:divBdr>
            </w:div>
          </w:divsChild>
        </w:div>
        <w:div w:id="1691178585">
          <w:marLeft w:val="0"/>
          <w:marRight w:val="0"/>
          <w:marTop w:val="0"/>
          <w:marBottom w:val="0"/>
          <w:divBdr>
            <w:top w:val="none" w:sz="0" w:space="0" w:color="auto"/>
            <w:left w:val="none" w:sz="0" w:space="0" w:color="auto"/>
            <w:bottom w:val="none" w:sz="0" w:space="0" w:color="auto"/>
            <w:right w:val="none" w:sz="0" w:space="0" w:color="auto"/>
          </w:divBdr>
          <w:divsChild>
            <w:div w:id="420027240">
              <w:marLeft w:val="0"/>
              <w:marRight w:val="0"/>
              <w:marTop w:val="0"/>
              <w:marBottom w:val="0"/>
              <w:divBdr>
                <w:top w:val="none" w:sz="0" w:space="0" w:color="auto"/>
                <w:left w:val="none" w:sz="0" w:space="0" w:color="auto"/>
                <w:bottom w:val="none" w:sz="0" w:space="0" w:color="auto"/>
                <w:right w:val="none" w:sz="0" w:space="0" w:color="auto"/>
              </w:divBdr>
            </w:div>
          </w:divsChild>
        </w:div>
        <w:div w:id="1700936479">
          <w:marLeft w:val="0"/>
          <w:marRight w:val="0"/>
          <w:marTop w:val="0"/>
          <w:marBottom w:val="0"/>
          <w:divBdr>
            <w:top w:val="none" w:sz="0" w:space="0" w:color="auto"/>
            <w:left w:val="none" w:sz="0" w:space="0" w:color="auto"/>
            <w:bottom w:val="none" w:sz="0" w:space="0" w:color="auto"/>
            <w:right w:val="none" w:sz="0" w:space="0" w:color="auto"/>
          </w:divBdr>
          <w:divsChild>
            <w:div w:id="325061158">
              <w:marLeft w:val="0"/>
              <w:marRight w:val="0"/>
              <w:marTop w:val="0"/>
              <w:marBottom w:val="0"/>
              <w:divBdr>
                <w:top w:val="none" w:sz="0" w:space="0" w:color="auto"/>
                <w:left w:val="none" w:sz="0" w:space="0" w:color="auto"/>
                <w:bottom w:val="none" w:sz="0" w:space="0" w:color="auto"/>
                <w:right w:val="none" w:sz="0" w:space="0" w:color="auto"/>
              </w:divBdr>
            </w:div>
          </w:divsChild>
        </w:div>
        <w:div w:id="1714231764">
          <w:marLeft w:val="0"/>
          <w:marRight w:val="0"/>
          <w:marTop w:val="0"/>
          <w:marBottom w:val="0"/>
          <w:divBdr>
            <w:top w:val="none" w:sz="0" w:space="0" w:color="auto"/>
            <w:left w:val="none" w:sz="0" w:space="0" w:color="auto"/>
            <w:bottom w:val="none" w:sz="0" w:space="0" w:color="auto"/>
            <w:right w:val="none" w:sz="0" w:space="0" w:color="auto"/>
          </w:divBdr>
          <w:divsChild>
            <w:div w:id="1056661450">
              <w:marLeft w:val="0"/>
              <w:marRight w:val="0"/>
              <w:marTop w:val="0"/>
              <w:marBottom w:val="0"/>
              <w:divBdr>
                <w:top w:val="none" w:sz="0" w:space="0" w:color="auto"/>
                <w:left w:val="none" w:sz="0" w:space="0" w:color="auto"/>
                <w:bottom w:val="none" w:sz="0" w:space="0" w:color="auto"/>
                <w:right w:val="none" w:sz="0" w:space="0" w:color="auto"/>
              </w:divBdr>
            </w:div>
          </w:divsChild>
        </w:div>
        <w:div w:id="1724020836">
          <w:marLeft w:val="0"/>
          <w:marRight w:val="0"/>
          <w:marTop w:val="0"/>
          <w:marBottom w:val="0"/>
          <w:divBdr>
            <w:top w:val="none" w:sz="0" w:space="0" w:color="auto"/>
            <w:left w:val="none" w:sz="0" w:space="0" w:color="auto"/>
            <w:bottom w:val="none" w:sz="0" w:space="0" w:color="auto"/>
            <w:right w:val="none" w:sz="0" w:space="0" w:color="auto"/>
          </w:divBdr>
          <w:divsChild>
            <w:div w:id="2072994735">
              <w:marLeft w:val="0"/>
              <w:marRight w:val="0"/>
              <w:marTop w:val="0"/>
              <w:marBottom w:val="0"/>
              <w:divBdr>
                <w:top w:val="none" w:sz="0" w:space="0" w:color="auto"/>
                <w:left w:val="none" w:sz="0" w:space="0" w:color="auto"/>
                <w:bottom w:val="none" w:sz="0" w:space="0" w:color="auto"/>
                <w:right w:val="none" w:sz="0" w:space="0" w:color="auto"/>
              </w:divBdr>
            </w:div>
          </w:divsChild>
        </w:div>
        <w:div w:id="1796411122">
          <w:marLeft w:val="0"/>
          <w:marRight w:val="0"/>
          <w:marTop w:val="0"/>
          <w:marBottom w:val="0"/>
          <w:divBdr>
            <w:top w:val="none" w:sz="0" w:space="0" w:color="auto"/>
            <w:left w:val="none" w:sz="0" w:space="0" w:color="auto"/>
            <w:bottom w:val="none" w:sz="0" w:space="0" w:color="auto"/>
            <w:right w:val="none" w:sz="0" w:space="0" w:color="auto"/>
          </w:divBdr>
          <w:divsChild>
            <w:div w:id="1745444590">
              <w:marLeft w:val="0"/>
              <w:marRight w:val="0"/>
              <w:marTop w:val="0"/>
              <w:marBottom w:val="0"/>
              <w:divBdr>
                <w:top w:val="none" w:sz="0" w:space="0" w:color="auto"/>
                <w:left w:val="none" w:sz="0" w:space="0" w:color="auto"/>
                <w:bottom w:val="none" w:sz="0" w:space="0" w:color="auto"/>
                <w:right w:val="none" w:sz="0" w:space="0" w:color="auto"/>
              </w:divBdr>
            </w:div>
          </w:divsChild>
        </w:div>
        <w:div w:id="1810055349">
          <w:marLeft w:val="0"/>
          <w:marRight w:val="0"/>
          <w:marTop w:val="0"/>
          <w:marBottom w:val="0"/>
          <w:divBdr>
            <w:top w:val="none" w:sz="0" w:space="0" w:color="auto"/>
            <w:left w:val="none" w:sz="0" w:space="0" w:color="auto"/>
            <w:bottom w:val="none" w:sz="0" w:space="0" w:color="auto"/>
            <w:right w:val="none" w:sz="0" w:space="0" w:color="auto"/>
          </w:divBdr>
          <w:divsChild>
            <w:div w:id="1768845176">
              <w:marLeft w:val="0"/>
              <w:marRight w:val="0"/>
              <w:marTop w:val="0"/>
              <w:marBottom w:val="0"/>
              <w:divBdr>
                <w:top w:val="none" w:sz="0" w:space="0" w:color="auto"/>
                <w:left w:val="none" w:sz="0" w:space="0" w:color="auto"/>
                <w:bottom w:val="none" w:sz="0" w:space="0" w:color="auto"/>
                <w:right w:val="none" w:sz="0" w:space="0" w:color="auto"/>
              </w:divBdr>
            </w:div>
          </w:divsChild>
        </w:div>
        <w:div w:id="1814176728">
          <w:marLeft w:val="0"/>
          <w:marRight w:val="0"/>
          <w:marTop w:val="0"/>
          <w:marBottom w:val="0"/>
          <w:divBdr>
            <w:top w:val="none" w:sz="0" w:space="0" w:color="auto"/>
            <w:left w:val="none" w:sz="0" w:space="0" w:color="auto"/>
            <w:bottom w:val="none" w:sz="0" w:space="0" w:color="auto"/>
            <w:right w:val="none" w:sz="0" w:space="0" w:color="auto"/>
          </w:divBdr>
          <w:divsChild>
            <w:div w:id="1211570561">
              <w:marLeft w:val="0"/>
              <w:marRight w:val="0"/>
              <w:marTop w:val="0"/>
              <w:marBottom w:val="0"/>
              <w:divBdr>
                <w:top w:val="none" w:sz="0" w:space="0" w:color="auto"/>
                <w:left w:val="none" w:sz="0" w:space="0" w:color="auto"/>
                <w:bottom w:val="none" w:sz="0" w:space="0" w:color="auto"/>
                <w:right w:val="none" w:sz="0" w:space="0" w:color="auto"/>
              </w:divBdr>
            </w:div>
          </w:divsChild>
        </w:div>
        <w:div w:id="1850828364">
          <w:marLeft w:val="0"/>
          <w:marRight w:val="0"/>
          <w:marTop w:val="0"/>
          <w:marBottom w:val="0"/>
          <w:divBdr>
            <w:top w:val="none" w:sz="0" w:space="0" w:color="auto"/>
            <w:left w:val="none" w:sz="0" w:space="0" w:color="auto"/>
            <w:bottom w:val="none" w:sz="0" w:space="0" w:color="auto"/>
            <w:right w:val="none" w:sz="0" w:space="0" w:color="auto"/>
          </w:divBdr>
          <w:divsChild>
            <w:div w:id="158278318">
              <w:marLeft w:val="0"/>
              <w:marRight w:val="0"/>
              <w:marTop w:val="0"/>
              <w:marBottom w:val="0"/>
              <w:divBdr>
                <w:top w:val="none" w:sz="0" w:space="0" w:color="auto"/>
                <w:left w:val="none" w:sz="0" w:space="0" w:color="auto"/>
                <w:bottom w:val="none" w:sz="0" w:space="0" w:color="auto"/>
                <w:right w:val="none" w:sz="0" w:space="0" w:color="auto"/>
              </w:divBdr>
            </w:div>
          </w:divsChild>
        </w:div>
        <w:div w:id="1859588077">
          <w:marLeft w:val="0"/>
          <w:marRight w:val="0"/>
          <w:marTop w:val="0"/>
          <w:marBottom w:val="0"/>
          <w:divBdr>
            <w:top w:val="none" w:sz="0" w:space="0" w:color="auto"/>
            <w:left w:val="none" w:sz="0" w:space="0" w:color="auto"/>
            <w:bottom w:val="none" w:sz="0" w:space="0" w:color="auto"/>
            <w:right w:val="none" w:sz="0" w:space="0" w:color="auto"/>
          </w:divBdr>
          <w:divsChild>
            <w:div w:id="246038662">
              <w:marLeft w:val="0"/>
              <w:marRight w:val="0"/>
              <w:marTop w:val="0"/>
              <w:marBottom w:val="0"/>
              <w:divBdr>
                <w:top w:val="none" w:sz="0" w:space="0" w:color="auto"/>
                <w:left w:val="none" w:sz="0" w:space="0" w:color="auto"/>
                <w:bottom w:val="none" w:sz="0" w:space="0" w:color="auto"/>
                <w:right w:val="none" w:sz="0" w:space="0" w:color="auto"/>
              </w:divBdr>
            </w:div>
          </w:divsChild>
        </w:div>
        <w:div w:id="1859615102">
          <w:marLeft w:val="0"/>
          <w:marRight w:val="0"/>
          <w:marTop w:val="0"/>
          <w:marBottom w:val="0"/>
          <w:divBdr>
            <w:top w:val="none" w:sz="0" w:space="0" w:color="auto"/>
            <w:left w:val="none" w:sz="0" w:space="0" w:color="auto"/>
            <w:bottom w:val="none" w:sz="0" w:space="0" w:color="auto"/>
            <w:right w:val="none" w:sz="0" w:space="0" w:color="auto"/>
          </w:divBdr>
          <w:divsChild>
            <w:div w:id="2115009597">
              <w:marLeft w:val="0"/>
              <w:marRight w:val="0"/>
              <w:marTop w:val="0"/>
              <w:marBottom w:val="0"/>
              <w:divBdr>
                <w:top w:val="none" w:sz="0" w:space="0" w:color="auto"/>
                <w:left w:val="none" w:sz="0" w:space="0" w:color="auto"/>
                <w:bottom w:val="none" w:sz="0" w:space="0" w:color="auto"/>
                <w:right w:val="none" w:sz="0" w:space="0" w:color="auto"/>
              </w:divBdr>
            </w:div>
          </w:divsChild>
        </w:div>
        <w:div w:id="1863326429">
          <w:marLeft w:val="0"/>
          <w:marRight w:val="0"/>
          <w:marTop w:val="0"/>
          <w:marBottom w:val="0"/>
          <w:divBdr>
            <w:top w:val="none" w:sz="0" w:space="0" w:color="auto"/>
            <w:left w:val="none" w:sz="0" w:space="0" w:color="auto"/>
            <w:bottom w:val="none" w:sz="0" w:space="0" w:color="auto"/>
            <w:right w:val="none" w:sz="0" w:space="0" w:color="auto"/>
          </w:divBdr>
          <w:divsChild>
            <w:div w:id="1228879395">
              <w:marLeft w:val="0"/>
              <w:marRight w:val="0"/>
              <w:marTop w:val="0"/>
              <w:marBottom w:val="0"/>
              <w:divBdr>
                <w:top w:val="none" w:sz="0" w:space="0" w:color="auto"/>
                <w:left w:val="none" w:sz="0" w:space="0" w:color="auto"/>
                <w:bottom w:val="none" w:sz="0" w:space="0" w:color="auto"/>
                <w:right w:val="none" w:sz="0" w:space="0" w:color="auto"/>
              </w:divBdr>
            </w:div>
          </w:divsChild>
        </w:div>
        <w:div w:id="1879465968">
          <w:marLeft w:val="0"/>
          <w:marRight w:val="0"/>
          <w:marTop w:val="0"/>
          <w:marBottom w:val="0"/>
          <w:divBdr>
            <w:top w:val="none" w:sz="0" w:space="0" w:color="auto"/>
            <w:left w:val="none" w:sz="0" w:space="0" w:color="auto"/>
            <w:bottom w:val="none" w:sz="0" w:space="0" w:color="auto"/>
            <w:right w:val="none" w:sz="0" w:space="0" w:color="auto"/>
          </w:divBdr>
          <w:divsChild>
            <w:div w:id="1589118012">
              <w:marLeft w:val="0"/>
              <w:marRight w:val="0"/>
              <w:marTop w:val="0"/>
              <w:marBottom w:val="0"/>
              <w:divBdr>
                <w:top w:val="none" w:sz="0" w:space="0" w:color="auto"/>
                <w:left w:val="none" w:sz="0" w:space="0" w:color="auto"/>
                <w:bottom w:val="none" w:sz="0" w:space="0" w:color="auto"/>
                <w:right w:val="none" w:sz="0" w:space="0" w:color="auto"/>
              </w:divBdr>
            </w:div>
          </w:divsChild>
        </w:div>
        <w:div w:id="1888839174">
          <w:marLeft w:val="0"/>
          <w:marRight w:val="0"/>
          <w:marTop w:val="0"/>
          <w:marBottom w:val="0"/>
          <w:divBdr>
            <w:top w:val="none" w:sz="0" w:space="0" w:color="auto"/>
            <w:left w:val="none" w:sz="0" w:space="0" w:color="auto"/>
            <w:bottom w:val="none" w:sz="0" w:space="0" w:color="auto"/>
            <w:right w:val="none" w:sz="0" w:space="0" w:color="auto"/>
          </w:divBdr>
          <w:divsChild>
            <w:div w:id="2029481918">
              <w:marLeft w:val="0"/>
              <w:marRight w:val="0"/>
              <w:marTop w:val="0"/>
              <w:marBottom w:val="0"/>
              <w:divBdr>
                <w:top w:val="none" w:sz="0" w:space="0" w:color="auto"/>
                <w:left w:val="none" w:sz="0" w:space="0" w:color="auto"/>
                <w:bottom w:val="none" w:sz="0" w:space="0" w:color="auto"/>
                <w:right w:val="none" w:sz="0" w:space="0" w:color="auto"/>
              </w:divBdr>
            </w:div>
          </w:divsChild>
        </w:div>
        <w:div w:id="1889760955">
          <w:marLeft w:val="0"/>
          <w:marRight w:val="0"/>
          <w:marTop w:val="0"/>
          <w:marBottom w:val="0"/>
          <w:divBdr>
            <w:top w:val="none" w:sz="0" w:space="0" w:color="auto"/>
            <w:left w:val="none" w:sz="0" w:space="0" w:color="auto"/>
            <w:bottom w:val="none" w:sz="0" w:space="0" w:color="auto"/>
            <w:right w:val="none" w:sz="0" w:space="0" w:color="auto"/>
          </w:divBdr>
          <w:divsChild>
            <w:div w:id="656225460">
              <w:marLeft w:val="0"/>
              <w:marRight w:val="0"/>
              <w:marTop w:val="0"/>
              <w:marBottom w:val="0"/>
              <w:divBdr>
                <w:top w:val="none" w:sz="0" w:space="0" w:color="auto"/>
                <w:left w:val="none" w:sz="0" w:space="0" w:color="auto"/>
                <w:bottom w:val="none" w:sz="0" w:space="0" w:color="auto"/>
                <w:right w:val="none" w:sz="0" w:space="0" w:color="auto"/>
              </w:divBdr>
            </w:div>
          </w:divsChild>
        </w:div>
        <w:div w:id="1898469595">
          <w:marLeft w:val="0"/>
          <w:marRight w:val="0"/>
          <w:marTop w:val="0"/>
          <w:marBottom w:val="0"/>
          <w:divBdr>
            <w:top w:val="none" w:sz="0" w:space="0" w:color="auto"/>
            <w:left w:val="none" w:sz="0" w:space="0" w:color="auto"/>
            <w:bottom w:val="none" w:sz="0" w:space="0" w:color="auto"/>
            <w:right w:val="none" w:sz="0" w:space="0" w:color="auto"/>
          </w:divBdr>
          <w:divsChild>
            <w:div w:id="2071414862">
              <w:marLeft w:val="0"/>
              <w:marRight w:val="0"/>
              <w:marTop w:val="0"/>
              <w:marBottom w:val="0"/>
              <w:divBdr>
                <w:top w:val="none" w:sz="0" w:space="0" w:color="auto"/>
                <w:left w:val="none" w:sz="0" w:space="0" w:color="auto"/>
                <w:bottom w:val="none" w:sz="0" w:space="0" w:color="auto"/>
                <w:right w:val="none" w:sz="0" w:space="0" w:color="auto"/>
              </w:divBdr>
            </w:div>
          </w:divsChild>
        </w:div>
        <w:div w:id="1904412591">
          <w:marLeft w:val="0"/>
          <w:marRight w:val="0"/>
          <w:marTop w:val="0"/>
          <w:marBottom w:val="0"/>
          <w:divBdr>
            <w:top w:val="none" w:sz="0" w:space="0" w:color="auto"/>
            <w:left w:val="none" w:sz="0" w:space="0" w:color="auto"/>
            <w:bottom w:val="none" w:sz="0" w:space="0" w:color="auto"/>
            <w:right w:val="none" w:sz="0" w:space="0" w:color="auto"/>
          </w:divBdr>
          <w:divsChild>
            <w:div w:id="88741259">
              <w:marLeft w:val="0"/>
              <w:marRight w:val="0"/>
              <w:marTop w:val="0"/>
              <w:marBottom w:val="0"/>
              <w:divBdr>
                <w:top w:val="none" w:sz="0" w:space="0" w:color="auto"/>
                <w:left w:val="none" w:sz="0" w:space="0" w:color="auto"/>
                <w:bottom w:val="none" w:sz="0" w:space="0" w:color="auto"/>
                <w:right w:val="none" w:sz="0" w:space="0" w:color="auto"/>
              </w:divBdr>
            </w:div>
          </w:divsChild>
        </w:div>
        <w:div w:id="1928225133">
          <w:marLeft w:val="0"/>
          <w:marRight w:val="0"/>
          <w:marTop w:val="0"/>
          <w:marBottom w:val="0"/>
          <w:divBdr>
            <w:top w:val="none" w:sz="0" w:space="0" w:color="auto"/>
            <w:left w:val="none" w:sz="0" w:space="0" w:color="auto"/>
            <w:bottom w:val="none" w:sz="0" w:space="0" w:color="auto"/>
            <w:right w:val="none" w:sz="0" w:space="0" w:color="auto"/>
          </w:divBdr>
          <w:divsChild>
            <w:div w:id="1097679806">
              <w:marLeft w:val="0"/>
              <w:marRight w:val="0"/>
              <w:marTop w:val="0"/>
              <w:marBottom w:val="0"/>
              <w:divBdr>
                <w:top w:val="none" w:sz="0" w:space="0" w:color="auto"/>
                <w:left w:val="none" w:sz="0" w:space="0" w:color="auto"/>
                <w:bottom w:val="none" w:sz="0" w:space="0" w:color="auto"/>
                <w:right w:val="none" w:sz="0" w:space="0" w:color="auto"/>
              </w:divBdr>
            </w:div>
          </w:divsChild>
        </w:div>
        <w:div w:id="1958484262">
          <w:marLeft w:val="0"/>
          <w:marRight w:val="0"/>
          <w:marTop w:val="0"/>
          <w:marBottom w:val="0"/>
          <w:divBdr>
            <w:top w:val="none" w:sz="0" w:space="0" w:color="auto"/>
            <w:left w:val="none" w:sz="0" w:space="0" w:color="auto"/>
            <w:bottom w:val="none" w:sz="0" w:space="0" w:color="auto"/>
            <w:right w:val="none" w:sz="0" w:space="0" w:color="auto"/>
          </w:divBdr>
          <w:divsChild>
            <w:div w:id="1461416017">
              <w:marLeft w:val="0"/>
              <w:marRight w:val="0"/>
              <w:marTop w:val="0"/>
              <w:marBottom w:val="0"/>
              <w:divBdr>
                <w:top w:val="none" w:sz="0" w:space="0" w:color="auto"/>
                <w:left w:val="none" w:sz="0" w:space="0" w:color="auto"/>
                <w:bottom w:val="none" w:sz="0" w:space="0" w:color="auto"/>
                <w:right w:val="none" w:sz="0" w:space="0" w:color="auto"/>
              </w:divBdr>
            </w:div>
          </w:divsChild>
        </w:div>
        <w:div w:id="1971863866">
          <w:marLeft w:val="0"/>
          <w:marRight w:val="0"/>
          <w:marTop w:val="0"/>
          <w:marBottom w:val="0"/>
          <w:divBdr>
            <w:top w:val="none" w:sz="0" w:space="0" w:color="auto"/>
            <w:left w:val="none" w:sz="0" w:space="0" w:color="auto"/>
            <w:bottom w:val="none" w:sz="0" w:space="0" w:color="auto"/>
            <w:right w:val="none" w:sz="0" w:space="0" w:color="auto"/>
          </w:divBdr>
          <w:divsChild>
            <w:div w:id="115222250">
              <w:marLeft w:val="0"/>
              <w:marRight w:val="0"/>
              <w:marTop w:val="0"/>
              <w:marBottom w:val="0"/>
              <w:divBdr>
                <w:top w:val="none" w:sz="0" w:space="0" w:color="auto"/>
                <w:left w:val="none" w:sz="0" w:space="0" w:color="auto"/>
                <w:bottom w:val="none" w:sz="0" w:space="0" w:color="auto"/>
                <w:right w:val="none" w:sz="0" w:space="0" w:color="auto"/>
              </w:divBdr>
            </w:div>
          </w:divsChild>
        </w:div>
        <w:div w:id="1987197870">
          <w:marLeft w:val="0"/>
          <w:marRight w:val="0"/>
          <w:marTop w:val="0"/>
          <w:marBottom w:val="0"/>
          <w:divBdr>
            <w:top w:val="none" w:sz="0" w:space="0" w:color="auto"/>
            <w:left w:val="none" w:sz="0" w:space="0" w:color="auto"/>
            <w:bottom w:val="none" w:sz="0" w:space="0" w:color="auto"/>
            <w:right w:val="none" w:sz="0" w:space="0" w:color="auto"/>
          </w:divBdr>
          <w:divsChild>
            <w:div w:id="1175727220">
              <w:marLeft w:val="0"/>
              <w:marRight w:val="0"/>
              <w:marTop w:val="0"/>
              <w:marBottom w:val="0"/>
              <w:divBdr>
                <w:top w:val="none" w:sz="0" w:space="0" w:color="auto"/>
                <w:left w:val="none" w:sz="0" w:space="0" w:color="auto"/>
                <w:bottom w:val="none" w:sz="0" w:space="0" w:color="auto"/>
                <w:right w:val="none" w:sz="0" w:space="0" w:color="auto"/>
              </w:divBdr>
            </w:div>
          </w:divsChild>
        </w:div>
        <w:div w:id="1989629776">
          <w:marLeft w:val="0"/>
          <w:marRight w:val="0"/>
          <w:marTop w:val="0"/>
          <w:marBottom w:val="0"/>
          <w:divBdr>
            <w:top w:val="none" w:sz="0" w:space="0" w:color="auto"/>
            <w:left w:val="none" w:sz="0" w:space="0" w:color="auto"/>
            <w:bottom w:val="none" w:sz="0" w:space="0" w:color="auto"/>
            <w:right w:val="none" w:sz="0" w:space="0" w:color="auto"/>
          </w:divBdr>
          <w:divsChild>
            <w:div w:id="209851463">
              <w:marLeft w:val="0"/>
              <w:marRight w:val="0"/>
              <w:marTop w:val="0"/>
              <w:marBottom w:val="0"/>
              <w:divBdr>
                <w:top w:val="none" w:sz="0" w:space="0" w:color="auto"/>
                <w:left w:val="none" w:sz="0" w:space="0" w:color="auto"/>
                <w:bottom w:val="none" w:sz="0" w:space="0" w:color="auto"/>
                <w:right w:val="none" w:sz="0" w:space="0" w:color="auto"/>
              </w:divBdr>
            </w:div>
          </w:divsChild>
        </w:div>
        <w:div w:id="2005354914">
          <w:marLeft w:val="0"/>
          <w:marRight w:val="0"/>
          <w:marTop w:val="0"/>
          <w:marBottom w:val="0"/>
          <w:divBdr>
            <w:top w:val="none" w:sz="0" w:space="0" w:color="auto"/>
            <w:left w:val="none" w:sz="0" w:space="0" w:color="auto"/>
            <w:bottom w:val="none" w:sz="0" w:space="0" w:color="auto"/>
            <w:right w:val="none" w:sz="0" w:space="0" w:color="auto"/>
          </w:divBdr>
          <w:divsChild>
            <w:div w:id="468517975">
              <w:marLeft w:val="0"/>
              <w:marRight w:val="0"/>
              <w:marTop w:val="0"/>
              <w:marBottom w:val="0"/>
              <w:divBdr>
                <w:top w:val="none" w:sz="0" w:space="0" w:color="auto"/>
                <w:left w:val="none" w:sz="0" w:space="0" w:color="auto"/>
                <w:bottom w:val="none" w:sz="0" w:space="0" w:color="auto"/>
                <w:right w:val="none" w:sz="0" w:space="0" w:color="auto"/>
              </w:divBdr>
            </w:div>
          </w:divsChild>
        </w:div>
        <w:div w:id="2006280614">
          <w:marLeft w:val="0"/>
          <w:marRight w:val="0"/>
          <w:marTop w:val="0"/>
          <w:marBottom w:val="0"/>
          <w:divBdr>
            <w:top w:val="none" w:sz="0" w:space="0" w:color="auto"/>
            <w:left w:val="none" w:sz="0" w:space="0" w:color="auto"/>
            <w:bottom w:val="none" w:sz="0" w:space="0" w:color="auto"/>
            <w:right w:val="none" w:sz="0" w:space="0" w:color="auto"/>
          </w:divBdr>
          <w:divsChild>
            <w:div w:id="2109696894">
              <w:marLeft w:val="0"/>
              <w:marRight w:val="0"/>
              <w:marTop w:val="0"/>
              <w:marBottom w:val="0"/>
              <w:divBdr>
                <w:top w:val="none" w:sz="0" w:space="0" w:color="auto"/>
                <w:left w:val="none" w:sz="0" w:space="0" w:color="auto"/>
                <w:bottom w:val="none" w:sz="0" w:space="0" w:color="auto"/>
                <w:right w:val="none" w:sz="0" w:space="0" w:color="auto"/>
              </w:divBdr>
            </w:div>
          </w:divsChild>
        </w:div>
        <w:div w:id="2012446574">
          <w:marLeft w:val="0"/>
          <w:marRight w:val="0"/>
          <w:marTop w:val="0"/>
          <w:marBottom w:val="0"/>
          <w:divBdr>
            <w:top w:val="none" w:sz="0" w:space="0" w:color="auto"/>
            <w:left w:val="none" w:sz="0" w:space="0" w:color="auto"/>
            <w:bottom w:val="none" w:sz="0" w:space="0" w:color="auto"/>
            <w:right w:val="none" w:sz="0" w:space="0" w:color="auto"/>
          </w:divBdr>
          <w:divsChild>
            <w:div w:id="345794717">
              <w:marLeft w:val="0"/>
              <w:marRight w:val="0"/>
              <w:marTop w:val="0"/>
              <w:marBottom w:val="0"/>
              <w:divBdr>
                <w:top w:val="none" w:sz="0" w:space="0" w:color="auto"/>
                <w:left w:val="none" w:sz="0" w:space="0" w:color="auto"/>
                <w:bottom w:val="none" w:sz="0" w:space="0" w:color="auto"/>
                <w:right w:val="none" w:sz="0" w:space="0" w:color="auto"/>
              </w:divBdr>
            </w:div>
          </w:divsChild>
        </w:div>
        <w:div w:id="2039429953">
          <w:marLeft w:val="0"/>
          <w:marRight w:val="0"/>
          <w:marTop w:val="0"/>
          <w:marBottom w:val="0"/>
          <w:divBdr>
            <w:top w:val="none" w:sz="0" w:space="0" w:color="auto"/>
            <w:left w:val="none" w:sz="0" w:space="0" w:color="auto"/>
            <w:bottom w:val="none" w:sz="0" w:space="0" w:color="auto"/>
            <w:right w:val="none" w:sz="0" w:space="0" w:color="auto"/>
          </w:divBdr>
          <w:divsChild>
            <w:div w:id="1217202503">
              <w:marLeft w:val="0"/>
              <w:marRight w:val="0"/>
              <w:marTop w:val="0"/>
              <w:marBottom w:val="0"/>
              <w:divBdr>
                <w:top w:val="none" w:sz="0" w:space="0" w:color="auto"/>
                <w:left w:val="none" w:sz="0" w:space="0" w:color="auto"/>
                <w:bottom w:val="none" w:sz="0" w:space="0" w:color="auto"/>
                <w:right w:val="none" w:sz="0" w:space="0" w:color="auto"/>
              </w:divBdr>
            </w:div>
          </w:divsChild>
        </w:div>
        <w:div w:id="2040160470">
          <w:marLeft w:val="0"/>
          <w:marRight w:val="0"/>
          <w:marTop w:val="0"/>
          <w:marBottom w:val="0"/>
          <w:divBdr>
            <w:top w:val="none" w:sz="0" w:space="0" w:color="auto"/>
            <w:left w:val="none" w:sz="0" w:space="0" w:color="auto"/>
            <w:bottom w:val="none" w:sz="0" w:space="0" w:color="auto"/>
            <w:right w:val="none" w:sz="0" w:space="0" w:color="auto"/>
          </w:divBdr>
          <w:divsChild>
            <w:div w:id="610010709">
              <w:marLeft w:val="0"/>
              <w:marRight w:val="0"/>
              <w:marTop w:val="0"/>
              <w:marBottom w:val="0"/>
              <w:divBdr>
                <w:top w:val="none" w:sz="0" w:space="0" w:color="auto"/>
                <w:left w:val="none" w:sz="0" w:space="0" w:color="auto"/>
                <w:bottom w:val="none" w:sz="0" w:space="0" w:color="auto"/>
                <w:right w:val="none" w:sz="0" w:space="0" w:color="auto"/>
              </w:divBdr>
            </w:div>
          </w:divsChild>
        </w:div>
        <w:div w:id="2051176439">
          <w:marLeft w:val="0"/>
          <w:marRight w:val="0"/>
          <w:marTop w:val="0"/>
          <w:marBottom w:val="0"/>
          <w:divBdr>
            <w:top w:val="none" w:sz="0" w:space="0" w:color="auto"/>
            <w:left w:val="none" w:sz="0" w:space="0" w:color="auto"/>
            <w:bottom w:val="none" w:sz="0" w:space="0" w:color="auto"/>
            <w:right w:val="none" w:sz="0" w:space="0" w:color="auto"/>
          </w:divBdr>
          <w:divsChild>
            <w:div w:id="1056783677">
              <w:marLeft w:val="0"/>
              <w:marRight w:val="0"/>
              <w:marTop w:val="0"/>
              <w:marBottom w:val="0"/>
              <w:divBdr>
                <w:top w:val="none" w:sz="0" w:space="0" w:color="auto"/>
                <w:left w:val="none" w:sz="0" w:space="0" w:color="auto"/>
                <w:bottom w:val="none" w:sz="0" w:space="0" w:color="auto"/>
                <w:right w:val="none" w:sz="0" w:space="0" w:color="auto"/>
              </w:divBdr>
            </w:div>
          </w:divsChild>
        </w:div>
        <w:div w:id="2058358968">
          <w:marLeft w:val="0"/>
          <w:marRight w:val="0"/>
          <w:marTop w:val="0"/>
          <w:marBottom w:val="0"/>
          <w:divBdr>
            <w:top w:val="none" w:sz="0" w:space="0" w:color="auto"/>
            <w:left w:val="none" w:sz="0" w:space="0" w:color="auto"/>
            <w:bottom w:val="none" w:sz="0" w:space="0" w:color="auto"/>
            <w:right w:val="none" w:sz="0" w:space="0" w:color="auto"/>
          </w:divBdr>
          <w:divsChild>
            <w:div w:id="1758939484">
              <w:marLeft w:val="0"/>
              <w:marRight w:val="0"/>
              <w:marTop w:val="0"/>
              <w:marBottom w:val="0"/>
              <w:divBdr>
                <w:top w:val="none" w:sz="0" w:space="0" w:color="auto"/>
                <w:left w:val="none" w:sz="0" w:space="0" w:color="auto"/>
                <w:bottom w:val="none" w:sz="0" w:space="0" w:color="auto"/>
                <w:right w:val="none" w:sz="0" w:space="0" w:color="auto"/>
              </w:divBdr>
            </w:div>
          </w:divsChild>
        </w:div>
        <w:div w:id="2063403460">
          <w:marLeft w:val="0"/>
          <w:marRight w:val="0"/>
          <w:marTop w:val="0"/>
          <w:marBottom w:val="0"/>
          <w:divBdr>
            <w:top w:val="none" w:sz="0" w:space="0" w:color="auto"/>
            <w:left w:val="none" w:sz="0" w:space="0" w:color="auto"/>
            <w:bottom w:val="none" w:sz="0" w:space="0" w:color="auto"/>
            <w:right w:val="none" w:sz="0" w:space="0" w:color="auto"/>
          </w:divBdr>
          <w:divsChild>
            <w:div w:id="911278280">
              <w:marLeft w:val="0"/>
              <w:marRight w:val="0"/>
              <w:marTop w:val="0"/>
              <w:marBottom w:val="0"/>
              <w:divBdr>
                <w:top w:val="none" w:sz="0" w:space="0" w:color="auto"/>
                <w:left w:val="none" w:sz="0" w:space="0" w:color="auto"/>
                <w:bottom w:val="none" w:sz="0" w:space="0" w:color="auto"/>
                <w:right w:val="none" w:sz="0" w:space="0" w:color="auto"/>
              </w:divBdr>
            </w:div>
          </w:divsChild>
        </w:div>
        <w:div w:id="2078548763">
          <w:marLeft w:val="0"/>
          <w:marRight w:val="0"/>
          <w:marTop w:val="0"/>
          <w:marBottom w:val="0"/>
          <w:divBdr>
            <w:top w:val="none" w:sz="0" w:space="0" w:color="auto"/>
            <w:left w:val="none" w:sz="0" w:space="0" w:color="auto"/>
            <w:bottom w:val="none" w:sz="0" w:space="0" w:color="auto"/>
            <w:right w:val="none" w:sz="0" w:space="0" w:color="auto"/>
          </w:divBdr>
          <w:divsChild>
            <w:div w:id="2046253686">
              <w:marLeft w:val="0"/>
              <w:marRight w:val="0"/>
              <w:marTop w:val="0"/>
              <w:marBottom w:val="0"/>
              <w:divBdr>
                <w:top w:val="none" w:sz="0" w:space="0" w:color="auto"/>
                <w:left w:val="none" w:sz="0" w:space="0" w:color="auto"/>
                <w:bottom w:val="none" w:sz="0" w:space="0" w:color="auto"/>
                <w:right w:val="none" w:sz="0" w:space="0" w:color="auto"/>
              </w:divBdr>
            </w:div>
          </w:divsChild>
        </w:div>
        <w:div w:id="2083599933">
          <w:marLeft w:val="0"/>
          <w:marRight w:val="0"/>
          <w:marTop w:val="0"/>
          <w:marBottom w:val="0"/>
          <w:divBdr>
            <w:top w:val="none" w:sz="0" w:space="0" w:color="auto"/>
            <w:left w:val="none" w:sz="0" w:space="0" w:color="auto"/>
            <w:bottom w:val="none" w:sz="0" w:space="0" w:color="auto"/>
            <w:right w:val="none" w:sz="0" w:space="0" w:color="auto"/>
          </w:divBdr>
          <w:divsChild>
            <w:div w:id="815533260">
              <w:marLeft w:val="0"/>
              <w:marRight w:val="0"/>
              <w:marTop w:val="0"/>
              <w:marBottom w:val="0"/>
              <w:divBdr>
                <w:top w:val="none" w:sz="0" w:space="0" w:color="auto"/>
                <w:left w:val="none" w:sz="0" w:space="0" w:color="auto"/>
                <w:bottom w:val="none" w:sz="0" w:space="0" w:color="auto"/>
                <w:right w:val="none" w:sz="0" w:space="0" w:color="auto"/>
              </w:divBdr>
            </w:div>
          </w:divsChild>
        </w:div>
        <w:div w:id="2091348082">
          <w:marLeft w:val="0"/>
          <w:marRight w:val="0"/>
          <w:marTop w:val="0"/>
          <w:marBottom w:val="0"/>
          <w:divBdr>
            <w:top w:val="none" w:sz="0" w:space="0" w:color="auto"/>
            <w:left w:val="none" w:sz="0" w:space="0" w:color="auto"/>
            <w:bottom w:val="none" w:sz="0" w:space="0" w:color="auto"/>
            <w:right w:val="none" w:sz="0" w:space="0" w:color="auto"/>
          </w:divBdr>
          <w:divsChild>
            <w:div w:id="308364049">
              <w:marLeft w:val="0"/>
              <w:marRight w:val="0"/>
              <w:marTop w:val="0"/>
              <w:marBottom w:val="0"/>
              <w:divBdr>
                <w:top w:val="none" w:sz="0" w:space="0" w:color="auto"/>
                <w:left w:val="none" w:sz="0" w:space="0" w:color="auto"/>
                <w:bottom w:val="none" w:sz="0" w:space="0" w:color="auto"/>
                <w:right w:val="none" w:sz="0" w:space="0" w:color="auto"/>
              </w:divBdr>
            </w:div>
          </w:divsChild>
        </w:div>
        <w:div w:id="2127696823">
          <w:marLeft w:val="0"/>
          <w:marRight w:val="0"/>
          <w:marTop w:val="0"/>
          <w:marBottom w:val="0"/>
          <w:divBdr>
            <w:top w:val="none" w:sz="0" w:space="0" w:color="auto"/>
            <w:left w:val="none" w:sz="0" w:space="0" w:color="auto"/>
            <w:bottom w:val="none" w:sz="0" w:space="0" w:color="auto"/>
            <w:right w:val="none" w:sz="0" w:space="0" w:color="auto"/>
          </w:divBdr>
          <w:divsChild>
            <w:div w:id="803818031">
              <w:marLeft w:val="0"/>
              <w:marRight w:val="0"/>
              <w:marTop w:val="0"/>
              <w:marBottom w:val="0"/>
              <w:divBdr>
                <w:top w:val="none" w:sz="0" w:space="0" w:color="auto"/>
                <w:left w:val="none" w:sz="0" w:space="0" w:color="auto"/>
                <w:bottom w:val="none" w:sz="0" w:space="0" w:color="auto"/>
                <w:right w:val="none" w:sz="0" w:space="0" w:color="auto"/>
              </w:divBdr>
            </w:div>
          </w:divsChild>
        </w:div>
        <w:div w:id="2132360023">
          <w:marLeft w:val="0"/>
          <w:marRight w:val="0"/>
          <w:marTop w:val="0"/>
          <w:marBottom w:val="0"/>
          <w:divBdr>
            <w:top w:val="none" w:sz="0" w:space="0" w:color="auto"/>
            <w:left w:val="none" w:sz="0" w:space="0" w:color="auto"/>
            <w:bottom w:val="none" w:sz="0" w:space="0" w:color="auto"/>
            <w:right w:val="none" w:sz="0" w:space="0" w:color="auto"/>
          </w:divBdr>
          <w:divsChild>
            <w:div w:id="1069041826">
              <w:marLeft w:val="0"/>
              <w:marRight w:val="0"/>
              <w:marTop w:val="0"/>
              <w:marBottom w:val="0"/>
              <w:divBdr>
                <w:top w:val="none" w:sz="0" w:space="0" w:color="auto"/>
                <w:left w:val="none" w:sz="0" w:space="0" w:color="auto"/>
                <w:bottom w:val="none" w:sz="0" w:space="0" w:color="auto"/>
                <w:right w:val="none" w:sz="0" w:space="0" w:color="auto"/>
              </w:divBdr>
            </w:div>
          </w:divsChild>
        </w:div>
        <w:div w:id="2133983939">
          <w:marLeft w:val="0"/>
          <w:marRight w:val="0"/>
          <w:marTop w:val="0"/>
          <w:marBottom w:val="0"/>
          <w:divBdr>
            <w:top w:val="none" w:sz="0" w:space="0" w:color="auto"/>
            <w:left w:val="none" w:sz="0" w:space="0" w:color="auto"/>
            <w:bottom w:val="none" w:sz="0" w:space="0" w:color="auto"/>
            <w:right w:val="none" w:sz="0" w:space="0" w:color="auto"/>
          </w:divBdr>
          <w:divsChild>
            <w:div w:id="18617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699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hyperlink" Target="http://dx.doi.org/10.1371/journal.pone.0233806" TargetMode="External"/><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footer" Target="footer3.xml"/><Relationship Id="rId68" Type="http://schemas.openxmlformats.org/officeDocument/2006/relationships/header" Target="header6.xml"/><Relationship Id="rId84" Type="http://schemas.openxmlformats.org/officeDocument/2006/relationships/hyperlink" Target="https://dx.doi.org/10.1016/j.amepre.2011.02.026" TargetMode="External"/><Relationship Id="rId89" Type="http://schemas.openxmlformats.org/officeDocument/2006/relationships/hyperlink" Target="http://dx.doi.org/10.1002/pds.3206" TargetMode="External"/><Relationship Id="rId112" Type="http://schemas.openxmlformats.org/officeDocument/2006/relationships/hyperlink" Target="http://dx.doi.org/10.1371/journal.pone.0216317" TargetMode="External"/><Relationship Id="rId133" Type="http://schemas.openxmlformats.org/officeDocument/2006/relationships/hyperlink" Target="http://dx.doi.org/10.2217/npy.13.23" TargetMode="External"/><Relationship Id="rId138" Type="http://schemas.openxmlformats.org/officeDocument/2006/relationships/hyperlink" Target="http://dx.doi.org/10.1515/IJAMH.2001.13.4.327" TargetMode="External"/><Relationship Id="rId154" Type="http://schemas.openxmlformats.org/officeDocument/2006/relationships/header" Target="header11.xml"/><Relationship Id="rId159" Type="http://schemas.openxmlformats.org/officeDocument/2006/relationships/footer" Target="footer10.xml"/><Relationship Id="rId170" Type="http://schemas.openxmlformats.org/officeDocument/2006/relationships/theme" Target="theme/theme1.xml"/><Relationship Id="rId107" Type="http://schemas.openxmlformats.org/officeDocument/2006/relationships/hyperlink" Target="http://dx.doi.org/10.1136/bmj.326.7397.1006" TargetMode="External"/><Relationship Id="rId11" Type="http://schemas.openxmlformats.org/officeDocument/2006/relationships/image" Target="media/image1.emf"/><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header" Target="header3.xml"/><Relationship Id="rId74" Type="http://schemas.openxmlformats.org/officeDocument/2006/relationships/hyperlink" Target="http://dx.doi.org/10.1310/hpj4202-126" TargetMode="External"/><Relationship Id="rId79" Type="http://schemas.openxmlformats.org/officeDocument/2006/relationships/hyperlink" Target="https://raisingchildren.net.au/babies/safety/poisons/medicines-that-can-poison?accountid=8330" TargetMode="External"/><Relationship Id="rId102" Type="http://schemas.openxmlformats.org/officeDocument/2006/relationships/hyperlink" Target="http://www.abs.gov.au/statistics/people/population/national-state-and-territory-population" TargetMode="External"/><Relationship Id="rId123" Type="http://schemas.openxmlformats.org/officeDocument/2006/relationships/hyperlink" Target="https://www.proquest.com/scholarly-journals/youth-suicide-attempts-social-demographic-profile/docview/57384788/se-2" TargetMode="External"/><Relationship Id="rId128" Type="http://schemas.openxmlformats.org/officeDocument/2006/relationships/hyperlink" Target="http://dx.doi.org/10.1017/s1481803500015153" TargetMode="External"/><Relationship Id="rId144" Type="http://schemas.openxmlformats.org/officeDocument/2006/relationships/hyperlink" Target="http://dx.doi.org/10.1111/sltb.12168" TargetMode="External"/><Relationship Id="rId149" Type="http://schemas.openxmlformats.org/officeDocument/2006/relationships/hyperlink" Target="http://dx.doi.org/10.1080/15563650.2020.1741981" TargetMode="External"/><Relationship Id="rId5" Type="http://schemas.openxmlformats.org/officeDocument/2006/relationships/numbering" Target="numbering.xml"/><Relationship Id="rId90" Type="http://schemas.openxmlformats.org/officeDocument/2006/relationships/hyperlink" Target="https://mindframe.org.au/suicide/communicating-about-suicide/mindframe-guidelines" TargetMode="External"/><Relationship Id="rId95" Type="http://schemas.openxmlformats.org/officeDocument/2006/relationships/hyperlink" Target="http://dx.doi.org/10.3390/ijerph17176159" TargetMode="External"/><Relationship Id="rId160" Type="http://schemas.openxmlformats.org/officeDocument/2006/relationships/image" Target="media/image41.png"/><Relationship Id="rId165" Type="http://schemas.openxmlformats.org/officeDocument/2006/relationships/image" Target="media/image46.png"/><Relationship Id="rId22" Type="http://schemas.openxmlformats.org/officeDocument/2006/relationships/image" Target="media/image8.png"/><Relationship Id="rId27" Type="http://schemas.openxmlformats.org/officeDocument/2006/relationships/image" Target="media/image13.emf"/><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hyperlink" Target="https://www.mentalhealthcommission.gov.au/national-suicide-prevention-office/national-suicide-prevention-adviser-final-advice" TargetMode="External"/><Relationship Id="rId69" Type="http://schemas.openxmlformats.org/officeDocument/2006/relationships/footer" Target="footer5.xml"/><Relationship Id="rId113" Type="http://schemas.openxmlformats.org/officeDocument/2006/relationships/hyperlink" Target="http://dx.doi.org/10.1017/S1041610202008311?T=JS&amp;PAGE=reference&amp;D=med5&amp;NEWS=N&amp;AN=12526726" TargetMode="External"/><Relationship Id="rId118" Type="http://schemas.openxmlformats.org/officeDocument/2006/relationships/hyperlink" Target="https://dx.doi.org/10.1097/PEC.0000000000002553" TargetMode="External"/><Relationship Id="rId134" Type="http://schemas.openxmlformats.org/officeDocument/2006/relationships/hyperlink" Target="http://dx.doi.org/10.1186/1472-6904-10-6" TargetMode="External"/><Relationship Id="rId139" Type="http://schemas.openxmlformats.org/officeDocument/2006/relationships/hyperlink" Target="https://healthgov.sharepoint.com/sites/PoisonsStandardSchedulingTeam/_vti_history/65024/Shared%20Documents/Paracetamol%20Review/Working%20documents/Draft%20Paracetamol%20Report/Version%203%20-%205%20Aug%202022/www.saxinstitute.org.au" TargetMode="External"/><Relationship Id="rId80" Type="http://schemas.openxmlformats.org/officeDocument/2006/relationships/hyperlink" Target="https://JN8SF5HK5V.search.serialssolutions.com?ctx_ver=Z39.88-2004&amp;ctx_enc=info:ofi/enc:UTF-8&amp;rfr_id=info:sid/ProQ%3Aassia&amp;rft_val_fmt=info:ofi/fmt:kev:mtx:journal&amp;rft.genre=article&amp;rft.jtitle=Australian+and+New+Zealand+Journal+of+Psychiatry&amp;rft.atitle=Youth+suicide+attempts%3A+a+social+and+demographic+profile&amp;rft.au=Beautrais%2C+A+L%3BJoyce%2C+P+R%3BMulder%2C+R+T&amp;rft.aulast=Beautrais&amp;rft.aufirst=A&amp;rft.date=1998-06-01&amp;rft.volume=32&amp;rft.issue=3&amp;rft.spage=349&amp;rft.isbn=&amp;rft.btitle=&amp;rft.title=Australian+and+New+Zealand+Journal+of+Psychiatry&amp;rft.issn=00048674&amp;rft_id=info:doi/" TargetMode="External"/><Relationship Id="rId85" Type="http://schemas.openxmlformats.org/officeDocument/2006/relationships/hyperlink" Target="http://dx.doi.org/10.5694/mja2.50296" TargetMode="External"/><Relationship Id="rId150" Type="http://schemas.openxmlformats.org/officeDocument/2006/relationships/hyperlink" Target="http://europepmc.org/abstract/MED/9594971" TargetMode="External"/><Relationship Id="rId155" Type="http://schemas.openxmlformats.org/officeDocument/2006/relationships/footer" Target="footer8.xml"/><Relationship Id="rId12" Type="http://schemas.openxmlformats.org/officeDocument/2006/relationships/image" Target="media/image2.png"/><Relationship Id="rId17" Type="http://schemas.openxmlformats.org/officeDocument/2006/relationships/image" Target="media/image4.emf"/><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footer" Target="footer2.xml"/><Relationship Id="rId103" Type="http://schemas.openxmlformats.org/officeDocument/2006/relationships/hyperlink" Target="http://ovidsp.ovid.com/ovidweb.cgi" TargetMode="External"/><Relationship Id="rId108" Type="http://schemas.openxmlformats.org/officeDocument/2006/relationships/hyperlink" Target="http://dx.doi.org/10.1136/bmj.b2270" TargetMode="External"/><Relationship Id="rId124" Type="http://schemas.openxmlformats.org/officeDocument/2006/relationships/hyperlink" Target="https://dx.doi.org/10.1016/j.genhosppsych.2008.06.012?T=JS&amp;PAGE=reference&amp;D=med6&amp;NEWS=N&amp;AN=15637104" TargetMode="External"/><Relationship Id="rId129" Type="http://schemas.openxmlformats.org/officeDocument/2006/relationships/hyperlink" Target="http://dx.doi.org/10.1192/bjp.168.1.43" TargetMode="External"/><Relationship Id="rId54" Type="http://schemas.openxmlformats.org/officeDocument/2006/relationships/image" Target="media/image40.png"/><Relationship Id="rId70" Type="http://schemas.openxmlformats.org/officeDocument/2006/relationships/header" Target="header7.xml"/><Relationship Id="rId75" Type="http://schemas.openxmlformats.org/officeDocument/2006/relationships/hyperlink" Target="http://ovidsp.ovid.com/ovidweb.cgi?T=JS&amp;PAGE=reference&amp;D=emed5&amp;NEWS=N&amp;AN=24134686" TargetMode="External"/><Relationship Id="rId91" Type="http://schemas.openxmlformats.org/officeDocument/2006/relationships/hyperlink" Target="http://dx.doi.org/10.1002/pds.1191" TargetMode="External"/><Relationship Id="rId96" Type="http://schemas.openxmlformats.org/officeDocument/2006/relationships/hyperlink" Target="http://ovidsp.ovid.com/ovidweb.cgi" TargetMode="External"/><Relationship Id="rId140" Type="http://schemas.openxmlformats.org/officeDocument/2006/relationships/hyperlink" Target="https://dev.saxinstitute.org.au/wp-content/uploads/2019_Suicide-Aftercare-Services-Report.pdf" TargetMode="External"/><Relationship Id="rId145" Type="http://schemas.openxmlformats.org/officeDocument/2006/relationships/hyperlink" Target="https://dx.doi.org/10.1007/s00127-007-0199-7" TargetMode="External"/><Relationship Id="rId161" Type="http://schemas.openxmlformats.org/officeDocument/2006/relationships/image" Target="media/image42.png"/><Relationship Id="rId166"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2.xml"/><Relationship Id="rId106" Type="http://schemas.openxmlformats.org/officeDocument/2006/relationships/hyperlink" Target="http://dx.doi.org/10.1155/2019/3130843" TargetMode="External"/><Relationship Id="rId114" Type="http://schemas.openxmlformats.org/officeDocument/2006/relationships/hyperlink" Target="http://dx.doi.org/10.1176/appi.ps.202000081" TargetMode="External"/><Relationship Id="rId119" Type="http://schemas.openxmlformats.org/officeDocument/2006/relationships/hyperlink" Target="http://dx.doi.org/10.1007/s001270170053" TargetMode="External"/><Relationship Id="rId127" Type="http://schemas.openxmlformats.org/officeDocument/2006/relationships/hyperlink" Target="http://www.abs.gov.au/statistics/people/population/national-state-and-territory-population" TargetMode="Externa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dx.doi.org/10.1002/pds.4997" TargetMode="External"/><Relationship Id="rId65" Type="http://schemas.openxmlformats.org/officeDocument/2006/relationships/hyperlink" Target="http://dx.doi.org/10.3109/00365521.2012.703236" TargetMode="External"/><Relationship Id="rId73" Type="http://schemas.openxmlformats.org/officeDocument/2006/relationships/hyperlink" Target="http://dx.doi.org/10.1136/bmj.38253.572581.7C" TargetMode="External"/><Relationship Id="rId78" Type="http://schemas.openxmlformats.org/officeDocument/2006/relationships/hyperlink" Target="http://dx.doi.org/10.1186/1471-2458-7-143" TargetMode="External"/><Relationship Id="rId81" Type="http://schemas.openxmlformats.org/officeDocument/2006/relationships/hyperlink" Target="http://dx.doi.org/10.1177/070674370304800406" TargetMode="External"/><Relationship Id="rId86" Type="http://schemas.openxmlformats.org/officeDocument/2006/relationships/hyperlink" Target="https://www.orygen.org.au/chatsafe" TargetMode="External"/><Relationship Id="rId94" Type="http://schemas.openxmlformats.org/officeDocument/2006/relationships/hyperlink" Target="http://dx.doi.org/10.1001/archpedi.154.4.346" TargetMode="External"/><Relationship Id="rId99" Type="http://schemas.openxmlformats.org/officeDocument/2006/relationships/hyperlink" Target="https://dx.doi.org/10.5694/j.1326-5377.2002.tb04346.x" TargetMode="External"/><Relationship Id="rId101" Type="http://schemas.openxmlformats.org/officeDocument/2006/relationships/hyperlink" Target="http://dx.doi.org/10.1007/s00127-020-01981-y" TargetMode="External"/><Relationship Id="rId122" Type="http://schemas.openxmlformats.org/officeDocument/2006/relationships/hyperlink" Target="http://dx.doi.org/10.1136/adc.75.3.194" TargetMode="External"/><Relationship Id="rId130" Type="http://schemas.openxmlformats.org/officeDocument/2006/relationships/hyperlink" Target="https://dx.doi.org/10.1093/eurpub/ckab082" TargetMode="External"/><Relationship Id="rId135" Type="http://schemas.openxmlformats.org/officeDocument/2006/relationships/hyperlink" Target="https://dx.doi.org/10.1111/add.14798" TargetMode="External"/><Relationship Id="rId143" Type="http://schemas.openxmlformats.org/officeDocument/2006/relationships/hyperlink" Target="http://dx.doi.org/10.1002/pds.4166" TargetMode="External"/><Relationship Id="rId148" Type="http://schemas.openxmlformats.org/officeDocument/2006/relationships/hyperlink" Target="http://dx.doi.org/10.1027/0227-5910/a000063" TargetMode="External"/><Relationship Id="rId151" Type="http://schemas.openxmlformats.org/officeDocument/2006/relationships/header" Target="header9.xml"/><Relationship Id="rId156" Type="http://schemas.openxmlformats.org/officeDocument/2006/relationships/footer" Target="footer9.xml"/><Relationship Id="rId164" Type="http://schemas.openxmlformats.org/officeDocument/2006/relationships/image" Target="media/image45.png"/><Relationship Id="rId16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4.png"/><Relationship Id="rId39" Type="http://schemas.openxmlformats.org/officeDocument/2006/relationships/image" Target="media/image25.emf"/><Relationship Id="rId109" Type="http://schemas.openxmlformats.org/officeDocument/2006/relationships/hyperlink" Target="http://dx.doi.org/10.1016/j.puhe.2008.12.002"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header" Target="header1.xml"/><Relationship Id="rId76" Type="http://schemas.openxmlformats.org/officeDocument/2006/relationships/hyperlink" Target="https://dx.doi.org/10.1007/s00127-008-0349-6" TargetMode="External"/><Relationship Id="rId97" Type="http://schemas.openxmlformats.org/officeDocument/2006/relationships/hyperlink" Target="http://dx.doi.org/10.1177/1403494812474122" TargetMode="External"/><Relationship Id="rId104" Type="http://schemas.openxmlformats.org/officeDocument/2006/relationships/hyperlink" Target="http://dx.doi.org/10.2146/ajhp050227" TargetMode="External"/><Relationship Id="rId120" Type="http://schemas.openxmlformats.org/officeDocument/2006/relationships/hyperlink" Target="http://dx.doi.org/10.1080/00365521.2021.1921254" TargetMode="External"/><Relationship Id="rId125" Type="http://schemas.openxmlformats.org/officeDocument/2006/relationships/hyperlink" Target="http://dx.doi.org/10.1371/journal.pmed.1001213" TargetMode="External"/><Relationship Id="rId141" Type="http://schemas.openxmlformats.org/officeDocument/2006/relationships/hyperlink" Target="https://dx.doi.org/10.2147/AMEP.S143399" TargetMode="External"/><Relationship Id="rId146" Type="http://schemas.openxmlformats.org/officeDocument/2006/relationships/hyperlink" Target="https://doi.org/10.1111/jpc.15387" TargetMode="External"/><Relationship Id="rId167"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yperlink" Target="http://dx.doi.org/10.1093/qjmed/hcr135" TargetMode="External"/><Relationship Id="rId162" Type="http://schemas.openxmlformats.org/officeDocument/2006/relationships/image" Target="media/image43.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eader" Target="header5.xml"/><Relationship Id="rId87" Type="http://schemas.openxmlformats.org/officeDocument/2006/relationships/hyperlink" Target="http://ovidsp.ovid.com/ovidweb.cgi" TargetMode="External"/><Relationship Id="rId110" Type="http://schemas.openxmlformats.org/officeDocument/2006/relationships/hyperlink" Target="http://dx.doi.org/10.1111/j.1365-2125.2010.03819.x" TargetMode="External"/><Relationship Id="rId115" Type="http://schemas.openxmlformats.org/officeDocument/2006/relationships/hyperlink" Target="http://dx.doi.org/10.1136/emermed-2013-202518?T=JS&amp;PAGE=reference&amp;D=emed16&amp;NEWS=N&amp;AN=605612688" TargetMode="External"/><Relationship Id="rId131" Type="http://schemas.openxmlformats.org/officeDocument/2006/relationships/hyperlink" Target="http://dx.doi.org/10.1111/apa.13458" TargetMode="External"/><Relationship Id="rId136" Type="http://schemas.openxmlformats.org/officeDocument/2006/relationships/hyperlink" Target="http://ovidsp.ovid.com/ovidweb.cgi" TargetMode="External"/><Relationship Id="rId157" Type="http://schemas.openxmlformats.org/officeDocument/2006/relationships/header" Target="header12.xml"/><Relationship Id="rId61" Type="http://schemas.openxmlformats.org/officeDocument/2006/relationships/hyperlink" Target="https://dx.doi.org/10.24095/hpcdp.40.4.05" TargetMode="External"/><Relationship Id="rId82" Type="http://schemas.openxmlformats.org/officeDocument/2006/relationships/hyperlink" Target="http://dx.doi.org/10.1016/j.jpsychores.2017.08.006" TargetMode="External"/><Relationship Id="rId152" Type="http://schemas.openxmlformats.org/officeDocument/2006/relationships/footer" Target="footer7.xml"/><Relationship Id="rId19"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footer" Target="footer1.xml"/><Relationship Id="rId77" Type="http://schemas.openxmlformats.org/officeDocument/2006/relationships/hyperlink" Target="http://dx.doi.org/10.1111/j.1365-2125.2008.03206.x?T=JS&amp;PAGE=reference&amp;D=emed7&amp;NEWS=N&amp;AN=32776861" TargetMode="External"/><Relationship Id="rId100" Type="http://schemas.openxmlformats.org/officeDocument/2006/relationships/hyperlink" Target="http://dx.doi.org/10.3402/ijch.v72i0.21687" TargetMode="External"/><Relationship Id="rId105" Type="http://schemas.openxmlformats.org/officeDocument/2006/relationships/hyperlink" Target="http://www.cjcp.ca/hm/http://ovidsp.ovid.com/ovidweb.cgi" TargetMode="External"/><Relationship Id="rId126" Type="http://schemas.openxmlformats.org/officeDocument/2006/relationships/hyperlink" Target="http://dx.doi.org/10.1186/cc1475" TargetMode="External"/><Relationship Id="rId147" Type="http://schemas.openxmlformats.org/officeDocument/2006/relationships/hyperlink" Target="http://dx.doi.org/10.1371/journal.pmed.0040105?T=JS&amp;PAGE=reference&amp;D=med4&amp;NEWS=N&amp;AN=10905911" TargetMode="External"/><Relationship Id="rId168" Type="http://schemas.openxmlformats.org/officeDocument/2006/relationships/footer" Target="footer11.xml"/><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footer" Target="footer6.xml"/><Relationship Id="rId93" Type="http://schemas.openxmlformats.org/officeDocument/2006/relationships/hyperlink" Target="http://dx.doi.org/10.1016/j.jad.2020.02.043" TargetMode="External"/><Relationship Id="rId98" Type="http://schemas.openxmlformats.org/officeDocument/2006/relationships/hyperlink" Target="http://dx.doi.org/10.3399/bjgp18X698897" TargetMode="External"/><Relationship Id="rId121" Type="http://schemas.openxmlformats.org/officeDocument/2006/relationships/hyperlink" Target="http://dx.doi.org/10.1093/eurpub/cky031" TargetMode="External"/><Relationship Id="rId142" Type="http://schemas.openxmlformats.org/officeDocument/2006/relationships/hyperlink" Target="http://dx.doi.org/10.1093/qjmed/93.6.341" TargetMode="External"/><Relationship Id="rId163" Type="http://schemas.openxmlformats.org/officeDocument/2006/relationships/image" Target="media/image44.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emf"/><Relationship Id="rId67" Type="http://schemas.openxmlformats.org/officeDocument/2006/relationships/footer" Target="footer4.xml"/><Relationship Id="rId116" Type="http://schemas.openxmlformats.org/officeDocument/2006/relationships/hyperlink" Target="http://dx.doi.org/10.1136/archdischild-2019-epa.220" TargetMode="External"/><Relationship Id="rId137" Type="http://schemas.openxmlformats.org/officeDocument/2006/relationships/hyperlink" Target="https://go.exlibris.link/Nd72G0GN" TargetMode="External"/><Relationship Id="rId158" Type="http://schemas.openxmlformats.org/officeDocument/2006/relationships/header" Target="header13.xm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header" Target="header4.xml"/><Relationship Id="rId83" Type="http://schemas.openxmlformats.org/officeDocument/2006/relationships/hyperlink" Target="http://dx.doi.org/10.3390/ijerph181910232" TargetMode="External"/><Relationship Id="rId88" Type="http://schemas.openxmlformats.org/officeDocument/2006/relationships/hyperlink" Target="http://dx.doi.org/10.1056/NEJM199710163371602" TargetMode="External"/><Relationship Id="rId111" Type="http://schemas.openxmlformats.org/officeDocument/2006/relationships/hyperlink" Target="http://dx.doi.org/10.1017/s0790966700008405" TargetMode="External"/><Relationship Id="rId132" Type="http://schemas.openxmlformats.org/officeDocument/2006/relationships/hyperlink" Target="http://dx.doi.org/10.1016/j.jad.2020.07.091" TargetMode="External"/><Relationship Id="rId153"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410a292-e042-440d-aef8-ab5a9bd10e41" xsi:nil="true"/>
    <lcf76f155ced4ddcb4097134ff3c332f xmlns="f482729e-2cfb-42d6-a767-262eef24571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E0E35EFD4F464680E6AF1C0D13EB20" ma:contentTypeVersion="14" ma:contentTypeDescription="Create a new document." ma:contentTypeScope="" ma:versionID="17cf18d24610b537fcfd2a71d61e9b35">
  <xsd:schema xmlns:xsd="http://www.w3.org/2001/XMLSchema" xmlns:xs="http://www.w3.org/2001/XMLSchema" xmlns:p="http://schemas.microsoft.com/office/2006/metadata/properties" xmlns:ns2="f482729e-2cfb-42d6-a767-262eef245714" xmlns:ns3="2410a292-e042-440d-aef8-ab5a9bd10e41" targetNamespace="http://schemas.microsoft.com/office/2006/metadata/properties" ma:root="true" ma:fieldsID="fa2a46879de7be61938a31a76db02dd8" ns2:_="" ns3:_="">
    <xsd:import namespace="f482729e-2cfb-42d6-a767-262eef245714"/>
    <xsd:import namespace="2410a292-e042-440d-aef8-ab5a9bd10e4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2729e-2cfb-42d6-a767-262eef2457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10a292-e042-440d-aef8-ab5a9bd10e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d62ffbc-183f-4805-a010-07f79be95aa9}" ma:internalName="TaxCatchAll" ma:showField="CatchAllData" ma:web="2410a292-e042-440d-aef8-ab5a9bd10e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59302C-ACC4-4150-816A-44A820D5A578}">
  <ds:schemaRefs>
    <ds:schemaRef ds:uri="http://schemas.openxmlformats.org/officeDocument/2006/bibliography"/>
  </ds:schemaRefs>
</ds:datastoreItem>
</file>

<file path=customXml/itemProps2.xml><?xml version="1.0" encoding="utf-8"?>
<ds:datastoreItem xmlns:ds="http://schemas.openxmlformats.org/officeDocument/2006/customXml" ds:itemID="{FEB122CB-252E-4B4F-8D63-19E3364A67E5}">
  <ds:schemaRefs>
    <ds:schemaRef ds:uri="http://schemas.microsoft.com/sharepoint/v3/contenttype/forms"/>
  </ds:schemaRefs>
</ds:datastoreItem>
</file>

<file path=customXml/itemProps3.xml><?xml version="1.0" encoding="utf-8"?>
<ds:datastoreItem xmlns:ds="http://schemas.openxmlformats.org/officeDocument/2006/customXml" ds:itemID="{2CEEE6DB-46F1-4A56-A24E-F3B0EC381DC2}">
  <ds:schemaRefs>
    <ds:schemaRef ds:uri="http://schemas.microsoft.com/office/2006/metadata/properties"/>
    <ds:schemaRef ds:uri="http://schemas.microsoft.com/office/infopath/2007/PartnerControls"/>
    <ds:schemaRef ds:uri="2410a292-e042-440d-aef8-ab5a9bd10e41"/>
    <ds:schemaRef ds:uri="f482729e-2cfb-42d6-a767-262eef245714"/>
  </ds:schemaRefs>
</ds:datastoreItem>
</file>

<file path=customXml/itemProps4.xml><?xml version="1.0" encoding="utf-8"?>
<ds:datastoreItem xmlns:ds="http://schemas.openxmlformats.org/officeDocument/2006/customXml" ds:itemID="{429849DE-6FDE-452B-BCC9-066B9B6C97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2729e-2cfb-42d6-a767-262eef245714"/>
    <ds:schemaRef ds:uri="2410a292-e042-440d-aef8-ab5a9bd10e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96693</Words>
  <Characters>551154</Characters>
  <Application>Microsoft Office Word</Application>
  <DocSecurity>0</DocSecurity>
  <Lines>4592</Lines>
  <Paragraphs>1293</Paragraphs>
  <ScaleCrop>false</ScaleCrop>
  <Company/>
  <LinksUpToDate>false</LinksUpToDate>
  <CharactersWithSpaces>646554</CharactersWithSpaces>
  <SharedDoc>false</SharedDoc>
  <HLinks>
    <vt:vector size="1410" baseType="variant">
      <vt:variant>
        <vt:i4>458843</vt:i4>
      </vt:variant>
      <vt:variant>
        <vt:i4>2444</vt:i4>
      </vt:variant>
      <vt:variant>
        <vt:i4>0</vt:i4>
      </vt:variant>
      <vt:variant>
        <vt:i4>5</vt:i4>
      </vt:variant>
      <vt:variant>
        <vt:lpwstr>http://europepmc.org/abstract/MED/9594971</vt:lpwstr>
      </vt:variant>
      <vt:variant>
        <vt:lpwstr/>
      </vt:variant>
      <vt:variant>
        <vt:i4>8257659</vt:i4>
      </vt:variant>
      <vt:variant>
        <vt:i4>2441</vt:i4>
      </vt:variant>
      <vt:variant>
        <vt:i4>0</vt:i4>
      </vt:variant>
      <vt:variant>
        <vt:i4>5</vt:i4>
      </vt:variant>
      <vt:variant>
        <vt:lpwstr>http://dx.doi.org/10.1080/15563650.2020.1741981</vt:lpwstr>
      </vt:variant>
      <vt:variant>
        <vt:lpwstr/>
      </vt:variant>
      <vt:variant>
        <vt:i4>7929899</vt:i4>
      </vt:variant>
      <vt:variant>
        <vt:i4>2438</vt:i4>
      </vt:variant>
      <vt:variant>
        <vt:i4>0</vt:i4>
      </vt:variant>
      <vt:variant>
        <vt:i4>5</vt:i4>
      </vt:variant>
      <vt:variant>
        <vt:lpwstr>http://dx.doi.org/10.1027/0227-5910/a000063</vt:lpwstr>
      </vt:variant>
      <vt:variant>
        <vt:lpwstr/>
      </vt:variant>
      <vt:variant>
        <vt:i4>589832</vt:i4>
      </vt:variant>
      <vt:variant>
        <vt:i4>2435</vt:i4>
      </vt:variant>
      <vt:variant>
        <vt:i4>0</vt:i4>
      </vt:variant>
      <vt:variant>
        <vt:i4>5</vt:i4>
      </vt:variant>
      <vt:variant>
        <vt:lpwstr>http://dx.doi.org/10.1371/journal.pmed.0040105?T=JS&amp;PAGE=reference&amp;D=med4&amp;NEWS=N&amp;AN=10905911</vt:lpwstr>
      </vt:variant>
      <vt:variant>
        <vt:lpwstr/>
      </vt:variant>
      <vt:variant>
        <vt:i4>4259921</vt:i4>
      </vt:variant>
      <vt:variant>
        <vt:i4>2432</vt:i4>
      </vt:variant>
      <vt:variant>
        <vt:i4>0</vt:i4>
      </vt:variant>
      <vt:variant>
        <vt:i4>5</vt:i4>
      </vt:variant>
      <vt:variant>
        <vt:lpwstr>https://doi.org/10.1111/jpc.15387</vt:lpwstr>
      </vt:variant>
      <vt:variant>
        <vt:lpwstr/>
      </vt:variant>
      <vt:variant>
        <vt:i4>655389</vt:i4>
      </vt:variant>
      <vt:variant>
        <vt:i4>2429</vt:i4>
      </vt:variant>
      <vt:variant>
        <vt:i4>0</vt:i4>
      </vt:variant>
      <vt:variant>
        <vt:i4>5</vt:i4>
      </vt:variant>
      <vt:variant>
        <vt:lpwstr>https://dx.doi.org/10.1007/s00127-007-0199-7</vt:lpwstr>
      </vt:variant>
      <vt:variant>
        <vt:lpwstr/>
      </vt:variant>
      <vt:variant>
        <vt:i4>5505094</vt:i4>
      </vt:variant>
      <vt:variant>
        <vt:i4>2426</vt:i4>
      </vt:variant>
      <vt:variant>
        <vt:i4>0</vt:i4>
      </vt:variant>
      <vt:variant>
        <vt:i4>5</vt:i4>
      </vt:variant>
      <vt:variant>
        <vt:lpwstr>http://dx.doi.org/10.1111/sltb.12168</vt:lpwstr>
      </vt:variant>
      <vt:variant>
        <vt:lpwstr/>
      </vt:variant>
      <vt:variant>
        <vt:i4>3014760</vt:i4>
      </vt:variant>
      <vt:variant>
        <vt:i4>2423</vt:i4>
      </vt:variant>
      <vt:variant>
        <vt:i4>0</vt:i4>
      </vt:variant>
      <vt:variant>
        <vt:i4>5</vt:i4>
      </vt:variant>
      <vt:variant>
        <vt:lpwstr>http://dx.doi.org/10.1002/pds.4166</vt:lpwstr>
      </vt:variant>
      <vt:variant>
        <vt:lpwstr/>
      </vt:variant>
      <vt:variant>
        <vt:i4>5046301</vt:i4>
      </vt:variant>
      <vt:variant>
        <vt:i4>2420</vt:i4>
      </vt:variant>
      <vt:variant>
        <vt:i4>0</vt:i4>
      </vt:variant>
      <vt:variant>
        <vt:i4>5</vt:i4>
      </vt:variant>
      <vt:variant>
        <vt:lpwstr>http://dx.doi.org/10.1093/qjmed/93.6.341</vt:lpwstr>
      </vt:variant>
      <vt:variant>
        <vt:lpwstr/>
      </vt:variant>
      <vt:variant>
        <vt:i4>6553702</vt:i4>
      </vt:variant>
      <vt:variant>
        <vt:i4>2417</vt:i4>
      </vt:variant>
      <vt:variant>
        <vt:i4>0</vt:i4>
      </vt:variant>
      <vt:variant>
        <vt:i4>5</vt:i4>
      </vt:variant>
      <vt:variant>
        <vt:lpwstr>https://dx.doi.org/10.2147/AMEP.S143399</vt:lpwstr>
      </vt:variant>
      <vt:variant>
        <vt:lpwstr/>
      </vt:variant>
      <vt:variant>
        <vt:i4>8126530</vt:i4>
      </vt:variant>
      <vt:variant>
        <vt:i4>2414</vt:i4>
      </vt:variant>
      <vt:variant>
        <vt:i4>0</vt:i4>
      </vt:variant>
      <vt:variant>
        <vt:i4>5</vt:i4>
      </vt:variant>
      <vt:variant>
        <vt:lpwstr>https://dev.saxinstitute.org.au/wp-content/uploads/2019_Suicide-Aftercare-Services-Report.pdf</vt:lpwstr>
      </vt:variant>
      <vt:variant>
        <vt:lpwstr/>
      </vt:variant>
      <vt:variant>
        <vt:i4>4194382</vt:i4>
      </vt:variant>
      <vt:variant>
        <vt:i4>2411</vt:i4>
      </vt:variant>
      <vt:variant>
        <vt:i4>0</vt:i4>
      </vt:variant>
      <vt:variant>
        <vt:i4>5</vt:i4>
      </vt:variant>
      <vt:variant>
        <vt:lpwstr>https://healthgov.sharepoint.com/sites/PoisonsStandardSchedulingTeam/_vti_history/65024/Shared Documents/Paracetamol Review/Working documents/Draft Paracetamol Report/Version 3 - 5 Aug 2022/www.saxinstitute.org.au</vt:lpwstr>
      </vt:variant>
      <vt:variant>
        <vt:lpwstr/>
      </vt:variant>
      <vt:variant>
        <vt:i4>4784147</vt:i4>
      </vt:variant>
      <vt:variant>
        <vt:i4>2408</vt:i4>
      </vt:variant>
      <vt:variant>
        <vt:i4>0</vt:i4>
      </vt:variant>
      <vt:variant>
        <vt:i4>5</vt:i4>
      </vt:variant>
      <vt:variant>
        <vt:lpwstr>http://dx.doi.org/10.1515/IJAMH.2001.13.4.327</vt:lpwstr>
      </vt:variant>
      <vt:variant>
        <vt:lpwstr/>
      </vt:variant>
      <vt:variant>
        <vt:i4>589906</vt:i4>
      </vt:variant>
      <vt:variant>
        <vt:i4>2405</vt:i4>
      </vt:variant>
      <vt:variant>
        <vt:i4>0</vt:i4>
      </vt:variant>
      <vt:variant>
        <vt:i4>5</vt:i4>
      </vt:variant>
      <vt:variant>
        <vt:lpwstr>https://go.exlibris.link/Nd72G0GN</vt:lpwstr>
      </vt:variant>
      <vt:variant>
        <vt:lpwstr/>
      </vt:variant>
      <vt:variant>
        <vt:i4>7667773</vt:i4>
      </vt:variant>
      <vt:variant>
        <vt:i4>2402</vt:i4>
      </vt:variant>
      <vt:variant>
        <vt:i4>0</vt:i4>
      </vt:variant>
      <vt:variant>
        <vt:i4>5</vt:i4>
      </vt:variant>
      <vt:variant>
        <vt:lpwstr>http://ovidsp.ovid.com/ovidweb.cgi</vt:lpwstr>
      </vt:variant>
      <vt:variant>
        <vt:lpwstr/>
      </vt:variant>
      <vt:variant>
        <vt:i4>4718670</vt:i4>
      </vt:variant>
      <vt:variant>
        <vt:i4>2399</vt:i4>
      </vt:variant>
      <vt:variant>
        <vt:i4>0</vt:i4>
      </vt:variant>
      <vt:variant>
        <vt:i4>5</vt:i4>
      </vt:variant>
      <vt:variant>
        <vt:lpwstr>https://dx.doi.org/10.1111/add.14798</vt:lpwstr>
      </vt:variant>
      <vt:variant>
        <vt:lpwstr/>
      </vt:variant>
      <vt:variant>
        <vt:i4>4194390</vt:i4>
      </vt:variant>
      <vt:variant>
        <vt:i4>2396</vt:i4>
      </vt:variant>
      <vt:variant>
        <vt:i4>0</vt:i4>
      </vt:variant>
      <vt:variant>
        <vt:i4>5</vt:i4>
      </vt:variant>
      <vt:variant>
        <vt:lpwstr>http://dx.doi.org/10.1186/1472-6904-10-6</vt:lpwstr>
      </vt:variant>
      <vt:variant>
        <vt:lpwstr/>
      </vt:variant>
      <vt:variant>
        <vt:i4>4063334</vt:i4>
      </vt:variant>
      <vt:variant>
        <vt:i4>2393</vt:i4>
      </vt:variant>
      <vt:variant>
        <vt:i4>0</vt:i4>
      </vt:variant>
      <vt:variant>
        <vt:i4>5</vt:i4>
      </vt:variant>
      <vt:variant>
        <vt:lpwstr>http://dx.doi.org/10.2217/npy.13.23</vt:lpwstr>
      </vt:variant>
      <vt:variant>
        <vt:lpwstr/>
      </vt:variant>
      <vt:variant>
        <vt:i4>2359328</vt:i4>
      </vt:variant>
      <vt:variant>
        <vt:i4>2390</vt:i4>
      </vt:variant>
      <vt:variant>
        <vt:i4>0</vt:i4>
      </vt:variant>
      <vt:variant>
        <vt:i4>5</vt:i4>
      </vt:variant>
      <vt:variant>
        <vt:lpwstr>http://dx.doi.org/10.1016/j.jad.2020.07.091</vt:lpwstr>
      </vt:variant>
      <vt:variant>
        <vt:lpwstr/>
      </vt:variant>
      <vt:variant>
        <vt:i4>3801198</vt:i4>
      </vt:variant>
      <vt:variant>
        <vt:i4>2387</vt:i4>
      </vt:variant>
      <vt:variant>
        <vt:i4>0</vt:i4>
      </vt:variant>
      <vt:variant>
        <vt:i4>5</vt:i4>
      </vt:variant>
      <vt:variant>
        <vt:lpwstr>http://dx.doi.org/10.1111/apa.13458</vt:lpwstr>
      </vt:variant>
      <vt:variant>
        <vt:lpwstr/>
      </vt:variant>
      <vt:variant>
        <vt:i4>786516</vt:i4>
      </vt:variant>
      <vt:variant>
        <vt:i4>2384</vt:i4>
      </vt:variant>
      <vt:variant>
        <vt:i4>0</vt:i4>
      </vt:variant>
      <vt:variant>
        <vt:i4>5</vt:i4>
      </vt:variant>
      <vt:variant>
        <vt:lpwstr>https://dx.doi.org/10.1093/eurpub/ckab082</vt:lpwstr>
      </vt:variant>
      <vt:variant>
        <vt:lpwstr/>
      </vt:variant>
      <vt:variant>
        <vt:i4>2818166</vt:i4>
      </vt:variant>
      <vt:variant>
        <vt:i4>2381</vt:i4>
      </vt:variant>
      <vt:variant>
        <vt:i4>0</vt:i4>
      </vt:variant>
      <vt:variant>
        <vt:i4>5</vt:i4>
      </vt:variant>
      <vt:variant>
        <vt:lpwstr>http://dx.doi.org/10.1192/bjp.168.1.43</vt:lpwstr>
      </vt:variant>
      <vt:variant>
        <vt:lpwstr/>
      </vt:variant>
      <vt:variant>
        <vt:i4>6291503</vt:i4>
      </vt:variant>
      <vt:variant>
        <vt:i4>2378</vt:i4>
      </vt:variant>
      <vt:variant>
        <vt:i4>0</vt:i4>
      </vt:variant>
      <vt:variant>
        <vt:i4>5</vt:i4>
      </vt:variant>
      <vt:variant>
        <vt:lpwstr>http://dx.doi.org/10.1017/s1481803500015153</vt:lpwstr>
      </vt:variant>
      <vt:variant>
        <vt:lpwstr/>
      </vt:variant>
      <vt:variant>
        <vt:i4>3670069</vt:i4>
      </vt:variant>
      <vt:variant>
        <vt:i4>2375</vt:i4>
      </vt:variant>
      <vt:variant>
        <vt:i4>0</vt:i4>
      </vt:variant>
      <vt:variant>
        <vt:i4>5</vt:i4>
      </vt:variant>
      <vt:variant>
        <vt:lpwstr>http://www.abs.gov.au/statistics/people/population/national-state-and-territory-population</vt:lpwstr>
      </vt:variant>
      <vt:variant>
        <vt:lpwstr/>
      </vt:variant>
      <vt:variant>
        <vt:i4>589833</vt:i4>
      </vt:variant>
      <vt:variant>
        <vt:i4>2372</vt:i4>
      </vt:variant>
      <vt:variant>
        <vt:i4>0</vt:i4>
      </vt:variant>
      <vt:variant>
        <vt:i4>5</vt:i4>
      </vt:variant>
      <vt:variant>
        <vt:lpwstr>http://dx.doi.org/10.1186/cc1475</vt:lpwstr>
      </vt:variant>
      <vt:variant>
        <vt:lpwstr/>
      </vt:variant>
      <vt:variant>
        <vt:i4>4128895</vt:i4>
      </vt:variant>
      <vt:variant>
        <vt:i4>2369</vt:i4>
      </vt:variant>
      <vt:variant>
        <vt:i4>0</vt:i4>
      </vt:variant>
      <vt:variant>
        <vt:i4>5</vt:i4>
      </vt:variant>
      <vt:variant>
        <vt:lpwstr>http://dx.doi.org/10.1371/journal.pmed.1001213</vt:lpwstr>
      </vt:variant>
      <vt:variant>
        <vt:lpwstr/>
      </vt:variant>
      <vt:variant>
        <vt:i4>6881321</vt:i4>
      </vt:variant>
      <vt:variant>
        <vt:i4>2366</vt:i4>
      </vt:variant>
      <vt:variant>
        <vt:i4>0</vt:i4>
      </vt:variant>
      <vt:variant>
        <vt:i4>5</vt:i4>
      </vt:variant>
      <vt:variant>
        <vt:lpwstr>https://dx.doi.org/10.1016/j.genhosppsych.2008.06.012?T=JS&amp;PAGE=reference&amp;D=med6&amp;NEWS=N&amp;AN=15637104</vt:lpwstr>
      </vt:variant>
      <vt:variant>
        <vt:lpwstr/>
      </vt:variant>
      <vt:variant>
        <vt:i4>2818147</vt:i4>
      </vt:variant>
      <vt:variant>
        <vt:i4>2363</vt:i4>
      </vt:variant>
      <vt:variant>
        <vt:i4>0</vt:i4>
      </vt:variant>
      <vt:variant>
        <vt:i4>5</vt:i4>
      </vt:variant>
      <vt:variant>
        <vt:lpwstr>https://www.proquest.com/scholarly-journals/youth-suicide-attempts-social-demographic-profile/docview/57384788/se-2</vt:lpwstr>
      </vt:variant>
      <vt:variant>
        <vt:lpwstr/>
      </vt:variant>
      <vt:variant>
        <vt:i4>2687072</vt:i4>
      </vt:variant>
      <vt:variant>
        <vt:i4>2360</vt:i4>
      </vt:variant>
      <vt:variant>
        <vt:i4>0</vt:i4>
      </vt:variant>
      <vt:variant>
        <vt:i4>5</vt:i4>
      </vt:variant>
      <vt:variant>
        <vt:lpwstr>http://dx.doi.org/10.1136/adc.75.3.194</vt:lpwstr>
      </vt:variant>
      <vt:variant>
        <vt:lpwstr/>
      </vt:variant>
      <vt:variant>
        <vt:i4>2359422</vt:i4>
      </vt:variant>
      <vt:variant>
        <vt:i4>2357</vt:i4>
      </vt:variant>
      <vt:variant>
        <vt:i4>0</vt:i4>
      </vt:variant>
      <vt:variant>
        <vt:i4>5</vt:i4>
      </vt:variant>
      <vt:variant>
        <vt:lpwstr>http://dx.doi.org/10.1093/eurpub/cky031</vt:lpwstr>
      </vt:variant>
      <vt:variant>
        <vt:lpwstr/>
      </vt:variant>
      <vt:variant>
        <vt:i4>7995505</vt:i4>
      </vt:variant>
      <vt:variant>
        <vt:i4>2354</vt:i4>
      </vt:variant>
      <vt:variant>
        <vt:i4>0</vt:i4>
      </vt:variant>
      <vt:variant>
        <vt:i4>5</vt:i4>
      </vt:variant>
      <vt:variant>
        <vt:lpwstr>http://dx.doi.org/10.1080/00365521.2021.1921254</vt:lpwstr>
      </vt:variant>
      <vt:variant>
        <vt:lpwstr/>
      </vt:variant>
      <vt:variant>
        <vt:i4>6357034</vt:i4>
      </vt:variant>
      <vt:variant>
        <vt:i4>2351</vt:i4>
      </vt:variant>
      <vt:variant>
        <vt:i4>0</vt:i4>
      </vt:variant>
      <vt:variant>
        <vt:i4>5</vt:i4>
      </vt:variant>
      <vt:variant>
        <vt:lpwstr>http://dx.doi.org/10.1007/s001270170053</vt:lpwstr>
      </vt:variant>
      <vt:variant>
        <vt:lpwstr/>
      </vt:variant>
      <vt:variant>
        <vt:i4>6291583</vt:i4>
      </vt:variant>
      <vt:variant>
        <vt:i4>2348</vt:i4>
      </vt:variant>
      <vt:variant>
        <vt:i4>0</vt:i4>
      </vt:variant>
      <vt:variant>
        <vt:i4>5</vt:i4>
      </vt:variant>
      <vt:variant>
        <vt:lpwstr>https://dx.doi.org/10.1097/PEC.0000000000002553</vt:lpwstr>
      </vt:variant>
      <vt:variant>
        <vt:lpwstr/>
      </vt:variant>
      <vt:variant>
        <vt:i4>3211381</vt:i4>
      </vt:variant>
      <vt:variant>
        <vt:i4>2345</vt:i4>
      </vt:variant>
      <vt:variant>
        <vt:i4>0</vt:i4>
      </vt:variant>
      <vt:variant>
        <vt:i4>5</vt:i4>
      </vt:variant>
      <vt:variant>
        <vt:lpwstr>http://dx.doi.org/10.1371/journal.pone.0233806</vt:lpwstr>
      </vt:variant>
      <vt:variant>
        <vt:lpwstr/>
      </vt:variant>
      <vt:variant>
        <vt:i4>4128879</vt:i4>
      </vt:variant>
      <vt:variant>
        <vt:i4>2342</vt:i4>
      </vt:variant>
      <vt:variant>
        <vt:i4>0</vt:i4>
      </vt:variant>
      <vt:variant>
        <vt:i4>5</vt:i4>
      </vt:variant>
      <vt:variant>
        <vt:lpwstr>http://dx.doi.org/10.1136/archdischild-2019-epa.220</vt:lpwstr>
      </vt:variant>
      <vt:variant>
        <vt:lpwstr/>
      </vt:variant>
      <vt:variant>
        <vt:i4>2883708</vt:i4>
      </vt:variant>
      <vt:variant>
        <vt:i4>2339</vt:i4>
      </vt:variant>
      <vt:variant>
        <vt:i4>0</vt:i4>
      </vt:variant>
      <vt:variant>
        <vt:i4>5</vt:i4>
      </vt:variant>
      <vt:variant>
        <vt:lpwstr>http://dx.doi.org/10.1136/emermed-2013-202518?T=JS&amp;PAGE=reference&amp;D=emed16&amp;NEWS=N&amp;AN=605612688</vt:lpwstr>
      </vt:variant>
      <vt:variant>
        <vt:lpwstr/>
      </vt:variant>
      <vt:variant>
        <vt:i4>2818080</vt:i4>
      </vt:variant>
      <vt:variant>
        <vt:i4>2336</vt:i4>
      </vt:variant>
      <vt:variant>
        <vt:i4>0</vt:i4>
      </vt:variant>
      <vt:variant>
        <vt:i4>5</vt:i4>
      </vt:variant>
      <vt:variant>
        <vt:lpwstr>http://dx.doi.org/10.1176/appi.ps.202000081</vt:lpwstr>
      </vt:variant>
      <vt:variant>
        <vt:lpwstr/>
      </vt:variant>
      <vt:variant>
        <vt:i4>1179668</vt:i4>
      </vt:variant>
      <vt:variant>
        <vt:i4>2333</vt:i4>
      </vt:variant>
      <vt:variant>
        <vt:i4>0</vt:i4>
      </vt:variant>
      <vt:variant>
        <vt:i4>5</vt:i4>
      </vt:variant>
      <vt:variant>
        <vt:lpwstr>http://dx.doi.org/10.1017/S1041610202008311?T=JS&amp;PAGE=reference&amp;D=med5&amp;NEWS=N&amp;AN=12526726</vt:lpwstr>
      </vt:variant>
      <vt:variant>
        <vt:lpwstr/>
      </vt:variant>
      <vt:variant>
        <vt:i4>3735665</vt:i4>
      </vt:variant>
      <vt:variant>
        <vt:i4>2330</vt:i4>
      </vt:variant>
      <vt:variant>
        <vt:i4>0</vt:i4>
      </vt:variant>
      <vt:variant>
        <vt:i4>5</vt:i4>
      </vt:variant>
      <vt:variant>
        <vt:lpwstr>http://dx.doi.org/10.1371/journal.pone.0216317</vt:lpwstr>
      </vt:variant>
      <vt:variant>
        <vt:lpwstr/>
      </vt:variant>
      <vt:variant>
        <vt:i4>7077933</vt:i4>
      </vt:variant>
      <vt:variant>
        <vt:i4>2327</vt:i4>
      </vt:variant>
      <vt:variant>
        <vt:i4>0</vt:i4>
      </vt:variant>
      <vt:variant>
        <vt:i4>5</vt:i4>
      </vt:variant>
      <vt:variant>
        <vt:lpwstr>http://dx.doi.org/10.1017/s0790966700008405</vt:lpwstr>
      </vt:variant>
      <vt:variant>
        <vt:lpwstr/>
      </vt:variant>
      <vt:variant>
        <vt:i4>2949166</vt:i4>
      </vt:variant>
      <vt:variant>
        <vt:i4>2324</vt:i4>
      </vt:variant>
      <vt:variant>
        <vt:i4>0</vt:i4>
      </vt:variant>
      <vt:variant>
        <vt:i4>5</vt:i4>
      </vt:variant>
      <vt:variant>
        <vt:lpwstr>http://dx.doi.org/10.1111/j.1365-2125.2010.03819.x</vt:lpwstr>
      </vt:variant>
      <vt:variant>
        <vt:lpwstr/>
      </vt:variant>
      <vt:variant>
        <vt:i4>4194326</vt:i4>
      </vt:variant>
      <vt:variant>
        <vt:i4>2321</vt:i4>
      </vt:variant>
      <vt:variant>
        <vt:i4>0</vt:i4>
      </vt:variant>
      <vt:variant>
        <vt:i4>5</vt:i4>
      </vt:variant>
      <vt:variant>
        <vt:lpwstr>http://dx.doi.org/10.1016/j.puhe.2008.12.002</vt:lpwstr>
      </vt:variant>
      <vt:variant>
        <vt:lpwstr/>
      </vt:variant>
      <vt:variant>
        <vt:i4>2490420</vt:i4>
      </vt:variant>
      <vt:variant>
        <vt:i4>2318</vt:i4>
      </vt:variant>
      <vt:variant>
        <vt:i4>0</vt:i4>
      </vt:variant>
      <vt:variant>
        <vt:i4>5</vt:i4>
      </vt:variant>
      <vt:variant>
        <vt:lpwstr>http://dx.doi.org/10.1136/bmj.b2270</vt:lpwstr>
      </vt:variant>
      <vt:variant>
        <vt:lpwstr/>
      </vt:variant>
      <vt:variant>
        <vt:i4>3801201</vt:i4>
      </vt:variant>
      <vt:variant>
        <vt:i4>2315</vt:i4>
      </vt:variant>
      <vt:variant>
        <vt:i4>0</vt:i4>
      </vt:variant>
      <vt:variant>
        <vt:i4>5</vt:i4>
      </vt:variant>
      <vt:variant>
        <vt:lpwstr>http://dx.doi.org/10.1136/bmj.326.7397.1006</vt:lpwstr>
      </vt:variant>
      <vt:variant>
        <vt:lpwstr/>
      </vt:variant>
      <vt:variant>
        <vt:i4>6553718</vt:i4>
      </vt:variant>
      <vt:variant>
        <vt:i4>2312</vt:i4>
      </vt:variant>
      <vt:variant>
        <vt:i4>0</vt:i4>
      </vt:variant>
      <vt:variant>
        <vt:i4>5</vt:i4>
      </vt:variant>
      <vt:variant>
        <vt:lpwstr>http://dx.doi.org/10.1155/2019/3130843</vt:lpwstr>
      </vt:variant>
      <vt:variant>
        <vt:lpwstr/>
      </vt:variant>
      <vt:variant>
        <vt:i4>5636182</vt:i4>
      </vt:variant>
      <vt:variant>
        <vt:i4>2309</vt:i4>
      </vt:variant>
      <vt:variant>
        <vt:i4>0</vt:i4>
      </vt:variant>
      <vt:variant>
        <vt:i4>5</vt:i4>
      </vt:variant>
      <vt:variant>
        <vt:lpwstr>http://www.cjcp.ca/hm/http://ovidsp.ovid.com/ovidweb.cgi</vt:lpwstr>
      </vt:variant>
      <vt:variant>
        <vt:lpwstr/>
      </vt:variant>
      <vt:variant>
        <vt:i4>5111895</vt:i4>
      </vt:variant>
      <vt:variant>
        <vt:i4>2306</vt:i4>
      </vt:variant>
      <vt:variant>
        <vt:i4>0</vt:i4>
      </vt:variant>
      <vt:variant>
        <vt:i4>5</vt:i4>
      </vt:variant>
      <vt:variant>
        <vt:lpwstr>http://dx.doi.org/10.2146/ajhp050227</vt:lpwstr>
      </vt:variant>
      <vt:variant>
        <vt:lpwstr/>
      </vt:variant>
      <vt:variant>
        <vt:i4>7667773</vt:i4>
      </vt:variant>
      <vt:variant>
        <vt:i4>2303</vt:i4>
      </vt:variant>
      <vt:variant>
        <vt:i4>0</vt:i4>
      </vt:variant>
      <vt:variant>
        <vt:i4>5</vt:i4>
      </vt:variant>
      <vt:variant>
        <vt:lpwstr>http://ovidsp.ovid.com/ovidweb.cgi</vt:lpwstr>
      </vt:variant>
      <vt:variant>
        <vt:lpwstr/>
      </vt:variant>
      <vt:variant>
        <vt:i4>3670069</vt:i4>
      </vt:variant>
      <vt:variant>
        <vt:i4>2300</vt:i4>
      </vt:variant>
      <vt:variant>
        <vt:i4>0</vt:i4>
      </vt:variant>
      <vt:variant>
        <vt:i4>5</vt:i4>
      </vt:variant>
      <vt:variant>
        <vt:lpwstr>http://www.abs.gov.au/statistics/people/population/national-state-and-territory-population</vt:lpwstr>
      </vt:variant>
      <vt:variant>
        <vt:lpwstr/>
      </vt:variant>
      <vt:variant>
        <vt:i4>1310731</vt:i4>
      </vt:variant>
      <vt:variant>
        <vt:i4>2297</vt:i4>
      </vt:variant>
      <vt:variant>
        <vt:i4>0</vt:i4>
      </vt:variant>
      <vt:variant>
        <vt:i4>5</vt:i4>
      </vt:variant>
      <vt:variant>
        <vt:lpwstr>http://dx.doi.org/10.1007/s00127-020-01981-y</vt:lpwstr>
      </vt:variant>
      <vt:variant>
        <vt:lpwstr/>
      </vt:variant>
      <vt:variant>
        <vt:i4>2359344</vt:i4>
      </vt:variant>
      <vt:variant>
        <vt:i4>2294</vt:i4>
      </vt:variant>
      <vt:variant>
        <vt:i4>0</vt:i4>
      </vt:variant>
      <vt:variant>
        <vt:i4>5</vt:i4>
      </vt:variant>
      <vt:variant>
        <vt:lpwstr>http://dx.doi.org/10.3402/ijch.v72i0.21687</vt:lpwstr>
      </vt:variant>
      <vt:variant>
        <vt:lpwstr/>
      </vt:variant>
      <vt:variant>
        <vt:i4>5308481</vt:i4>
      </vt:variant>
      <vt:variant>
        <vt:i4>2291</vt:i4>
      </vt:variant>
      <vt:variant>
        <vt:i4>0</vt:i4>
      </vt:variant>
      <vt:variant>
        <vt:i4>5</vt:i4>
      </vt:variant>
      <vt:variant>
        <vt:lpwstr>https://dx.doi.org/10.5694/j.1326-5377.2002.tb04346.x</vt:lpwstr>
      </vt:variant>
      <vt:variant>
        <vt:lpwstr/>
      </vt:variant>
      <vt:variant>
        <vt:i4>8192044</vt:i4>
      </vt:variant>
      <vt:variant>
        <vt:i4>2288</vt:i4>
      </vt:variant>
      <vt:variant>
        <vt:i4>0</vt:i4>
      </vt:variant>
      <vt:variant>
        <vt:i4>5</vt:i4>
      </vt:variant>
      <vt:variant>
        <vt:lpwstr>http://dx.doi.org/10.3399/bjgp18X698897</vt:lpwstr>
      </vt:variant>
      <vt:variant>
        <vt:lpwstr/>
      </vt:variant>
      <vt:variant>
        <vt:i4>6553711</vt:i4>
      </vt:variant>
      <vt:variant>
        <vt:i4>2285</vt:i4>
      </vt:variant>
      <vt:variant>
        <vt:i4>0</vt:i4>
      </vt:variant>
      <vt:variant>
        <vt:i4>5</vt:i4>
      </vt:variant>
      <vt:variant>
        <vt:lpwstr>http://dx.doi.org/10.1177/1403494812474122</vt:lpwstr>
      </vt:variant>
      <vt:variant>
        <vt:lpwstr/>
      </vt:variant>
      <vt:variant>
        <vt:i4>7667773</vt:i4>
      </vt:variant>
      <vt:variant>
        <vt:i4>2282</vt:i4>
      </vt:variant>
      <vt:variant>
        <vt:i4>0</vt:i4>
      </vt:variant>
      <vt:variant>
        <vt:i4>5</vt:i4>
      </vt:variant>
      <vt:variant>
        <vt:lpwstr>http://ovidsp.ovid.com/ovidweb.cgi</vt:lpwstr>
      </vt:variant>
      <vt:variant>
        <vt:lpwstr/>
      </vt:variant>
      <vt:variant>
        <vt:i4>1048599</vt:i4>
      </vt:variant>
      <vt:variant>
        <vt:i4>2279</vt:i4>
      </vt:variant>
      <vt:variant>
        <vt:i4>0</vt:i4>
      </vt:variant>
      <vt:variant>
        <vt:i4>5</vt:i4>
      </vt:variant>
      <vt:variant>
        <vt:lpwstr>http://dx.doi.org/10.3390/ijerph17176159</vt:lpwstr>
      </vt:variant>
      <vt:variant>
        <vt:lpwstr/>
      </vt:variant>
      <vt:variant>
        <vt:i4>4259923</vt:i4>
      </vt:variant>
      <vt:variant>
        <vt:i4>2276</vt:i4>
      </vt:variant>
      <vt:variant>
        <vt:i4>0</vt:i4>
      </vt:variant>
      <vt:variant>
        <vt:i4>5</vt:i4>
      </vt:variant>
      <vt:variant>
        <vt:lpwstr>http://dx.doi.org/10.1001/archpedi.154.4.346</vt:lpwstr>
      </vt:variant>
      <vt:variant>
        <vt:lpwstr/>
      </vt:variant>
      <vt:variant>
        <vt:i4>2687013</vt:i4>
      </vt:variant>
      <vt:variant>
        <vt:i4>2273</vt:i4>
      </vt:variant>
      <vt:variant>
        <vt:i4>0</vt:i4>
      </vt:variant>
      <vt:variant>
        <vt:i4>5</vt:i4>
      </vt:variant>
      <vt:variant>
        <vt:lpwstr>http://dx.doi.org/10.1016/j.jad.2020.02.043</vt:lpwstr>
      </vt:variant>
      <vt:variant>
        <vt:lpwstr/>
      </vt:variant>
      <vt:variant>
        <vt:i4>2949177</vt:i4>
      </vt:variant>
      <vt:variant>
        <vt:i4>2270</vt:i4>
      </vt:variant>
      <vt:variant>
        <vt:i4>0</vt:i4>
      </vt:variant>
      <vt:variant>
        <vt:i4>5</vt:i4>
      </vt:variant>
      <vt:variant>
        <vt:lpwstr>http://dx.doi.org/10.1093/qjmed/hcr135</vt:lpwstr>
      </vt:variant>
      <vt:variant>
        <vt:lpwstr/>
      </vt:variant>
      <vt:variant>
        <vt:i4>2687074</vt:i4>
      </vt:variant>
      <vt:variant>
        <vt:i4>2267</vt:i4>
      </vt:variant>
      <vt:variant>
        <vt:i4>0</vt:i4>
      </vt:variant>
      <vt:variant>
        <vt:i4>5</vt:i4>
      </vt:variant>
      <vt:variant>
        <vt:lpwstr>http://dx.doi.org/10.1002/pds.1191</vt:lpwstr>
      </vt:variant>
      <vt:variant>
        <vt:lpwstr/>
      </vt:variant>
      <vt:variant>
        <vt:i4>327753</vt:i4>
      </vt:variant>
      <vt:variant>
        <vt:i4>2264</vt:i4>
      </vt:variant>
      <vt:variant>
        <vt:i4>0</vt:i4>
      </vt:variant>
      <vt:variant>
        <vt:i4>5</vt:i4>
      </vt:variant>
      <vt:variant>
        <vt:lpwstr>https://mindframe.org.au/suicide/communicating-about-suicide/mindframe-guidelines</vt:lpwstr>
      </vt:variant>
      <vt:variant>
        <vt:lpwstr/>
      </vt:variant>
      <vt:variant>
        <vt:i4>2949225</vt:i4>
      </vt:variant>
      <vt:variant>
        <vt:i4>2261</vt:i4>
      </vt:variant>
      <vt:variant>
        <vt:i4>0</vt:i4>
      </vt:variant>
      <vt:variant>
        <vt:i4>5</vt:i4>
      </vt:variant>
      <vt:variant>
        <vt:lpwstr>http://dx.doi.org/10.1002/pds.3206</vt:lpwstr>
      </vt:variant>
      <vt:variant>
        <vt:lpwstr/>
      </vt:variant>
      <vt:variant>
        <vt:i4>5505107</vt:i4>
      </vt:variant>
      <vt:variant>
        <vt:i4>2258</vt:i4>
      </vt:variant>
      <vt:variant>
        <vt:i4>0</vt:i4>
      </vt:variant>
      <vt:variant>
        <vt:i4>5</vt:i4>
      </vt:variant>
      <vt:variant>
        <vt:lpwstr>http://dx.doi.org/10.1056/NEJM199710163371602</vt:lpwstr>
      </vt:variant>
      <vt:variant>
        <vt:lpwstr/>
      </vt:variant>
      <vt:variant>
        <vt:i4>7667773</vt:i4>
      </vt:variant>
      <vt:variant>
        <vt:i4>2255</vt:i4>
      </vt:variant>
      <vt:variant>
        <vt:i4>0</vt:i4>
      </vt:variant>
      <vt:variant>
        <vt:i4>5</vt:i4>
      </vt:variant>
      <vt:variant>
        <vt:lpwstr>http://ovidsp.ovid.com/ovidweb.cgi</vt:lpwstr>
      </vt:variant>
      <vt:variant>
        <vt:lpwstr/>
      </vt:variant>
      <vt:variant>
        <vt:i4>7143459</vt:i4>
      </vt:variant>
      <vt:variant>
        <vt:i4>2252</vt:i4>
      </vt:variant>
      <vt:variant>
        <vt:i4>0</vt:i4>
      </vt:variant>
      <vt:variant>
        <vt:i4>5</vt:i4>
      </vt:variant>
      <vt:variant>
        <vt:lpwstr>https://www.orygen.org.au/chatsafe</vt:lpwstr>
      </vt:variant>
      <vt:variant>
        <vt:lpwstr/>
      </vt:variant>
      <vt:variant>
        <vt:i4>458818</vt:i4>
      </vt:variant>
      <vt:variant>
        <vt:i4>2249</vt:i4>
      </vt:variant>
      <vt:variant>
        <vt:i4>0</vt:i4>
      </vt:variant>
      <vt:variant>
        <vt:i4>5</vt:i4>
      </vt:variant>
      <vt:variant>
        <vt:lpwstr>http://dx.doi.org/10.5694/mja2.50296</vt:lpwstr>
      </vt:variant>
      <vt:variant>
        <vt:lpwstr/>
      </vt:variant>
      <vt:variant>
        <vt:i4>6946928</vt:i4>
      </vt:variant>
      <vt:variant>
        <vt:i4>2246</vt:i4>
      </vt:variant>
      <vt:variant>
        <vt:i4>0</vt:i4>
      </vt:variant>
      <vt:variant>
        <vt:i4>5</vt:i4>
      </vt:variant>
      <vt:variant>
        <vt:lpwstr>https://dx.doi.org/10.1016/j.amepre.2011.02.026</vt:lpwstr>
      </vt:variant>
      <vt:variant>
        <vt:lpwstr/>
      </vt:variant>
      <vt:variant>
        <vt:i4>1703959</vt:i4>
      </vt:variant>
      <vt:variant>
        <vt:i4>2243</vt:i4>
      </vt:variant>
      <vt:variant>
        <vt:i4>0</vt:i4>
      </vt:variant>
      <vt:variant>
        <vt:i4>5</vt:i4>
      </vt:variant>
      <vt:variant>
        <vt:lpwstr>http://dx.doi.org/10.3390/ijerph181910232</vt:lpwstr>
      </vt:variant>
      <vt:variant>
        <vt:lpwstr/>
      </vt:variant>
      <vt:variant>
        <vt:i4>4128880</vt:i4>
      </vt:variant>
      <vt:variant>
        <vt:i4>2240</vt:i4>
      </vt:variant>
      <vt:variant>
        <vt:i4>0</vt:i4>
      </vt:variant>
      <vt:variant>
        <vt:i4>5</vt:i4>
      </vt:variant>
      <vt:variant>
        <vt:lpwstr>http://dx.doi.org/10.1016/j.jpsychores.2017.08.006</vt:lpwstr>
      </vt:variant>
      <vt:variant>
        <vt:lpwstr/>
      </vt:variant>
      <vt:variant>
        <vt:i4>5439569</vt:i4>
      </vt:variant>
      <vt:variant>
        <vt:i4>2237</vt:i4>
      </vt:variant>
      <vt:variant>
        <vt:i4>0</vt:i4>
      </vt:variant>
      <vt:variant>
        <vt:i4>5</vt:i4>
      </vt:variant>
      <vt:variant>
        <vt:lpwstr>http://dx.doi.org/10.1177/070674370304800406</vt:lpwstr>
      </vt:variant>
      <vt:variant>
        <vt:lpwstr/>
      </vt:variant>
      <vt:variant>
        <vt:i4>3473483</vt:i4>
      </vt:variant>
      <vt:variant>
        <vt:i4>2234</vt:i4>
      </vt:variant>
      <vt:variant>
        <vt:i4>0</vt:i4>
      </vt:variant>
      <vt:variant>
        <vt:i4>5</vt:i4>
      </vt:variant>
      <vt:variant>
        <vt:lpwstr>https://jn8sf5hk5v.search.serialssolutions.com/?ctx_ver=Z39.88-2004&amp;ctx_enc=info:ofi/enc:UTF-8&amp;rfr_id=info:sid/ProQ%3Aassia&amp;rft_val_fmt=info:ofi/fmt:kev:mtx:journal&amp;rft.genre=article&amp;rft.jtitle=Australian+and+New+Zealand+Journal+of+Psychiatry&amp;rft.atitle=Youth+suicide+attempts%3A+a+social+and+demographic+profile&amp;rft.au=Beautrais%2C+A+L%3BJoyce%2C+P+R%3BMulder%2C+R+T&amp;rft.aulast=Beautrais&amp;rft.aufirst=A&amp;rft.date=1998-06-01&amp;rft.volume=32&amp;rft.issue=3&amp;rft.spage=349&amp;rft.isbn=&amp;rft.btitle=&amp;rft.title=Australian+and+New+Zealand+Journal+of+Psychiatry&amp;rft.issn=00048674&amp;rft_id=info:doi/</vt:lpwstr>
      </vt:variant>
      <vt:variant>
        <vt:lpwstr/>
      </vt:variant>
      <vt:variant>
        <vt:i4>5832705</vt:i4>
      </vt:variant>
      <vt:variant>
        <vt:i4>2231</vt:i4>
      </vt:variant>
      <vt:variant>
        <vt:i4>0</vt:i4>
      </vt:variant>
      <vt:variant>
        <vt:i4>5</vt:i4>
      </vt:variant>
      <vt:variant>
        <vt:lpwstr>https://raisingchildren.net.au/babies/safety/poisons/medicines-that-can-poison?accountid=8330</vt:lpwstr>
      </vt:variant>
      <vt:variant>
        <vt:lpwstr/>
      </vt:variant>
      <vt:variant>
        <vt:i4>6094925</vt:i4>
      </vt:variant>
      <vt:variant>
        <vt:i4>2228</vt:i4>
      </vt:variant>
      <vt:variant>
        <vt:i4>0</vt:i4>
      </vt:variant>
      <vt:variant>
        <vt:i4>5</vt:i4>
      </vt:variant>
      <vt:variant>
        <vt:lpwstr>http://dx.doi.org/10.1186/1471-2458-7-143</vt:lpwstr>
      </vt:variant>
      <vt:variant>
        <vt:lpwstr/>
      </vt:variant>
      <vt:variant>
        <vt:i4>4849758</vt:i4>
      </vt:variant>
      <vt:variant>
        <vt:i4>2225</vt:i4>
      </vt:variant>
      <vt:variant>
        <vt:i4>0</vt:i4>
      </vt:variant>
      <vt:variant>
        <vt:i4>5</vt:i4>
      </vt:variant>
      <vt:variant>
        <vt:lpwstr>http://dx.doi.org/10.1111/j.1365-2125.2008.03206.x?T=JS&amp;PAGE=reference&amp;D=emed7&amp;NEWS=N&amp;AN=32776861</vt:lpwstr>
      </vt:variant>
      <vt:variant>
        <vt:lpwstr/>
      </vt:variant>
      <vt:variant>
        <vt:i4>589855</vt:i4>
      </vt:variant>
      <vt:variant>
        <vt:i4>2222</vt:i4>
      </vt:variant>
      <vt:variant>
        <vt:i4>0</vt:i4>
      </vt:variant>
      <vt:variant>
        <vt:i4>5</vt:i4>
      </vt:variant>
      <vt:variant>
        <vt:lpwstr>https://dx.doi.org/10.1007/s00127-008-0349-6</vt:lpwstr>
      </vt:variant>
      <vt:variant>
        <vt:lpwstr/>
      </vt:variant>
      <vt:variant>
        <vt:i4>1441857</vt:i4>
      </vt:variant>
      <vt:variant>
        <vt:i4>2219</vt:i4>
      </vt:variant>
      <vt:variant>
        <vt:i4>0</vt:i4>
      </vt:variant>
      <vt:variant>
        <vt:i4>5</vt:i4>
      </vt:variant>
      <vt:variant>
        <vt:lpwstr>http://ovidsp.ovid.com/ovidweb.cgi?T=JS&amp;PAGE=reference&amp;D=emed5&amp;NEWS=N&amp;AN=24134686</vt:lpwstr>
      </vt:variant>
      <vt:variant>
        <vt:lpwstr/>
      </vt:variant>
      <vt:variant>
        <vt:i4>589915</vt:i4>
      </vt:variant>
      <vt:variant>
        <vt:i4>2216</vt:i4>
      </vt:variant>
      <vt:variant>
        <vt:i4>0</vt:i4>
      </vt:variant>
      <vt:variant>
        <vt:i4>5</vt:i4>
      </vt:variant>
      <vt:variant>
        <vt:lpwstr>http://dx.doi.org/10.1310/hpj4202-126</vt:lpwstr>
      </vt:variant>
      <vt:variant>
        <vt:lpwstr/>
      </vt:variant>
      <vt:variant>
        <vt:i4>262215</vt:i4>
      </vt:variant>
      <vt:variant>
        <vt:i4>2213</vt:i4>
      </vt:variant>
      <vt:variant>
        <vt:i4>0</vt:i4>
      </vt:variant>
      <vt:variant>
        <vt:i4>5</vt:i4>
      </vt:variant>
      <vt:variant>
        <vt:lpwstr>http://dx.doi.org/10.1136/bmj.38253.572581.7C</vt:lpwstr>
      </vt:variant>
      <vt:variant>
        <vt:lpwstr/>
      </vt:variant>
      <vt:variant>
        <vt:i4>7995516</vt:i4>
      </vt:variant>
      <vt:variant>
        <vt:i4>1843</vt:i4>
      </vt:variant>
      <vt:variant>
        <vt:i4>0</vt:i4>
      </vt:variant>
      <vt:variant>
        <vt:i4>5</vt:i4>
      </vt:variant>
      <vt:variant>
        <vt:lpwstr>http://dx.doi.org/10.3109/00365521.2012.703236</vt:lpwstr>
      </vt:variant>
      <vt:variant>
        <vt:lpwstr/>
      </vt:variant>
      <vt:variant>
        <vt:i4>327753</vt:i4>
      </vt:variant>
      <vt:variant>
        <vt:i4>1840</vt:i4>
      </vt:variant>
      <vt:variant>
        <vt:i4>0</vt:i4>
      </vt:variant>
      <vt:variant>
        <vt:i4>5</vt:i4>
      </vt:variant>
      <vt:variant>
        <vt:lpwstr>https://mindframe.org.au/suicide/communicating-about-suicide/mindframe-guidelines</vt:lpwstr>
      </vt:variant>
      <vt:variant>
        <vt:lpwstr/>
      </vt:variant>
      <vt:variant>
        <vt:i4>4194375</vt:i4>
      </vt:variant>
      <vt:variant>
        <vt:i4>1837</vt:i4>
      </vt:variant>
      <vt:variant>
        <vt:i4>0</vt:i4>
      </vt:variant>
      <vt:variant>
        <vt:i4>5</vt:i4>
      </vt:variant>
      <vt:variant>
        <vt:lpwstr>https://www.mentalhealthcommission.gov.au/national-suicide-prevention-office/national-suicide-prevention-adviser-final-advice</vt:lpwstr>
      </vt:variant>
      <vt:variant>
        <vt:lpwstr/>
      </vt:variant>
      <vt:variant>
        <vt:i4>6226014</vt:i4>
      </vt:variant>
      <vt:variant>
        <vt:i4>1180</vt:i4>
      </vt:variant>
      <vt:variant>
        <vt:i4>0</vt:i4>
      </vt:variant>
      <vt:variant>
        <vt:i4>5</vt:i4>
      </vt:variant>
      <vt:variant>
        <vt:lpwstr>https://dx.doi.org/10.24095/hpcdp.40.4.05</vt:lpwstr>
      </vt:variant>
      <vt:variant>
        <vt:lpwstr/>
      </vt:variant>
      <vt:variant>
        <vt:i4>2556007</vt:i4>
      </vt:variant>
      <vt:variant>
        <vt:i4>1168</vt:i4>
      </vt:variant>
      <vt:variant>
        <vt:i4>0</vt:i4>
      </vt:variant>
      <vt:variant>
        <vt:i4>5</vt:i4>
      </vt:variant>
      <vt:variant>
        <vt:lpwstr>http://dx.doi.org/10.1002/pds.4997</vt:lpwstr>
      </vt:variant>
      <vt:variant>
        <vt:lpwstr/>
      </vt:variant>
      <vt:variant>
        <vt:i4>1769521</vt:i4>
      </vt:variant>
      <vt:variant>
        <vt:i4>914</vt:i4>
      </vt:variant>
      <vt:variant>
        <vt:i4>0</vt:i4>
      </vt:variant>
      <vt:variant>
        <vt:i4>5</vt:i4>
      </vt:variant>
      <vt:variant>
        <vt:lpwstr/>
      </vt:variant>
      <vt:variant>
        <vt:lpwstr>_Toc112429003</vt:lpwstr>
      </vt:variant>
      <vt:variant>
        <vt:i4>1769521</vt:i4>
      </vt:variant>
      <vt:variant>
        <vt:i4>908</vt:i4>
      </vt:variant>
      <vt:variant>
        <vt:i4>0</vt:i4>
      </vt:variant>
      <vt:variant>
        <vt:i4>5</vt:i4>
      </vt:variant>
      <vt:variant>
        <vt:lpwstr/>
      </vt:variant>
      <vt:variant>
        <vt:lpwstr>_Toc112429002</vt:lpwstr>
      </vt:variant>
      <vt:variant>
        <vt:i4>1769521</vt:i4>
      </vt:variant>
      <vt:variant>
        <vt:i4>902</vt:i4>
      </vt:variant>
      <vt:variant>
        <vt:i4>0</vt:i4>
      </vt:variant>
      <vt:variant>
        <vt:i4>5</vt:i4>
      </vt:variant>
      <vt:variant>
        <vt:lpwstr/>
      </vt:variant>
      <vt:variant>
        <vt:lpwstr>_Toc112429001</vt:lpwstr>
      </vt:variant>
      <vt:variant>
        <vt:i4>1769521</vt:i4>
      </vt:variant>
      <vt:variant>
        <vt:i4>896</vt:i4>
      </vt:variant>
      <vt:variant>
        <vt:i4>0</vt:i4>
      </vt:variant>
      <vt:variant>
        <vt:i4>5</vt:i4>
      </vt:variant>
      <vt:variant>
        <vt:lpwstr/>
      </vt:variant>
      <vt:variant>
        <vt:lpwstr>_Toc112429000</vt:lpwstr>
      </vt:variant>
      <vt:variant>
        <vt:i4>1245240</vt:i4>
      </vt:variant>
      <vt:variant>
        <vt:i4>890</vt:i4>
      </vt:variant>
      <vt:variant>
        <vt:i4>0</vt:i4>
      </vt:variant>
      <vt:variant>
        <vt:i4>5</vt:i4>
      </vt:variant>
      <vt:variant>
        <vt:lpwstr/>
      </vt:variant>
      <vt:variant>
        <vt:lpwstr>_Toc112428999</vt:lpwstr>
      </vt:variant>
      <vt:variant>
        <vt:i4>1245240</vt:i4>
      </vt:variant>
      <vt:variant>
        <vt:i4>884</vt:i4>
      </vt:variant>
      <vt:variant>
        <vt:i4>0</vt:i4>
      </vt:variant>
      <vt:variant>
        <vt:i4>5</vt:i4>
      </vt:variant>
      <vt:variant>
        <vt:lpwstr/>
      </vt:variant>
      <vt:variant>
        <vt:lpwstr>_Toc112428998</vt:lpwstr>
      </vt:variant>
      <vt:variant>
        <vt:i4>1245240</vt:i4>
      </vt:variant>
      <vt:variant>
        <vt:i4>878</vt:i4>
      </vt:variant>
      <vt:variant>
        <vt:i4>0</vt:i4>
      </vt:variant>
      <vt:variant>
        <vt:i4>5</vt:i4>
      </vt:variant>
      <vt:variant>
        <vt:lpwstr/>
      </vt:variant>
      <vt:variant>
        <vt:lpwstr>_Toc112428997</vt:lpwstr>
      </vt:variant>
      <vt:variant>
        <vt:i4>1245240</vt:i4>
      </vt:variant>
      <vt:variant>
        <vt:i4>872</vt:i4>
      </vt:variant>
      <vt:variant>
        <vt:i4>0</vt:i4>
      </vt:variant>
      <vt:variant>
        <vt:i4>5</vt:i4>
      </vt:variant>
      <vt:variant>
        <vt:lpwstr/>
      </vt:variant>
      <vt:variant>
        <vt:lpwstr>_Toc112428996</vt:lpwstr>
      </vt:variant>
      <vt:variant>
        <vt:i4>1245240</vt:i4>
      </vt:variant>
      <vt:variant>
        <vt:i4>866</vt:i4>
      </vt:variant>
      <vt:variant>
        <vt:i4>0</vt:i4>
      </vt:variant>
      <vt:variant>
        <vt:i4>5</vt:i4>
      </vt:variant>
      <vt:variant>
        <vt:lpwstr/>
      </vt:variant>
      <vt:variant>
        <vt:lpwstr>_Toc112428995</vt:lpwstr>
      </vt:variant>
      <vt:variant>
        <vt:i4>1245240</vt:i4>
      </vt:variant>
      <vt:variant>
        <vt:i4>860</vt:i4>
      </vt:variant>
      <vt:variant>
        <vt:i4>0</vt:i4>
      </vt:variant>
      <vt:variant>
        <vt:i4>5</vt:i4>
      </vt:variant>
      <vt:variant>
        <vt:lpwstr/>
      </vt:variant>
      <vt:variant>
        <vt:lpwstr>_Toc112428994</vt:lpwstr>
      </vt:variant>
      <vt:variant>
        <vt:i4>1245240</vt:i4>
      </vt:variant>
      <vt:variant>
        <vt:i4>854</vt:i4>
      </vt:variant>
      <vt:variant>
        <vt:i4>0</vt:i4>
      </vt:variant>
      <vt:variant>
        <vt:i4>5</vt:i4>
      </vt:variant>
      <vt:variant>
        <vt:lpwstr/>
      </vt:variant>
      <vt:variant>
        <vt:lpwstr>_Toc112428993</vt:lpwstr>
      </vt:variant>
      <vt:variant>
        <vt:i4>1245240</vt:i4>
      </vt:variant>
      <vt:variant>
        <vt:i4>848</vt:i4>
      </vt:variant>
      <vt:variant>
        <vt:i4>0</vt:i4>
      </vt:variant>
      <vt:variant>
        <vt:i4>5</vt:i4>
      </vt:variant>
      <vt:variant>
        <vt:lpwstr/>
      </vt:variant>
      <vt:variant>
        <vt:lpwstr>_Toc112428992</vt:lpwstr>
      </vt:variant>
      <vt:variant>
        <vt:i4>1245240</vt:i4>
      </vt:variant>
      <vt:variant>
        <vt:i4>842</vt:i4>
      </vt:variant>
      <vt:variant>
        <vt:i4>0</vt:i4>
      </vt:variant>
      <vt:variant>
        <vt:i4>5</vt:i4>
      </vt:variant>
      <vt:variant>
        <vt:lpwstr/>
      </vt:variant>
      <vt:variant>
        <vt:lpwstr>_Toc112428991</vt:lpwstr>
      </vt:variant>
      <vt:variant>
        <vt:i4>1245240</vt:i4>
      </vt:variant>
      <vt:variant>
        <vt:i4>836</vt:i4>
      </vt:variant>
      <vt:variant>
        <vt:i4>0</vt:i4>
      </vt:variant>
      <vt:variant>
        <vt:i4>5</vt:i4>
      </vt:variant>
      <vt:variant>
        <vt:lpwstr/>
      </vt:variant>
      <vt:variant>
        <vt:lpwstr>_Toc112428990</vt:lpwstr>
      </vt:variant>
      <vt:variant>
        <vt:i4>1179704</vt:i4>
      </vt:variant>
      <vt:variant>
        <vt:i4>830</vt:i4>
      </vt:variant>
      <vt:variant>
        <vt:i4>0</vt:i4>
      </vt:variant>
      <vt:variant>
        <vt:i4>5</vt:i4>
      </vt:variant>
      <vt:variant>
        <vt:lpwstr/>
      </vt:variant>
      <vt:variant>
        <vt:lpwstr>_Toc112428989</vt:lpwstr>
      </vt:variant>
      <vt:variant>
        <vt:i4>1179704</vt:i4>
      </vt:variant>
      <vt:variant>
        <vt:i4>824</vt:i4>
      </vt:variant>
      <vt:variant>
        <vt:i4>0</vt:i4>
      </vt:variant>
      <vt:variant>
        <vt:i4>5</vt:i4>
      </vt:variant>
      <vt:variant>
        <vt:lpwstr/>
      </vt:variant>
      <vt:variant>
        <vt:lpwstr>_Toc112428988</vt:lpwstr>
      </vt:variant>
      <vt:variant>
        <vt:i4>1179704</vt:i4>
      </vt:variant>
      <vt:variant>
        <vt:i4>818</vt:i4>
      </vt:variant>
      <vt:variant>
        <vt:i4>0</vt:i4>
      </vt:variant>
      <vt:variant>
        <vt:i4>5</vt:i4>
      </vt:variant>
      <vt:variant>
        <vt:lpwstr/>
      </vt:variant>
      <vt:variant>
        <vt:lpwstr>_Toc112428987</vt:lpwstr>
      </vt:variant>
      <vt:variant>
        <vt:i4>1179704</vt:i4>
      </vt:variant>
      <vt:variant>
        <vt:i4>812</vt:i4>
      </vt:variant>
      <vt:variant>
        <vt:i4>0</vt:i4>
      </vt:variant>
      <vt:variant>
        <vt:i4>5</vt:i4>
      </vt:variant>
      <vt:variant>
        <vt:lpwstr/>
      </vt:variant>
      <vt:variant>
        <vt:lpwstr>_Toc112428986</vt:lpwstr>
      </vt:variant>
      <vt:variant>
        <vt:i4>1179704</vt:i4>
      </vt:variant>
      <vt:variant>
        <vt:i4>806</vt:i4>
      </vt:variant>
      <vt:variant>
        <vt:i4>0</vt:i4>
      </vt:variant>
      <vt:variant>
        <vt:i4>5</vt:i4>
      </vt:variant>
      <vt:variant>
        <vt:lpwstr/>
      </vt:variant>
      <vt:variant>
        <vt:lpwstr>_Toc112428985</vt:lpwstr>
      </vt:variant>
      <vt:variant>
        <vt:i4>1179704</vt:i4>
      </vt:variant>
      <vt:variant>
        <vt:i4>800</vt:i4>
      </vt:variant>
      <vt:variant>
        <vt:i4>0</vt:i4>
      </vt:variant>
      <vt:variant>
        <vt:i4>5</vt:i4>
      </vt:variant>
      <vt:variant>
        <vt:lpwstr/>
      </vt:variant>
      <vt:variant>
        <vt:lpwstr>_Toc112428984</vt:lpwstr>
      </vt:variant>
      <vt:variant>
        <vt:i4>1179704</vt:i4>
      </vt:variant>
      <vt:variant>
        <vt:i4>794</vt:i4>
      </vt:variant>
      <vt:variant>
        <vt:i4>0</vt:i4>
      </vt:variant>
      <vt:variant>
        <vt:i4>5</vt:i4>
      </vt:variant>
      <vt:variant>
        <vt:lpwstr/>
      </vt:variant>
      <vt:variant>
        <vt:lpwstr>_Toc112428983</vt:lpwstr>
      </vt:variant>
      <vt:variant>
        <vt:i4>1179704</vt:i4>
      </vt:variant>
      <vt:variant>
        <vt:i4>788</vt:i4>
      </vt:variant>
      <vt:variant>
        <vt:i4>0</vt:i4>
      </vt:variant>
      <vt:variant>
        <vt:i4>5</vt:i4>
      </vt:variant>
      <vt:variant>
        <vt:lpwstr/>
      </vt:variant>
      <vt:variant>
        <vt:lpwstr>_Toc112428982</vt:lpwstr>
      </vt:variant>
      <vt:variant>
        <vt:i4>1179704</vt:i4>
      </vt:variant>
      <vt:variant>
        <vt:i4>782</vt:i4>
      </vt:variant>
      <vt:variant>
        <vt:i4>0</vt:i4>
      </vt:variant>
      <vt:variant>
        <vt:i4>5</vt:i4>
      </vt:variant>
      <vt:variant>
        <vt:lpwstr/>
      </vt:variant>
      <vt:variant>
        <vt:lpwstr>_Toc112428981</vt:lpwstr>
      </vt:variant>
      <vt:variant>
        <vt:i4>1179704</vt:i4>
      </vt:variant>
      <vt:variant>
        <vt:i4>776</vt:i4>
      </vt:variant>
      <vt:variant>
        <vt:i4>0</vt:i4>
      </vt:variant>
      <vt:variant>
        <vt:i4>5</vt:i4>
      </vt:variant>
      <vt:variant>
        <vt:lpwstr/>
      </vt:variant>
      <vt:variant>
        <vt:lpwstr>_Toc112428980</vt:lpwstr>
      </vt:variant>
      <vt:variant>
        <vt:i4>1900600</vt:i4>
      </vt:variant>
      <vt:variant>
        <vt:i4>770</vt:i4>
      </vt:variant>
      <vt:variant>
        <vt:i4>0</vt:i4>
      </vt:variant>
      <vt:variant>
        <vt:i4>5</vt:i4>
      </vt:variant>
      <vt:variant>
        <vt:lpwstr/>
      </vt:variant>
      <vt:variant>
        <vt:lpwstr>_Toc112428979</vt:lpwstr>
      </vt:variant>
      <vt:variant>
        <vt:i4>1900600</vt:i4>
      </vt:variant>
      <vt:variant>
        <vt:i4>764</vt:i4>
      </vt:variant>
      <vt:variant>
        <vt:i4>0</vt:i4>
      </vt:variant>
      <vt:variant>
        <vt:i4>5</vt:i4>
      </vt:variant>
      <vt:variant>
        <vt:lpwstr/>
      </vt:variant>
      <vt:variant>
        <vt:lpwstr>_Toc112428978</vt:lpwstr>
      </vt:variant>
      <vt:variant>
        <vt:i4>1900600</vt:i4>
      </vt:variant>
      <vt:variant>
        <vt:i4>758</vt:i4>
      </vt:variant>
      <vt:variant>
        <vt:i4>0</vt:i4>
      </vt:variant>
      <vt:variant>
        <vt:i4>5</vt:i4>
      </vt:variant>
      <vt:variant>
        <vt:lpwstr/>
      </vt:variant>
      <vt:variant>
        <vt:lpwstr>_Toc112428977</vt:lpwstr>
      </vt:variant>
      <vt:variant>
        <vt:i4>1900600</vt:i4>
      </vt:variant>
      <vt:variant>
        <vt:i4>752</vt:i4>
      </vt:variant>
      <vt:variant>
        <vt:i4>0</vt:i4>
      </vt:variant>
      <vt:variant>
        <vt:i4>5</vt:i4>
      </vt:variant>
      <vt:variant>
        <vt:lpwstr/>
      </vt:variant>
      <vt:variant>
        <vt:lpwstr>_Toc112428976</vt:lpwstr>
      </vt:variant>
      <vt:variant>
        <vt:i4>1900600</vt:i4>
      </vt:variant>
      <vt:variant>
        <vt:i4>746</vt:i4>
      </vt:variant>
      <vt:variant>
        <vt:i4>0</vt:i4>
      </vt:variant>
      <vt:variant>
        <vt:i4>5</vt:i4>
      </vt:variant>
      <vt:variant>
        <vt:lpwstr/>
      </vt:variant>
      <vt:variant>
        <vt:lpwstr>_Toc112428975</vt:lpwstr>
      </vt:variant>
      <vt:variant>
        <vt:i4>1900600</vt:i4>
      </vt:variant>
      <vt:variant>
        <vt:i4>740</vt:i4>
      </vt:variant>
      <vt:variant>
        <vt:i4>0</vt:i4>
      </vt:variant>
      <vt:variant>
        <vt:i4>5</vt:i4>
      </vt:variant>
      <vt:variant>
        <vt:lpwstr/>
      </vt:variant>
      <vt:variant>
        <vt:lpwstr>_Toc112428974</vt:lpwstr>
      </vt:variant>
      <vt:variant>
        <vt:i4>1900600</vt:i4>
      </vt:variant>
      <vt:variant>
        <vt:i4>734</vt:i4>
      </vt:variant>
      <vt:variant>
        <vt:i4>0</vt:i4>
      </vt:variant>
      <vt:variant>
        <vt:i4>5</vt:i4>
      </vt:variant>
      <vt:variant>
        <vt:lpwstr/>
      </vt:variant>
      <vt:variant>
        <vt:lpwstr>_Toc112428973</vt:lpwstr>
      </vt:variant>
      <vt:variant>
        <vt:i4>1900600</vt:i4>
      </vt:variant>
      <vt:variant>
        <vt:i4>728</vt:i4>
      </vt:variant>
      <vt:variant>
        <vt:i4>0</vt:i4>
      </vt:variant>
      <vt:variant>
        <vt:i4>5</vt:i4>
      </vt:variant>
      <vt:variant>
        <vt:lpwstr/>
      </vt:variant>
      <vt:variant>
        <vt:lpwstr>_Toc112428972</vt:lpwstr>
      </vt:variant>
      <vt:variant>
        <vt:i4>1900600</vt:i4>
      </vt:variant>
      <vt:variant>
        <vt:i4>722</vt:i4>
      </vt:variant>
      <vt:variant>
        <vt:i4>0</vt:i4>
      </vt:variant>
      <vt:variant>
        <vt:i4>5</vt:i4>
      </vt:variant>
      <vt:variant>
        <vt:lpwstr/>
      </vt:variant>
      <vt:variant>
        <vt:lpwstr>_Toc112428971</vt:lpwstr>
      </vt:variant>
      <vt:variant>
        <vt:i4>1572912</vt:i4>
      </vt:variant>
      <vt:variant>
        <vt:i4>713</vt:i4>
      </vt:variant>
      <vt:variant>
        <vt:i4>0</vt:i4>
      </vt:variant>
      <vt:variant>
        <vt:i4>5</vt:i4>
      </vt:variant>
      <vt:variant>
        <vt:lpwstr/>
      </vt:variant>
      <vt:variant>
        <vt:lpwstr>_Toc112429131</vt:lpwstr>
      </vt:variant>
      <vt:variant>
        <vt:i4>1572912</vt:i4>
      </vt:variant>
      <vt:variant>
        <vt:i4>707</vt:i4>
      </vt:variant>
      <vt:variant>
        <vt:i4>0</vt:i4>
      </vt:variant>
      <vt:variant>
        <vt:i4>5</vt:i4>
      </vt:variant>
      <vt:variant>
        <vt:lpwstr/>
      </vt:variant>
      <vt:variant>
        <vt:lpwstr>_Toc112429130</vt:lpwstr>
      </vt:variant>
      <vt:variant>
        <vt:i4>1638448</vt:i4>
      </vt:variant>
      <vt:variant>
        <vt:i4>701</vt:i4>
      </vt:variant>
      <vt:variant>
        <vt:i4>0</vt:i4>
      </vt:variant>
      <vt:variant>
        <vt:i4>5</vt:i4>
      </vt:variant>
      <vt:variant>
        <vt:lpwstr/>
      </vt:variant>
      <vt:variant>
        <vt:lpwstr>_Toc112429129</vt:lpwstr>
      </vt:variant>
      <vt:variant>
        <vt:i4>1638448</vt:i4>
      </vt:variant>
      <vt:variant>
        <vt:i4>695</vt:i4>
      </vt:variant>
      <vt:variant>
        <vt:i4>0</vt:i4>
      </vt:variant>
      <vt:variant>
        <vt:i4>5</vt:i4>
      </vt:variant>
      <vt:variant>
        <vt:lpwstr/>
      </vt:variant>
      <vt:variant>
        <vt:lpwstr>_Toc112429128</vt:lpwstr>
      </vt:variant>
      <vt:variant>
        <vt:i4>1638448</vt:i4>
      </vt:variant>
      <vt:variant>
        <vt:i4>689</vt:i4>
      </vt:variant>
      <vt:variant>
        <vt:i4>0</vt:i4>
      </vt:variant>
      <vt:variant>
        <vt:i4>5</vt:i4>
      </vt:variant>
      <vt:variant>
        <vt:lpwstr/>
      </vt:variant>
      <vt:variant>
        <vt:lpwstr>_Toc112429127</vt:lpwstr>
      </vt:variant>
      <vt:variant>
        <vt:i4>1638448</vt:i4>
      </vt:variant>
      <vt:variant>
        <vt:i4>683</vt:i4>
      </vt:variant>
      <vt:variant>
        <vt:i4>0</vt:i4>
      </vt:variant>
      <vt:variant>
        <vt:i4>5</vt:i4>
      </vt:variant>
      <vt:variant>
        <vt:lpwstr/>
      </vt:variant>
      <vt:variant>
        <vt:lpwstr>_Toc112429126</vt:lpwstr>
      </vt:variant>
      <vt:variant>
        <vt:i4>1638448</vt:i4>
      </vt:variant>
      <vt:variant>
        <vt:i4>677</vt:i4>
      </vt:variant>
      <vt:variant>
        <vt:i4>0</vt:i4>
      </vt:variant>
      <vt:variant>
        <vt:i4>5</vt:i4>
      </vt:variant>
      <vt:variant>
        <vt:lpwstr/>
      </vt:variant>
      <vt:variant>
        <vt:lpwstr>_Toc112429125</vt:lpwstr>
      </vt:variant>
      <vt:variant>
        <vt:i4>1638448</vt:i4>
      </vt:variant>
      <vt:variant>
        <vt:i4>671</vt:i4>
      </vt:variant>
      <vt:variant>
        <vt:i4>0</vt:i4>
      </vt:variant>
      <vt:variant>
        <vt:i4>5</vt:i4>
      </vt:variant>
      <vt:variant>
        <vt:lpwstr/>
      </vt:variant>
      <vt:variant>
        <vt:lpwstr>_Toc112429124</vt:lpwstr>
      </vt:variant>
      <vt:variant>
        <vt:i4>1638448</vt:i4>
      </vt:variant>
      <vt:variant>
        <vt:i4>665</vt:i4>
      </vt:variant>
      <vt:variant>
        <vt:i4>0</vt:i4>
      </vt:variant>
      <vt:variant>
        <vt:i4>5</vt:i4>
      </vt:variant>
      <vt:variant>
        <vt:lpwstr/>
      </vt:variant>
      <vt:variant>
        <vt:lpwstr>_Toc112429123</vt:lpwstr>
      </vt:variant>
      <vt:variant>
        <vt:i4>1638448</vt:i4>
      </vt:variant>
      <vt:variant>
        <vt:i4>659</vt:i4>
      </vt:variant>
      <vt:variant>
        <vt:i4>0</vt:i4>
      </vt:variant>
      <vt:variant>
        <vt:i4>5</vt:i4>
      </vt:variant>
      <vt:variant>
        <vt:lpwstr/>
      </vt:variant>
      <vt:variant>
        <vt:lpwstr>_Toc112429122</vt:lpwstr>
      </vt:variant>
      <vt:variant>
        <vt:i4>1638448</vt:i4>
      </vt:variant>
      <vt:variant>
        <vt:i4>653</vt:i4>
      </vt:variant>
      <vt:variant>
        <vt:i4>0</vt:i4>
      </vt:variant>
      <vt:variant>
        <vt:i4>5</vt:i4>
      </vt:variant>
      <vt:variant>
        <vt:lpwstr/>
      </vt:variant>
      <vt:variant>
        <vt:lpwstr>_Toc112429121</vt:lpwstr>
      </vt:variant>
      <vt:variant>
        <vt:i4>1638448</vt:i4>
      </vt:variant>
      <vt:variant>
        <vt:i4>647</vt:i4>
      </vt:variant>
      <vt:variant>
        <vt:i4>0</vt:i4>
      </vt:variant>
      <vt:variant>
        <vt:i4>5</vt:i4>
      </vt:variant>
      <vt:variant>
        <vt:lpwstr/>
      </vt:variant>
      <vt:variant>
        <vt:lpwstr>_Toc112429120</vt:lpwstr>
      </vt:variant>
      <vt:variant>
        <vt:i4>1703984</vt:i4>
      </vt:variant>
      <vt:variant>
        <vt:i4>641</vt:i4>
      </vt:variant>
      <vt:variant>
        <vt:i4>0</vt:i4>
      </vt:variant>
      <vt:variant>
        <vt:i4>5</vt:i4>
      </vt:variant>
      <vt:variant>
        <vt:lpwstr/>
      </vt:variant>
      <vt:variant>
        <vt:lpwstr>_Toc112429119</vt:lpwstr>
      </vt:variant>
      <vt:variant>
        <vt:i4>1703984</vt:i4>
      </vt:variant>
      <vt:variant>
        <vt:i4>635</vt:i4>
      </vt:variant>
      <vt:variant>
        <vt:i4>0</vt:i4>
      </vt:variant>
      <vt:variant>
        <vt:i4>5</vt:i4>
      </vt:variant>
      <vt:variant>
        <vt:lpwstr/>
      </vt:variant>
      <vt:variant>
        <vt:lpwstr>_Toc112429118</vt:lpwstr>
      </vt:variant>
      <vt:variant>
        <vt:i4>1703984</vt:i4>
      </vt:variant>
      <vt:variant>
        <vt:i4>629</vt:i4>
      </vt:variant>
      <vt:variant>
        <vt:i4>0</vt:i4>
      </vt:variant>
      <vt:variant>
        <vt:i4>5</vt:i4>
      </vt:variant>
      <vt:variant>
        <vt:lpwstr/>
      </vt:variant>
      <vt:variant>
        <vt:lpwstr>_Toc112429117</vt:lpwstr>
      </vt:variant>
      <vt:variant>
        <vt:i4>1703984</vt:i4>
      </vt:variant>
      <vt:variant>
        <vt:i4>623</vt:i4>
      </vt:variant>
      <vt:variant>
        <vt:i4>0</vt:i4>
      </vt:variant>
      <vt:variant>
        <vt:i4>5</vt:i4>
      </vt:variant>
      <vt:variant>
        <vt:lpwstr/>
      </vt:variant>
      <vt:variant>
        <vt:lpwstr>_Toc112429116</vt:lpwstr>
      </vt:variant>
      <vt:variant>
        <vt:i4>1703984</vt:i4>
      </vt:variant>
      <vt:variant>
        <vt:i4>617</vt:i4>
      </vt:variant>
      <vt:variant>
        <vt:i4>0</vt:i4>
      </vt:variant>
      <vt:variant>
        <vt:i4>5</vt:i4>
      </vt:variant>
      <vt:variant>
        <vt:lpwstr/>
      </vt:variant>
      <vt:variant>
        <vt:lpwstr>_Toc112429115</vt:lpwstr>
      </vt:variant>
      <vt:variant>
        <vt:i4>1703984</vt:i4>
      </vt:variant>
      <vt:variant>
        <vt:i4>611</vt:i4>
      </vt:variant>
      <vt:variant>
        <vt:i4>0</vt:i4>
      </vt:variant>
      <vt:variant>
        <vt:i4>5</vt:i4>
      </vt:variant>
      <vt:variant>
        <vt:lpwstr/>
      </vt:variant>
      <vt:variant>
        <vt:lpwstr>_Toc112429114</vt:lpwstr>
      </vt:variant>
      <vt:variant>
        <vt:i4>1703984</vt:i4>
      </vt:variant>
      <vt:variant>
        <vt:i4>605</vt:i4>
      </vt:variant>
      <vt:variant>
        <vt:i4>0</vt:i4>
      </vt:variant>
      <vt:variant>
        <vt:i4>5</vt:i4>
      </vt:variant>
      <vt:variant>
        <vt:lpwstr/>
      </vt:variant>
      <vt:variant>
        <vt:lpwstr>_Toc112429113</vt:lpwstr>
      </vt:variant>
      <vt:variant>
        <vt:i4>1703984</vt:i4>
      </vt:variant>
      <vt:variant>
        <vt:i4>599</vt:i4>
      </vt:variant>
      <vt:variant>
        <vt:i4>0</vt:i4>
      </vt:variant>
      <vt:variant>
        <vt:i4>5</vt:i4>
      </vt:variant>
      <vt:variant>
        <vt:lpwstr/>
      </vt:variant>
      <vt:variant>
        <vt:lpwstr>_Toc112429112</vt:lpwstr>
      </vt:variant>
      <vt:variant>
        <vt:i4>1703984</vt:i4>
      </vt:variant>
      <vt:variant>
        <vt:i4>593</vt:i4>
      </vt:variant>
      <vt:variant>
        <vt:i4>0</vt:i4>
      </vt:variant>
      <vt:variant>
        <vt:i4>5</vt:i4>
      </vt:variant>
      <vt:variant>
        <vt:lpwstr/>
      </vt:variant>
      <vt:variant>
        <vt:lpwstr>_Toc112429111</vt:lpwstr>
      </vt:variant>
      <vt:variant>
        <vt:i4>1703984</vt:i4>
      </vt:variant>
      <vt:variant>
        <vt:i4>587</vt:i4>
      </vt:variant>
      <vt:variant>
        <vt:i4>0</vt:i4>
      </vt:variant>
      <vt:variant>
        <vt:i4>5</vt:i4>
      </vt:variant>
      <vt:variant>
        <vt:lpwstr/>
      </vt:variant>
      <vt:variant>
        <vt:lpwstr>_Toc112429110</vt:lpwstr>
      </vt:variant>
      <vt:variant>
        <vt:i4>1769520</vt:i4>
      </vt:variant>
      <vt:variant>
        <vt:i4>581</vt:i4>
      </vt:variant>
      <vt:variant>
        <vt:i4>0</vt:i4>
      </vt:variant>
      <vt:variant>
        <vt:i4>5</vt:i4>
      </vt:variant>
      <vt:variant>
        <vt:lpwstr/>
      </vt:variant>
      <vt:variant>
        <vt:lpwstr>_Toc112429109</vt:lpwstr>
      </vt:variant>
      <vt:variant>
        <vt:i4>1769520</vt:i4>
      </vt:variant>
      <vt:variant>
        <vt:i4>575</vt:i4>
      </vt:variant>
      <vt:variant>
        <vt:i4>0</vt:i4>
      </vt:variant>
      <vt:variant>
        <vt:i4>5</vt:i4>
      </vt:variant>
      <vt:variant>
        <vt:lpwstr/>
      </vt:variant>
      <vt:variant>
        <vt:lpwstr>_Toc112429108</vt:lpwstr>
      </vt:variant>
      <vt:variant>
        <vt:i4>1769520</vt:i4>
      </vt:variant>
      <vt:variant>
        <vt:i4>569</vt:i4>
      </vt:variant>
      <vt:variant>
        <vt:i4>0</vt:i4>
      </vt:variant>
      <vt:variant>
        <vt:i4>5</vt:i4>
      </vt:variant>
      <vt:variant>
        <vt:lpwstr/>
      </vt:variant>
      <vt:variant>
        <vt:lpwstr>_Toc112429107</vt:lpwstr>
      </vt:variant>
      <vt:variant>
        <vt:i4>1769520</vt:i4>
      </vt:variant>
      <vt:variant>
        <vt:i4>563</vt:i4>
      </vt:variant>
      <vt:variant>
        <vt:i4>0</vt:i4>
      </vt:variant>
      <vt:variant>
        <vt:i4>5</vt:i4>
      </vt:variant>
      <vt:variant>
        <vt:lpwstr/>
      </vt:variant>
      <vt:variant>
        <vt:lpwstr>_Toc112429106</vt:lpwstr>
      </vt:variant>
      <vt:variant>
        <vt:i4>1769520</vt:i4>
      </vt:variant>
      <vt:variant>
        <vt:i4>557</vt:i4>
      </vt:variant>
      <vt:variant>
        <vt:i4>0</vt:i4>
      </vt:variant>
      <vt:variant>
        <vt:i4>5</vt:i4>
      </vt:variant>
      <vt:variant>
        <vt:lpwstr/>
      </vt:variant>
      <vt:variant>
        <vt:lpwstr>_Toc112429105</vt:lpwstr>
      </vt:variant>
      <vt:variant>
        <vt:i4>1769520</vt:i4>
      </vt:variant>
      <vt:variant>
        <vt:i4>551</vt:i4>
      </vt:variant>
      <vt:variant>
        <vt:i4>0</vt:i4>
      </vt:variant>
      <vt:variant>
        <vt:i4>5</vt:i4>
      </vt:variant>
      <vt:variant>
        <vt:lpwstr/>
      </vt:variant>
      <vt:variant>
        <vt:lpwstr>_Toc112429104</vt:lpwstr>
      </vt:variant>
      <vt:variant>
        <vt:i4>1769520</vt:i4>
      </vt:variant>
      <vt:variant>
        <vt:i4>545</vt:i4>
      </vt:variant>
      <vt:variant>
        <vt:i4>0</vt:i4>
      </vt:variant>
      <vt:variant>
        <vt:i4>5</vt:i4>
      </vt:variant>
      <vt:variant>
        <vt:lpwstr/>
      </vt:variant>
      <vt:variant>
        <vt:lpwstr>_Toc112429103</vt:lpwstr>
      </vt:variant>
      <vt:variant>
        <vt:i4>1769520</vt:i4>
      </vt:variant>
      <vt:variant>
        <vt:i4>539</vt:i4>
      </vt:variant>
      <vt:variant>
        <vt:i4>0</vt:i4>
      </vt:variant>
      <vt:variant>
        <vt:i4>5</vt:i4>
      </vt:variant>
      <vt:variant>
        <vt:lpwstr/>
      </vt:variant>
      <vt:variant>
        <vt:lpwstr>_Toc112429102</vt:lpwstr>
      </vt:variant>
      <vt:variant>
        <vt:i4>1769520</vt:i4>
      </vt:variant>
      <vt:variant>
        <vt:i4>533</vt:i4>
      </vt:variant>
      <vt:variant>
        <vt:i4>0</vt:i4>
      </vt:variant>
      <vt:variant>
        <vt:i4>5</vt:i4>
      </vt:variant>
      <vt:variant>
        <vt:lpwstr/>
      </vt:variant>
      <vt:variant>
        <vt:lpwstr>_Toc112429101</vt:lpwstr>
      </vt:variant>
      <vt:variant>
        <vt:i4>1769520</vt:i4>
      </vt:variant>
      <vt:variant>
        <vt:i4>527</vt:i4>
      </vt:variant>
      <vt:variant>
        <vt:i4>0</vt:i4>
      </vt:variant>
      <vt:variant>
        <vt:i4>5</vt:i4>
      </vt:variant>
      <vt:variant>
        <vt:lpwstr/>
      </vt:variant>
      <vt:variant>
        <vt:lpwstr>_Toc112429100</vt:lpwstr>
      </vt:variant>
      <vt:variant>
        <vt:i4>1179697</vt:i4>
      </vt:variant>
      <vt:variant>
        <vt:i4>521</vt:i4>
      </vt:variant>
      <vt:variant>
        <vt:i4>0</vt:i4>
      </vt:variant>
      <vt:variant>
        <vt:i4>5</vt:i4>
      </vt:variant>
      <vt:variant>
        <vt:lpwstr/>
      </vt:variant>
      <vt:variant>
        <vt:lpwstr>_Toc112429099</vt:lpwstr>
      </vt:variant>
      <vt:variant>
        <vt:i4>1179697</vt:i4>
      </vt:variant>
      <vt:variant>
        <vt:i4>515</vt:i4>
      </vt:variant>
      <vt:variant>
        <vt:i4>0</vt:i4>
      </vt:variant>
      <vt:variant>
        <vt:i4>5</vt:i4>
      </vt:variant>
      <vt:variant>
        <vt:lpwstr/>
      </vt:variant>
      <vt:variant>
        <vt:lpwstr>_Toc112429098</vt:lpwstr>
      </vt:variant>
      <vt:variant>
        <vt:i4>1179697</vt:i4>
      </vt:variant>
      <vt:variant>
        <vt:i4>509</vt:i4>
      </vt:variant>
      <vt:variant>
        <vt:i4>0</vt:i4>
      </vt:variant>
      <vt:variant>
        <vt:i4>5</vt:i4>
      </vt:variant>
      <vt:variant>
        <vt:lpwstr/>
      </vt:variant>
      <vt:variant>
        <vt:lpwstr>_Toc112429097</vt:lpwstr>
      </vt:variant>
      <vt:variant>
        <vt:i4>1179697</vt:i4>
      </vt:variant>
      <vt:variant>
        <vt:i4>503</vt:i4>
      </vt:variant>
      <vt:variant>
        <vt:i4>0</vt:i4>
      </vt:variant>
      <vt:variant>
        <vt:i4>5</vt:i4>
      </vt:variant>
      <vt:variant>
        <vt:lpwstr/>
      </vt:variant>
      <vt:variant>
        <vt:lpwstr>_Toc112429096</vt:lpwstr>
      </vt:variant>
      <vt:variant>
        <vt:i4>1179697</vt:i4>
      </vt:variant>
      <vt:variant>
        <vt:i4>497</vt:i4>
      </vt:variant>
      <vt:variant>
        <vt:i4>0</vt:i4>
      </vt:variant>
      <vt:variant>
        <vt:i4>5</vt:i4>
      </vt:variant>
      <vt:variant>
        <vt:lpwstr/>
      </vt:variant>
      <vt:variant>
        <vt:lpwstr>_Toc112429095</vt:lpwstr>
      </vt:variant>
      <vt:variant>
        <vt:i4>1179697</vt:i4>
      </vt:variant>
      <vt:variant>
        <vt:i4>491</vt:i4>
      </vt:variant>
      <vt:variant>
        <vt:i4>0</vt:i4>
      </vt:variant>
      <vt:variant>
        <vt:i4>5</vt:i4>
      </vt:variant>
      <vt:variant>
        <vt:lpwstr/>
      </vt:variant>
      <vt:variant>
        <vt:lpwstr>_Toc112429094</vt:lpwstr>
      </vt:variant>
      <vt:variant>
        <vt:i4>1179697</vt:i4>
      </vt:variant>
      <vt:variant>
        <vt:i4>485</vt:i4>
      </vt:variant>
      <vt:variant>
        <vt:i4>0</vt:i4>
      </vt:variant>
      <vt:variant>
        <vt:i4>5</vt:i4>
      </vt:variant>
      <vt:variant>
        <vt:lpwstr/>
      </vt:variant>
      <vt:variant>
        <vt:lpwstr>_Toc112429093</vt:lpwstr>
      </vt:variant>
      <vt:variant>
        <vt:i4>1179697</vt:i4>
      </vt:variant>
      <vt:variant>
        <vt:i4>479</vt:i4>
      </vt:variant>
      <vt:variant>
        <vt:i4>0</vt:i4>
      </vt:variant>
      <vt:variant>
        <vt:i4>5</vt:i4>
      </vt:variant>
      <vt:variant>
        <vt:lpwstr/>
      </vt:variant>
      <vt:variant>
        <vt:lpwstr>_Toc112429092</vt:lpwstr>
      </vt:variant>
      <vt:variant>
        <vt:i4>1835063</vt:i4>
      </vt:variant>
      <vt:variant>
        <vt:i4>470</vt:i4>
      </vt:variant>
      <vt:variant>
        <vt:i4>0</vt:i4>
      </vt:variant>
      <vt:variant>
        <vt:i4>5</vt:i4>
      </vt:variant>
      <vt:variant>
        <vt:lpwstr/>
      </vt:variant>
      <vt:variant>
        <vt:lpwstr>_Toc112841031</vt:lpwstr>
      </vt:variant>
      <vt:variant>
        <vt:i4>1835063</vt:i4>
      </vt:variant>
      <vt:variant>
        <vt:i4>464</vt:i4>
      </vt:variant>
      <vt:variant>
        <vt:i4>0</vt:i4>
      </vt:variant>
      <vt:variant>
        <vt:i4>5</vt:i4>
      </vt:variant>
      <vt:variant>
        <vt:lpwstr/>
      </vt:variant>
      <vt:variant>
        <vt:lpwstr>_Toc112841030</vt:lpwstr>
      </vt:variant>
      <vt:variant>
        <vt:i4>1900599</vt:i4>
      </vt:variant>
      <vt:variant>
        <vt:i4>458</vt:i4>
      </vt:variant>
      <vt:variant>
        <vt:i4>0</vt:i4>
      </vt:variant>
      <vt:variant>
        <vt:i4>5</vt:i4>
      </vt:variant>
      <vt:variant>
        <vt:lpwstr/>
      </vt:variant>
      <vt:variant>
        <vt:lpwstr>_Toc112841029</vt:lpwstr>
      </vt:variant>
      <vt:variant>
        <vt:i4>1900599</vt:i4>
      </vt:variant>
      <vt:variant>
        <vt:i4>452</vt:i4>
      </vt:variant>
      <vt:variant>
        <vt:i4>0</vt:i4>
      </vt:variant>
      <vt:variant>
        <vt:i4>5</vt:i4>
      </vt:variant>
      <vt:variant>
        <vt:lpwstr/>
      </vt:variant>
      <vt:variant>
        <vt:lpwstr>_Toc112841028</vt:lpwstr>
      </vt:variant>
      <vt:variant>
        <vt:i4>1900599</vt:i4>
      </vt:variant>
      <vt:variant>
        <vt:i4>446</vt:i4>
      </vt:variant>
      <vt:variant>
        <vt:i4>0</vt:i4>
      </vt:variant>
      <vt:variant>
        <vt:i4>5</vt:i4>
      </vt:variant>
      <vt:variant>
        <vt:lpwstr/>
      </vt:variant>
      <vt:variant>
        <vt:lpwstr>_Toc112841027</vt:lpwstr>
      </vt:variant>
      <vt:variant>
        <vt:i4>1900599</vt:i4>
      </vt:variant>
      <vt:variant>
        <vt:i4>440</vt:i4>
      </vt:variant>
      <vt:variant>
        <vt:i4>0</vt:i4>
      </vt:variant>
      <vt:variant>
        <vt:i4>5</vt:i4>
      </vt:variant>
      <vt:variant>
        <vt:lpwstr/>
      </vt:variant>
      <vt:variant>
        <vt:lpwstr>_Toc112841026</vt:lpwstr>
      </vt:variant>
      <vt:variant>
        <vt:i4>1900599</vt:i4>
      </vt:variant>
      <vt:variant>
        <vt:i4>434</vt:i4>
      </vt:variant>
      <vt:variant>
        <vt:i4>0</vt:i4>
      </vt:variant>
      <vt:variant>
        <vt:i4>5</vt:i4>
      </vt:variant>
      <vt:variant>
        <vt:lpwstr/>
      </vt:variant>
      <vt:variant>
        <vt:lpwstr>_Toc112841025</vt:lpwstr>
      </vt:variant>
      <vt:variant>
        <vt:i4>1900599</vt:i4>
      </vt:variant>
      <vt:variant>
        <vt:i4>428</vt:i4>
      </vt:variant>
      <vt:variant>
        <vt:i4>0</vt:i4>
      </vt:variant>
      <vt:variant>
        <vt:i4>5</vt:i4>
      </vt:variant>
      <vt:variant>
        <vt:lpwstr/>
      </vt:variant>
      <vt:variant>
        <vt:lpwstr>_Toc112841024</vt:lpwstr>
      </vt:variant>
      <vt:variant>
        <vt:i4>1900599</vt:i4>
      </vt:variant>
      <vt:variant>
        <vt:i4>422</vt:i4>
      </vt:variant>
      <vt:variant>
        <vt:i4>0</vt:i4>
      </vt:variant>
      <vt:variant>
        <vt:i4>5</vt:i4>
      </vt:variant>
      <vt:variant>
        <vt:lpwstr/>
      </vt:variant>
      <vt:variant>
        <vt:lpwstr>_Toc112841023</vt:lpwstr>
      </vt:variant>
      <vt:variant>
        <vt:i4>1900599</vt:i4>
      </vt:variant>
      <vt:variant>
        <vt:i4>416</vt:i4>
      </vt:variant>
      <vt:variant>
        <vt:i4>0</vt:i4>
      </vt:variant>
      <vt:variant>
        <vt:i4>5</vt:i4>
      </vt:variant>
      <vt:variant>
        <vt:lpwstr/>
      </vt:variant>
      <vt:variant>
        <vt:lpwstr>_Toc112841022</vt:lpwstr>
      </vt:variant>
      <vt:variant>
        <vt:i4>1900599</vt:i4>
      </vt:variant>
      <vt:variant>
        <vt:i4>410</vt:i4>
      </vt:variant>
      <vt:variant>
        <vt:i4>0</vt:i4>
      </vt:variant>
      <vt:variant>
        <vt:i4>5</vt:i4>
      </vt:variant>
      <vt:variant>
        <vt:lpwstr/>
      </vt:variant>
      <vt:variant>
        <vt:lpwstr>_Toc112841021</vt:lpwstr>
      </vt:variant>
      <vt:variant>
        <vt:i4>1900599</vt:i4>
      </vt:variant>
      <vt:variant>
        <vt:i4>404</vt:i4>
      </vt:variant>
      <vt:variant>
        <vt:i4>0</vt:i4>
      </vt:variant>
      <vt:variant>
        <vt:i4>5</vt:i4>
      </vt:variant>
      <vt:variant>
        <vt:lpwstr/>
      </vt:variant>
      <vt:variant>
        <vt:lpwstr>_Toc112841020</vt:lpwstr>
      </vt:variant>
      <vt:variant>
        <vt:i4>1966135</vt:i4>
      </vt:variant>
      <vt:variant>
        <vt:i4>398</vt:i4>
      </vt:variant>
      <vt:variant>
        <vt:i4>0</vt:i4>
      </vt:variant>
      <vt:variant>
        <vt:i4>5</vt:i4>
      </vt:variant>
      <vt:variant>
        <vt:lpwstr/>
      </vt:variant>
      <vt:variant>
        <vt:lpwstr>_Toc112841019</vt:lpwstr>
      </vt:variant>
      <vt:variant>
        <vt:i4>1966135</vt:i4>
      </vt:variant>
      <vt:variant>
        <vt:i4>392</vt:i4>
      </vt:variant>
      <vt:variant>
        <vt:i4>0</vt:i4>
      </vt:variant>
      <vt:variant>
        <vt:i4>5</vt:i4>
      </vt:variant>
      <vt:variant>
        <vt:lpwstr/>
      </vt:variant>
      <vt:variant>
        <vt:lpwstr>_Toc112841018</vt:lpwstr>
      </vt:variant>
      <vt:variant>
        <vt:i4>1966135</vt:i4>
      </vt:variant>
      <vt:variant>
        <vt:i4>386</vt:i4>
      </vt:variant>
      <vt:variant>
        <vt:i4>0</vt:i4>
      </vt:variant>
      <vt:variant>
        <vt:i4>5</vt:i4>
      </vt:variant>
      <vt:variant>
        <vt:lpwstr/>
      </vt:variant>
      <vt:variant>
        <vt:lpwstr>_Toc112841017</vt:lpwstr>
      </vt:variant>
      <vt:variant>
        <vt:i4>1966135</vt:i4>
      </vt:variant>
      <vt:variant>
        <vt:i4>380</vt:i4>
      </vt:variant>
      <vt:variant>
        <vt:i4>0</vt:i4>
      </vt:variant>
      <vt:variant>
        <vt:i4>5</vt:i4>
      </vt:variant>
      <vt:variant>
        <vt:lpwstr/>
      </vt:variant>
      <vt:variant>
        <vt:lpwstr>_Toc112841016</vt:lpwstr>
      </vt:variant>
      <vt:variant>
        <vt:i4>1966135</vt:i4>
      </vt:variant>
      <vt:variant>
        <vt:i4>374</vt:i4>
      </vt:variant>
      <vt:variant>
        <vt:i4>0</vt:i4>
      </vt:variant>
      <vt:variant>
        <vt:i4>5</vt:i4>
      </vt:variant>
      <vt:variant>
        <vt:lpwstr/>
      </vt:variant>
      <vt:variant>
        <vt:lpwstr>_Toc112841015</vt:lpwstr>
      </vt:variant>
      <vt:variant>
        <vt:i4>1966135</vt:i4>
      </vt:variant>
      <vt:variant>
        <vt:i4>368</vt:i4>
      </vt:variant>
      <vt:variant>
        <vt:i4>0</vt:i4>
      </vt:variant>
      <vt:variant>
        <vt:i4>5</vt:i4>
      </vt:variant>
      <vt:variant>
        <vt:lpwstr/>
      </vt:variant>
      <vt:variant>
        <vt:lpwstr>_Toc112841014</vt:lpwstr>
      </vt:variant>
      <vt:variant>
        <vt:i4>1966135</vt:i4>
      </vt:variant>
      <vt:variant>
        <vt:i4>362</vt:i4>
      </vt:variant>
      <vt:variant>
        <vt:i4>0</vt:i4>
      </vt:variant>
      <vt:variant>
        <vt:i4>5</vt:i4>
      </vt:variant>
      <vt:variant>
        <vt:lpwstr/>
      </vt:variant>
      <vt:variant>
        <vt:lpwstr>_Toc112841013</vt:lpwstr>
      </vt:variant>
      <vt:variant>
        <vt:i4>1966135</vt:i4>
      </vt:variant>
      <vt:variant>
        <vt:i4>356</vt:i4>
      </vt:variant>
      <vt:variant>
        <vt:i4>0</vt:i4>
      </vt:variant>
      <vt:variant>
        <vt:i4>5</vt:i4>
      </vt:variant>
      <vt:variant>
        <vt:lpwstr/>
      </vt:variant>
      <vt:variant>
        <vt:lpwstr>_Toc112841012</vt:lpwstr>
      </vt:variant>
      <vt:variant>
        <vt:i4>1966135</vt:i4>
      </vt:variant>
      <vt:variant>
        <vt:i4>350</vt:i4>
      </vt:variant>
      <vt:variant>
        <vt:i4>0</vt:i4>
      </vt:variant>
      <vt:variant>
        <vt:i4>5</vt:i4>
      </vt:variant>
      <vt:variant>
        <vt:lpwstr/>
      </vt:variant>
      <vt:variant>
        <vt:lpwstr>_Toc112841011</vt:lpwstr>
      </vt:variant>
      <vt:variant>
        <vt:i4>1966135</vt:i4>
      </vt:variant>
      <vt:variant>
        <vt:i4>344</vt:i4>
      </vt:variant>
      <vt:variant>
        <vt:i4>0</vt:i4>
      </vt:variant>
      <vt:variant>
        <vt:i4>5</vt:i4>
      </vt:variant>
      <vt:variant>
        <vt:lpwstr/>
      </vt:variant>
      <vt:variant>
        <vt:lpwstr>_Toc112841010</vt:lpwstr>
      </vt:variant>
      <vt:variant>
        <vt:i4>2031671</vt:i4>
      </vt:variant>
      <vt:variant>
        <vt:i4>338</vt:i4>
      </vt:variant>
      <vt:variant>
        <vt:i4>0</vt:i4>
      </vt:variant>
      <vt:variant>
        <vt:i4>5</vt:i4>
      </vt:variant>
      <vt:variant>
        <vt:lpwstr/>
      </vt:variant>
      <vt:variant>
        <vt:lpwstr>_Toc112841009</vt:lpwstr>
      </vt:variant>
      <vt:variant>
        <vt:i4>2031671</vt:i4>
      </vt:variant>
      <vt:variant>
        <vt:i4>332</vt:i4>
      </vt:variant>
      <vt:variant>
        <vt:i4>0</vt:i4>
      </vt:variant>
      <vt:variant>
        <vt:i4>5</vt:i4>
      </vt:variant>
      <vt:variant>
        <vt:lpwstr/>
      </vt:variant>
      <vt:variant>
        <vt:lpwstr>_Toc112841008</vt:lpwstr>
      </vt:variant>
      <vt:variant>
        <vt:i4>2031671</vt:i4>
      </vt:variant>
      <vt:variant>
        <vt:i4>326</vt:i4>
      </vt:variant>
      <vt:variant>
        <vt:i4>0</vt:i4>
      </vt:variant>
      <vt:variant>
        <vt:i4>5</vt:i4>
      </vt:variant>
      <vt:variant>
        <vt:lpwstr/>
      </vt:variant>
      <vt:variant>
        <vt:lpwstr>_Toc112841007</vt:lpwstr>
      </vt:variant>
      <vt:variant>
        <vt:i4>2031671</vt:i4>
      </vt:variant>
      <vt:variant>
        <vt:i4>320</vt:i4>
      </vt:variant>
      <vt:variant>
        <vt:i4>0</vt:i4>
      </vt:variant>
      <vt:variant>
        <vt:i4>5</vt:i4>
      </vt:variant>
      <vt:variant>
        <vt:lpwstr/>
      </vt:variant>
      <vt:variant>
        <vt:lpwstr>_Toc112841006</vt:lpwstr>
      </vt:variant>
      <vt:variant>
        <vt:i4>2031671</vt:i4>
      </vt:variant>
      <vt:variant>
        <vt:i4>314</vt:i4>
      </vt:variant>
      <vt:variant>
        <vt:i4>0</vt:i4>
      </vt:variant>
      <vt:variant>
        <vt:i4>5</vt:i4>
      </vt:variant>
      <vt:variant>
        <vt:lpwstr/>
      </vt:variant>
      <vt:variant>
        <vt:lpwstr>_Toc112841005</vt:lpwstr>
      </vt:variant>
      <vt:variant>
        <vt:i4>2031671</vt:i4>
      </vt:variant>
      <vt:variant>
        <vt:i4>308</vt:i4>
      </vt:variant>
      <vt:variant>
        <vt:i4>0</vt:i4>
      </vt:variant>
      <vt:variant>
        <vt:i4>5</vt:i4>
      </vt:variant>
      <vt:variant>
        <vt:lpwstr/>
      </vt:variant>
      <vt:variant>
        <vt:lpwstr>_Toc112841004</vt:lpwstr>
      </vt:variant>
      <vt:variant>
        <vt:i4>2031671</vt:i4>
      </vt:variant>
      <vt:variant>
        <vt:i4>302</vt:i4>
      </vt:variant>
      <vt:variant>
        <vt:i4>0</vt:i4>
      </vt:variant>
      <vt:variant>
        <vt:i4>5</vt:i4>
      </vt:variant>
      <vt:variant>
        <vt:lpwstr/>
      </vt:variant>
      <vt:variant>
        <vt:lpwstr>_Toc112841003</vt:lpwstr>
      </vt:variant>
      <vt:variant>
        <vt:i4>2031671</vt:i4>
      </vt:variant>
      <vt:variant>
        <vt:i4>296</vt:i4>
      </vt:variant>
      <vt:variant>
        <vt:i4>0</vt:i4>
      </vt:variant>
      <vt:variant>
        <vt:i4>5</vt:i4>
      </vt:variant>
      <vt:variant>
        <vt:lpwstr/>
      </vt:variant>
      <vt:variant>
        <vt:lpwstr>_Toc112841002</vt:lpwstr>
      </vt:variant>
      <vt:variant>
        <vt:i4>2031671</vt:i4>
      </vt:variant>
      <vt:variant>
        <vt:i4>290</vt:i4>
      </vt:variant>
      <vt:variant>
        <vt:i4>0</vt:i4>
      </vt:variant>
      <vt:variant>
        <vt:i4>5</vt:i4>
      </vt:variant>
      <vt:variant>
        <vt:lpwstr/>
      </vt:variant>
      <vt:variant>
        <vt:lpwstr>_Toc112841001</vt:lpwstr>
      </vt:variant>
      <vt:variant>
        <vt:i4>2031671</vt:i4>
      </vt:variant>
      <vt:variant>
        <vt:i4>284</vt:i4>
      </vt:variant>
      <vt:variant>
        <vt:i4>0</vt:i4>
      </vt:variant>
      <vt:variant>
        <vt:i4>5</vt:i4>
      </vt:variant>
      <vt:variant>
        <vt:lpwstr/>
      </vt:variant>
      <vt:variant>
        <vt:lpwstr>_Toc112841000</vt:lpwstr>
      </vt:variant>
      <vt:variant>
        <vt:i4>1507390</vt:i4>
      </vt:variant>
      <vt:variant>
        <vt:i4>278</vt:i4>
      </vt:variant>
      <vt:variant>
        <vt:i4>0</vt:i4>
      </vt:variant>
      <vt:variant>
        <vt:i4>5</vt:i4>
      </vt:variant>
      <vt:variant>
        <vt:lpwstr/>
      </vt:variant>
      <vt:variant>
        <vt:lpwstr>_Toc112840999</vt:lpwstr>
      </vt:variant>
      <vt:variant>
        <vt:i4>1507390</vt:i4>
      </vt:variant>
      <vt:variant>
        <vt:i4>272</vt:i4>
      </vt:variant>
      <vt:variant>
        <vt:i4>0</vt:i4>
      </vt:variant>
      <vt:variant>
        <vt:i4>5</vt:i4>
      </vt:variant>
      <vt:variant>
        <vt:lpwstr/>
      </vt:variant>
      <vt:variant>
        <vt:lpwstr>_Toc112840998</vt:lpwstr>
      </vt:variant>
      <vt:variant>
        <vt:i4>1507390</vt:i4>
      </vt:variant>
      <vt:variant>
        <vt:i4>266</vt:i4>
      </vt:variant>
      <vt:variant>
        <vt:i4>0</vt:i4>
      </vt:variant>
      <vt:variant>
        <vt:i4>5</vt:i4>
      </vt:variant>
      <vt:variant>
        <vt:lpwstr/>
      </vt:variant>
      <vt:variant>
        <vt:lpwstr>_Toc112840997</vt:lpwstr>
      </vt:variant>
      <vt:variant>
        <vt:i4>1507390</vt:i4>
      </vt:variant>
      <vt:variant>
        <vt:i4>260</vt:i4>
      </vt:variant>
      <vt:variant>
        <vt:i4>0</vt:i4>
      </vt:variant>
      <vt:variant>
        <vt:i4>5</vt:i4>
      </vt:variant>
      <vt:variant>
        <vt:lpwstr/>
      </vt:variant>
      <vt:variant>
        <vt:lpwstr>_Toc112840996</vt:lpwstr>
      </vt:variant>
      <vt:variant>
        <vt:i4>1507390</vt:i4>
      </vt:variant>
      <vt:variant>
        <vt:i4>254</vt:i4>
      </vt:variant>
      <vt:variant>
        <vt:i4>0</vt:i4>
      </vt:variant>
      <vt:variant>
        <vt:i4>5</vt:i4>
      </vt:variant>
      <vt:variant>
        <vt:lpwstr/>
      </vt:variant>
      <vt:variant>
        <vt:lpwstr>_Toc112840995</vt:lpwstr>
      </vt:variant>
      <vt:variant>
        <vt:i4>1507390</vt:i4>
      </vt:variant>
      <vt:variant>
        <vt:i4>248</vt:i4>
      </vt:variant>
      <vt:variant>
        <vt:i4>0</vt:i4>
      </vt:variant>
      <vt:variant>
        <vt:i4>5</vt:i4>
      </vt:variant>
      <vt:variant>
        <vt:lpwstr/>
      </vt:variant>
      <vt:variant>
        <vt:lpwstr>_Toc112840994</vt:lpwstr>
      </vt:variant>
      <vt:variant>
        <vt:i4>1507390</vt:i4>
      </vt:variant>
      <vt:variant>
        <vt:i4>242</vt:i4>
      </vt:variant>
      <vt:variant>
        <vt:i4>0</vt:i4>
      </vt:variant>
      <vt:variant>
        <vt:i4>5</vt:i4>
      </vt:variant>
      <vt:variant>
        <vt:lpwstr/>
      </vt:variant>
      <vt:variant>
        <vt:lpwstr>_Toc112840993</vt:lpwstr>
      </vt:variant>
      <vt:variant>
        <vt:i4>1507390</vt:i4>
      </vt:variant>
      <vt:variant>
        <vt:i4>236</vt:i4>
      </vt:variant>
      <vt:variant>
        <vt:i4>0</vt:i4>
      </vt:variant>
      <vt:variant>
        <vt:i4>5</vt:i4>
      </vt:variant>
      <vt:variant>
        <vt:lpwstr/>
      </vt:variant>
      <vt:variant>
        <vt:lpwstr>_Toc112840992</vt:lpwstr>
      </vt:variant>
      <vt:variant>
        <vt:i4>1507390</vt:i4>
      </vt:variant>
      <vt:variant>
        <vt:i4>230</vt:i4>
      </vt:variant>
      <vt:variant>
        <vt:i4>0</vt:i4>
      </vt:variant>
      <vt:variant>
        <vt:i4>5</vt:i4>
      </vt:variant>
      <vt:variant>
        <vt:lpwstr/>
      </vt:variant>
      <vt:variant>
        <vt:lpwstr>_Toc112840991</vt:lpwstr>
      </vt:variant>
      <vt:variant>
        <vt:i4>1507390</vt:i4>
      </vt:variant>
      <vt:variant>
        <vt:i4>224</vt:i4>
      </vt:variant>
      <vt:variant>
        <vt:i4>0</vt:i4>
      </vt:variant>
      <vt:variant>
        <vt:i4>5</vt:i4>
      </vt:variant>
      <vt:variant>
        <vt:lpwstr/>
      </vt:variant>
      <vt:variant>
        <vt:lpwstr>_Toc112840990</vt:lpwstr>
      </vt:variant>
      <vt:variant>
        <vt:i4>1441854</vt:i4>
      </vt:variant>
      <vt:variant>
        <vt:i4>218</vt:i4>
      </vt:variant>
      <vt:variant>
        <vt:i4>0</vt:i4>
      </vt:variant>
      <vt:variant>
        <vt:i4>5</vt:i4>
      </vt:variant>
      <vt:variant>
        <vt:lpwstr/>
      </vt:variant>
      <vt:variant>
        <vt:lpwstr>_Toc112840989</vt:lpwstr>
      </vt:variant>
      <vt:variant>
        <vt:i4>1441854</vt:i4>
      </vt:variant>
      <vt:variant>
        <vt:i4>212</vt:i4>
      </vt:variant>
      <vt:variant>
        <vt:i4>0</vt:i4>
      </vt:variant>
      <vt:variant>
        <vt:i4>5</vt:i4>
      </vt:variant>
      <vt:variant>
        <vt:lpwstr/>
      </vt:variant>
      <vt:variant>
        <vt:lpwstr>_Toc112840988</vt:lpwstr>
      </vt:variant>
      <vt:variant>
        <vt:i4>1441854</vt:i4>
      </vt:variant>
      <vt:variant>
        <vt:i4>206</vt:i4>
      </vt:variant>
      <vt:variant>
        <vt:i4>0</vt:i4>
      </vt:variant>
      <vt:variant>
        <vt:i4>5</vt:i4>
      </vt:variant>
      <vt:variant>
        <vt:lpwstr/>
      </vt:variant>
      <vt:variant>
        <vt:lpwstr>_Toc112840987</vt:lpwstr>
      </vt:variant>
      <vt:variant>
        <vt:i4>1441854</vt:i4>
      </vt:variant>
      <vt:variant>
        <vt:i4>200</vt:i4>
      </vt:variant>
      <vt:variant>
        <vt:i4>0</vt:i4>
      </vt:variant>
      <vt:variant>
        <vt:i4>5</vt:i4>
      </vt:variant>
      <vt:variant>
        <vt:lpwstr/>
      </vt:variant>
      <vt:variant>
        <vt:lpwstr>_Toc112840986</vt:lpwstr>
      </vt:variant>
      <vt:variant>
        <vt:i4>1441854</vt:i4>
      </vt:variant>
      <vt:variant>
        <vt:i4>194</vt:i4>
      </vt:variant>
      <vt:variant>
        <vt:i4>0</vt:i4>
      </vt:variant>
      <vt:variant>
        <vt:i4>5</vt:i4>
      </vt:variant>
      <vt:variant>
        <vt:lpwstr/>
      </vt:variant>
      <vt:variant>
        <vt:lpwstr>_Toc112840985</vt:lpwstr>
      </vt:variant>
      <vt:variant>
        <vt:i4>1441854</vt:i4>
      </vt:variant>
      <vt:variant>
        <vt:i4>188</vt:i4>
      </vt:variant>
      <vt:variant>
        <vt:i4>0</vt:i4>
      </vt:variant>
      <vt:variant>
        <vt:i4>5</vt:i4>
      </vt:variant>
      <vt:variant>
        <vt:lpwstr/>
      </vt:variant>
      <vt:variant>
        <vt:lpwstr>_Toc112840984</vt:lpwstr>
      </vt:variant>
      <vt:variant>
        <vt:i4>1441854</vt:i4>
      </vt:variant>
      <vt:variant>
        <vt:i4>182</vt:i4>
      </vt:variant>
      <vt:variant>
        <vt:i4>0</vt:i4>
      </vt:variant>
      <vt:variant>
        <vt:i4>5</vt:i4>
      </vt:variant>
      <vt:variant>
        <vt:lpwstr/>
      </vt:variant>
      <vt:variant>
        <vt:lpwstr>_Toc112840983</vt:lpwstr>
      </vt:variant>
      <vt:variant>
        <vt:i4>1441854</vt:i4>
      </vt:variant>
      <vt:variant>
        <vt:i4>176</vt:i4>
      </vt:variant>
      <vt:variant>
        <vt:i4>0</vt:i4>
      </vt:variant>
      <vt:variant>
        <vt:i4>5</vt:i4>
      </vt:variant>
      <vt:variant>
        <vt:lpwstr/>
      </vt:variant>
      <vt:variant>
        <vt:lpwstr>_Toc112840982</vt:lpwstr>
      </vt:variant>
      <vt:variant>
        <vt:i4>1441854</vt:i4>
      </vt:variant>
      <vt:variant>
        <vt:i4>170</vt:i4>
      </vt:variant>
      <vt:variant>
        <vt:i4>0</vt:i4>
      </vt:variant>
      <vt:variant>
        <vt:i4>5</vt:i4>
      </vt:variant>
      <vt:variant>
        <vt:lpwstr/>
      </vt:variant>
      <vt:variant>
        <vt:lpwstr>_Toc112840981</vt:lpwstr>
      </vt:variant>
      <vt:variant>
        <vt:i4>1441854</vt:i4>
      </vt:variant>
      <vt:variant>
        <vt:i4>164</vt:i4>
      </vt:variant>
      <vt:variant>
        <vt:i4>0</vt:i4>
      </vt:variant>
      <vt:variant>
        <vt:i4>5</vt:i4>
      </vt:variant>
      <vt:variant>
        <vt:lpwstr/>
      </vt:variant>
      <vt:variant>
        <vt:lpwstr>_Toc112840980</vt:lpwstr>
      </vt:variant>
      <vt:variant>
        <vt:i4>1638462</vt:i4>
      </vt:variant>
      <vt:variant>
        <vt:i4>158</vt:i4>
      </vt:variant>
      <vt:variant>
        <vt:i4>0</vt:i4>
      </vt:variant>
      <vt:variant>
        <vt:i4>5</vt:i4>
      </vt:variant>
      <vt:variant>
        <vt:lpwstr/>
      </vt:variant>
      <vt:variant>
        <vt:lpwstr>_Toc112840979</vt:lpwstr>
      </vt:variant>
      <vt:variant>
        <vt:i4>1638462</vt:i4>
      </vt:variant>
      <vt:variant>
        <vt:i4>152</vt:i4>
      </vt:variant>
      <vt:variant>
        <vt:i4>0</vt:i4>
      </vt:variant>
      <vt:variant>
        <vt:i4>5</vt:i4>
      </vt:variant>
      <vt:variant>
        <vt:lpwstr/>
      </vt:variant>
      <vt:variant>
        <vt:lpwstr>_Toc112840978</vt:lpwstr>
      </vt:variant>
      <vt:variant>
        <vt:i4>1638462</vt:i4>
      </vt:variant>
      <vt:variant>
        <vt:i4>146</vt:i4>
      </vt:variant>
      <vt:variant>
        <vt:i4>0</vt:i4>
      </vt:variant>
      <vt:variant>
        <vt:i4>5</vt:i4>
      </vt:variant>
      <vt:variant>
        <vt:lpwstr/>
      </vt:variant>
      <vt:variant>
        <vt:lpwstr>_Toc112840977</vt:lpwstr>
      </vt:variant>
      <vt:variant>
        <vt:i4>1638462</vt:i4>
      </vt:variant>
      <vt:variant>
        <vt:i4>140</vt:i4>
      </vt:variant>
      <vt:variant>
        <vt:i4>0</vt:i4>
      </vt:variant>
      <vt:variant>
        <vt:i4>5</vt:i4>
      </vt:variant>
      <vt:variant>
        <vt:lpwstr/>
      </vt:variant>
      <vt:variant>
        <vt:lpwstr>_Toc112840976</vt:lpwstr>
      </vt:variant>
      <vt:variant>
        <vt:i4>1638462</vt:i4>
      </vt:variant>
      <vt:variant>
        <vt:i4>134</vt:i4>
      </vt:variant>
      <vt:variant>
        <vt:i4>0</vt:i4>
      </vt:variant>
      <vt:variant>
        <vt:i4>5</vt:i4>
      </vt:variant>
      <vt:variant>
        <vt:lpwstr/>
      </vt:variant>
      <vt:variant>
        <vt:lpwstr>_Toc112840975</vt:lpwstr>
      </vt:variant>
      <vt:variant>
        <vt:i4>1638462</vt:i4>
      </vt:variant>
      <vt:variant>
        <vt:i4>128</vt:i4>
      </vt:variant>
      <vt:variant>
        <vt:i4>0</vt:i4>
      </vt:variant>
      <vt:variant>
        <vt:i4>5</vt:i4>
      </vt:variant>
      <vt:variant>
        <vt:lpwstr/>
      </vt:variant>
      <vt:variant>
        <vt:lpwstr>_Toc112840974</vt:lpwstr>
      </vt:variant>
      <vt:variant>
        <vt:i4>1638462</vt:i4>
      </vt:variant>
      <vt:variant>
        <vt:i4>122</vt:i4>
      </vt:variant>
      <vt:variant>
        <vt:i4>0</vt:i4>
      </vt:variant>
      <vt:variant>
        <vt:i4>5</vt:i4>
      </vt:variant>
      <vt:variant>
        <vt:lpwstr/>
      </vt:variant>
      <vt:variant>
        <vt:lpwstr>_Toc112840973</vt:lpwstr>
      </vt:variant>
      <vt:variant>
        <vt:i4>1638462</vt:i4>
      </vt:variant>
      <vt:variant>
        <vt:i4>116</vt:i4>
      </vt:variant>
      <vt:variant>
        <vt:i4>0</vt:i4>
      </vt:variant>
      <vt:variant>
        <vt:i4>5</vt:i4>
      </vt:variant>
      <vt:variant>
        <vt:lpwstr/>
      </vt:variant>
      <vt:variant>
        <vt:lpwstr>_Toc112840972</vt:lpwstr>
      </vt:variant>
      <vt:variant>
        <vt:i4>1638462</vt:i4>
      </vt:variant>
      <vt:variant>
        <vt:i4>110</vt:i4>
      </vt:variant>
      <vt:variant>
        <vt:i4>0</vt:i4>
      </vt:variant>
      <vt:variant>
        <vt:i4>5</vt:i4>
      </vt:variant>
      <vt:variant>
        <vt:lpwstr/>
      </vt:variant>
      <vt:variant>
        <vt:lpwstr>_Toc112840971</vt:lpwstr>
      </vt:variant>
      <vt:variant>
        <vt:i4>1638462</vt:i4>
      </vt:variant>
      <vt:variant>
        <vt:i4>104</vt:i4>
      </vt:variant>
      <vt:variant>
        <vt:i4>0</vt:i4>
      </vt:variant>
      <vt:variant>
        <vt:i4>5</vt:i4>
      </vt:variant>
      <vt:variant>
        <vt:lpwstr/>
      </vt:variant>
      <vt:variant>
        <vt:lpwstr>_Toc112840970</vt:lpwstr>
      </vt:variant>
      <vt:variant>
        <vt:i4>1572926</vt:i4>
      </vt:variant>
      <vt:variant>
        <vt:i4>98</vt:i4>
      </vt:variant>
      <vt:variant>
        <vt:i4>0</vt:i4>
      </vt:variant>
      <vt:variant>
        <vt:i4>5</vt:i4>
      </vt:variant>
      <vt:variant>
        <vt:lpwstr/>
      </vt:variant>
      <vt:variant>
        <vt:lpwstr>_Toc112840969</vt:lpwstr>
      </vt:variant>
      <vt:variant>
        <vt:i4>1572926</vt:i4>
      </vt:variant>
      <vt:variant>
        <vt:i4>92</vt:i4>
      </vt:variant>
      <vt:variant>
        <vt:i4>0</vt:i4>
      </vt:variant>
      <vt:variant>
        <vt:i4>5</vt:i4>
      </vt:variant>
      <vt:variant>
        <vt:lpwstr/>
      </vt:variant>
      <vt:variant>
        <vt:lpwstr>_Toc112840968</vt:lpwstr>
      </vt:variant>
      <vt:variant>
        <vt:i4>1572926</vt:i4>
      </vt:variant>
      <vt:variant>
        <vt:i4>86</vt:i4>
      </vt:variant>
      <vt:variant>
        <vt:i4>0</vt:i4>
      </vt:variant>
      <vt:variant>
        <vt:i4>5</vt:i4>
      </vt:variant>
      <vt:variant>
        <vt:lpwstr/>
      </vt:variant>
      <vt:variant>
        <vt:lpwstr>_Toc112840967</vt:lpwstr>
      </vt:variant>
      <vt:variant>
        <vt:i4>1572926</vt:i4>
      </vt:variant>
      <vt:variant>
        <vt:i4>80</vt:i4>
      </vt:variant>
      <vt:variant>
        <vt:i4>0</vt:i4>
      </vt:variant>
      <vt:variant>
        <vt:i4>5</vt:i4>
      </vt:variant>
      <vt:variant>
        <vt:lpwstr/>
      </vt:variant>
      <vt:variant>
        <vt:lpwstr>_Toc112840966</vt:lpwstr>
      </vt:variant>
      <vt:variant>
        <vt:i4>1572926</vt:i4>
      </vt:variant>
      <vt:variant>
        <vt:i4>74</vt:i4>
      </vt:variant>
      <vt:variant>
        <vt:i4>0</vt:i4>
      </vt:variant>
      <vt:variant>
        <vt:i4>5</vt:i4>
      </vt:variant>
      <vt:variant>
        <vt:lpwstr/>
      </vt:variant>
      <vt:variant>
        <vt:lpwstr>_Toc112840965</vt:lpwstr>
      </vt:variant>
      <vt:variant>
        <vt:i4>1572926</vt:i4>
      </vt:variant>
      <vt:variant>
        <vt:i4>68</vt:i4>
      </vt:variant>
      <vt:variant>
        <vt:i4>0</vt:i4>
      </vt:variant>
      <vt:variant>
        <vt:i4>5</vt:i4>
      </vt:variant>
      <vt:variant>
        <vt:lpwstr/>
      </vt:variant>
      <vt:variant>
        <vt:lpwstr>_Toc112840964</vt:lpwstr>
      </vt:variant>
      <vt:variant>
        <vt:i4>1572926</vt:i4>
      </vt:variant>
      <vt:variant>
        <vt:i4>62</vt:i4>
      </vt:variant>
      <vt:variant>
        <vt:i4>0</vt:i4>
      </vt:variant>
      <vt:variant>
        <vt:i4>5</vt:i4>
      </vt:variant>
      <vt:variant>
        <vt:lpwstr/>
      </vt:variant>
      <vt:variant>
        <vt:lpwstr>_Toc112840963</vt:lpwstr>
      </vt:variant>
      <vt:variant>
        <vt:i4>1572926</vt:i4>
      </vt:variant>
      <vt:variant>
        <vt:i4>56</vt:i4>
      </vt:variant>
      <vt:variant>
        <vt:i4>0</vt:i4>
      </vt:variant>
      <vt:variant>
        <vt:i4>5</vt:i4>
      </vt:variant>
      <vt:variant>
        <vt:lpwstr/>
      </vt:variant>
      <vt:variant>
        <vt:lpwstr>_Toc112840962</vt:lpwstr>
      </vt:variant>
      <vt:variant>
        <vt:i4>1572926</vt:i4>
      </vt:variant>
      <vt:variant>
        <vt:i4>50</vt:i4>
      </vt:variant>
      <vt:variant>
        <vt:i4>0</vt:i4>
      </vt:variant>
      <vt:variant>
        <vt:i4>5</vt:i4>
      </vt:variant>
      <vt:variant>
        <vt:lpwstr/>
      </vt:variant>
      <vt:variant>
        <vt:lpwstr>_Toc112840961</vt:lpwstr>
      </vt:variant>
      <vt:variant>
        <vt:i4>1572926</vt:i4>
      </vt:variant>
      <vt:variant>
        <vt:i4>44</vt:i4>
      </vt:variant>
      <vt:variant>
        <vt:i4>0</vt:i4>
      </vt:variant>
      <vt:variant>
        <vt:i4>5</vt:i4>
      </vt:variant>
      <vt:variant>
        <vt:lpwstr/>
      </vt:variant>
      <vt:variant>
        <vt:lpwstr>_Toc112840960</vt:lpwstr>
      </vt:variant>
      <vt:variant>
        <vt:i4>1769534</vt:i4>
      </vt:variant>
      <vt:variant>
        <vt:i4>38</vt:i4>
      </vt:variant>
      <vt:variant>
        <vt:i4>0</vt:i4>
      </vt:variant>
      <vt:variant>
        <vt:i4>5</vt:i4>
      </vt:variant>
      <vt:variant>
        <vt:lpwstr/>
      </vt:variant>
      <vt:variant>
        <vt:lpwstr>_Toc112840959</vt:lpwstr>
      </vt:variant>
      <vt:variant>
        <vt:i4>1769534</vt:i4>
      </vt:variant>
      <vt:variant>
        <vt:i4>32</vt:i4>
      </vt:variant>
      <vt:variant>
        <vt:i4>0</vt:i4>
      </vt:variant>
      <vt:variant>
        <vt:i4>5</vt:i4>
      </vt:variant>
      <vt:variant>
        <vt:lpwstr/>
      </vt:variant>
      <vt:variant>
        <vt:lpwstr>_Toc112840958</vt:lpwstr>
      </vt:variant>
      <vt:variant>
        <vt:i4>1769534</vt:i4>
      </vt:variant>
      <vt:variant>
        <vt:i4>26</vt:i4>
      </vt:variant>
      <vt:variant>
        <vt:i4>0</vt:i4>
      </vt:variant>
      <vt:variant>
        <vt:i4>5</vt:i4>
      </vt:variant>
      <vt:variant>
        <vt:lpwstr/>
      </vt:variant>
      <vt:variant>
        <vt:lpwstr>_Toc112840957</vt:lpwstr>
      </vt:variant>
      <vt:variant>
        <vt:i4>1769534</vt:i4>
      </vt:variant>
      <vt:variant>
        <vt:i4>20</vt:i4>
      </vt:variant>
      <vt:variant>
        <vt:i4>0</vt:i4>
      </vt:variant>
      <vt:variant>
        <vt:i4>5</vt:i4>
      </vt:variant>
      <vt:variant>
        <vt:lpwstr/>
      </vt:variant>
      <vt:variant>
        <vt:lpwstr>_Toc112840956</vt:lpwstr>
      </vt:variant>
      <vt:variant>
        <vt:i4>1769534</vt:i4>
      </vt:variant>
      <vt:variant>
        <vt:i4>14</vt:i4>
      </vt:variant>
      <vt:variant>
        <vt:i4>0</vt:i4>
      </vt:variant>
      <vt:variant>
        <vt:i4>5</vt:i4>
      </vt:variant>
      <vt:variant>
        <vt:lpwstr/>
      </vt:variant>
      <vt:variant>
        <vt:lpwstr>_Toc112840955</vt:lpwstr>
      </vt:variant>
      <vt:variant>
        <vt:i4>1769534</vt:i4>
      </vt:variant>
      <vt:variant>
        <vt:i4>8</vt:i4>
      </vt:variant>
      <vt:variant>
        <vt:i4>0</vt:i4>
      </vt:variant>
      <vt:variant>
        <vt:i4>5</vt:i4>
      </vt:variant>
      <vt:variant>
        <vt:lpwstr/>
      </vt:variant>
      <vt:variant>
        <vt:lpwstr>_Toc112840954</vt:lpwstr>
      </vt:variant>
      <vt:variant>
        <vt:i4>1769534</vt:i4>
      </vt:variant>
      <vt:variant>
        <vt:i4>2</vt:i4>
      </vt:variant>
      <vt:variant>
        <vt:i4>0</vt:i4>
      </vt:variant>
      <vt:variant>
        <vt:i4>5</vt:i4>
      </vt:variant>
      <vt:variant>
        <vt:lpwstr/>
      </vt:variant>
      <vt:variant>
        <vt:lpwstr>_Toc112840953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2022-09-19T23:56:00Z</dcterms:created>
  <dcterms:modified xsi:type="dcterms:W3CDTF">2022-09-20T00:14:00Z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0x010100EFE0E35EFD4F464680E6AF1C0D13EB20</vt:lpwstr>
  </property>
  <property fmtid="{D5CDD505-2E9C-101B-9397-08002B2CF9AE}" pid="3" name="MediaServiceImageTags">
    <vt:lpwstr/>
  </property>
</Properties>
</file>