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1DB7A578" w:rsidR="001D480A" w:rsidRPr="009401F6" w:rsidRDefault="00207FDD" w:rsidP="00ED0C8B">
            <w:pPr>
              <w:pStyle w:val="Title"/>
            </w:pPr>
            <w:r>
              <w:t xml:space="preserve">Consultation: Proposed amendments to the Poisons Standard – ACCS, ACMS and joint ACCS/ACMS meetings, </w:t>
            </w:r>
            <w:r w:rsidR="00F261BD">
              <w:t>November</w:t>
            </w:r>
            <w:r>
              <w:t xml:space="preserve"> 20</w:t>
            </w:r>
            <w:r w:rsidR="00F261BD">
              <w:t>22</w:t>
            </w:r>
          </w:p>
        </w:tc>
      </w:tr>
      <w:tr w:rsidR="00ED0C8B" w:rsidRPr="009401F6" w14:paraId="14361E1D" w14:textId="77777777" w:rsidTr="00ED0C8B">
        <w:trPr>
          <w:trHeight w:val="1387"/>
        </w:trPr>
        <w:tc>
          <w:tcPr>
            <w:tcW w:w="8720" w:type="dxa"/>
          </w:tcPr>
          <w:p w14:paraId="62B6A71E" w14:textId="146231F5" w:rsidR="001D480A" w:rsidRPr="009401F6" w:rsidRDefault="00F54212" w:rsidP="00ED0C8B">
            <w:pPr>
              <w:pStyle w:val="Subtitle"/>
              <w:ind w:left="0"/>
              <w:rPr>
                <w:lang w:eastAsia="en-AU"/>
              </w:rPr>
            </w:pPr>
            <w:r>
              <w:rPr>
                <w:lang w:eastAsia="en-AU"/>
              </w:rPr>
              <w:t>1 September 2022</w:t>
            </w:r>
          </w:p>
        </w:tc>
      </w:tr>
      <w:tr w:rsidR="00ED0C8B" w:rsidRPr="009401F6" w14:paraId="30D49EC8" w14:textId="77777777" w:rsidTr="00ED0C8B">
        <w:tc>
          <w:tcPr>
            <w:tcW w:w="8720" w:type="dxa"/>
          </w:tcPr>
          <w:p w14:paraId="7B2E0DCE" w14:textId="6F889C51" w:rsidR="00ED0C8B" w:rsidRPr="009401F6" w:rsidRDefault="00ED0C8B" w:rsidP="00EB182C">
            <w:pPr>
              <w:pStyle w:val="Date"/>
              <w:rPr>
                <w:lang w:eastAsia="en-AU"/>
              </w:rPr>
            </w:pPr>
          </w:p>
        </w:tc>
      </w:tr>
    </w:tbl>
    <w:p w14:paraId="073968C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55677711" w:rsidR="00611B57" w:rsidRDefault="00EA453A" w:rsidP="00FE1941">
      <w:pPr>
        <w:pStyle w:val="LegalCopy"/>
        <w:spacing w:after="0"/>
      </w:pPr>
      <w:r w:rsidRPr="009401F6">
        <w:t>© Commonwealth of Australia 20</w:t>
      </w:r>
      <w:r w:rsidR="00D433BD">
        <w:t>2</w:t>
      </w:r>
      <w:r w:rsidR="00F261BD">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71AF50ED" w14:textId="290DFB74" w:rsidR="003A5DBD"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12833578" w:history="1">
            <w:r w:rsidR="003A5DBD" w:rsidRPr="005244B2">
              <w:rPr>
                <w:rStyle w:val="Hyperlink"/>
                <w:noProof/>
                <w:lang w:val="en"/>
              </w:rPr>
              <w:t>1</w:t>
            </w:r>
            <w:r w:rsidR="003A5DBD">
              <w:rPr>
                <w:rFonts w:asciiTheme="minorHAnsi" w:eastAsiaTheme="minorEastAsia" w:hAnsiTheme="minorHAnsi" w:cstheme="minorBidi"/>
                <w:b w:val="0"/>
                <w:noProof/>
                <w:sz w:val="22"/>
                <w:szCs w:val="22"/>
                <w:lang w:eastAsia="en-AU"/>
              </w:rPr>
              <w:tab/>
            </w:r>
            <w:r w:rsidR="003A5DBD" w:rsidRPr="005244B2">
              <w:rPr>
                <w:rStyle w:val="Hyperlink"/>
                <w:noProof/>
                <w:lang w:val="en"/>
              </w:rPr>
              <w:t>About this consultation</w:t>
            </w:r>
            <w:r w:rsidR="003A5DBD">
              <w:rPr>
                <w:noProof/>
                <w:webHidden/>
              </w:rPr>
              <w:tab/>
            </w:r>
            <w:r w:rsidR="003A5DBD">
              <w:rPr>
                <w:noProof/>
                <w:webHidden/>
              </w:rPr>
              <w:fldChar w:fldCharType="begin"/>
            </w:r>
            <w:r w:rsidR="003A5DBD">
              <w:rPr>
                <w:noProof/>
                <w:webHidden/>
              </w:rPr>
              <w:instrText xml:space="preserve"> PAGEREF _Toc112833578 \h </w:instrText>
            </w:r>
            <w:r w:rsidR="003A5DBD">
              <w:rPr>
                <w:noProof/>
                <w:webHidden/>
              </w:rPr>
            </w:r>
            <w:r w:rsidR="003A5DBD">
              <w:rPr>
                <w:noProof/>
                <w:webHidden/>
              </w:rPr>
              <w:fldChar w:fldCharType="separate"/>
            </w:r>
            <w:r w:rsidR="003A5DBD">
              <w:rPr>
                <w:noProof/>
                <w:webHidden/>
              </w:rPr>
              <w:t>8</w:t>
            </w:r>
            <w:r w:rsidR="003A5DBD">
              <w:rPr>
                <w:noProof/>
                <w:webHidden/>
              </w:rPr>
              <w:fldChar w:fldCharType="end"/>
            </w:r>
          </w:hyperlink>
        </w:p>
        <w:p w14:paraId="6DC0756D" w14:textId="0B8FCEBF" w:rsidR="003A5DBD" w:rsidRDefault="001C5F86">
          <w:pPr>
            <w:pStyle w:val="TOC1"/>
            <w:tabs>
              <w:tab w:val="left" w:pos="425"/>
            </w:tabs>
            <w:rPr>
              <w:rFonts w:asciiTheme="minorHAnsi" w:eastAsiaTheme="minorEastAsia" w:hAnsiTheme="minorHAnsi" w:cstheme="minorBidi"/>
              <w:b w:val="0"/>
              <w:noProof/>
              <w:sz w:val="22"/>
              <w:szCs w:val="22"/>
              <w:lang w:eastAsia="en-AU"/>
            </w:rPr>
          </w:pPr>
          <w:hyperlink w:anchor="_Toc112833579" w:history="1">
            <w:r w:rsidR="003A5DBD" w:rsidRPr="005244B2">
              <w:rPr>
                <w:rStyle w:val="Hyperlink"/>
                <w:noProof/>
              </w:rPr>
              <w:t>2</w:t>
            </w:r>
            <w:r w:rsidR="003A5DBD">
              <w:rPr>
                <w:rFonts w:asciiTheme="minorHAnsi" w:eastAsiaTheme="minorEastAsia" w:hAnsiTheme="minorHAnsi" w:cstheme="minorBidi"/>
                <w:b w:val="0"/>
                <w:noProof/>
                <w:sz w:val="22"/>
                <w:szCs w:val="22"/>
                <w:lang w:eastAsia="en-AU"/>
              </w:rPr>
              <w:tab/>
            </w:r>
            <w:r w:rsidR="003A5DBD" w:rsidRPr="005244B2">
              <w:rPr>
                <w:rStyle w:val="Hyperlink"/>
                <w:noProof/>
              </w:rPr>
              <w:t>Proposed amendments referred for scheduling advice to ACMS meeting #40, November 2022</w:t>
            </w:r>
            <w:r w:rsidR="003A5DBD">
              <w:rPr>
                <w:noProof/>
                <w:webHidden/>
              </w:rPr>
              <w:tab/>
            </w:r>
            <w:r w:rsidR="003A5DBD">
              <w:rPr>
                <w:noProof/>
                <w:webHidden/>
              </w:rPr>
              <w:fldChar w:fldCharType="begin"/>
            </w:r>
            <w:r w:rsidR="003A5DBD">
              <w:rPr>
                <w:noProof/>
                <w:webHidden/>
              </w:rPr>
              <w:instrText xml:space="preserve"> PAGEREF _Toc112833579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0B65D501" w14:textId="0329FBD4" w:rsidR="003A5DBD" w:rsidRDefault="001C5F86">
          <w:pPr>
            <w:pStyle w:val="TOC2"/>
            <w:rPr>
              <w:rFonts w:asciiTheme="minorHAnsi" w:eastAsiaTheme="minorEastAsia" w:hAnsiTheme="minorHAnsi" w:cstheme="minorBidi"/>
              <w:b w:val="0"/>
              <w:noProof/>
              <w:sz w:val="22"/>
              <w:szCs w:val="22"/>
              <w:lang w:eastAsia="en-AU"/>
            </w:rPr>
          </w:pPr>
          <w:hyperlink w:anchor="_Toc112833580" w:history="1">
            <w:r w:rsidR="003A5DBD" w:rsidRPr="005244B2">
              <w:rPr>
                <w:rStyle w:val="Hyperlink"/>
                <w:noProof/>
              </w:rPr>
              <w:t>Ivermectin</w:t>
            </w:r>
            <w:r w:rsidR="003A5DBD">
              <w:rPr>
                <w:noProof/>
                <w:webHidden/>
              </w:rPr>
              <w:tab/>
            </w:r>
            <w:r w:rsidR="003A5DBD">
              <w:rPr>
                <w:noProof/>
                <w:webHidden/>
              </w:rPr>
              <w:fldChar w:fldCharType="begin"/>
            </w:r>
            <w:r w:rsidR="003A5DBD">
              <w:rPr>
                <w:noProof/>
                <w:webHidden/>
              </w:rPr>
              <w:instrText xml:space="preserve"> PAGEREF _Toc112833580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5CA94B52" w14:textId="2FE110B3" w:rsidR="003A5DBD" w:rsidRDefault="001C5F86">
          <w:pPr>
            <w:pStyle w:val="TOC3"/>
            <w:rPr>
              <w:rFonts w:asciiTheme="minorHAnsi" w:eastAsiaTheme="minorEastAsia" w:hAnsiTheme="minorHAnsi" w:cstheme="minorBidi"/>
              <w:b w:val="0"/>
              <w:noProof/>
              <w:szCs w:val="22"/>
              <w:lang w:eastAsia="en-AU"/>
            </w:rPr>
          </w:pPr>
          <w:hyperlink w:anchor="_Toc112833581"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_Toc112833581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65BB7F53" w14:textId="6C1888BA" w:rsidR="003A5DBD" w:rsidRDefault="001C5F86">
          <w:pPr>
            <w:pStyle w:val="TOC3"/>
            <w:rPr>
              <w:rFonts w:asciiTheme="minorHAnsi" w:eastAsiaTheme="minorEastAsia" w:hAnsiTheme="minorHAnsi" w:cstheme="minorBidi"/>
              <w:b w:val="0"/>
              <w:noProof/>
              <w:szCs w:val="22"/>
              <w:lang w:eastAsia="en-AU"/>
            </w:rPr>
          </w:pPr>
          <w:hyperlink w:anchor="_Toc112833582"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_Toc112833582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65107AA0" w14:textId="7D232D96" w:rsidR="003A5DBD" w:rsidRDefault="001C5F86">
          <w:pPr>
            <w:pStyle w:val="TOC3"/>
            <w:rPr>
              <w:rFonts w:asciiTheme="minorHAnsi" w:eastAsiaTheme="minorEastAsia" w:hAnsiTheme="minorHAnsi" w:cstheme="minorBidi"/>
              <w:b w:val="0"/>
              <w:noProof/>
              <w:szCs w:val="22"/>
              <w:lang w:eastAsia="en-AU"/>
            </w:rPr>
          </w:pPr>
          <w:hyperlink w:anchor="_Toc112833583"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_Toc112833583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443D4668" w14:textId="7AE820AE" w:rsidR="003A5DBD" w:rsidRDefault="001C5F86">
          <w:pPr>
            <w:pStyle w:val="TOC3"/>
            <w:rPr>
              <w:rFonts w:asciiTheme="minorHAnsi" w:eastAsiaTheme="minorEastAsia" w:hAnsiTheme="minorHAnsi" w:cstheme="minorBidi"/>
              <w:b w:val="0"/>
              <w:noProof/>
              <w:szCs w:val="22"/>
              <w:lang w:eastAsia="en-AU"/>
            </w:rPr>
          </w:pPr>
          <w:hyperlink w:anchor="_Toc112833584"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_Toc112833584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7DC2EE67" w14:textId="2BCF408F" w:rsidR="003A5DBD" w:rsidRDefault="001C5F86">
          <w:pPr>
            <w:pStyle w:val="TOC3"/>
            <w:rPr>
              <w:rFonts w:asciiTheme="minorHAnsi" w:eastAsiaTheme="minorEastAsia" w:hAnsiTheme="minorHAnsi" w:cstheme="minorBidi"/>
              <w:b w:val="0"/>
              <w:noProof/>
              <w:szCs w:val="22"/>
              <w:lang w:eastAsia="en-AU"/>
            </w:rPr>
          </w:pPr>
          <w:hyperlink w:anchor="_Toc112833585"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_Toc112833585 \h </w:instrText>
            </w:r>
            <w:r w:rsidR="003A5DBD">
              <w:rPr>
                <w:noProof/>
                <w:webHidden/>
              </w:rPr>
            </w:r>
            <w:r w:rsidR="003A5DBD">
              <w:rPr>
                <w:noProof/>
                <w:webHidden/>
              </w:rPr>
              <w:fldChar w:fldCharType="separate"/>
            </w:r>
            <w:r w:rsidR="003A5DBD">
              <w:rPr>
                <w:noProof/>
                <w:webHidden/>
              </w:rPr>
              <w:t>9</w:t>
            </w:r>
            <w:r w:rsidR="003A5DBD">
              <w:rPr>
                <w:noProof/>
                <w:webHidden/>
              </w:rPr>
              <w:fldChar w:fldCharType="end"/>
            </w:r>
          </w:hyperlink>
        </w:p>
        <w:p w14:paraId="3A40D177" w14:textId="0F9D57B2" w:rsidR="003A5DBD" w:rsidRDefault="001C5F86">
          <w:pPr>
            <w:pStyle w:val="TOC3"/>
            <w:rPr>
              <w:rFonts w:asciiTheme="minorHAnsi" w:eastAsiaTheme="minorEastAsia" w:hAnsiTheme="minorHAnsi" w:cstheme="minorBidi"/>
              <w:b w:val="0"/>
              <w:noProof/>
              <w:szCs w:val="22"/>
              <w:lang w:eastAsia="en-AU"/>
            </w:rPr>
          </w:pPr>
          <w:hyperlink w:anchor="_Toc112833586"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_Toc112833586 \h </w:instrText>
            </w:r>
            <w:r w:rsidR="003A5DBD">
              <w:rPr>
                <w:noProof/>
                <w:webHidden/>
              </w:rPr>
            </w:r>
            <w:r w:rsidR="003A5DBD">
              <w:rPr>
                <w:noProof/>
                <w:webHidden/>
              </w:rPr>
              <w:fldChar w:fldCharType="separate"/>
            </w:r>
            <w:r w:rsidR="003A5DBD">
              <w:rPr>
                <w:noProof/>
                <w:webHidden/>
              </w:rPr>
              <w:t>10</w:t>
            </w:r>
            <w:r w:rsidR="003A5DBD">
              <w:rPr>
                <w:noProof/>
                <w:webHidden/>
              </w:rPr>
              <w:fldChar w:fldCharType="end"/>
            </w:r>
          </w:hyperlink>
        </w:p>
        <w:p w14:paraId="63B0995F" w14:textId="0CEE58B5" w:rsidR="003A5DBD" w:rsidRDefault="001C5F86">
          <w:pPr>
            <w:pStyle w:val="TOC3"/>
            <w:rPr>
              <w:rFonts w:asciiTheme="minorHAnsi" w:eastAsiaTheme="minorEastAsia" w:hAnsiTheme="minorHAnsi" w:cstheme="minorBidi"/>
              <w:b w:val="0"/>
              <w:noProof/>
              <w:szCs w:val="22"/>
              <w:lang w:eastAsia="en-AU"/>
            </w:rPr>
          </w:pPr>
          <w:hyperlink w:anchor="_Toc112833587"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_Toc112833587 \h </w:instrText>
            </w:r>
            <w:r w:rsidR="003A5DBD">
              <w:rPr>
                <w:noProof/>
                <w:webHidden/>
              </w:rPr>
            </w:r>
            <w:r w:rsidR="003A5DBD">
              <w:rPr>
                <w:noProof/>
                <w:webHidden/>
              </w:rPr>
              <w:fldChar w:fldCharType="separate"/>
            </w:r>
            <w:r w:rsidR="003A5DBD">
              <w:rPr>
                <w:noProof/>
                <w:webHidden/>
              </w:rPr>
              <w:t>11</w:t>
            </w:r>
            <w:r w:rsidR="003A5DBD">
              <w:rPr>
                <w:noProof/>
                <w:webHidden/>
              </w:rPr>
              <w:fldChar w:fldCharType="end"/>
            </w:r>
          </w:hyperlink>
        </w:p>
        <w:p w14:paraId="08F8B4DF" w14:textId="407C16C7" w:rsidR="003A5DBD" w:rsidRDefault="001C5F86">
          <w:pPr>
            <w:pStyle w:val="TOC3"/>
            <w:rPr>
              <w:rFonts w:asciiTheme="minorHAnsi" w:eastAsiaTheme="minorEastAsia" w:hAnsiTheme="minorHAnsi" w:cstheme="minorBidi"/>
              <w:b w:val="0"/>
              <w:noProof/>
              <w:szCs w:val="22"/>
              <w:lang w:eastAsia="en-AU"/>
            </w:rPr>
          </w:pPr>
          <w:hyperlink w:anchor="_Toc112833588"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_Toc112833588 \h </w:instrText>
            </w:r>
            <w:r w:rsidR="003A5DBD">
              <w:rPr>
                <w:noProof/>
                <w:webHidden/>
              </w:rPr>
            </w:r>
            <w:r w:rsidR="003A5DBD">
              <w:rPr>
                <w:noProof/>
                <w:webHidden/>
              </w:rPr>
              <w:fldChar w:fldCharType="separate"/>
            </w:r>
            <w:r w:rsidR="003A5DBD">
              <w:rPr>
                <w:noProof/>
                <w:webHidden/>
              </w:rPr>
              <w:t>11</w:t>
            </w:r>
            <w:r w:rsidR="003A5DBD">
              <w:rPr>
                <w:noProof/>
                <w:webHidden/>
              </w:rPr>
              <w:fldChar w:fldCharType="end"/>
            </w:r>
          </w:hyperlink>
        </w:p>
        <w:p w14:paraId="483F7CF1" w14:textId="27D679FC" w:rsidR="003A5DBD" w:rsidRDefault="001C5F86">
          <w:pPr>
            <w:pStyle w:val="TOC3"/>
            <w:rPr>
              <w:rFonts w:asciiTheme="minorHAnsi" w:eastAsiaTheme="minorEastAsia" w:hAnsiTheme="minorHAnsi" w:cstheme="minorBidi"/>
              <w:b w:val="0"/>
              <w:noProof/>
              <w:szCs w:val="22"/>
              <w:lang w:eastAsia="en-AU"/>
            </w:rPr>
          </w:pPr>
          <w:hyperlink w:anchor="_Toc112833589"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_Toc112833589 \h </w:instrText>
            </w:r>
            <w:r w:rsidR="003A5DBD">
              <w:rPr>
                <w:noProof/>
                <w:webHidden/>
              </w:rPr>
            </w:r>
            <w:r w:rsidR="003A5DBD">
              <w:rPr>
                <w:noProof/>
                <w:webHidden/>
              </w:rPr>
              <w:fldChar w:fldCharType="separate"/>
            </w:r>
            <w:r w:rsidR="003A5DBD">
              <w:rPr>
                <w:noProof/>
                <w:webHidden/>
              </w:rPr>
              <w:t>12</w:t>
            </w:r>
            <w:r w:rsidR="003A5DBD">
              <w:rPr>
                <w:noProof/>
                <w:webHidden/>
              </w:rPr>
              <w:fldChar w:fldCharType="end"/>
            </w:r>
          </w:hyperlink>
        </w:p>
        <w:p w14:paraId="46A910A7" w14:textId="72D13C56" w:rsidR="003A5DBD" w:rsidRDefault="001C5F86">
          <w:pPr>
            <w:pStyle w:val="TOC3"/>
            <w:rPr>
              <w:rFonts w:asciiTheme="minorHAnsi" w:eastAsiaTheme="minorEastAsia" w:hAnsiTheme="minorHAnsi" w:cstheme="minorBidi"/>
              <w:b w:val="0"/>
              <w:noProof/>
              <w:szCs w:val="22"/>
              <w:lang w:eastAsia="en-AU"/>
            </w:rPr>
          </w:pPr>
          <w:hyperlink w:anchor="_Toc112833590"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_Toc112833590 \h </w:instrText>
            </w:r>
            <w:r w:rsidR="003A5DBD">
              <w:rPr>
                <w:noProof/>
                <w:webHidden/>
              </w:rPr>
            </w:r>
            <w:r w:rsidR="003A5DBD">
              <w:rPr>
                <w:noProof/>
                <w:webHidden/>
              </w:rPr>
              <w:fldChar w:fldCharType="separate"/>
            </w:r>
            <w:r w:rsidR="003A5DBD">
              <w:rPr>
                <w:noProof/>
                <w:webHidden/>
              </w:rPr>
              <w:t>12</w:t>
            </w:r>
            <w:r w:rsidR="003A5DBD">
              <w:rPr>
                <w:noProof/>
                <w:webHidden/>
              </w:rPr>
              <w:fldChar w:fldCharType="end"/>
            </w:r>
          </w:hyperlink>
        </w:p>
        <w:p w14:paraId="5EF0AE1C" w14:textId="1CC41DEF" w:rsidR="003A5DBD" w:rsidRDefault="001C5F86">
          <w:pPr>
            <w:pStyle w:val="TOC3"/>
            <w:rPr>
              <w:rFonts w:asciiTheme="minorHAnsi" w:eastAsiaTheme="minorEastAsia" w:hAnsiTheme="minorHAnsi" w:cstheme="minorBidi"/>
              <w:b w:val="0"/>
              <w:noProof/>
              <w:szCs w:val="22"/>
              <w:lang w:eastAsia="en-AU"/>
            </w:rPr>
          </w:pPr>
          <w:hyperlink w:anchor="_Toc112833591"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_Toc112833591 \h </w:instrText>
            </w:r>
            <w:r w:rsidR="003A5DBD">
              <w:rPr>
                <w:noProof/>
                <w:webHidden/>
              </w:rPr>
            </w:r>
            <w:r w:rsidR="003A5DBD">
              <w:rPr>
                <w:noProof/>
                <w:webHidden/>
              </w:rPr>
              <w:fldChar w:fldCharType="separate"/>
            </w:r>
            <w:r w:rsidR="003A5DBD">
              <w:rPr>
                <w:noProof/>
                <w:webHidden/>
              </w:rPr>
              <w:t>14</w:t>
            </w:r>
            <w:r w:rsidR="003A5DBD">
              <w:rPr>
                <w:noProof/>
                <w:webHidden/>
              </w:rPr>
              <w:fldChar w:fldCharType="end"/>
            </w:r>
          </w:hyperlink>
        </w:p>
        <w:p w14:paraId="52544109" w14:textId="08F6C913" w:rsidR="003A5DBD" w:rsidRDefault="001C5F86">
          <w:pPr>
            <w:pStyle w:val="TOC3"/>
            <w:rPr>
              <w:rFonts w:asciiTheme="minorHAnsi" w:eastAsiaTheme="minorEastAsia" w:hAnsiTheme="minorHAnsi" w:cstheme="minorBidi"/>
              <w:b w:val="0"/>
              <w:noProof/>
              <w:szCs w:val="22"/>
              <w:lang w:eastAsia="en-AU"/>
            </w:rPr>
          </w:pPr>
          <w:hyperlink w:anchor="_Toc112833592" w:history="1">
            <w:r w:rsidR="003A5DBD" w:rsidRPr="005244B2">
              <w:rPr>
                <w:rStyle w:val="Hyperlink"/>
                <w:noProof/>
              </w:rPr>
              <w:t>International advice and recommendations</w:t>
            </w:r>
            <w:r w:rsidR="003A5DBD">
              <w:rPr>
                <w:noProof/>
                <w:webHidden/>
              </w:rPr>
              <w:tab/>
            </w:r>
            <w:r w:rsidR="003A5DBD">
              <w:rPr>
                <w:noProof/>
                <w:webHidden/>
              </w:rPr>
              <w:fldChar w:fldCharType="begin"/>
            </w:r>
            <w:r w:rsidR="003A5DBD">
              <w:rPr>
                <w:noProof/>
                <w:webHidden/>
              </w:rPr>
              <w:instrText xml:space="preserve"> PAGEREF _Toc112833592 \h </w:instrText>
            </w:r>
            <w:r w:rsidR="003A5DBD">
              <w:rPr>
                <w:noProof/>
                <w:webHidden/>
              </w:rPr>
            </w:r>
            <w:r w:rsidR="003A5DBD">
              <w:rPr>
                <w:noProof/>
                <w:webHidden/>
              </w:rPr>
              <w:fldChar w:fldCharType="separate"/>
            </w:r>
            <w:r w:rsidR="003A5DBD">
              <w:rPr>
                <w:noProof/>
                <w:webHidden/>
              </w:rPr>
              <w:t>14</w:t>
            </w:r>
            <w:r w:rsidR="003A5DBD">
              <w:rPr>
                <w:noProof/>
                <w:webHidden/>
              </w:rPr>
              <w:fldChar w:fldCharType="end"/>
            </w:r>
          </w:hyperlink>
        </w:p>
        <w:p w14:paraId="054FE072" w14:textId="2899EAF0" w:rsidR="003A5DBD" w:rsidRDefault="001C5F86">
          <w:pPr>
            <w:pStyle w:val="TOC2"/>
            <w:rPr>
              <w:rFonts w:asciiTheme="minorHAnsi" w:eastAsiaTheme="minorEastAsia" w:hAnsiTheme="minorHAnsi" w:cstheme="minorBidi"/>
              <w:b w:val="0"/>
              <w:noProof/>
              <w:sz w:val="22"/>
              <w:szCs w:val="22"/>
              <w:lang w:eastAsia="en-AU"/>
            </w:rPr>
          </w:pPr>
          <w:hyperlink w:anchor="_Toc112833593" w:history="1">
            <w:r w:rsidR="003A5DBD" w:rsidRPr="005244B2">
              <w:rPr>
                <w:rStyle w:val="Hyperlink"/>
                <w:noProof/>
              </w:rPr>
              <w:t>Brimonidine</w:t>
            </w:r>
            <w:r w:rsidR="003A5DBD">
              <w:rPr>
                <w:noProof/>
                <w:webHidden/>
              </w:rPr>
              <w:tab/>
            </w:r>
            <w:r w:rsidR="003A5DBD">
              <w:rPr>
                <w:noProof/>
                <w:webHidden/>
              </w:rPr>
              <w:fldChar w:fldCharType="begin"/>
            </w:r>
            <w:r w:rsidR="003A5DBD">
              <w:rPr>
                <w:noProof/>
                <w:webHidden/>
              </w:rPr>
              <w:instrText xml:space="preserve"> PAGEREF _Toc112833593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646237A6" w14:textId="52997422" w:rsidR="003A5DBD" w:rsidRDefault="001C5F86">
          <w:pPr>
            <w:pStyle w:val="TOC3"/>
            <w:rPr>
              <w:rFonts w:asciiTheme="minorHAnsi" w:eastAsiaTheme="minorEastAsia" w:hAnsiTheme="minorHAnsi" w:cstheme="minorBidi"/>
              <w:b w:val="0"/>
              <w:noProof/>
              <w:szCs w:val="22"/>
              <w:lang w:eastAsia="en-AU"/>
            </w:rPr>
          </w:pPr>
          <w:hyperlink w:anchor="_Toc112833594"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_Toc112833594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26FDCB06" w14:textId="21D4AE0C" w:rsidR="003A5DBD" w:rsidRDefault="001C5F86">
          <w:pPr>
            <w:pStyle w:val="TOC3"/>
            <w:rPr>
              <w:rFonts w:asciiTheme="minorHAnsi" w:eastAsiaTheme="minorEastAsia" w:hAnsiTheme="minorHAnsi" w:cstheme="minorBidi"/>
              <w:b w:val="0"/>
              <w:noProof/>
              <w:szCs w:val="22"/>
              <w:lang w:eastAsia="en-AU"/>
            </w:rPr>
          </w:pPr>
          <w:hyperlink w:anchor="_Toc112833595"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_Toc112833595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71627859" w14:textId="02F3ACD2" w:rsidR="003A5DBD" w:rsidRDefault="001C5F86">
          <w:pPr>
            <w:pStyle w:val="TOC3"/>
            <w:rPr>
              <w:rFonts w:asciiTheme="minorHAnsi" w:eastAsiaTheme="minorEastAsia" w:hAnsiTheme="minorHAnsi" w:cstheme="minorBidi"/>
              <w:b w:val="0"/>
              <w:noProof/>
              <w:szCs w:val="22"/>
              <w:lang w:eastAsia="en-AU"/>
            </w:rPr>
          </w:pPr>
          <w:hyperlink w:anchor="_Toc112833596"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_Toc112833596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69AFDFFF" w14:textId="1B2642CB" w:rsidR="003A5DBD" w:rsidRDefault="001C5F86">
          <w:pPr>
            <w:pStyle w:val="TOC3"/>
            <w:rPr>
              <w:rFonts w:asciiTheme="minorHAnsi" w:eastAsiaTheme="minorEastAsia" w:hAnsiTheme="minorHAnsi" w:cstheme="minorBidi"/>
              <w:b w:val="0"/>
              <w:noProof/>
              <w:szCs w:val="22"/>
              <w:lang w:eastAsia="en-AU"/>
            </w:rPr>
          </w:pPr>
          <w:hyperlink w:anchor="_Toc112833597"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_Toc112833597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1B31289C" w14:textId="308E5F55" w:rsidR="003A5DBD" w:rsidRDefault="001C5F86">
          <w:pPr>
            <w:pStyle w:val="TOC3"/>
            <w:rPr>
              <w:rFonts w:asciiTheme="minorHAnsi" w:eastAsiaTheme="minorEastAsia" w:hAnsiTheme="minorHAnsi" w:cstheme="minorBidi"/>
              <w:b w:val="0"/>
              <w:noProof/>
              <w:szCs w:val="22"/>
              <w:lang w:eastAsia="en-AU"/>
            </w:rPr>
          </w:pPr>
          <w:hyperlink w:anchor="_Toc112833598"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_Toc112833598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47EF9C86" w14:textId="6583B5E6" w:rsidR="003A5DBD" w:rsidRDefault="001C5F86">
          <w:pPr>
            <w:pStyle w:val="TOC3"/>
            <w:rPr>
              <w:rFonts w:asciiTheme="minorHAnsi" w:eastAsiaTheme="minorEastAsia" w:hAnsiTheme="minorHAnsi" w:cstheme="minorBidi"/>
              <w:b w:val="0"/>
              <w:noProof/>
              <w:szCs w:val="22"/>
              <w:lang w:eastAsia="en-AU"/>
            </w:rPr>
          </w:pPr>
          <w:hyperlink w:anchor="_Toc112833599"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_Toc112833599 \h </w:instrText>
            </w:r>
            <w:r w:rsidR="003A5DBD">
              <w:rPr>
                <w:noProof/>
                <w:webHidden/>
              </w:rPr>
            </w:r>
            <w:r w:rsidR="003A5DBD">
              <w:rPr>
                <w:noProof/>
                <w:webHidden/>
              </w:rPr>
              <w:fldChar w:fldCharType="separate"/>
            </w:r>
            <w:r w:rsidR="003A5DBD">
              <w:rPr>
                <w:noProof/>
                <w:webHidden/>
              </w:rPr>
              <w:t>15</w:t>
            </w:r>
            <w:r w:rsidR="003A5DBD">
              <w:rPr>
                <w:noProof/>
                <w:webHidden/>
              </w:rPr>
              <w:fldChar w:fldCharType="end"/>
            </w:r>
          </w:hyperlink>
        </w:p>
        <w:p w14:paraId="4E548ED4" w14:textId="0E68F6ED" w:rsidR="003A5DBD" w:rsidRDefault="001C5F86">
          <w:pPr>
            <w:pStyle w:val="TOC3"/>
            <w:rPr>
              <w:rFonts w:asciiTheme="minorHAnsi" w:eastAsiaTheme="minorEastAsia" w:hAnsiTheme="minorHAnsi" w:cstheme="minorBidi"/>
              <w:b w:val="0"/>
              <w:noProof/>
              <w:szCs w:val="22"/>
              <w:lang w:eastAsia="en-AU"/>
            </w:rPr>
          </w:pPr>
          <w:hyperlink w:anchor="_Toc112833600"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_Toc112833600 \h </w:instrText>
            </w:r>
            <w:r w:rsidR="003A5DBD">
              <w:rPr>
                <w:noProof/>
                <w:webHidden/>
              </w:rPr>
            </w:r>
            <w:r w:rsidR="003A5DBD">
              <w:rPr>
                <w:noProof/>
                <w:webHidden/>
              </w:rPr>
              <w:fldChar w:fldCharType="separate"/>
            </w:r>
            <w:r w:rsidR="003A5DBD">
              <w:rPr>
                <w:noProof/>
                <w:webHidden/>
              </w:rPr>
              <w:t>16</w:t>
            </w:r>
            <w:r w:rsidR="003A5DBD">
              <w:rPr>
                <w:noProof/>
                <w:webHidden/>
              </w:rPr>
              <w:fldChar w:fldCharType="end"/>
            </w:r>
          </w:hyperlink>
        </w:p>
        <w:p w14:paraId="1CF8462A" w14:textId="1FAF7DB1" w:rsidR="003A5DBD" w:rsidRDefault="001C5F86">
          <w:pPr>
            <w:pStyle w:val="TOC3"/>
            <w:rPr>
              <w:rFonts w:asciiTheme="minorHAnsi" w:eastAsiaTheme="minorEastAsia" w:hAnsiTheme="minorHAnsi" w:cstheme="minorBidi"/>
              <w:b w:val="0"/>
              <w:noProof/>
              <w:szCs w:val="22"/>
              <w:lang w:eastAsia="en-AU"/>
            </w:rPr>
          </w:pPr>
          <w:hyperlink w:anchor="_Toc112833601"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_Toc112833601 \h </w:instrText>
            </w:r>
            <w:r w:rsidR="003A5DBD">
              <w:rPr>
                <w:noProof/>
                <w:webHidden/>
              </w:rPr>
            </w:r>
            <w:r w:rsidR="003A5DBD">
              <w:rPr>
                <w:noProof/>
                <w:webHidden/>
              </w:rPr>
              <w:fldChar w:fldCharType="separate"/>
            </w:r>
            <w:r w:rsidR="003A5DBD">
              <w:rPr>
                <w:noProof/>
                <w:webHidden/>
              </w:rPr>
              <w:t>16</w:t>
            </w:r>
            <w:r w:rsidR="003A5DBD">
              <w:rPr>
                <w:noProof/>
                <w:webHidden/>
              </w:rPr>
              <w:fldChar w:fldCharType="end"/>
            </w:r>
          </w:hyperlink>
        </w:p>
        <w:p w14:paraId="7BA8895A" w14:textId="4B67F1D3" w:rsidR="003A5DBD" w:rsidRDefault="001C5F86">
          <w:pPr>
            <w:pStyle w:val="TOC3"/>
            <w:rPr>
              <w:rFonts w:asciiTheme="minorHAnsi" w:eastAsiaTheme="minorEastAsia" w:hAnsiTheme="minorHAnsi" w:cstheme="minorBidi"/>
              <w:b w:val="0"/>
              <w:noProof/>
              <w:szCs w:val="22"/>
              <w:lang w:eastAsia="en-AU"/>
            </w:rPr>
          </w:pPr>
          <w:hyperlink w:anchor="_Toc112833602"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_Toc112833602 \h </w:instrText>
            </w:r>
            <w:r w:rsidR="003A5DBD">
              <w:rPr>
                <w:noProof/>
                <w:webHidden/>
              </w:rPr>
            </w:r>
            <w:r w:rsidR="003A5DBD">
              <w:rPr>
                <w:noProof/>
                <w:webHidden/>
              </w:rPr>
              <w:fldChar w:fldCharType="separate"/>
            </w:r>
            <w:r w:rsidR="003A5DBD">
              <w:rPr>
                <w:noProof/>
                <w:webHidden/>
              </w:rPr>
              <w:t>16</w:t>
            </w:r>
            <w:r w:rsidR="003A5DBD">
              <w:rPr>
                <w:noProof/>
                <w:webHidden/>
              </w:rPr>
              <w:fldChar w:fldCharType="end"/>
            </w:r>
          </w:hyperlink>
        </w:p>
        <w:p w14:paraId="0BAA4892" w14:textId="732180C1" w:rsidR="003A5DBD" w:rsidRDefault="001C5F86">
          <w:pPr>
            <w:pStyle w:val="TOC3"/>
            <w:rPr>
              <w:rFonts w:asciiTheme="minorHAnsi" w:eastAsiaTheme="minorEastAsia" w:hAnsiTheme="minorHAnsi" w:cstheme="minorBidi"/>
              <w:b w:val="0"/>
              <w:noProof/>
              <w:szCs w:val="22"/>
              <w:lang w:eastAsia="en-AU"/>
            </w:rPr>
          </w:pPr>
          <w:hyperlink w:anchor="_Toc112833603"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_Toc112833603 \h </w:instrText>
            </w:r>
            <w:r w:rsidR="003A5DBD">
              <w:rPr>
                <w:noProof/>
                <w:webHidden/>
              </w:rPr>
            </w:r>
            <w:r w:rsidR="003A5DBD">
              <w:rPr>
                <w:noProof/>
                <w:webHidden/>
              </w:rPr>
              <w:fldChar w:fldCharType="separate"/>
            </w:r>
            <w:r w:rsidR="003A5DBD">
              <w:rPr>
                <w:noProof/>
                <w:webHidden/>
              </w:rPr>
              <w:t>16</w:t>
            </w:r>
            <w:r w:rsidR="003A5DBD">
              <w:rPr>
                <w:noProof/>
                <w:webHidden/>
              </w:rPr>
              <w:fldChar w:fldCharType="end"/>
            </w:r>
          </w:hyperlink>
        </w:p>
        <w:p w14:paraId="1EAEBAB8" w14:textId="68C57DE8" w:rsidR="003A5DBD" w:rsidRDefault="001C5F86">
          <w:pPr>
            <w:pStyle w:val="TOC3"/>
            <w:rPr>
              <w:rFonts w:asciiTheme="minorHAnsi" w:eastAsiaTheme="minorEastAsia" w:hAnsiTheme="minorHAnsi" w:cstheme="minorBidi"/>
              <w:b w:val="0"/>
              <w:noProof/>
              <w:szCs w:val="22"/>
              <w:lang w:eastAsia="en-AU"/>
            </w:rPr>
          </w:pPr>
          <w:hyperlink w:anchor="_Toc112833604"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_Toc112833604 \h </w:instrText>
            </w:r>
            <w:r w:rsidR="003A5DBD">
              <w:rPr>
                <w:noProof/>
                <w:webHidden/>
              </w:rPr>
            </w:r>
            <w:r w:rsidR="003A5DBD">
              <w:rPr>
                <w:noProof/>
                <w:webHidden/>
              </w:rPr>
              <w:fldChar w:fldCharType="separate"/>
            </w:r>
            <w:r w:rsidR="003A5DBD">
              <w:rPr>
                <w:noProof/>
                <w:webHidden/>
              </w:rPr>
              <w:t>17</w:t>
            </w:r>
            <w:r w:rsidR="003A5DBD">
              <w:rPr>
                <w:noProof/>
                <w:webHidden/>
              </w:rPr>
              <w:fldChar w:fldCharType="end"/>
            </w:r>
          </w:hyperlink>
        </w:p>
        <w:p w14:paraId="303DE8BB" w14:textId="4548BD8B" w:rsidR="003A5DBD" w:rsidRDefault="001C5F86">
          <w:pPr>
            <w:pStyle w:val="TOC2"/>
            <w:rPr>
              <w:rFonts w:asciiTheme="minorHAnsi" w:eastAsiaTheme="minorEastAsia" w:hAnsiTheme="minorHAnsi" w:cstheme="minorBidi"/>
              <w:b w:val="0"/>
              <w:noProof/>
              <w:sz w:val="22"/>
              <w:szCs w:val="22"/>
              <w:lang w:eastAsia="en-AU"/>
            </w:rPr>
          </w:pPr>
          <w:hyperlink w:anchor="_Toc112833605" w:history="1">
            <w:r w:rsidR="003A5DBD" w:rsidRPr="005244B2">
              <w:rPr>
                <w:rStyle w:val="Hyperlink"/>
                <w:noProof/>
              </w:rPr>
              <w:t>Fexofenadine</w:t>
            </w:r>
            <w:r w:rsidR="003A5DBD">
              <w:rPr>
                <w:noProof/>
                <w:webHidden/>
              </w:rPr>
              <w:tab/>
            </w:r>
            <w:r w:rsidR="003A5DBD">
              <w:rPr>
                <w:noProof/>
                <w:webHidden/>
              </w:rPr>
              <w:fldChar w:fldCharType="begin"/>
            </w:r>
            <w:r w:rsidR="003A5DBD">
              <w:rPr>
                <w:noProof/>
                <w:webHidden/>
              </w:rPr>
              <w:instrText xml:space="preserve"> PAGEREF _Toc112833605 \h </w:instrText>
            </w:r>
            <w:r w:rsidR="003A5DBD">
              <w:rPr>
                <w:noProof/>
                <w:webHidden/>
              </w:rPr>
            </w:r>
            <w:r w:rsidR="003A5DBD">
              <w:rPr>
                <w:noProof/>
                <w:webHidden/>
              </w:rPr>
              <w:fldChar w:fldCharType="separate"/>
            </w:r>
            <w:r w:rsidR="003A5DBD">
              <w:rPr>
                <w:noProof/>
                <w:webHidden/>
              </w:rPr>
              <w:t>18</w:t>
            </w:r>
            <w:r w:rsidR="003A5DBD">
              <w:rPr>
                <w:noProof/>
                <w:webHidden/>
              </w:rPr>
              <w:fldChar w:fldCharType="end"/>
            </w:r>
          </w:hyperlink>
        </w:p>
        <w:p w14:paraId="52161723" w14:textId="1F139B9D" w:rsidR="003A5DBD" w:rsidRDefault="001C5F86">
          <w:pPr>
            <w:pStyle w:val="TOC3"/>
            <w:rPr>
              <w:rFonts w:asciiTheme="minorHAnsi" w:eastAsiaTheme="minorEastAsia" w:hAnsiTheme="minorHAnsi" w:cstheme="minorBidi"/>
              <w:b w:val="0"/>
              <w:noProof/>
              <w:szCs w:val="22"/>
              <w:lang w:eastAsia="en-AU"/>
            </w:rPr>
          </w:pPr>
          <w:hyperlink w:anchor="_Toc112833606"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_Toc112833606 \h </w:instrText>
            </w:r>
            <w:r w:rsidR="003A5DBD">
              <w:rPr>
                <w:noProof/>
                <w:webHidden/>
              </w:rPr>
            </w:r>
            <w:r w:rsidR="003A5DBD">
              <w:rPr>
                <w:noProof/>
                <w:webHidden/>
              </w:rPr>
              <w:fldChar w:fldCharType="separate"/>
            </w:r>
            <w:r w:rsidR="003A5DBD">
              <w:rPr>
                <w:noProof/>
                <w:webHidden/>
              </w:rPr>
              <w:t>18</w:t>
            </w:r>
            <w:r w:rsidR="003A5DBD">
              <w:rPr>
                <w:noProof/>
                <w:webHidden/>
              </w:rPr>
              <w:fldChar w:fldCharType="end"/>
            </w:r>
          </w:hyperlink>
        </w:p>
        <w:p w14:paraId="34828550" w14:textId="0F683375" w:rsidR="003A5DBD" w:rsidRDefault="001C5F86">
          <w:pPr>
            <w:pStyle w:val="TOC3"/>
            <w:rPr>
              <w:rFonts w:asciiTheme="minorHAnsi" w:eastAsiaTheme="minorEastAsia" w:hAnsiTheme="minorHAnsi" w:cstheme="minorBidi"/>
              <w:b w:val="0"/>
              <w:noProof/>
              <w:szCs w:val="22"/>
              <w:lang w:eastAsia="en-AU"/>
            </w:rPr>
          </w:pPr>
          <w:hyperlink w:anchor="_Toc112833607"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_Toc112833607 \h </w:instrText>
            </w:r>
            <w:r w:rsidR="003A5DBD">
              <w:rPr>
                <w:noProof/>
                <w:webHidden/>
              </w:rPr>
            </w:r>
            <w:r w:rsidR="003A5DBD">
              <w:rPr>
                <w:noProof/>
                <w:webHidden/>
              </w:rPr>
              <w:fldChar w:fldCharType="separate"/>
            </w:r>
            <w:r w:rsidR="003A5DBD">
              <w:rPr>
                <w:noProof/>
                <w:webHidden/>
              </w:rPr>
              <w:t>18</w:t>
            </w:r>
            <w:r w:rsidR="003A5DBD">
              <w:rPr>
                <w:noProof/>
                <w:webHidden/>
              </w:rPr>
              <w:fldChar w:fldCharType="end"/>
            </w:r>
          </w:hyperlink>
        </w:p>
        <w:p w14:paraId="0E41219C" w14:textId="6112D0DA" w:rsidR="003A5DBD" w:rsidRDefault="001C5F86">
          <w:pPr>
            <w:pStyle w:val="TOC3"/>
            <w:rPr>
              <w:rFonts w:asciiTheme="minorHAnsi" w:eastAsiaTheme="minorEastAsia" w:hAnsiTheme="minorHAnsi" w:cstheme="minorBidi"/>
              <w:b w:val="0"/>
              <w:noProof/>
              <w:szCs w:val="22"/>
              <w:lang w:eastAsia="en-AU"/>
            </w:rPr>
          </w:pPr>
          <w:hyperlink w:anchor="_Toc112833608"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_Toc112833608 \h </w:instrText>
            </w:r>
            <w:r w:rsidR="003A5DBD">
              <w:rPr>
                <w:noProof/>
                <w:webHidden/>
              </w:rPr>
            </w:r>
            <w:r w:rsidR="003A5DBD">
              <w:rPr>
                <w:noProof/>
                <w:webHidden/>
              </w:rPr>
              <w:fldChar w:fldCharType="separate"/>
            </w:r>
            <w:r w:rsidR="003A5DBD">
              <w:rPr>
                <w:noProof/>
                <w:webHidden/>
              </w:rPr>
              <w:t>18</w:t>
            </w:r>
            <w:r w:rsidR="003A5DBD">
              <w:rPr>
                <w:noProof/>
                <w:webHidden/>
              </w:rPr>
              <w:fldChar w:fldCharType="end"/>
            </w:r>
          </w:hyperlink>
        </w:p>
        <w:p w14:paraId="73B32573" w14:textId="3003130E" w:rsidR="003A5DBD" w:rsidRDefault="001C5F86">
          <w:pPr>
            <w:pStyle w:val="TOC3"/>
            <w:rPr>
              <w:rFonts w:asciiTheme="minorHAnsi" w:eastAsiaTheme="minorEastAsia" w:hAnsiTheme="minorHAnsi" w:cstheme="minorBidi"/>
              <w:b w:val="0"/>
              <w:noProof/>
              <w:szCs w:val="22"/>
              <w:lang w:eastAsia="en-AU"/>
            </w:rPr>
          </w:pPr>
          <w:hyperlink w:anchor="_Toc112833609"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_Toc112833609 \h </w:instrText>
            </w:r>
            <w:r w:rsidR="003A5DBD">
              <w:rPr>
                <w:noProof/>
                <w:webHidden/>
              </w:rPr>
            </w:r>
            <w:r w:rsidR="003A5DBD">
              <w:rPr>
                <w:noProof/>
                <w:webHidden/>
              </w:rPr>
              <w:fldChar w:fldCharType="separate"/>
            </w:r>
            <w:r w:rsidR="003A5DBD">
              <w:rPr>
                <w:noProof/>
                <w:webHidden/>
              </w:rPr>
              <w:t>18</w:t>
            </w:r>
            <w:r w:rsidR="003A5DBD">
              <w:rPr>
                <w:noProof/>
                <w:webHidden/>
              </w:rPr>
              <w:fldChar w:fldCharType="end"/>
            </w:r>
          </w:hyperlink>
        </w:p>
        <w:p w14:paraId="3AB0AD6E" w14:textId="46556027" w:rsidR="003A5DBD" w:rsidRDefault="001C5F86">
          <w:pPr>
            <w:pStyle w:val="TOC3"/>
            <w:rPr>
              <w:rFonts w:asciiTheme="minorHAnsi" w:eastAsiaTheme="minorEastAsia" w:hAnsiTheme="minorHAnsi" w:cstheme="minorBidi"/>
              <w:b w:val="0"/>
              <w:noProof/>
              <w:szCs w:val="22"/>
              <w:lang w:eastAsia="en-AU"/>
            </w:rPr>
          </w:pPr>
          <w:hyperlink w:anchor="_Toc112833610"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_Toc112833610 \h </w:instrText>
            </w:r>
            <w:r w:rsidR="003A5DBD">
              <w:rPr>
                <w:noProof/>
                <w:webHidden/>
              </w:rPr>
            </w:r>
            <w:r w:rsidR="003A5DBD">
              <w:rPr>
                <w:noProof/>
                <w:webHidden/>
              </w:rPr>
              <w:fldChar w:fldCharType="separate"/>
            </w:r>
            <w:r w:rsidR="003A5DBD">
              <w:rPr>
                <w:noProof/>
                <w:webHidden/>
              </w:rPr>
              <w:t>18</w:t>
            </w:r>
            <w:r w:rsidR="003A5DBD">
              <w:rPr>
                <w:noProof/>
                <w:webHidden/>
              </w:rPr>
              <w:fldChar w:fldCharType="end"/>
            </w:r>
          </w:hyperlink>
        </w:p>
        <w:p w14:paraId="26FA2A28" w14:textId="4C31FB27" w:rsidR="003A5DBD" w:rsidRDefault="001C5F86">
          <w:pPr>
            <w:pStyle w:val="TOC3"/>
            <w:rPr>
              <w:rFonts w:asciiTheme="minorHAnsi" w:eastAsiaTheme="minorEastAsia" w:hAnsiTheme="minorHAnsi" w:cstheme="minorBidi"/>
              <w:b w:val="0"/>
              <w:noProof/>
              <w:szCs w:val="22"/>
              <w:lang w:eastAsia="en-AU"/>
            </w:rPr>
          </w:pPr>
          <w:hyperlink w:anchor="_Toc112833611"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_Toc112833611 \h </w:instrText>
            </w:r>
            <w:r w:rsidR="003A5DBD">
              <w:rPr>
                <w:noProof/>
                <w:webHidden/>
              </w:rPr>
            </w:r>
            <w:r w:rsidR="003A5DBD">
              <w:rPr>
                <w:noProof/>
                <w:webHidden/>
              </w:rPr>
              <w:fldChar w:fldCharType="separate"/>
            </w:r>
            <w:r w:rsidR="003A5DBD">
              <w:rPr>
                <w:noProof/>
                <w:webHidden/>
              </w:rPr>
              <w:t>20</w:t>
            </w:r>
            <w:r w:rsidR="003A5DBD">
              <w:rPr>
                <w:noProof/>
                <w:webHidden/>
              </w:rPr>
              <w:fldChar w:fldCharType="end"/>
            </w:r>
          </w:hyperlink>
        </w:p>
        <w:p w14:paraId="66300829" w14:textId="3618D89E" w:rsidR="003A5DBD" w:rsidRDefault="001C5F86">
          <w:pPr>
            <w:pStyle w:val="TOC3"/>
            <w:rPr>
              <w:rFonts w:asciiTheme="minorHAnsi" w:eastAsiaTheme="minorEastAsia" w:hAnsiTheme="minorHAnsi" w:cstheme="minorBidi"/>
              <w:b w:val="0"/>
              <w:noProof/>
              <w:szCs w:val="22"/>
              <w:lang w:eastAsia="en-AU"/>
            </w:rPr>
          </w:pPr>
          <w:hyperlink w:anchor="_Toc112833612"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_Toc112833612 \h </w:instrText>
            </w:r>
            <w:r w:rsidR="003A5DBD">
              <w:rPr>
                <w:noProof/>
                <w:webHidden/>
              </w:rPr>
            </w:r>
            <w:r w:rsidR="003A5DBD">
              <w:rPr>
                <w:noProof/>
                <w:webHidden/>
              </w:rPr>
              <w:fldChar w:fldCharType="separate"/>
            </w:r>
            <w:r w:rsidR="003A5DBD">
              <w:rPr>
                <w:noProof/>
                <w:webHidden/>
              </w:rPr>
              <w:t>21</w:t>
            </w:r>
            <w:r w:rsidR="003A5DBD">
              <w:rPr>
                <w:noProof/>
                <w:webHidden/>
              </w:rPr>
              <w:fldChar w:fldCharType="end"/>
            </w:r>
          </w:hyperlink>
        </w:p>
        <w:p w14:paraId="5BB5FF9C" w14:textId="56C84F23" w:rsidR="003A5DBD" w:rsidRDefault="001C5F86">
          <w:pPr>
            <w:pStyle w:val="TOC3"/>
            <w:rPr>
              <w:rFonts w:asciiTheme="minorHAnsi" w:eastAsiaTheme="minorEastAsia" w:hAnsiTheme="minorHAnsi" w:cstheme="minorBidi"/>
              <w:b w:val="0"/>
              <w:noProof/>
              <w:szCs w:val="22"/>
              <w:lang w:eastAsia="en-AU"/>
            </w:rPr>
          </w:pPr>
          <w:hyperlink w:anchor="_Toc112833613"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_Toc112833613 \h </w:instrText>
            </w:r>
            <w:r w:rsidR="003A5DBD">
              <w:rPr>
                <w:noProof/>
                <w:webHidden/>
              </w:rPr>
            </w:r>
            <w:r w:rsidR="003A5DBD">
              <w:rPr>
                <w:noProof/>
                <w:webHidden/>
              </w:rPr>
              <w:fldChar w:fldCharType="separate"/>
            </w:r>
            <w:r w:rsidR="003A5DBD">
              <w:rPr>
                <w:noProof/>
                <w:webHidden/>
              </w:rPr>
              <w:t>21</w:t>
            </w:r>
            <w:r w:rsidR="003A5DBD">
              <w:rPr>
                <w:noProof/>
                <w:webHidden/>
              </w:rPr>
              <w:fldChar w:fldCharType="end"/>
            </w:r>
          </w:hyperlink>
        </w:p>
        <w:p w14:paraId="701BE108" w14:textId="32EFA05E" w:rsidR="003A5DBD" w:rsidRDefault="001C5F86">
          <w:pPr>
            <w:pStyle w:val="TOC3"/>
            <w:rPr>
              <w:rFonts w:asciiTheme="minorHAnsi" w:eastAsiaTheme="minorEastAsia" w:hAnsiTheme="minorHAnsi" w:cstheme="minorBidi"/>
              <w:b w:val="0"/>
              <w:noProof/>
              <w:szCs w:val="22"/>
              <w:lang w:eastAsia="en-AU"/>
            </w:rPr>
          </w:pPr>
          <w:hyperlink w:anchor="_Toc112833614"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_Toc112833614 \h </w:instrText>
            </w:r>
            <w:r w:rsidR="003A5DBD">
              <w:rPr>
                <w:noProof/>
                <w:webHidden/>
              </w:rPr>
            </w:r>
            <w:r w:rsidR="003A5DBD">
              <w:rPr>
                <w:noProof/>
                <w:webHidden/>
              </w:rPr>
              <w:fldChar w:fldCharType="separate"/>
            </w:r>
            <w:r w:rsidR="003A5DBD">
              <w:rPr>
                <w:noProof/>
                <w:webHidden/>
              </w:rPr>
              <w:t>22</w:t>
            </w:r>
            <w:r w:rsidR="003A5DBD">
              <w:rPr>
                <w:noProof/>
                <w:webHidden/>
              </w:rPr>
              <w:fldChar w:fldCharType="end"/>
            </w:r>
          </w:hyperlink>
        </w:p>
        <w:p w14:paraId="7894D62E" w14:textId="578DFEDD" w:rsidR="003A5DBD" w:rsidRDefault="001C5F86">
          <w:pPr>
            <w:pStyle w:val="TOC3"/>
            <w:rPr>
              <w:rFonts w:asciiTheme="minorHAnsi" w:eastAsiaTheme="minorEastAsia" w:hAnsiTheme="minorHAnsi" w:cstheme="minorBidi"/>
              <w:b w:val="0"/>
              <w:noProof/>
              <w:szCs w:val="22"/>
              <w:lang w:eastAsia="en-AU"/>
            </w:rPr>
          </w:pPr>
          <w:hyperlink w:anchor="_Toc112833615"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_Toc112833615 \h </w:instrText>
            </w:r>
            <w:r w:rsidR="003A5DBD">
              <w:rPr>
                <w:noProof/>
                <w:webHidden/>
              </w:rPr>
            </w:r>
            <w:r w:rsidR="003A5DBD">
              <w:rPr>
                <w:noProof/>
                <w:webHidden/>
              </w:rPr>
              <w:fldChar w:fldCharType="separate"/>
            </w:r>
            <w:r w:rsidR="003A5DBD">
              <w:rPr>
                <w:noProof/>
                <w:webHidden/>
              </w:rPr>
              <w:t>22</w:t>
            </w:r>
            <w:r w:rsidR="003A5DBD">
              <w:rPr>
                <w:noProof/>
                <w:webHidden/>
              </w:rPr>
              <w:fldChar w:fldCharType="end"/>
            </w:r>
          </w:hyperlink>
        </w:p>
        <w:p w14:paraId="00E9A0AB" w14:textId="49C4E388" w:rsidR="003A5DBD" w:rsidRDefault="001C5F86">
          <w:pPr>
            <w:pStyle w:val="TOC3"/>
            <w:rPr>
              <w:rFonts w:asciiTheme="minorHAnsi" w:eastAsiaTheme="minorEastAsia" w:hAnsiTheme="minorHAnsi" w:cstheme="minorBidi"/>
              <w:b w:val="0"/>
              <w:noProof/>
              <w:szCs w:val="22"/>
              <w:lang w:eastAsia="en-AU"/>
            </w:rPr>
          </w:pPr>
          <w:hyperlink w:anchor="_Toc112833616"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_Toc112833616 \h </w:instrText>
            </w:r>
            <w:r w:rsidR="003A5DBD">
              <w:rPr>
                <w:noProof/>
                <w:webHidden/>
              </w:rPr>
            </w:r>
            <w:r w:rsidR="003A5DBD">
              <w:rPr>
                <w:noProof/>
                <w:webHidden/>
              </w:rPr>
              <w:fldChar w:fldCharType="separate"/>
            </w:r>
            <w:r w:rsidR="003A5DBD">
              <w:rPr>
                <w:noProof/>
                <w:webHidden/>
              </w:rPr>
              <w:t>23</w:t>
            </w:r>
            <w:r w:rsidR="003A5DBD">
              <w:rPr>
                <w:noProof/>
                <w:webHidden/>
              </w:rPr>
              <w:fldChar w:fldCharType="end"/>
            </w:r>
          </w:hyperlink>
        </w:p>
        <w:p w14:paraId="1DC580A3" w14:textId="487571B0" w:rsidR="003A5DBD" w:rsidRDefault="001C5F86">
          <w:pPr>
            <w:pStyle w:val="TOC2"/>
            <w:rPr>
              <w:rFonts w:asciiTheme="minorHAnsi" w:eastAsiaTheme="minorEastAsia" w:hAnsiTheme="minorHAnsi" w:cstheme="minorBidi"/>
              <w:b w:val="0"/>
              <w:noProof/>
              <w:sz w:val="22"/>
              <w:szCs w:val="22"/>
              <w:lang w:eastAsia="en-AU"/>
            </w:rPr>
          </w:pPr>
          <w:hyperlink w:anchor="_Toc112833617" w:history="1">
            <w:r w:rsidR="003A5DBD" w:rsidRPr="005244B2">
              <w:rPr>
                <w:rStyle w:val="Hyperlink"/>
                <w:noProof/>
              </w:rPr>
              <w:t>Ibuprofen</w:t>
            </w:r>
            <w:r w:rsidR="003A5DBD">
              <w:rPr>
                <w:noProof/>
                <w:webHidden/>
              </w:rPr>
              <w:tab/>
            </w:r>
            <w:r w:rsidR="003A5DBD">
              <w:rPr>
                <w:noProof/>
                <w:webHidden/>
              </w:rPr>
              <w:fldChar w:fldCharType="begin"/>
            </w:r>
            <w:r w:rsidR="003A5DBD">
              <w:rPr>
                <w:noProof/>
                <w:webHidden/>
              </w:rPr>
              <w:instrText xml:space="preserve"> PAGEREF _Toc112833617 \h </w:instrText>
            </w:r>
            <w:r w:rsidR="003A5DBD">
              <w:rPr>
                <w:noProof/>
                <w:webHidden/>
              </w:rPr>
            </w:r>
            <w:r w:rsidR="003A5DBD">
              <w:rPr>
                <w:noProof/>
                <w:webHidden/>
              </w:rPr>
              <w:fldChar w:fldCharType="separate"/>
            </w:r>
            <w:r w:rsidR="003A5DBD">
              <w:rPr>
                <w:noProof/>
                <w:webHidden/>
              </w:rPr>
              <w:t>24</w:t>
            </w:r>
            <w:r w:rsidR="003A5DBD">
              <w:rPr>
                <w:noProof/>
                <w:webHidden/>
              </w:rPr>
              <w:fldChar w:fldCharType="end"/>
            </w:r>
          </w:hyperlink>
        </w:p>
        <w:p w14:paraId="3CE4AFC1" w14:textId="52A7BDBB" w:rsidR="003A5DBD" w:rsidRDefault="001C5F86">
          <w:pPr>
            <w:pStyle w:val="TOC3"/>
            <w:rPr>
              <w:rFonts w:asciiTheme="minorHAnsi" w:eastAsiaTheme="minorEastAsia" w:hAnsiTheme="minorHAnsi" w:cstheme="minorBidi"/>
              <w:b w:val="0"/>
              <w:noProof/>
              <w:szCs w:val="22"/>
              <w:lang w:eastAsia="en-AU"/>
            </w:rPr>
          </w:pPr>
          <w:hyperlink w:anchor="_Toc112833618"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_Toc112833618 \h </w:instrText>
            </w:r>
            <w:r w:rsidR="003A5DBD">
              <w:rPr>
                <w:noProof/>
                <w:webHidden/>
              </w:rPr>
            </w:r>
            <w:r w:rsidR="003A5DBD">
              <w:rPr>
                <w:noProof/>
                <w:webHidden/>
              </w:rPr>
              <w:fldChar w:fldCharType="separate"/>
            </w:r>
            <w:r w:rsidR="003A5DBD">
              <w:rPr>
                <w:noProof/>
                <w:webHidden/>
              </w:rPr>
              <w:t>24</w:t>
            </w:r>
            <w:r w:rsidR="003A5DBD">
              <w:rPr>
                <w:noProof/>
                <w:webHidden/>
              </w:rPr>
              <w:fldChar w:fldCharType="end"/>
            </w:r>
          </w:hyperlink>
        </w:p>
        <w:p w14:paraId="2C37497B" w14:textId="44F3193D" w:rsidR="003A5DBD" w:rsidRDefault="001C5F86">
          <w:pPr>
            <w:pStyle w:val="TOC3"/>
            <w:rPr>
              <w:rFonts w:asciiTheme="minorHAnsi" w:eastAsiaTheme="minorEastAsia" w:hAnsiTheme="minorHAnsi" w:cstheme="minorBidi"/>
              <w:b w:val="0"/>
              <w:noProof/>
              <w:szCs w:val="22"/>
              <w:lang w:eastAsia="en-AU"/>
            </w:rPr>
          </w:pPr>
          <w:hyperlink w:anchor="_Toc112833619"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_Toc112833619 \h </w:instrText>
            </w:r>
            <w:r w:rsidR="003A5DBD">
              <w:rPr>
                <w:noProof/>
                <w:webHidden/>
              </w:rPr>
            </w:r>
            <w:r w:rsidR="003A5DBD">
              <w:rPr>
                <w:noProof/>
                <w:webHidden/>
              </w:rPr>
              <w:fldChar w:fldCharType="separate"/>
            </w:r>
            <w:r w:rsidR="003A5DBD">
              <w:rPr>
                <w:noProof/>
                <w:webHidden/>
              </w:rPr>
              <w:t>25</w:t>
            </w:r>
            <w:r w:rsidR="003A5DBD">
              <w:rPr>
                <w:noProof/>
                <w:webHidden/>
              </w:rPr>
              <w:fldChar w:fldCharType="end"/>
            </w:r>
          </w:hyperlink>
        </w:p>
        <w:p w14:paraId="600AC50E" w14:textId="1F40BCC5" w:rsidR="003A5DBD" w:rsidRDefault="001C5F86">
          <w:pPr>
            <w:pStyle w:val="TOC3"/>
            <w:rPr>
              <w:rFonts w:asciiTheme="minorHAnsi" w:eastAsiaTheme="minorEastAsia" w:hAnsiTheme="minorHAnsi" w:cstheme="minorBidi"/>
              <w:b w:val="0"/>
              <w:noProof/>
              <w:szCs w:val="22"/>
              <w:lang w:eastAsia="en-AU"/>
            </w:rPr>
          </w:pPr>
          <w:hyperlink w:anchor="_Toc112833620"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_Toc112833620 \h </w:instrText>
            </w:r>
            <w:r w:rsidR="003A5DBD">
              <w:rPr>
                <w:noProof/>
                <w:webHidden/>
              </w:rPr>
            </w:r>
            <w:r w:rsidR="003A5DBD">
              <w:rPr>
                <w:noProof/>
                <w:webHidden/>
              </w:rPr>
              <w:fldChar w:fldCharType="separate"/>
            </w:r>
            <w:r w:rsidR="003A5DBD">
              <w:rPr>
                <w:noProof/>
                <w:webHidden/>
              </w:rPr>
              <w:t>25</w:t>
            </w:r>
            <w:r w:rsidR="003A5DBD">
              <w:rPr>
                <w:noProof/>
                <w:webHidden/>
              </w:rPr>
              <w:fldChar w:fldCharType="end"/>
            </w:r>
          </w:hyperlink>
        </w:p>
        <w:p w14:paraId="18368DF8" w14:textId="434F3530" w:rsidR="003A5DBD" w:rsidRDefault="001C5F86">
          <w:pPr>
            <w:pStyle w:val="TOC3"/>
            <w:rPr>
              <w:rFonts w:asciiTheme="minorHAnsi" w:eastAsiaTheme="minorEastAsia" w:hAnsiTheme="minorHAnsi" w:cstheme="minorBidi"/>
              <w:b w:val="0"/>
              <w:noProof/>
              <w:szCs w:val="22"/>
              <w:lang w:eastAsia="en-AU"/>
            </w:rPr>
          </w:pPr>
          <w:hyperlink w:anchor="_Toc112833621"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_Toc112833621 \h </w:instrText>
            </w:r>
            <w:r w:rsidR="003A5DBD">
              <w:rPr>
                <w:noProof/>
                <w:webHidden/>
              </w:rPr>
            </w:r>
            <w:r w:rsidR="003A5DBD">
              <w:rPr>
                <w:noProof/>
                <w:webHidden/>
              </w:rPr>
              <w:fldChar w:fldCharType="separate"/>
            </w:r>
            <w:r w:rsidR="003A5DBD">
              <w:rPr>
                <w:noProof/>
                <w:webHidden/>
              </w:rPr>
              <w:t>25</w:t>
            </w:r>
            <w:r w:rsidR="003A5DBD">
              <w:rPr>
                <w:noProof/>
                <w:webHidden/>
              </w:rPr>
              <w:fldChar w:fldCharType="end"/>
            </w:r>
          </w:hyperlink>
        </w:p>
        <w:p w14:paraId="7FF11B70" w14:textId="21ACF84E" w:rsidR="003A5DBD" w:rsidRDefault="001C5F86">
          <w:pPr>
            <w:pStyle w:val="TOC3"/>
            <w:rPr>
              <w:rFonts w:asciiTheme="minorHAnsi" w:eastAsiaTheme="minorEastAsia" w:hAnsiTheme="minorHAnsi" w:cstheme="minorBidi"/>
              <w:b w:val="0"/>
              <w:noProof/>
              <w:szCs w:val="22"/>
              <w:lang w:eastAsia="en-AU"/>
            </w:rPr>
          </w:pPr>
          <w:hyperlink w:anchor="_Toc112833622"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_Toc112833622 \h </w:instrText>
            </w:r>
            <w:r w:rsidR="003A5DBD">
              <w:rPr>
                <w:noProof/>
                <w:webHidden/>
              </w:rPr>
            </w:r>
            <w:r w:rsidR="003A5DBD">
              <w:rPr>
                <w:noProof/>
                <w:webHidden/>
              </w:rPr>
              <w:fldChar w:fldCharType="separate"/>
            </w:r>
            <w:r w:rsidR="003A5DBD">
              <w:rPr>
                <w:noProof/>
                <w:webHidden/>
              </w:rPr>
              <w:t>25</w:t>
            </w:r>
            <w:r w:rsidR="003A5DBD">
              <w:rPr>
                <w:noProof/>
                <w:webHidden/>
              </w:rPr>
              <w:fldChar w:fldCharType="end"/>
            </w:r>
          </w:hyperlink>
        </w:p>
        <w:p w14:paraId="5FB6884E" w14:textId="2498BF00" w:rsidR="003A5DBD" w:rsidRDefault="001C5F86">
          <w:pPr>
            <w:pStyle w:val="TOC3"/>
            <w:rPr>
              <w:rFonts w:asciiTheme="minorHAnsi" w:eastAsiaTheme="minorEastAsia" w:hAnsiTheme="minorHAnsi" w:cstheme="minorBidi"/>
              <w:b w:val="0"/>
              <w:noProof/>
              <w:szCs w:val="22"/>
              <w:lang w:eastAsia="en-AU"/>
            </w:rPr>
          </w:pPr>
          <w:hyperlink w:anchor="_Toc112833623"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_Toc112833623 \h </w:instrText>
            </w:r>
            <w:r w:rsidR="003A5DBD">
              <w:rPr>
                <w:noProof/>
                <w:webHidden/>
              </w:rPr>
            </w:r>
            <w:r w:rsidR="003A5DBD">
              <w:rPr>
                <w:noProof/>
                <w:webHidden/>
              </w:rPr>
              <w:fldChar w:fldCharType="separate"/>
            </w:r>
            <w:r w:rsidR="003A5DBD">
              <w:rPr>
                <w:noProof/>
                <w:webHidden/>
              </w:rPr>
              <w:t>27</w:t>
            </w:r>
            <w:r w:rsidR="003A5DBD">
              <w:rPr>
                <w:noProof/>
                <w:webHidden/>
              </w:rPr>
              <w:fldChar w:fldCharType="end"/>
            </w:r>
          </w:hyperlink>
        </w:p>
        <w:p w14:paraId="7897F279" w14:textId="03E20514" w:rsidR="003A5DBD" w:rsidRDefault="001C5F86">
          <w:pPr>
            <w:pStyle w:val="TOC3"/>
            <w:rPr>
              <w:rFonts w:asciiTheme="minorHAnsi" w:eastAsiaTheme="minorEastAsia" w:hAnsiTheme="minorHAnsi" w:cstheme="minorBidi"/>
              <w:b w:val="0"/>
              <w:noProof/>
              <w:szCs w:val="22"/>
              <w:lang w:eastAsia="en-AU"/>
            </w:rPr>
          </w:pPr>
          <w:hyperlink w:anchor="_Toc112833624"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_Toc112833624 \h </w:instrText>
            </w:r>
            <w:r w:rsidR="003A5DBD">
              <w:rPr>
                <w:noProof/>
                <w:webHidden/>
              </w:rPr>
            </w:r>
            <w:r w:rsidR="003A5DBD">
              <w:rPr>
                <w:noProof/>
                <w:webHidden/>
              </w:rPr>
              <w:fldChar w:fldCharType="separate"/>
            </w:r>
            <w:r w:rsidR="003A5DBD">
              <w:rPr>
                <w:noProof/>
                <w:webHidden/>
              </w:rPr>
              <w:t>28</w:t>
            </w:r>
            <w:r w:rsidR="003A5DBD">
              <w:rPr>
                <w:noProof/>
                <w:webHidden/>
              </w:rPr>
              <w:fldChar w:fldCharType="end"/>
            </w:r>
          </w:hyperlink>
        </w:p>
        <w:p w14:paraId="783DF980" w14:textId="78589819" w:rsidR="003A5DBD" w:rsidRDefault="001C5F86">
          <w:pPr>
            <w:pStyle w:val="TOC3"/>
            <w:rPr>
              <w:rFonts w:asciiTheme="minorHAnsi" w:eastAsiaTheme="minorEastAsia" w:hAnsiTheme="minorHAnsi" w:cstheme="minorBidi"/>
              <w:b w:val="0"/>
              <w:noProof/>
              <w:szCs w:val="22"/>
              <w:lang w:eastAsia="en-AU"/>
            </w:rPr>
          </w:pPr>
          <w:hyperlink w:anchor="_Toc112833625"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_Toc112833625 \h </w:instrText>
            </w:r>
            <w:r w:rsidR="003A5DBD">
              <w:rPr>
                <w:noProof/>
                <w:webHidden/>
              </w:rPr>
            </w:r>
            <w:r w:rsidR="003A5DBD">
              <w:rPr>
                <w:noProof/>
                <w:webHidden/>
              </w:rPr>
              <w:fldChar w:fldCharType="separate"/>
            </w:r>
            <w:r w:rsidR="003A5DBD">
              <w:rPr>
                <w:noProof/>
                <w:webHidden/>
              </w:rPr>
              <w:t>28</w:t>
            </w:r>
            <w:r w:rsidR="003A5DBD">
              <w:rPr>
                <w:noProof/>
                <w:webHidden/>
              </w:rPr>
              <w:fldChar w:fldCharType="end"/>
            </w:r>
          </w:hyperlink>
        </w:p>
        <w:p w14:paraId="7C9992EA" w14:textId="5BCE43DC" w:rsidR="003A5DBD" w:rsidRDefault="001C5F86">
          <w:pPr>
            <w:pStyle w:val="TOC3"/>
            <w:rPr>
              <w:rFonts w:asciiTheme="minorHAnsi" w:eastAsiaTheme="minorEastAsia" w:hAnsiTheme="minorHAnsi" w:cstheme="minorBidi"/>
              <w:b w:val="0"/>
              <w:noProof/>
              <w:szCs w:val="22"/>
              <w:lang w:eastAsia="en-AU"/>
            </w:rPr>
          </w:pPr>
          <w:hyperlink w:anchor="_Toc112833626"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_Toc112833626 \h </w:instrText>
            </w:r>
            <w:r w:rsidR="003A5DBD">
              <w:rPr>
                <w:noProof/>
                <w:webHidden/>
              </w:rPr>
            </w:r>
            <w:r w:rsidR="003A5DBD">
              <w:rPr>
                <w:noProof/>
                <w:webHidden/>
              </w:rPr>
              <w:fldChar w:fldCharType="separate"/>
            </w:r>
            <w:r w:rsidR="003A5DBD">
              <w:rPr>
                <w:noProof/>
                <w:webHidden/>
              </w:rPr>
              <w:t>29</w:t>
            </w:r>
            <w:r w:rsidR="003A5DBD">
              <w:rPr>
                <w:noProof/>
                <w:webHidden/>
              </w:rPr>
              <w:fldChar w:fldCharType="end"/>
            </w:r>
          </w:hyperlink>
        </w:p>
        <w:p w14:paraId="2AA61F1C" w14:textId="75A5BE31" w:rsidR="003A5DBD" w:rsidRDefault="001C5F86">
          <w:pPr>
            <w:pStyle w:val="TOC3"/>
            <w:rPr>
              <w:rFonts w:asciiTheme="minorHAnsi" w:eastAsiaTheme="minorEastAsia" w:hAnsiTheme="minorHAnsi" w:cstheme="minorBidi"/>
              <w:b w:val="0"/>
              <w:noProof/>
              <w:szCs w:val="22"/>
              <w:lang w:eastAsia="en-AU"/>
            </w:rPr>
          </w:pPr>
          <w:hyperlink w:anchor="_Toc112833627"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_Toc112833627 \h </w:instrText>
            </w:r>
            <w:r w:rsidR="003A5DBD">
              <w:rPr>
                <w:noProof/>
                <w:webHidden/>
              </w:rPr>
            </w:r>
            <w:r w:rsidR="003A5DBD">
              <w:rPr>
                <w:noProof/>
                <w:webHidden/>
              </w:rPr>
              <w:fldChar w:fldCharType="separate"/>
            </w:r>
            <w:r w:rsidR="003A5DBD">
              <w:rPr>
                <w:noProof/>
                <w:webHidden/>
              </w:rPr>
              <w:t>29</w:t>
            </w:r>
            <w:r w:rsidR="003A5DBD">
              <w:rPr>
                <w:noProof/>
                <w:webHidden/>
              </w:rPr>
              <w:fldChar w:fldCharType="end"/>
            </w:r>
          </w:hyperlink>
        </w:p>
        <w:p w14:paraId="420431A4" w14:textId="1D22A061" w:rsidR="003A5DBD" w:rsidRDefault="001C5F86">
          <w:pPr>
            <w:pStyle w:val="TOC3"/>
            <w:rPr>
              <w:rFonts w:asciiTheme="minorHAnsi" w:eastAsiaTheme="minorEastAsia" w:hAnsiTheme="minorHAnsi" w:cstheme="minorBidi"/>
              <w:b w:val="0"/>
              <w:noProof/>
              <w:szCs w:val="22"/>
              <w:lang w:eastAsia="en-AU"/>
            </w:rPr>
          </w:pPr>
          <w:hyperlink w:anchor="_Toc112833628"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_Toc112833628 \h </w:instrText>
            </w:r>
            <w:r w:rsidR="003A5DBD">
              <w:rPr>
                <w:noProof/>
                <w:webHidden/>
              </w:rPr>
            </w:r>
            <w:r w:rsidR="003A5DBD">
              <w:rPr>
                <w:noProof/>
                <w:webHidden/>
              </w:rPr>
              <w:fldChar w:fldCharType="separate"/>
            </w:r>
            <w:r w:rsidR="003A5DBD">
              <w:rPr>
                <w:noProof/>
                <w:webHidden/>
              </w:rPr>
              <w:t>34</w:t>
            </w:r>
            <w:r w:rsidR="003A5DBD">
              <w:rPr>
                <w:noProof/>
                <w:webHidden/>
              </w:rPr>
              <w:fldChar w:fldCharType="end"/>
            </w:r>
          </w:hyperlink>
        </w:p>
        <w:p w14:paraId="35F12A75" w14:textId="3008EC04" w:rsidR="003A5DBD" w:rsidRDefault="001C5F86">
          <w:pPr>
            <w:pStyle w:val="TOC2"/>
            <w:rPr>
              <w:rFonts w:asciiTheme="minorHAnsi" w:eastAsiaTheme="minorEastAsia" w:hAnsiTheme="minorHAnsi" w:cstheme="minorBidi"/>
              <w:b w:val="0"/>
              <w:noProof/>
              <w:sz w:val="22"/>
              <w:szCs w:val="22"/>
              <w:lang w:eastAsia="en-AU"/>
            </w:rPr>
          </w:pPr>
          <w:hyperlink w:anchor="_Toc112833629" w:history="1">
            <w:r w:rsidR="003A5DBD" w:rsidRPr="005244B2">
              <w:rPr>
                <w:rStyle w:val="Hyperlink"/>
                <w:noProof/>
              </w:rPr>
              <w:t>Melatonin</w:t>
            </w:r>
            <w:r w:rsidR="003A5DBD">
              <w:rPr>
                <w:noProof/>
                <w:webHidden/>
              </w:rPr>
              <w:tab/>
            </w:r>
            <w:r w:rsidR="003A5DBD">
              <w:rPr>
                <w:noProof/>
                <w:webHidden/>
              </w:rPr>
              <w:fldChar w:fldCharType="begin"/>
            </w:r>
            <w:r w:rsidR="003A5DBD">
              <w:rPr>
                <w:noProof/>
                <w:webHidden/>
              </w:rPr>
              <w:instrText xml:space="preserve"> PAGEREF _Toc112833629 \h </w:instrText>
            </w:r>
            <w:r w:rsidR="003A5DBD">
              <w:rPr>
                <w:noProof/>
                <w:webHidden/>
              </w:rPr>
            </w:r>
            <w:r w:rsidR="003A5DBD">
              <w:rPr>
                <w:noProof/>
                <w:webHidden/>
              </w:rPr>
              <w:fldChar w:fldCharType="separate"/>
            </w:r>
            <w:r w:rsidR="003A5DBD">
              <w:rPr>
                <w:noProof/>
                <w:webHidden/>
              </w:rPr>
              <w:t>35</w:t>
            </w:r>
            <w:r w:rsidR="003A5DBD">
              <w:rPr>
                <w:noProof/>
                <w:webHidden/>
              </w:rPr>
              <w:fldChar w:fldCharType="end"/>
            </w:r>
          </w:hyperlink>
        </w:p>
        <w:p w14:paraId="7FF6A816" w14:textId="59E974AA" w:rsidR="003A5DBD" w:rsidRDefault="001C5F86">
          <w:pPr>
            <w:pStyle w:val="TOC3"/>
            <w:rPr>
              <w:rFonts w:asciiTheme="minorHAnsi" w:eastAsiaTheme="minorEastAsia" w:hAnsiTheme="minorHAnsi" w:cstheme="minorBidi"/>
              <w:b w:val="0"/>
              <w:noProof/>
              <w:szCs w:val="22"/>
              <w:lang w:eastAsia="en-AU"/>
            </w:rPr>
          </w:pPr>
          <w:hyperlink w:anchor="_Toc112833630"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_Toc112833630 \h </w:instrText>
            </w:r>
            <w:r w:rsidR="003A5DBD">
              <w:rPr>
                <w:noProof/>
                <w:webHidden/>
              </w:rPr>
            </w:r>
            <w:r w:rsidR="003A5DBD">
              <w:rPr>
                <w:noProof/>
                <w:webHidden/>
              </w:rPr>
              <w:fldChar w:fldCharType="separate"/>
            </w:r>
            <w:r w:rsidR="003A5DBD">
              <w:rPr>
                <w:noProof/>
                <w:webHidden/>
              </w:rPr>
              <w:t>35</w:t>
            </w:r>
            <w:r w:rsidR="003A5DBD">
              <w:rPr>
                <w:noProof/>
                <w:webHidden/>
              </w:rPr>
              <w:fldChar w:fldCharType="end"/>
            </w:r>
          </w:hyperlink>
        </w:p>
        <w:p w14:paraId="349B4F2D" w14:textId="6173307E" w:rsidR="003A5DBD" w:rsidRDefault="001C5F86">
          <w:pPr>
            <w:pStyle w:val="TOC3"/>
            <w:rPr>
              <w:rFonts w:asciiTheme="minorHAnsi" w:eastAsiaTheme="minorEastAsia" w:hAnsiTheme="minorHAnsi" w:cstheme="minorBidi"/>
              <w:b w:val="0"/>
              <w:noProof/>
              <w:szCs w:val="22"/>
              <w:lang w:eastAsia="en-AU"/>
            </w:rPr>
          </w:pPr>
          <w:hyperlink w:anchor="_Toc112833631"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_Toc112833631 \h </w:instrText>
            </w:r>
            <w:r w:rsidR="003A5DBD">
              <w:rPr>
                <w:noProof/>
                <w:webHidden/>
              </w:rPr>
            </w:r>
            <w:r w:rsidR="003A5DBD">
              <w:rPr>
                <w:noProof/>
                <w:webHidden/>
              </w:rPr>
              <w:fldChar w:fldCharType="separate"/>
            </w:r>
            <w:r w:rsidR="003A5DBD">
              <w:rPr>
                <w:noProof/>
                <w:webHidden/>
              </w:rPr>
              <w:t>35</w:t>
            </w:r>
            <w:r w:rsidR="003A5DBD">
              <w:rPr>
                <w:noProof/>
                <w:webHidden/>
              </w:rPr>
              <w:fldChar w:fldCharType="end"/>
            </w:r>
          </w:hyperlink>
        </w:p>
        <w:p w14:paraId="45393C80" w14:textId="3F2BB126" w:rsidR="003A5DBD" w:rsidRDefault="001C5F86">
          <w:pPr>
            <w:pStyle w:val="TOC3"/>
            <w:rPr>
              <w:rFonts w:asciiTheme="minorHAnsi" w:eastAsiaTheme="minorEastAsia" w:hAnsiTheme="minorHAnsi" w:cstheme="minorBidi"/>
              <w:b w:val="0"/>
              <w:noProof/>
              <w:szCs w:val="22"/>
              <w:lang w:eastAsia="en-AU"/>
            </w:rPr>
          </w:pPr>
          <w:hyperlink w:anchor="_Toc112833632"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_Toc112833632 \h </w:instrText>
            </w:r>
            <w:r w:rsidR="003A5DBD">
              <w:rPr>
                <w:noProof/>
                <w:webHidden/>
              </w:rPr>
            </w:r>
            <w:r w:rsidR="003A5DBD">
              <w:rPr>
                <w:noProof/>
                <w:webHidden/>
              </w:rPr>
              <w:fldChar w:fldCharType="separate"/>
            </w:r>
            <w:r w:rsidR="003A5DBD">
              <w:rPr>
                <w:noProof/>
                <w:webHidden/>
              </w:rPr>
              <w:t>35</w:t>
            </w:r>
            <w:r w:rsidR="003A5DBD">
              <w:rPr>
                <w:noProof/>
                <w:webHidden/>
              </w:rPr>
              <w:fldChar w:fldCharType="end"/>
            </w:r>
          </w:hyperlink>
        </w:p>
        <w:p w14:paraId="3FD2DB75" w14:textId="56243E28" w:rsidR="003A5DBD" w:rsidRDefault="001C5F86">
          <w:pPr>
            <w:pStyle w:val="TOC3"/>
            <w:rPr>
              <w:rFonts w:asciiTheme="minorHAnsi" w:eastAsiaTheme="minorEastAsia" w:hAnsiTheme="minorHAnsi" w:cstheme="minorBidi"/>
              <w:b w:val="0"/>
              <w:noProof/>
              <w:szCs w:val="22"/>
              <w:lang w:eastAsia="en-AU"/>
            </w:rPr>
          </w:pPr>
          <w:hyperlink w:anchor="_Toc112833633"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_Toc112833633 \h </w:instrText>
            </w:r>
            <w:r w:rsidR="003A5DBD">
              <w:rPr>
                <w:noProof/>
                <w:webHidden/>
              </w:rPr>
            </w:r>
            <w:r w:rsidR="003A5DBD">
              <w:rPr>
                <w:noProof/>
                <w:webHidden/>
              </w:rPr>
              <w:fldChar w:fldCharType="separate"/>
            </w:r>
            <w:r w:rsidR="003A5DBD">
              <w:rPr>
                <w:noProof/>
                <w:webHidden/>
              </w:rPr>
              <w:t>35</w:t>
            </w:r>
            <w:r w:rsidR="003A5DBD">
              <w:rPr>
                <w:noProof/>
                <w:webHidden/>
              </w:rPr>
              <w:fldChar w:fldCharType="end"/>
            </w:r>
          </w:hyperlink>
        </w:p>
        <w:p w14:paraId="1739F2FF" w14:textId="57366663" w:rsidR="003A5DBD" w:rsidRDefault="001C5F86">
          <w:pPr>
            <w:pStyle w:val="TOC3"/>
            <w:rPr>
              <w:rFonts w:asciiTheme="minorHAnsi" w:eastAsiaTheme="minorEastAsia" w:hAnsiTheme="minorHAnsi" w:cstheme="minorBidi"/>
              <w:b w:val="0"/>
              <w:noProof/>
              <w:szCs w:val="22"/>
              <w:lang w:eastAsia="en-AU"/>
            </w:rPr>
          </w:pPr>
          <w:hyperlink w:anchor="_Toc112833634"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_Toc112833634 \h </w:instrText>
            </w:r>
            <w:r w:rsidR="003A5DBD">
              <w:rPr>
                <w:noProof/>
                <w:webHidden/>
              </w:rPr>
            </w:r>
            <w:r w:rsidR="003A5DBD">
              <w:rPr>
                <w:noProof/>
                <w:webHidden/>
              </w:rPr>
              <w:fldChar w:fldCharType="separate"/>
            </w:r>
            <w:r w:rsidR="003A5DBD">
              <w:rPr>
                <w:noProof/>
                <w:webHidden/>
              </w:rPr>
              <w:t>35</w:t>
            </w:r>
            <w:r w:rsidR="003A5DBD">
              <w:rPr>
                <w:noProof/>
                <w:webHidden/>
              </w:rPr>
              <w:fldChar w:fldCharType="end"/>
            </w:r>
          </w:hyperlink>
        </w:p>
        <w:p w14:paraId="252BCBCC" w14:textId="56EB789E" w:rsidR="003A5DBD" w:rsidRDefault="001C5F86">
          <w:pPr>
            <w:pStyle w:val="TOC3"/>
            <w:rPr>
              <w:rFonts w:asciiTheme="minorHAnsi" w:eastAsiaTheme="minorEastAsia" w:hAnsiTheme="minorHAnsi" w:cstheme="minorBidi"/>
              <w:b w:val="0"/>
              <w:noProof/>
              <w:szCs w:val="22"/>
              <w:lang w:eastAsia="en-AU"/>
            </w:rPr>
          </w:pPr>
          <w:hyperlink w:anchor="_Toc112833635"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_Toc112833635 \h </w:instrText>
            </w:r>
            <w:r w:rsidR="003A5DBD">
              <w:rPr>
                <w:noProof/>
                <w:webHidden/>
              </w:rPr>
            </w:r>
            <w:r w:rsidR="003A5DBD">
              <w:rPr>
                <w:noProof/>
                <w:webHidden/>
              </w:rPr>
              <w:fldChar w:fldCharType="separate"/>
            </w:r>
            <w:r w:rsidR="003A5DBD">
              <w:rPr>
                <w:noProof/>
                <w:webHidden/>
              </w:rPr>
              <w:t>36</w:t>
            </w:r>
            <w:r w:rsidR="003A5DBD">
              <w:rPr>
                <w:noProof/>
                <w:webHidden/>
              </w:rPr>
              <w:fldChar w:fldCharType="end"/>
            </w:r>
          </w:hyperlink>
        </w:p>
        <w:p w14:paraId="1C361C91" w14:textId="4455A517" w:rsidR="003A5DBD" w:rsidRDefault="001C5F86">
          <w:pPr>
            <w:pStyle w:val="TOC3"/>
            <w:rPr>
              <w:rFonts w:asciiTheme="minorHAnsi" w:eastAsiaTheme="minorEastAsia" w:hAnsiTheme="minorHAnsi" w:cstheme="minorBidi"/>
              <w:b w:val="0"/>
              <w:noProof/>
              <w:szCs w:val="22"/>
              <w:lang w:eastAsia="en-AU"/>
            </w:rPr>
          </w:pPr>
          <w:hyperlink w:anchor="_Toc112833636"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_Toc112833636 \h </w:instrText>
            </w:r>
            <w:r w:rsidR="003A5DBD">
              <w:rPr>
                <w:noProof/>
                <w:webHidden/>
              </w:rPr>
            </w:r>
            <w:r w:rsidR="003A5DBD">
              <w:rPr>
                <w:noProof/>
                <w:webHidden/>
              </w:rPr>
              <w:fldChar w:fldCharType="separate"/>
            </w:r>
            <w:r w:rsidR="003A5DBD">
              <w:rPr>
                <w:noProof/>
                <w:webHidden/>
              </w:rPr>
              <w:t>36</w:t>
            </w:r>
            <w:r w:rsidR="003A5DBD">
              <w:rPr>
                <w:noProof/>
                <w:webHidden/>
              </w:rPr>
              <w:fldChar w:fldCharType="end"/>
            </w:r>
          </w:hyperlink>
        </w:p>
        <w:p w14:paraId="62F296C7" w14:textId="5480429B" w:rsidR="003A5DBD" w:rsidRDefault="001C5F86">
          <w:pPr>
            <w:pStyle w:val="TOC3"/>
            <w:rPr>
              <w:rFonts w:asciiTheme="minorHAnsi" w:eastAsiaTheme="minorEastAsia" w:hAnsiTheme="minorHAnsi" w:cstheme="minorBidi"/>
              <w:b w:val="0"/>
              <w:noProof/>
              <w:szCs w:val="22"/>
              <w:lang w:eastAsia="en-AU"/>
            </w:rPr>
          </w:pPr>
          <w:hyperlink w:anchor="_Toc112833637"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_Toc112833637 \h </w:instrText>
            </w:r>
            <w:r w:rsidR="003A5DBD">
              <w:rPr>
                <w:noProof/>
                <w:webHidden/>
              </w:rPr>
            </w:r>
            <w:r w:rsidR="003A5DBD">
              <w:rPr>
                <w:noProof/>
                <w:webHidden/>
              </w:rPr>
              <w:fldChar w:fldCharType="separate"/>
            </w:r>
            <w:r w:rsidR="003A5DBD">
              <w:rPr>
                <w:noProof/>
                <w:webHidden/>
              </w:rPr>
              <w:t>36</w:t>
            </w:r>
            <w:r w:rsidR="003A5DBD">
              <w:rPr>
                <w:noProof/>
                <w:webHidden/>
              </w:rPr>
              <w:fldChar w:fldCharType="end"/>
            </w:r>
          </w:hyperlink>
        </w:p>
        <w:p w14:paraId="0F8F41AA" w14:textId="35384E5A" w:rsidR="003A5DBD" w:rsidRDefault="001C5F86">
          <w:pPr>
            <w:pStyle w:val="TOC3"/>
            <w:rPr>
              <w:rFonts w:asciiTheme="minorHAnsi" w:eastAsiaTheme="minorEastAsia" w:hAnsiTheme="minorHAnsi" w:cstheme="minorBidi"/>
              <w:b w:val="0"/>
              <w:noProof/>
              <w:szCs w:val="22"/>
              <w:lang w:eastAsia="en-AU"/>
            </w:rPr>
          </w:pPr>
          <w:hyperlink w:anchor="_Toc112833638"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_Toc112833638 \h </w:instrText>
            </w:r>
            <w:r w:rsidR="003A5DBD">
              <w:rPr>
                <w:noProof/>
                <w:webHidden/>
              </w:rPr>
            </w:r>
            <w:r w:rsidR="003A5DBD">
              <w:rPr>
                <w:noProof/>
                <w:webHidden/>
              </w:rPr>
              <w:fldChar w:fldCharType="separate"/>
            </w:r>
            <w:r w:rsidR="003A5DBD">
              <w:rPr>
                <w:noProof/>
                <w:webHidden/>
              </w:rPr>
              <w:t>37</w:t>
            </w:r>
            <w:r w:rsidR="003A5DBD">
              <w:rPr>
                <w:noProof/>
                <w:webHidden/>
              </w:rPr>
              <w:fldChar w:fldCharType="end"/>
            </w:r>
          </w:hyperlink>
        </w:p>
        <w:p w14:paraId="05D6C36B" w14:textId="3E3A00C1" w:rsidR="003A5DBD" w:rsidRDefault="001C5F86">
          <w:pPr>
            <w:pStyle w:val="TOC3"/>
            <w:rPr>
              <w:rFonts w:asciiTheme="minorHAnsi" w:eastAsiaTheme="minorEastAsia" w:hAnsiTheme="minorHAnsi" w:cstheme="minorBidi"/>
              <w:b w:val="0"/>
              <w:noProof/>
              <w:szCs w:val="22"/>
              <w:lang w:eastAsia="en-AU"/>
            </w:rPr>
          </w:pPr>
          <w:hyperlink w:anchor="_Toc112833639"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_Toc112833639 \h </w:instrText>
            </w:r>
            <w:r w:rsidR="003A5DBD">
              <w:rPr>
                <w:noProof/>
                <w:webHidden/>
              </w:rPr>
            </w:r>
            <w:r w:rsidR="003A5DBD">
              <w:rPr>
                <w:noProof/>
                <w:webHidden/>
              </w:rPr>
              <w:fldChar w:fldCharType="separate"/>
            </w:r>
            <w:r w:rsidR="003A5DBD">
              <w:rPr>
                <w:noProof/>
                <w:webHidden/>
              </w:rPr>
              <w:t>37</w:t>
            </w:r>
            <w:r w:rsidR="003A5DBD">
              <w:rPr>
                <w:noProof/>
                <w:webHidden/>
              </w:rPr>
              <w:fldChar w:fldCharType="end"/>
            </w:r>
          </w:hyperlink>
        </w:p>
        <w:p w14:paraId="1B139D3D" w14:textId="5E66CE5B" w:rsidR="003A5DBD" w:rsidRDefault="001C5F86">
          <w:pPr>
            <w:pStyle w:val="TOC3"/>
            <w:rPr>
              <w:rFonts w:asciiTheme="minorHAnsi" w:eastAsiaTheme="minorEastAsia" w:hAnsiTheme="minorHAnsi" w:cstheme="minorBidi"/>
              <w:b w:val="0"/>
              <w:noProof/>
              <w:szCs w:val="22"/>
              <w:lang w:eastAsia="en-AU"/>
            </w:rPr>
          </w:pPr>
          <w:hyperlink w:anchor="_Toc112833640"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_Toc112833640 \h </w:instrText>
            </w:r>
            <w:r w:rsidR="003A5DBD">
              <w:rPr>
                <w:noProof/>
                <w:webHidden/>
              </w:rPr>
            </w:r>
            <w:r w:rsidR="003A5DBD">
              <w:rPr>
                <w:noProof/>
                <w:webHidden/>
              </w:rPr>
              <w:fldChar w:fldCharType="separate"/>
            </w:r>
            <w:r w:rsidR="003A5DBD">
              <w:rPr>
                <w:noProof/>
                <w:webHidden/>
              </w:rPr>
              <w:t>38</w:t>
            </w:r>
            <w:r w:rsidR="003A5DBD">
              <w:rPr>
                <w:noProof/>
                <w:webHidden/>
              </w:rPr>
              <w:fldChar w:fldCharType="end"/>
            </w:r>
          </w:hyperlink>
        </w:p>
        <w:p w14:paraId="5A83FDEE" w14:textId="0DB0118F" w:rsidR="003A5DBD" w:rsidRDefault="001C5F86">
          <w:pPr>
            <w:pStyle w:val="TOC1"/>
            <w:tabs>
              <w:tab w:val="left" w:pos="425"/>
            </w:tabs>
            <w:rPr>
              <w:rFonts w:asciiTheme="minorHAnsi" w:eastAsiaTheme="minorEastAsia" w:hAnsiTheme="minorHAnsi" w:cstheme="minorBidi"/>
              <w:b w:val="0"/>
              <w:noProof/>
              <w:sz w:val="22"/>
              <w:szCs w:val="22"/>
              <w:lang w:eastAsia="en-AU"/>
            </w:rPr>
          </w:pPr>
          <w:hyperlink w:anchor="_Toc112833641" w:history="1">
            <w:r w:rsidR="003A5DBD" w:rsidRPr="005244B2">
              <w:rPr>
                <w:rStyle w:val="Hyperlink"/>
                <w:noProof/>
              </w:rPr>
              <w:t>3</w:t>
            </w:r>
            <w:r w:rsidR="003A5DBD">
              <w:rPr>
                <w:rFonts w:asciiTheme="minorHAnsi" w:eastAsiaTheme="minorEastAsia" w:hAnsiTheme="minorHAnsi" w:cstheme="minorBidi"/>
                <w:b w:val="0"/>
                <w:noProof/>
                <w:sz w:val="22"/>
                <w:szCs w:val="22"/>
                <w:lang w:eastAsia="en-AU"/>
              </w:rPr>
              <w:tab/>
            </w:r>
            <w:r w:rsidR="003A5DBD" w:rsidRPr="005244B2">
              <w:rPr>
                <w:rStyle w:val="Hyperlink"/>
                <w:noProof/>
              </w:rPr>
              <w:t>Proposed amendments referred for scheduling advice to the Joint ACMS-ACCS meeting #32</w:t>
            </w:r>
            <w:r w:rsidR="003A5DBD">
              <w:rPr>
                <w:noProof/>
                <w:webHidden/>
              </w:rPr>
              <w:tab/>
            </w:r>
            <w:r w:rsidR="003A5DBD">
              <w:rPr>
                <w:noProof/>
                <w:webHidden/>
              </w:rPr>
              <w:fldChar w:fldCharType="begin"/>
            </w:r>
            <w:r w:rsidR="003A5DBD">
              <w:rPr>
                <w:noProof/>
                <w:webHidden/>
              </w:rPr>
              <w:instrText xml:space="preserve"> PAGEREF _Toc112833641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14B18C53" w14:textId="0573ED60" w:rsidR="003A5DBD" w:rsidRDefault="001C5F86">
          <w:pPr>
            <w:pStyle w:val="TOC2"/>
            <w:rPr>
              <w:rFonts w:asciiTheme="minorHAnsi" w:eastAsiaTheme="minorEastAsia" w:hAnsiTheme="minorHAnsi" w:cstheme="minorBidi"/>
              <w:b w:val="0"/>
              <w:noProof/>
              <w:sz w:val="22"/>
              <w:szCs w:val="22"/>
              <w:lang w:eastAsia="en-AU"/>
            </w:rPr>
          </w:pPr>
          <w:hyperlink w:anchor="_Toc112833642" w:history="1">
            <w:r w:rsidR="003A5DBD" w:rsidRPr="005244B2">
              <w:rPr>
                <w:rStyle w:val="Hyperlink"/>
                <w:noProof/>
              </w:rPr>
              <w:t>Green tea extract</w:t>
            </w:r>
            <w:r w:rsidR="003A5DBD">
              <w:rPr>
                <w:noProof/>
                <w:webHidden/>
              </w:rPr>
              <w:tab/>
            </w:r>
            <w:r w:rsidR="003A5DBD">
              <w:rPr>
                <w:noProof/>
                <w:webHidden/>
              </w:rPr>
              <w:fldChar w:fldCharType="begin"/>
            </w:r>
            <w:r w:rsidR="003A5DBD">
              <w:rPr>
                <w:noProof/>
                <w:webHidden/>
              </w:rPr>
              <w:instrText xml:space="preserve"> PAGEREF _Toc112833642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7A60FF1A" w14:textId="3CED35E5" w:rsidR="003A5DBD" w:rsidRDefault="001C5F86">
          <w:pPr>
            <w:pStyle w:val="TOC3"/>
            <w:rPr>
              <w:rFonts w:asciiTheme="minorHAnsi" w:eastAsiaTheme="minorEastAsia" w:hAnsiTheme="minorHAnsi" w:cstheme="minorBidi"/>
              <w:b w:val="0"/>
              <w:noProof/>
              <w:szCs w:val="22"/>
              <w:lang w:eastAsia="en-AU"/>
            </w:rPr>
          </w:pPr>
          <w:hyperlink w:anchor="_Toc112833643"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_Toc112833643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76277610" w14:textId="68275F5A" w:rsidR="003A5DBD" w:rsidRDefault="001C5F86">
          <w:pPr>
            <w:pStyle w:val="TOC3"/>
            <w:rPr>
              <w:rFonts w:asciiTheme="minorHAnsi" w:eastAsiaTheme="minorEastAsia" w:hAnsiTheme="minorHAnsi" w:cstheme="minorBidi"/>
              <w:b w:val="0"/>
              <w:noProof/>
              <w:szCs w:val="22"/>
              <w:lang w:eastAsia="en-AU"/>
            </w:rPr>
          </w:pPr>
          <w:hyperlink w:anchor="_Toc112833644"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_Toc112833644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62E93A1F" w14:textId="68C7BE7E" w:rsidR="003A5DBD" w:rsidRDefault="001C5F86">
          <w:pPr>
            <w:pStyle w:val="TOC3"/>
            <w:rPr>
              <w:rFonts w:asciiTheme="minorHAnsi" w:eastAsiaTheme="minorEastAsia" w:hAnsiTheme="minorHAnsi" w:cstheme="minorBidi"/>
              <w:b w:val="0"/>
              <w:noProof/>
              <w:szCs w:val="22"/>
              <w:lang w:eastAsia="en-AU"/>
            </w:rPr>
          </w:pPr>
          <w:hyperlink w:anchor="_Toc112833645"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_Toc112833645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2867B046" w14:textId="40DDBD5C" w:rsidR="003A5DBD" w:rsidRDefault="001C5F86">
          <w:pPr>
            <w:pStyle w:val="TOC3"/>
            <w:rPr>
              <w:rFonts w:asciiTheme="minorHAnsi" w:eastAsiaTheme="minorEastAsia" w:hAnsiTheme="minorHAnsi" w:cstheme="minorBidi"/>
              <w:b w:val="0"/>
              <w:noProof/>
              <w:szCs w:val="22"/>
              <w:lang w:eastAsia="en-AU"/>
            </w:rPr>
          </w:pPr>
          <w:hyperlink w:anchor="_Toc112833646"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_Toc112833646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2CE22E52" w14:textId="485C8AA2" w:rsidR="003A5DBD" w:rsidRDefault="001C5F86">
          <w:pPr>
            <w:pStyle w:val="TOC3"/>
            <w:rPr>
              <w:rFonts w:asciiTheme="minorHAnsi" w:eastAsiaTheme="minorEastAsia" w:hAnsiTheme="minorHAnsi" w:cstheme="minorBidi"/>
              <w:b w:val="0"/>
              <w:noProof/>
              <w:szCs w:val="22"/>
              <w:lang w:eastAsia="en-AU"/>
            </w:rPr>
          </w:pPr>
          <w:hyperlink w:anchor="_Toc112833647"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_Toc112833647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7C17BECD" w14:textId="13517E50" w:rsidR="003A5DBD" w:rsidRDefault="001C5F86">
          <w:pPr>
            <w:pStyle w:val="TOC3"/>
            <w:rPr>
              <w:rFonts w:asciiTheme="minorHAnsi" w:eastAsiaTheme="minorEastAsia" w:hAnsiTheme="minorHAnsi" w:cstheme="minorBidi"/>
              <w:b w:val="0"/>
              <w:noProof/>
              <w:szCs w:val="22"/>
              <w:lang w:eastAsia="en-AU"/>
            </w:rPr>
          </w:pPr>
          <w:hyperlink w:anchor="_Toc112833648"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_Toc112833648 \h </w:instrText>
            </w:r>
            <w:r w:rsidR="003A5DBD">
              <w:rPr>
                <w:noProof/>
                <w:webHidden/>
              </w:rPr>
            </w:r>
            <w:r w:rsidR="003A5DBD">
              <w:rPr>
                <w:noProof/>
                <w:webHidden/>
              </w:rPr>
              <w:fldChar w:fldCharType="separate"/>
            </w:r>
            <w:r w:rsidR="003A5DBD">
              <w:rPr>
                <w:noProof/>
                <w:webHidden/>
              </w:rPr>
              <w:t>40</w:t>
            </w:r>
            <w:r w:rsidR="003A5DBD">
              <w:rPr>
                <w:noProof/>
                <w:webHidden/>
              </w:rPr>
              <w:fldChar w:fldCharType="end"/>
            </w:r>
          </w:hyperlink>
        </w:p>
        <w:p w14:paraId="35FFB576" w14:textId="308C4266" w:rsidR="003A5DBD" w:rsidRDefault="001C5F86">
          <w:pPr>
            <w:pStyle w:val="TOC3"/>
            <w:rPr>
              <w:rFonts w:asciiTheme="minorHAnsi" w:eastAsiaTheme="minorEastAsia" w:hAnsiTheme="minorHAnsi" w:cstheme="minorBidi"/>
              <w:b w:val="0"/>
              <w:noProof/>
              <w:szCs w:val="22"/>
              <w:lang w:eastAsia="en-AU"/>
            </w:rPr>
          </w:pPr>
          <w:hyperlink w:anchor="_Toc112833649"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_Toc112833649 \h </w:instrText>
            </w:r>
            <w:r w:rsidR="003A5DBD">
              <w:rPr>
                <w:noProof/>
                <w:webHidden/>
              </w:rPr>
            </w:r>
            <w:r w:rsidR="003A5DBD">
              <w:rPr>
                <w:noProof/>
                <w:webHidden/>
              </w:rPr>
              <w:fldChar w:fldCharType="separate"/>
            </w:r>
            <w:r w:rsidR="003A5DBD">
              <w:rPr>
                <w:noProof/>
                <w:webHidden/>
              </w:rPr>
              <w:t>41</w:t>
            </w:r>
            <w:r w:rsidR="003A5DBD">
              <w:rPr>
                <w:noProof/>
                <w:webHidden/>
              </w:rPr>
              <w:fldChar w:fldCharType="end"/>
            </w:r>
          </w:hyperlink>
        </w:p>
        <w:p w14:paraId="2DE1346E" w14:textId="518D14DE" w:rsidR="003A5DBD" w:rsidRDefault="001C5F86">
          <w:pPr>
            <w:pStyle w:val="TOC3"/>
            <w:rPr>
              <w:rFonts w:asciiTheme="minorHAnsi" w:eastAsiaTheme="minorEastAsia" w:hAnsiTheme="minorHAnsi" w:cstheme="minorBidi"/>
              <w:b w:val="0"/>
              <w:noProof/>
              <w:szCs w:val="22"/>
              <w:lang w:eastAsia="en-AU"/>
            </w:rPr>
          </w:pPr>
          <w:hyperlink w:anchor="_Toc112833650"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_Toc112833650 \h </w:instrText>
            </w:r>
            <w:r w:rsidR="003A5DBD">
              <w:rPr>
                <w:noProof/>
                <w:webHidden/>
              </w:rPr>
            </w:r>
            <w:r w:rsidR="003A5DBD">
              <w:rPr>
                <w:noProof/>
                <w:webHidden/>
              </w:rPr>
              <w:fldChar w:fldCharType="separate"/>
            </w:r>
            <w:r w:rsidR="003A5DBD">
              <w:rPr>
                <w:noProof/>
                <w:webHidden/>
              </w:rPr>
              <w:t>41</w:t>
            </w:r>
            <w:r w:rsidR="003A5DBD">
              <w:rPr>
                <w:noProof/>
                <w:webHidden/>
              </w:rPr>
              <w:fldChar w:fldCharType="end"/>
            </w:r>
          </w:hyperlink>
        </w:p>
        <w:p w14:paraId="33A51B28" w14:textId="5B83F329" w:rsidR="003A5DBD" w:rsidRDefault="001C5F86">
          <w:pPr>
            <w:pStyle w:val="TOC3"/>
            <w:rPr>
              <w:rFonts w:asciiTheme="minorHAnsi" w:eastAsiaTheme="minorEastAsia" w:hAnsiTheme="minorHAnsi" w:cstheme="minorBidi"/>
              <w:b w:val="0"/>
              <w:noProof/>
              <w:szCs w:val="22"/>
              <w:lang w:eastAsia="en-AU"/>
            </w:rPr>
          </w:pPr>
          <w:hyperlink w:anchor="_Toc112833651"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_Toc112833651 \h </w:instrText>
            </w:r>
            <w:r w:rsidR="003A5DBD">
              <w:rPr>
                <w:noProof/>
                <w:webHidden/>
              </w:rPr>
            </w:r>
            <w:r w:rsidR="003A5DBD">
              <w:rPr>
                <w:noProof/>
                <w:webHidden/>
              </w:rPr>
              <w:fldChar w:fldCharType="separate"/>
            </w:r>
            <w:r w:rsidR="003A5DBD">
              <w:rPr>
                <w:noProof/>
                <w:webHidden/>
              </w:rPr>
              <w:t>42</w:t>
            </w:r>
            <w:r w:rsidR="003A5DBD">
              <w:rPr>
                <w:noProof/>
                <w:webHidden/>
              </w:rPr>
              <w:fldChar w:fldCharType="end"/>
            </w:r>
          </w:hyperlink>
        </w:p>
        <w:p w14:paraId="600F940A" w14:textId="0C543358" w:rsidR="003A5DBD" w:rsidRDefault="001C5F86">
          <w:pPr>
            <w:pStyle w:val="TOC3"/>
            <w:rPr>
              <w:rFonts w:asciiTheme="minorHAnsi" w:eastAsiaTheme="minorEastAsia" w:hAnsiTheme="minorHAnsi" w:cstheme="minorBidi"/>
              <w:b w:val="0"/>
              <w:noProof/>
              <w:szCs w:val="22"/>
              <w:lang w:eastAsia="en-AU"/>
            </w:rPr>
          </w:pPr>
          <w:hyperlink w:anchor="_Toc112833652"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_Toc112833652 \h </w:instrText>
            </w:r>
            <w:r w:rsidR="003A5DBD">
              <w:rPr>
                <w:noProof/>
                <w:webHidden/>
              </w:rPr>
            </w:r>
            <w:r w:rsidR="003A5DBD">
              <w:rPr>
                <w:noProof/>
                <w:webHidden/>
              </w:rPr>
              <w:fldChar w:fldCharType="separate"/>
            </w:r>
            <w:r w:rsidR="003A5DBD">
              <w:rPr>
                <w:noProof/>
                <w:webHidden/>
              </w:rPr>
              <w:t>42</w:t>
            </w:r>
            <w:r w:rsidR="003A5DBD">
              <w:rPr>
                <w:noProof/>
                <w:webHidden/>
              </w:rPr>
              <w:fldChar w:fldCharType="end"/>
            </w:r>
          </w:hyperlink>
        </w:p>
        <w:p w14:paraId="50AF1A8D" w14:textId="478B4421" w:rsidR="003A5DBD" w:rsidRDefault="001C5F86">
          <w:pPr>
            <w:pStyle w:val="TOC3"/>
            <w:rPr>
              <w:rFonts w:asciiTheme="minorHAnsi" w:eastAsiaTheme="minorEastAsia" w:hAnsiTheme="minorHAnsi" w:cstheme="minorBidi"/>
              <w:b w:val="0"/>
              <w:noProof/>
              <w:szCs w:val="22"/>
              <w:lang w:eastAsia="en-AU"/>
            </w:rPr>
          </w:pPr>
          <w:hyperlink w:anchor="_Toc112833653"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_Toc112833653 \h </w:instrText>
            </w:r>
            <w:r w:rsidR="003A5DBD">
              <w:rPr>
                <w:noProof/>
                <w:webHidden/>
              </w:rPr>
            </w:r>
            <w:r w:rsidR="003A5DBD">
              <w:rPr>
                <w:noProof/>
                <w:webHidden/>
              </w:rPr>
              <w:fldChar w:fldCharType="separate"/>
            </w:r>
            <w:r w:rsidR="003A5DBD">
              <w:rPr>
                <w:noProof/>
                <w:webHidden/>
              </w:rPr>
              <w:t>44</w:t>
            </w:r>
            <w:r w:rsidR="003A5DBD">
              <w:rPr>
                <w:noProof/>
                <w:webHidden/>
              </w:rPr>
              <w:fldChar w:fldCharType="end"/>
            </w:r>
          </w:hyperlink>
        </w:p>
        <w:p w14:paraId="689A61AC" w14:textId="7F9285D8" w:rsidR="003A5DBD" w:rsidRDefault="001C5F86">
          <w:pPr>
            <w:pStyle w:val="TOC1"/>
            <w:tabs>
              <w:tab w:val="left" w:pos="425"/>
            </w:tabs>
            <w:rPr>
              <w:rFonts w:asciiTheme="minorHAnsi" w:eastAsiaTheme="minorEastAsia" w:hAnsiTheme="minorHAnsi" w:cstheme="minorBidi"/>
              <w:b w:val="0"/>
              <w:noProof/>
              <w:sz w:val="22"/>
              <w:szCs w:val="22"/>
              <w:lang w:eastAsia="en-AU"/>
            </w:rPr>
          </w:pPr>
          <w:hyperlink w:anchor="_Toc112833654" w:history="1">
            <w:r w:rsidR="003A5DBD" w:rsidRPr="005244B2">
              <w:rPr>
                <w:rStyle w:val="Hyperlink"/>
                <w:noProof/>
              </w:rPr>
              <w:t>4</w:t>
            </w:r>
            <w:r w:rsidR="003A5DBD">
              <w:rPr>
                <w:rFonts w:asciiTheme="minorHAnsi" w:eastAsiaTheme="minorEastAsia" w:hAnsiTheme="minorHAnsi" w:cstheme="minorBidi"/>
                <w:b w:val="0"/>
                <w:noProof/>
                <w:sz w:val="22"/>
                <w:szCs w:val="22"/>
                <w:lang w:eastAsia="en-AU"/>
              </w:rPr>
              <w:tab/>
            </w:r>
            <w:r w:rsidR="003A5DBD" w:rsidRPr="005244B2">
              <w:rPr>
                <w:rStyle w:val="Hyperlink"/>
                <w:noProof/>
              </w:rPr>
              <w:t>Proposed amendments referred for scheduling advice to ACCS meeting #35</w:t>
            </w:r>
            <w:r w:rsidR="003A5DBD">
              <w:rPr>
                <w:noProof/>
                <w:webHidden/>
              </w:rPr>
              <w:tab/>
            </w:r>
            <w:r w:rsidR="003A5DBD">
              <w:rPr>
                <w:noProof/>
                <w:webHidden/>
              </w:rPr>
              <w:fldChar w:fldCharType="begin"/>
            </w:r>
            <w:r w:rsidR="003A5DBD">
              <w:rPr>
                <w:noProof/>
                <w:webHidden/>
              </w:rPr>
              <w:instrText xml:space="preserve"> PAGEREF _Toc112833654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05A1E425" w14:textId="1E384290" w:rsidR="003A5DBD" w:rsidRDefault="001C5F86">
          <w:pPr>
            <w:pStyle w:val="TOC2"/>
            <w:rPr>
              <w:rFonts w:asciiTheme="minorHAnsi" w:eastAsiaTheme="minorEastAsia" w:hAnsiTheme="minorHAnsi" w:cstheme="minorBidi"/>
              <w:b w:val="0"/>
              <w:noProof/>
              <w:sz w:val="22"/>
              <w:szCs w:val="22"/>
              <w:lang w:eastAsia="en-AU"/>
            </w:rPr>
          </w:pPr>
          <w:hyperlink w:anchor="_Toc112833655" w:history="1">
            <w:r w:rsidR="003A5DBD" w:rsidRPr="005244B2">
              <w:rPr>
                <w:rStyle w:val="Hyperlink"/>
                <w:noProof/>
              </w:rPr>
              <w:t>Ethalfluralin</w:t>
            </w:r>
            <w:r w:rsidR="003A5DBD">
              <w:rPr>
                <w:noProof/>
                <w:webHidden/>
              </w:rPr>
              <w:tab/>
            </w:r>
            <w:r w:rsidR="003A5DBD">
              <w:rPr>
                <w:noProof/>
                <w:webHidden/>
              </w:rPr>
              <w:fldChar w:fldCharType="begin"/>
            </w:r>
            <w:r w:rsidR="003A5DBD">
              <w:rPr>
                <w:noProof/>
                <w:webHidden/>
              </w:rPr>
              <w:instrText xml:space="preserve"> PAGEREF _Toc112833655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2EBA1F0F" w14:textId="3FE81A4F" w:rsidR="003A5DBD" w:rsidRDefault="001C5F86">
          <w:pPr>
            <w:pStyle w:val="TOC3"/>
            <w:rPr>
              <w:rFonts w:asciiTheme="minorHAnsi" w:eastAsiaTheme="minorEastAsia" w:hAnsiTheme="minorHAnsi" w:cstheme="minorBidi"/>
              <w:b w:val="0"/>
              <w:noProof/>
              <w:szCs w:val="22"/>
              <w:lang w:eastAsia="en-AU"/>
            </w:rPr>
          </w:pPr>
          <w:hyperlink w:anchor="_Toc112833656"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_Toc112833656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35463E18" w14:textId="28871F0E" w:rsidR="003A5DBD" w:rsidRDefault="001C5F86">
          <w:pPr>
            <w:pStyle w:val="TOC3"/>
            <w:rPr>
              <w:rFonts w:asciiTheme="minorHAnsi" w:eastAsiaTheme="minorEastAsia" w:hAnsiTheme="minorHAnsi" w:cstheme="minorBidi"/>
              <w:b w:val="0"/>
              <w:noProof/>
              <w:szCs w:val="22"/>
              <w:lang w:eastAsia="en-AU"/>
            </w:rPr>
          </w:pPr>
          <w:hyperlink w:anchor="_Toc112833657"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_Toc112833657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62C8E8AC" w14:textId="68370844" w:rsidR="003A5DBD" w:rsidRDefault="001C5F86">
          <w:pPr>
            <w:pStyle w:val="TOC3"/>
            <w:rPr>
              <w:rFonts w:asciiTheme="minorHAnsi" w:eastAsiaTheme="minorEastAsia" w:hAnsiTheme="minorHAnsi" w:cstheme="minorBidi"/>
              <w:b w:val="0"/>
              <w:noProof/>
              <w:szCs w:val="22"/>
              <w:lang w:eastAsia="en-AU"/>
            </w:rPr>
          </w:pPr>
          <w:hyperlink w:anchor="_Toc112833658"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_Toc112833658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5092F30A" w14:textId="0409178A" w:rsidR="003A5DBD" w:rsidRDefault="001C5F86">
          <w:pPr>
            <w:pStyle w:val="TOC3"/>
            <w:rPr>
              <w:rFonts w:asciiTheme="minorHAnsi" w:eastAsiaTheme="minorEastAsia" w:hAnsiTheme="minorHAnsi" w:cstheme="minorBidi"/>
              <w:b w:val="0"/>
              <w:noProof/>
              <w:szCs w:val="22"/>
              <w:lang w:eastAsia="en-AU"/>
            </w:rPr>
          </w:pPr>
          <w:hyperlink w:anchor="_Toc112833659"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_Toc112833659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30829755" w14:textId="6DCD127A" w:rsidR="003A5DBD" w:rsidRDefault="001C5F86">
          <w:pPr>
            <w:pStyle w:val="TOC3"/>
            <w:rPr>
              <w:rFonts w:asciiTheme="minorHAnsi" w:eastAsiaTheme="minorEastAsia" w:hAnsiTheme="minorHAnsi" w:cstheme="minorBidi"/>
              <w:b w:val="0"/>
              <w:noProof/>
              <w:szCs w:val="22"/>
              <w:lang w:eastAsia="en-AU"/>
            </w:rPr>
          </w:pPr>
          <w:hyperlink w:anchor="_Toc112833660"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_Toc112833660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1CF46369" w14:textId="6783A416" w:rsidR="003A5DBD" w:rsidRDefault="001C5F86">
          <w:pPr>
            <w:pStyle w:val="TOC3"/>
            <w:rPr>
              <w:rFonts w:asciiTheme="minorHAnsi" w:eastAsiaTheme="minorEastAsia" w:hAnsiTheme="minorHAnsi" w:cstheme="minorBidi"/>
              <w:b w:val="0"/>
              <w:noProof/>
              <w:szCs w:val="22"/>
              <w:lang w:eastAsia="en-AU"/>
            </w:rPr>
          </w:pPr>
          <w:hyperlink w:anchor="_Toc112833661"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_Toc112833661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66966A37" w14:textId="76F550A0" w:rsidR="003A5DBD" w:rsidRDefault="001C5F86">
          <w:pPr>
            <w:pStyle w:val="TOC3"/>
            <w:rPr>
              <w:rFonts w:asciiTheme="minorHAnsi" w:eastAsiaTheme="minorEastAsia" w:hAnsiTheme="minorHAnsi" w:cstheme="minorBidi"/>
              <w:b w:val="0"/>
              <w:noProof/>
              <w:szCs w:val="22"/>
              <w:lang w:eastAsia="en-AU"/>
            </w:rPr>
          </w:pPr>
          <w:hyperlink w:anchor="_Toc112833662"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_Toc112833662 \h </w:instrText>
            </w:r>
            <w:r w:rsidR="003A5DBD">
              <w:rPr>
                <w:noProof/>
                <w:webHidden/>
              </w:rPr>
            </w:r>
            <w:r w:rsidR="003A5DBD">
              <w:rPr>
                <w:noProof/>
                <w:webHidden/>
              </w:rPr>
              <w:fldChar w:fldCharType="separate"/>
            </w:r>
            <w:r w:rsidR="003A5DBD">
              <w:rPr>
                <w:noProof/>
                <w:webHidden/>
              </w:rPr>
              <w:t>45</w:t>
            </w:r>
            <w:r w:rsidR="003A5DBD">
              <w:rPr>
                <w:noProof/>
                <w:webHidden/>
              </w:rPr>
              <w:fldChar w:fldCharType="end"/>
            </w:r>
          </w:hyperlink>
        </w:p>
        <w:p w14:paraId="3375AD3A" w14:textId="14621ACA" w:rsidR="003A5DBD" w:rsidRDefault="001C5F86">
          <w:pPr>
            <w:pStyle w:val="TOC3"/>
            <w:rPr>
              <w:rFonts w:asciiTheme="minorHAnsi" w:eastAsiaTheme="minorEastAsia" w:hAnsiTheme="minorHAnsi" w:cstheme="minorBidi"/>
              <w:b w:val="0"/>
              <w:noProof/>
              <w:szCs w:val="22"/>
              <w:lang w:eastAsia="en-AU"/>
            </w:rPr>
          </w:pPr>
          <w:hyperlink w:anchor="_Toc112833663"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_Toc112833663 \h </w:instrText>
            </w:r>
            <w:r w:rsidR="003A5DBD">
              <w:rPr>
                <w:noProof/>
                <w:webHidden/>
              </w:rPr>
            </w:r>
            <w:r w:rsidR="003A5DBD">
              <w:rPr>
                <w:noProof/>
                <w:webHidden/>
              </w:rPr>
              <w:fldChar w:fldCharType="separate"/>
            </w:r>
            <w:r w:rsidR="003A5DBD">
              <w:rPr>
                <w:noProof/>
                <w:webHidden/>
              </w:rPr>
              <w:t>46</w:t>
            </w:r>
            <w:r w:rsidR="003A5DBD">
              <w:rPr>
                <w:noProof/>
                <w:webHidden/>
              </w:rPr>
              <w:fldChar w:fldCharType="end"/>
            </w:r>
          </w:hyperlink>
        </w:p>
        <w:p w14:paraId="44835D77" w14:textId="33DE40AC" w:rsidR="003A5DBD" w:rsidRDefault="001C5F86">
          <w:pPr>
            <w:pStyle w:val="TOC3"/>
            <w:rPr>
              <w:rFonts w:asciiTheme="minorHAnsi" w:eastAsiaTheme="minorEastAsia" w:hAnsiTheme="minorHAnsi" w:cstheme="minorBidi"/>
              <w:b w:val="0"/>
              <w:noProof/>
              <w:szCs w:val="22"/>
              <w:lang w:eastAsia="en-AU"/>
            </w:rPr>
          </w:pPr>
          <w:hyperlink w:anchor="_Toc112833664"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_Toc112833664 \h </w:instrText>
            </w:r>
            <w:r w:rsidR="003A5DBD">
              <w:rPr>
                <w:noProof/>
                <w:webHidden/>
              </w:rPr>
            </w:r>
            <w:r w:rsidR="003A5DBD">
              <w:rPr>
                <w:noProof/>
                <w:webHidden/>
              </w:rPr>
              <w:fldChar w:fldCharType="separate"/>
            </w:r>
            <w:r w:rsidR="003A5DBD">
              <w:rPr>
                <w:noProof/>
                <w:webHidden/>
              </w:rPr>
              <w:t>46</w:t>
            </w:r>
            <w:r w:rsidR="003A5DBD">
              <w:rPr>
                <w:noProof/>
                <w:webHidden/>
              </w:rPr>
              <w:fldChar w:fldCharType="end"/>
            </w:r>
          </w:hyperlink>
        </w:p>
        <w:p w14:paraId="7EA57E6F" w14:textId="57EE137F" w:rsidR="003A5DBD" w:rsidRDefault="001C5F86">
          <w:pPr>
            <w:pStyle w:val="TOC3"/>
            <w:rPr>
              <w:rFonts w:asciiTheme="minorHAnsi" w:eastAsiaTheme="minorEastAsia" w:hAnsiTheme="minorHAnsi" w:cstheme="minorBidi"/>
              <w:b w:val="0"/>
              <w:noProof/>
              <w:szCs w:val="22"/>
              <w:lang w:eastAsia="en-AU"/>
            </w:rPr>
          </w:pPr>
          <w:hyperlink w:anchor="_Toc112833665"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_Toc112833665 \h </w:instrText>
            </w:r>
            <w:r w:rsidR="003A5DBD">
              <w:rPr>
                <w:noProof/>
                <w:webHidden/>
              </w:rPr>
            </w:r>
            <w:r w:rsidR="003A5DBD">
              <w:rPr>
                <w:noProof/>
                <w:webHidden/>
              </w:rPr>
              <w:fldChar w:fldCharType="separate"/>
            </w:r>
            <w:r w:rsidR="003A5DBD">
              <w:rPr>
                <w:noProof/>
                <w:webHidden/>
              </w:rPr>
              <w:t>46</w:t>
            </w:r>
            <w:r w:rsidR="003A5DBD">
              <w:rPr>
                <w:noProof/>
                <w:webHidden/>
              </w:rPr>
              <w:fldChar w:fldCharType="end"/>
            </w:r>
          </w:hyperlink>
        </w:p>
        <w:p w14:paraId="2DF07138" w14:textId="31AC31E2" w:rsidR="003A5DBD" w:rsidRDefault="001C5F86">
          <w:pPr>
            <w:pStyle w:val="TOC3"/>
            <w:rPr>
              <w:rFonts w:asciiTheme="minorHAnsi" w:eastAsiaTheme="minorEastAsia" w:hAnsiTheme="minorHAnsi" w:cstheme="minorBidi"/>
              <w:b w:val="0"/>
              <w:noProof/>
              <w:szCs w:val="22"/>
              <w:lang w:eastAsia="en-AU"/>
            </w:rPr>
          </w:pPr>
          <w:hyperlink w:anchor="_Toc112833666"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_Toc112833666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7C3445C9" w14:textId="67DB0A0A" w:rsidR="003A5DBD" w:rsidRDefault="001C5F86">
          <w:pPr>
            <w:pStyle w:val="TOC2"/>
            <w:rPr>
              <w:rFonts w:asciiTheme="minorHAnsi" w:eastAsiaTheme="minorEastAsia" w:hAnsiTheme="minorHAnsi" w:cstheme="minorBidi"/>
              <w:b w:val="0"/>
              <w:noProof/>
              <w:sz w:val="22"/>
              <w:szCs w:val="22"/>
              <w:lang w:eastAsia="en-AU"/>
            </w:rPr>
          </w:pPr>
          <w:hyperlink w:anchor="_Toc112833667" w:history="1">
            <w:r w:rsidR="003A5DBD" w:rsidRPr="005244B2">
              <w:rPr>
                <w:rStyle w:val="Hyperlink"/>
                <w:noProof/>
              </w:rPr>
              <w:t>Tigolaner</w:t>
            </w:r>
            <w:r w:rsidR="003A5DBD">
              <w:rPr>
                <w:noProof/>
                <w:webHidden/>
              </w:rPr>
              <w:tab/>
            </w:r>
            <w:r w:rsidR="003A5DBD">
              <w:rPr>
                <w:noProof/>
                <w:webHidden/>
              </w:rPr>
              <w:fldChar w:fldCharType="begin"/>
            </w:r>
            <w:r w:rsidR="003A5DBD">
              <w:rPr>
                <w:noProof/>
                <w:webHidden/>
              </w:rPr>
              <w:instrText xml:space="preserve"> PAGEREF _Toc112833667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7C66250E" w14:textId="619960E8" w:rsidR="003A5DBD" w:rsidRDefault="001C5F86">
          <w:pPr>
            <w:pStyle w:val="TOC3"/>
            <w:rPr>
              <w:rFonts w:asciiTheme="minorHAnsi" w:eastAsiaTheme="minorEastAsia" w:hAnsiTheme="minorHAnsi" w:cstheme="minorBidi"/>
              <w:b w:val="0"/>
              <w:noProof/>
              <w:szCs w:val="22"/>
              <w:lang w:eastAsia="en-AU"/>
            </w:rPr>
          </w:pPr>
          <w:hyperlink w:anchor="_Toc112833668" w:history="1">
            <w:r w:rsidR="003A5DBD" w:rsidRPr="005244B2">
              <w:rPr>
                <w:rStyle w:val="Hyperlink"/>
                <w:noProof/>
              </w:rPr>
              <w:t>Proposal</w:t>
            </w:r>
            <w:r w:rsidR="003A5DBD">
              <w:rPr>
                <w:noProof/>
                <w:webHidden/>
              </w:rPr>
              <w:tab/>
            </w:r>
            <w:r w:rsidR="003A5DBD">
              <w:rPr>
                <w:noProof/>
                <w:webHidden/>
              </w:rPr>
              <w:fldChar w:fldCharType="begin"/>
            </w:r>
            <w:r w:rsidR="003A5DBD">
              <w:rPr>
                <w:noProof/>
                <w:webHidden/>
              </w:rPr>
              <w:instrText xml:space="preserve"> PAGEREF _Toc112833668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75A87FCC" w14:textId="6483014C" w:rsidR="003A5DBD" w:rsidRDefault="001C5F86">
          <w:pPr>
            <w:pStyle w:val="TOC3"/>
            <w:rPr>
              <w:rFonts w:asciiTheme="minorHAnsi" w:eastAsiaTheme="minorEastAsia" w:hAnsiTheme="minorHAnsi" w:cstheme="minorBidi"/>
              <w:b w:val="0"/>
              <w:noProof/>
              <w:szCs w:val="22"/>
              <w:lang w:eastAsia="en-AU"/>
            </w:rPr>
          </w:pPr>
          <w:hyperlink w:anchor="_Toc112833669" w:history="1">
            <w:r w:rsidR="003A5DBD" w:rsidRPr="005244B2">
              <w:rPr>
                <w:rStyle w:val="Hyperlink"/>
                <w:noProof/>
              </w:rPr>
              <w:t>CAS Number</w:t>
            </w:r>
            <w:r w:rsidR="003A5DBD">
              <w:rPr>
                <w:noProof/>
                <w:webHidden/>
              </w:rPr>
              <w:tab/>
            </w:r>
            <w:r w:rsidR="003A5DBD">
              <w:rPr>
                <w:noProof/>
                <w:webHidden/>
              </w:rPr>
              <w:fldChar w:fldCharType="begin"/>
            </w:r>
            <w:r w:rsidR="003A5DBD">
              <w:rPr>
                <w:noProof/>
                <w:webHidden/>
              </w:rPr>
              <w:instrText xml:space="preserve"> PAGEREF _Toc112833669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5C3B9CBC" w14:textId="52686C1C" w:rsidR="003A5DBD" w:rsidRDefault="001C5F86">
          <w:pPr>
            <w:pStyle w:val="TOC3"/>
            <w:rPr>
              <w:rFonts w:asciiTheme="minorHAnsi" w:eastAsiaTheme="minorEastAsia" w:hAnsiTheme="minorHAnsi" w:cstheme="minorBidi"/>
              <w:b w:val="0"/>
              <w:noProof/>
              <w:szCs w:val="22"/>
              <w:lang w:eastAsia="en-AU"/>
            </w:rPr>
          </w:pPr>
          <w:hyperlink w:anchor="_Toc112833670" w:history="1">
            <w:r w:rsidR="003A5DBD" w:rsidRPr="005244B2">
              <w:rPr>
                <w:rStyle w:val="Hyperlink"/>
                <w:noProof/>
              </w:rPr>
              <w:t>Alternative names</w:t>
            </w:r>
            <w:r w:rsidR="003A5DBD">
              <w:rPr>
                <w:noProof/>
                <w:webHidden/>
              </w:rPr>
              <w:tab/>
            </w:r>
            <w:r w:rsidR="003A5DBD">
              <w:rPr>
                <w:noProof/>
                <w:webHidden/>
              </w:rPr>
              <w:fldChar w:fldCharType="begin"/>
            </w:r>
            <w:r w:rsidR="003A5DBD">
              <w:rPr>
                <w:noProof/>
                <w:webHidden/>
              </w:rPr>
              <w:instrText xml:space="preserve"> PAGEREF _Toc112833670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75F8BA3A" w14:textId="027B160F" w:rsidR="003A5DBD" w:rsidRDefault="001C5F86">
          <w:pPr>
            <w:pStyle w:val="TOC3"/>
            <w:rPr>
              <w:rFonts w:asciiTheme="minorHAnsi" w:eastAsiaTheme="minorEastAsia" w:hAnsiTheme="minorHAnsi" w:cstheme="minorBidi"/>
              <w:b w:val="0"/>
              <w:noProof/>
              <w:szCs w:val="22"/>
              <w:lang w:eastAsia="en-AU"/>
            </w:rPr>
          </w:pPr>
          <w:hyperlink w:anchor="_Toc112833671" w:history="1">
            <w:r w:rsidR="003A5DBD" w:rsidRPr="005244B2">
              <w:rPr>
                <w:rStyle w:val="Hyperlink"/>
                <w:noProof/>
              </w:rPr>
              <w:t>Applicant</w:t>
            </w:r>
            <w:r w:rsidR="003A5DBD">
              <w:rPr>
                <w:noProof/>
                <w:webHidden/>
              </w:rPr>
              <w:tab/>
            </w:r>
            <w:r w:rsidR="003A5DBD">
              <w:rPr>
                <w:noProof/>
                <w:webHidden/>
              </w:rPr>
              <w:fldChar w:fldCharType="begin"/>
            </w:r>
            <w:r w:rsidR="003A5DBD">
              <w:rPr>
                <w:noProof/>
                <w:webHidden/>
              </w:rPr>
              <w:instrText xml:space="preserve"> PAGEREF _Toc112833671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620D2C6B" w14:textId="6F086714" w:rsidR="003A5DBD" w:rsidRDefault="001C5F86">
          <w:pPr>
            <w:pStyle w:val="TOC3"/>
            <w:rPr>
              <w:rFonts w:asciiTheme="minorHAnsi" w:eastAsiaTheme="minorEastAsia" w:hAnsiTheme="minorHAnsi" w:cstheme="minorBidi"/>
              <w:b w:val="0"/>
              <w:noProof/>
              <w:szCs w:val="22"/>
              <w:lang w:eastAsia="en-AU"/>
            </w:rPr>
          </w:pPr>
          <w:hyperlink w:anchor="_Toc112833672" w:history="1">
            <w:r w:rsidR="003A5DBD" w:rsidRPr="005244B2">
              <w:rPr>
                <w:rStyle w:val="Hyperlink"/>
                <w:noProof/>
              </w:rPr>
              <w:t>Current scheduling</w:t>
            </w:r>
            <w:r w:rsidR="003A5DBD">
              <w:rPr>
                <w:noProof/>
                <w:webHidden/>
              </w:rPr>
              <w:tab/>
            </w:r>
            <w:r w:rsidR="003A5DBD">
              <w:rPr>
                <w:noProof/>
                <w:webHidden/>
              </w:rPr>
              <w:fldChar w:fldCharType="begin"/>
            </w:r>
            <w:r w:rsidR="003A5DBD">
              <w:rPr>
                <w:noProof/>
                <w:webHidden/>
              </w:rPr>
              <w:instrText xml:space="preserve"> PAGEREF _Toc112833672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2E6DEDB2" w14:textId="519E07F6" w:rsidR="003A5DBD" w:rsidRDefault="001C5F86">
          <w:pPr>
            <w:pStyle w:val="TOC3"/>
            <w:rPr>
              <w:rFonts w:asciiTheme="minorHAnsi" w:eastAsiaTheme="minorEastAsia" w:hAnsiTheme="minorHAnsi" w:cstheme="minorBidi"/>
              <w:b w:val="0"/>
              <w:noProof/>
              <w:szCs w:val="22"/>
              <w:lang w:eastAsia="en-AU"/>
            </w:rPr>
          </w:pPr>
          <w:hyperlink w:anchor="_Toc112833673" w:history="1">
            <w:r w:rsidR="003A5DBD" w:rsidRPr="005244B2">
              <w:rPr>
                <w:rStyle w:val="Hyperlink"/>
                <w:noProof/>
              </w:rPr>
              <w:t>Proposed scheduling</w:t>
            </w:r>
            <w:r w:rsidR="003A5DBD">
              <w:rPr>
                <w:noProof/>
                <w:webHidden/>
              </w:rPr>
              <w:tab/>
            </w:r>
            <w:r w:rsidR="003A5DBD">
              <w:rPr>
                <w:noProof/>
                <w:webHidden/>
              </w:rPr>
              <w:fldChar w:fldCharType="begin"/>
            </w:r>
            <w:r w:rsidR="003A5DBD">
              <w:rPr>
                <w:noProof/>
                <w:webHidden/>
              </w:rPr>
              <w:instrText xml:space="preserve"> PAGEREF _Toc112833673 \h </w:instrText>
            </w:r>
            <w:r w:rsidR="003A5DBD">
              <w:rPr>
                <w:noProof/>
                <w:webHidden/>
              </w:rPr>
            </w:r>
            <w:r w:rsidR="003A5DBD">
              <w:rPr>
                <w:noProof/>
                <w:webHidden/>
              </w:rPr>
              <w:fldChar w:fldCharType="separate"/>
            </w:r>
            <w:r w:rsidR="003A5DBD">
              <w:rPr>
                <w:noProof/>
                <w:webHidden/>
              </w:rPr>
              <w:t>47</w:t>
            </w:r>
            <w:r w:rsidR="003A5DBD">
              <w:rPr>
                <w:noProof/>
                <w:webHidden/>
              </w:rPr>
              <w:fldChar w:fldCharType="end"/>
            </w:r>
          </w:hyperlink>
        </w:p>
        <w:p w14:paraId="4A44A3EC" w14:textId="7BBBC764" w:rsidR="003A5DBD" w:rsidRDefault="001C5F86">
          <w:pPr>
            <w:pStyle w:val="TOC3"/>
            <w:rPr>
              <w:rFonts w:asciiTheme="minorHAnsi" w:eastAsiaTheme="minorEastAsia" w:hAnsiTheme="minorHAnsi" w:cstheme="minorBidi"/>
              <w:b w:val="0"/>
              <w:noProof/>
              <w:szCs w:val="22"/>
              <w:lang w:eastAsia="en-AU"/>
            </w:rPr>
          </w:pPr>
          <w:hyperlink w:anchor="_Toc112833674" w:history="1">
            <w:r w:rsidR="003A5DBD" w:rsidRPr="005244B2">
              <w:rPr>
                <w:rStyle w:val="Hyperlink"/>
                <w:noProof/>
              </w:rPr>
              <w:t>Background</w:t>
            </w:r>
            <w:r w:rsidR="003A5DBD">
              <w:rPr>
                <w:noProof/>
                <w:webHidden/>
              </w:rPr>
              <w:tab/>
            </w:r>
            <w:r w:rsidR="003A5DBD">
              <w:rPr>
                <w:noProof/>
                <w:webHidden/>
              </w:rPr>
              <w:fldChar w:fldCharType="begin"/>
            </w:r>
            <w:r w:rsidR="003A5DBD">
              <w:rPr>
                <w:noProof/>
                <w:webHidden/>
              </w:rPr>
              <w:instrText xml:space="preserve"> PAGEREF _Toc112833674 \h </w:instrText>
            </w:r>
            <w:r w:rsidR="003A5DBD">
              <w:rPr>
                <w:noProof/>
                <w:webHidden/>
              </w:rPr>
            </w:r>
            <w:r w:rsidR="003A5DBD">
              <w:rPr>
                <w:noProof/>
                <w:webHidden/>
              </w:rPr>
              <w:fldChar w:fldCharType="separate"/>
            </w:r>
            <w:r w:rsidR="003A5DBD">
              <w:rPr>
                <w:noProof/>
                <w:webHidden/>
              </w:rPr>
              <w:t>48</w:t>
            </w:r>
            <w:r w:rsidR="003A5DBD">
              <w:rPr>
                <w:noProof/>
                <w:webHidden/>
              </w:rPr>
              <w:fldChar w:fldCharType="end"/>
            </w:r>
          </w:hyperlink>
        </w:p>
        <w:p w14:paraId="465181E8" w14:textId="572A47B9" w:rsidR="003A5DBD" w:rsidRDefault="001C5F86">
          <w:pPr>
            <w:pStyle w:val="TOC3"/>
            <w:rPr>
              <w:rFonts w:asciiTheme="minorHAnsi" w:eastAsiaTheme="minorEastAsia" w:hAnsiTheme="minorHAnsi" w:cstheme="minorBidi"/>
              <w:b w:val="0"/>
              <w:noProof/>
              <w:szCs w:val="22"/>
              <w:lang w:eastAsia="en-AU"/>
            </w:rPr>
          </w:pPr>
          <w:hyperlink w:anchor="_Toc112833675" w:history="1">
            <w:r w:rsidR="003A5DBD" w:rsidRPr="005244B2">
              <w:rPr>
                <w:rStyle w:val="Hyperlink"/>
                <w:noProof/>
              </w:rPr>
              <w:t>Summary of applicant’s reasons for the proposal</w:t>
            </w:r>
            <w:r w:rsidR="003A5DBD">
              <w:rPr>
                <w:noProof/>
                <w:webHidden/>
              </w:rPr>
              <w:tab/>
            </w:r>
            <w:r w:rsidR="003A5DBD">
              <w:rPr>
                <w:noProof/>
                <w:webHidden/>
              </w:rPr>
              <w:fldChar w:fldCharType="begin"/>
            </w:r>
            <w:r w:rsidR="003A5DBD">
              <w:rPr>
                <w:noProof/>
                <w:webHidden/>
              </w:rPr>
              <w:instrText xml:space="preserve"> PAGEREF _Toc112833675 \h </w:instrText>
            </w:r>
            <w:r w:rsidR="003A5DBD">
              <w:rPr>
                <w:noProof/>
                <w:webHidden/>
              </w:rPr>
            </w:r>
            <w:r w:rsidR="003A5DBD">
              <w:rPr>
                <w:noProof/>
                <w:webHidden/>
              </w:rPr>
              <w:fldChar w:fldCharType="separate"/>
            </w:r>
            <w:r w:rsidR="003A5DBD">
              <w:rPr>
                <w:noProof/>
                <w:webHidden/>
              </w:rPr>
              <w:t>48</w:t>
            </w:r>
            <w:r w:rsidR="003A5DBD">
              <w:rPr>
                <w:noProof/>
                <w:webHidden/>
              </w:rPr>
              <w:fldChar w:fldCharType="end"/>
            </w:r>
          </w:hyperlink>
        </w:p>
        <w:p w14:paraId="3FF16DB5" w14:textId="1BC37459" w:rsidR="003A5DBD" w:rsidRDefault="001C5F86">
          <w:pPr>
            <w:pStyle w:val="TOC3"/>
            <w:rPr>
              <w:rFonts w:asciiTheme="minorHAnsi" w:eastAsiaTheme="minorEastAsia" w:hAnsiTheme="minorHAnsi" w:cstheme="minorBidi"/>
              <w:b w:val="0"/>
              <w:noProof/>
              <w:szCs w:val="22"/>
              <w:lang w:eastAsia="en-AU"/>
            </w:rPr>
          </w:pPr>
          <w:hyperlink w:anchor="_Toc112833676" w:history="1">
            <w:r w:rsidR="003A5DBD" w:rsidRPr="005244B2">
              <w:rPr>
                <w:rStyle w:val="Hyperlink"/>
                <w:noProof/>
              </w:rPr>
              <w:t>Key uses / expected use</w:t>
            </w:r>
            <w:r w:rsidR="003A5DBD">
              <w:rPr>
                <w:noProof/>
                <w:webHidden/>
              </w:rPr>
              <w:tab/>
            </w:r>
            <w:r w:rsidR="003A5DBD">
              <w:rPr>
                <w:noProof/>
                <w:webHidden/>
              </w:rPr>
              <w:fldChar w:fldCharType="begin"/>
            </w:r>
            <w:r w:rsidR="003A5DBD">
              <w:rPr>
                <w:noProof/>
                <w:webHidden/>
              </w:rPr>
              <w:instrText xml:space="preserve"> PAGEREF _Toc112833676 \h </w:instrText>
            </w:r>
            <w:r w:rsidR="003A5DBD">
              <w:rPr>
                <w:noProof/>
                <w:webHidden/>
              </w:rPr>
            </w:r>
            <w:r w:rsidR="003A5DBD">
              <w:rPr>
                <w:noProof/>
                <w:webHidden/>
              </w:rPr>
              <w:fldChar w:fldCharType="separate"/>
            </w:r>
            <w:r w:rsidR="003A5DBD">
              <w:rPr>
                <w:noProof/>
                <w:webHidden/>
              </w:rPr>
              <w:t>48</w:t>
            </w:r>
            <w:r w:rsidR="003A5DBD">
              <w:rPr>
                <w:noProof/>
                <w:webHidden/>
              </w:rPr>
              <w:fldChar w:fldCharType="end"/>
            </w:r>
          </w:hyperlink>
        </w:p>
        <w:p w14:paraId="2C0A9D16" w14:textId="47AC26D9" w:rsidR="003A5DBD" w:rsidRDefault="001C5F86">
          <w:pPr>
            <w:pStyle w:val="TOC3"/>
            <w:rPr>
              <w:rFonts w:asciiTheme="minorHAnsi" w:eastAsiaTheme="minorEastAsia" w:hAnsiTheme="minorHAnsi" w:cstheme="minorBidi"/>
              <w:b w:val="0"/>
              <w:noProof/>
              <w:szCs w:val="22"/>
              <w:lang w:eastAsia="en-AU"/>
            </w:rPr>
          </w:pPr>
          <w:hyperlink w:anchor="_Toc112833677" w:history="1">
            <w:r w:rsidR="003A5DBD" w:rsidRPr="005244B2">
              <w:rPr>
                <w:rStyle w:val="Hyperlink"/>
                <w:noProof/>
              </w:rPr>
              <w:t>Australian regulations</w:t>
            </w:r>
            <w:r w:rsidR="003A5DBD">
              <w:rPr>
                <w:noProof/>
                <w:webHidden/>
              </w:rPr>
              <w:tab/>
            </w:r>
            <w:r w:rsidR="003A5DBD">
              <w:rPr>
                <w:noProof/>
                <w:webHidden/>
              </w:rPr>
              <w:fldChar w:fldCharType="begin"/>
            </w:r>
            <w:r w:rsidR="003A5DBD">
              <w:rPr>
                <w:noProof/>
                <w:webHidden/>
              </w:rPr>
              <w:instrText xml:space="preserve"> PAGEREF _Toc112833677 \h </w:instrText>
            </w:r>
            <w:r w:rsidR="003A5DBD">
              <w:rPr>
                <w:noProof/>
                <w:webHidden/>
              </w:rPr>
            </w:r>
            <w:r w:rsidR="003A5DBD">
              <w:rPr>
                <w:noProof/>
                <w:webHidden/>
              </w:rPr>
              <w:fldChar w:fldCharType="separate"/>
            </w:r>
            <w:r w:rsidR="003A5DBD">
              <w:rPr>
                <w:noProof/>
                <w:webHidden/>
              </w:rPr>
              <w:t>48</w:t>
            </w:r>
            <w:r w:rsidR="003A5DBD">
              <w:rPr>
                <w:noProof/>
                <w:webHidden/>
              </w:rPr>
              <w:fldChar w:fldCharType="end"/>
            </w:r>
          </w:hyperlink>
        </w:p>
        <w:p w14:paraId="2E3910C9" w14:textId="0E13FBF8" w:rsidR="003A5DBD" w:rsidRDefault="001C5F86">
          <w:pPr>
            <w:pStyle w:val="TOC3"/>
            <w:rPr>
              <w:rFonts w:asciiTheme="minorHAnsi" w:eastAsiaTheme="minorEastAsia" w:hAnsiTheme="minorHAnsi" w:cstheme="minorBidi"/>
              <w:b w:val="0"/>
              <w:noProof/>
              <w:szCs w:val="22"/>
              <w:lang w:eastAsia="en-AU"/>
            </w:rPr>
          </w:pPr>
          <w:hyperlink w:anchor="_Toc112833678" w:history="1">
            <w:r w:rsidR="003A5DBD" w:rsidRPr="005244B2">
              <w:rPr>
                <w:rStyle w:val="Hyperlink"/>
                <w:noProof/>
              </w:rPr>
              <w:t>International regulations</w:t>
            </w:r>
            <w:r w:rsidR="003A5DBD">
              <w:rPr>
                <w:noProof/>
                <w:webHidden/>
              </w:rPr>
              <w:tab/>
            </w:r>
            <w:r w:rsidR="003A5DBD">
              <w:rPr>
                <w:noProof/>
                <w:webHidden/>
              </w:rPr>
              <w:fldChar w:fldCharType="begin"/>
            </w:r>
            <w:r w:rsidR="003A5DBD">
              <w:rPr>
                <w:noProof/>
                <w:webHidden/>
              </w:rPr>
              <w:instrText xml:space="preserve"> PAGEREF _Toc112833678 \h </w:instrText>
            </w:r>
            <w:r w:rsidR="003A5DBD">
              <w:rPr>
                <w:noProof/>
                <w:webHidden/>
              </w:rPr>
            </w:r>
            <w:r w:rsidR="003A5DBD">
              <w:rPr>
                <w:noProof/>
                <w:webHidden/>
              </w:rPr>
              <w:fldChar w:fldCharType="separate"/>
            </w:r>
            <w:r w:rsidR="003A5DBD">
              <w:rPr>
                <w:noProof/>
                <w:webHidden/>
              </w:rPr>
              <w:t>49</w:t>
            </w:r>
            <w:r w:rsidR="003A5DBD">
              <w:rPr>
                <w:noProof/>
                <w:webHidden/>
              </w:rPr>
              <w:fldChar w:fldCharType="end"/>
            </w:r>
          </w:hyperlink>
        </w:p>
        <w:p w14:paraId="5E45C6E9" w14:textId="64E9E700" w:rsidR="003A5DBD" w:rsidRDefault="001C5F86">
          <w:pPr>
            <w:pStyle w:val="TOC1"/>
            <w:tabs>
              <w:tab w:val="left" w:pos="425"/>
            </w:tabs>
            <w:rPr>
              <w:rFonts w:asciiTheme="minorHAnsi" w:eastAsiaTheme="minorEastAsia" w:hAnsiTheme="minorHAnsi" w:cstheme="minorBidi"/>
              <w:b w:val="0"/>
              <w:noProof/>
              <w:sz w:val="22"/>
              <w:szCs w:val="22"/>
              <w:lang w:eastAsia="en-AU"/>
            </w:rPr>
          </w:pPr>
          <w:hyperlink w:anchor="_Toc112833679" w:history="1">
            <w:r w:rsidR="003A5DBD" w:rsidRPr="005244B2">
              <w:rPr>
                <w:rStyle w:val="Hyperlink"/>
                <w:noProof/>
              </w:rPr>
              <w:t>5</w:t>
            </w:r>
            <w:r w:rsidR="003A5DBD">
              <w:rPr>
                <w:rFonts w:asciiTheme="minorHAnsi" w:eastAsiaTheme="minorEastAsia" w:hAnsiTheme="minorHAnsi" w:cstheme="minorBidi"/>
                <w:b w:val="0"/>
                <w:noProof/>
                <w:sz w:val="22"/>
                <w:szCs w:val="22"/>
                <w:lang w:eastAsia="en-AU"/>
              </w:rPr>
              <w:tab/>
            </w:r>
            <w:r w:rsidR="003A5DBD" w:rsidRPr="005244B2">
              <w:rPr>
                <w:rStyle w:val="Hyperlink"/>
                <w:noProof/>
              </w:rPr>
              <w:t>How to respond</w:t>
            </w:r>
            <w:r w:rsidR="003A5DBD">
              <w:rPr>
                <w:noProof/>
                <w:webHidden/>
              </w:rPr>
              <w:tab/>
            </w:r>
            <w:r w:rsidR="003A5DBD">
              <w:rPr>
                <w:noProof/>
                <w:webHidden/>
              </w:rPr>
              <w:fldChar w:fldCharType="begin"/>
            </w:r>
            <w:r w:rsidR="003A5DBD">
              <w:rPr>
                <w:noProof/>
                <w:webHidden/>
              </w:rPr>
              <w:instrText xml:space="preserve"> PAGEREF _Toc112833679 \h </w:instrText>
            </w:r>
            <w:r w:rsidR="003A5DBD">
              <w:rPr>
                <w:noProof/>
                <w:webHidden/>
              </w:rPr>
            </w:r>
            <w:r w:rsidR="003A5DBD">
              <w:rPr>
                <w:noProof/>
                <w:webHidden/>
              </w:rPr>
              <w:fldChar w:fldCharType="separate"/>
            </w:r>
            <w:r w:rsidR="003A5DBD">
              <w:rPr>
                <w:noProof/>
                <w:webHidden/>
              </w:rPr>
              <w:t>49</w:t>
            </w:r>
            <w:r w:rsidR="003A5DBD">
              <w:rPr>
                <w:noProof/>
                <w:webHidden/>
              </w:rPr>
              <w:fldChar w:fldCharType="end"/>
            </w:r>
          </w:hyperlink>
        </w:p>
        <w:p w14:paraId="35ECB4F5" w14:textId="254474E7" w:rsidR="003A5DBD" w:rsidRDefault="001C5F86">
          <w:pPr>
            <w:pStyle w:val="TOC1"/>
            <w:tabs>
              <w:tab w:val="left" w:pos="425"/>
            </w:tabs>
            <w:rPr>
              <w:rFonts w:asciiTheme="minorHAnsi" w:eastAsiaTheme="minorEastAsia" w:hAnsiTheme="minorHAnsi" w:cstheme="minorBidi"/>
              <w:b w:val="0"/>
              <w:noProof/>
              <w:sz w:val="22"/>
              <w:szCs w:val="22"/>
              <w:lang w:eastAsia="en-AU"/>
            </w:rPr>
          </w:pPr>
          <w:hyperlink w:anchor="_Toc112833680" w:history="1">
            <w:r w:rsidR="003A5DBD" w:rsidRPr="005244B2">
              <w:rPr>
                <w:rStyle w:val="Hyperlink"/>
                <w:noProof/>
              </w:rPr>
              <w:t>6</w:t>
            </w:r>
            <w:r w:rsidR="003A5DBD">
              <w:rPr>
                <w:rFonts w:asciiTheme="minorHAnsi" w:eastAsiaTheme="minorEastAsia" w:hAnsiTheme="minorHAnsi" w:cstheme="minorBidi"/>
                <w:b w:val="0"/>
                <w:noProof/>
                <w:sz w:val="22"/>
                <w:szCs w:val="22"/>
                <w:lang w:eastAsia="en-AU"/>
              </w:rPr>
              <w:tab/>
            </w:r>
            <w:r w:rsidR="003A5DBD" w:rsidRPr="005244B2">
              <w:rPr>
                <w:rStyle w:val="Hyperlink"/>
                <w:noProof/>
              </w:rPr>
              <w:t>What will happen</w:t>
            </w:r>
            <w:r w:rsidR="003A5DBD">
              <w:rPr>
                <w:noProof/>
                <w:webHidden/>
              </w:rPr>
              <w:tab/>
            </w:r>
            <w:r w:rsidR="003A5DBD">
              <w:rPr>
                <w:noProof/>
                <w:webHidden/>
              </w:rPr>
              <w:fldChar w:fldCharType="begin"/>
            </w:r>
            <w:r w:rsidR="003A5DBD">
              <w:rPr>
                <w:noProof/>
                <w:webHidden/>
              </w:rPr>
              <w:instrText xml:space="preserve"> PAGEREF _Toc112833680 \h </w:instrText>
            </w:r>
            <w:r w:rsidR="003A5DBD">
              <w:rPr>
                <w:noProof/>
                <w:webHidden/>
              </w:rPr>
            </w:r>
            <w:r w:rsidR="003A5DBD">
              <w:rPr>
                <w:noProof/>
                <w:webHidden/>
              </w:rPr>
              <w:fldChar w:fldCharType="separate"/>
            </w:r>
            <w:r w:rsidR="003A5DBD">
              <w:rPr>
                <w:noProof/>
                <w:webHidden/>
              </w:rPr>
              <w:t>49</w:t>
            </w:r>
            <w:r w:rsidR="003A5DBD">
              <w:rPr>
                <w:noProof/>
                <w:webHidden/>
              </w:rPr>
              <w:fldChar w:fldCharType="end"/>
            </w:r>
          </w:hyperlink>
        </w:p>
        <w:p w14:paraId="7CBED58D" w14:textId="1559BE4E" w:rsidR="00B92C72" w:rsidRPr="009401F6" w:rsidRDefault="006C626D" w:rsidP="0023397F">
          <w:r w:rsidRPr="009401F6">
            <w:fldChar w:fldCharType="end"/>
          </w:r>
        </w:p>
      </w:sdtContent>
    </w:sdt>
    <w:p w14:paraId="3A13C90F" w14:textId="77777777" w:rsidR="006807F5" w:rsidRDefault="006807F5">
      <w:pPr>
        <w:spacing w:before="0" w:after="0" w:line="240" w:lineRule="auto"/>
      </w:pPr>
      <w:r>
        <w:br w:type="page"/>
      </w:r>
    </w:p>
    <w:p w14:paraId="6DE911EE" w14:textId="6B4B50D1" w:rsidR="00D371A8" w:rsidRDefault="00D371A8" w:rsidP="00D371A8">
      <w:pPr>
        <w:pStyle w:val="Heading2"/>
        <w:rPr>
          <w:lang w:val="en"/>
        </w:rPr>
      </w:pPr>
      <w:bookmarkStart w:id="1" w:name="_Toc112833578"/>
      <w:r>
        <w:rPr>
          <w:lang w:val="en"/>
        </w:rPr>
        <w:lastRenderedPageBreak/>
        <w:t>About this consultation</w:t>
      </w:r>
      <w:bookmarkEnd w:id="1"/>
    </w:p>
    <w:p w14:paraId="41C4D5ED" w14:textId="77777777" w:rsidR="006807F5" w:rsidRPr="006807F5" w:rsidRDefault="006807F5" w:rsidP="006807F5">
      <w:r w:rsidRPr="006807F5">
        <w:t>Subdivision 3D.2 of the </w:t>
      </w:r>
      <w:r w:rsidRPr="006807F5">
        <w:rPr>
          <w:i/>
          <w:iCs/>
        </w:rPr>
        <w:t>Therapeutic Goods Regulations 1990</w:t>
      </w:r>
      <w:r w:rsidRPr="006807F5">
        <w:t xml:space="preserve"> (the </w:t>
      </w:r>
      <w:r w:rsidRPr="00D54E04">
        <w:rPr>
          <w:b/>
          <w:bCs/>
        </w:rPr>
        <w:t>Regulations</w:t>
      </w:r>
      <w:r w:rsidRPr="006807F5">
        <w:t>) sets out the procedure to be followed where the Secretary receives an application under section 52EAA of the </w:t>
      </w:r>
      <w:r w:rsidRPr="006807F5">
        <w:rPr>
          <w:i/>
          <w:iCs/>
        </w:rPr>
        <w:t>Therapeutic Goods Act 1989</w:t>
      </w:r>
      <w:r w:rsidRPr="006807F5">
        <w:t xml:space="preserve"> (the </w:t>
      </w:r>
      <w:r w:rsidRPr="00D54E04">
        <w:rPr>
          <w:b/>
          <w:bCs/>
        </w:rPr>
        <w:t>Act</w:t>
      </w:r>
      <w:r w:rsidRPr="006807F5">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374FB426" w14:textId="6ECDFFD1" w:rsidR="006807F5" w:rsidRDefault="00D371A8" w:rsidP="006807F5">
      <w:r>
        <w:rPr>
          <w:noProof/>
        </w:rPr>
        <mc:AlternateContent>
          <mc:Choice Requires="wps">
            <w:drawing>
              <wp:anchor distT="0" distB="0" distL="114300" distR="114300" simplePos="0" relativeHeight="251659264" behindDoc="0" locked="0" layoutInCell="1" allowOverlap="1" wp14:anchorId="63008A7C" wp14:editId="07BA8C2A">
                <wp:simplePos x="0" y="0"/>
                <wp:positionH relativeFrom="margin">
                  <wp:align>left</wp:align>
                </wp:positionH>
                <wp:positionV relativeFrom="paragraph">
                  <wp:posOffset>778510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2861CED" w14:textId="689A1B2D" w:rsidR="009C4B1B" w:rsidRPr="006807F5" w:rsidRDefault="009C4B1B" w:rsidP="00D371A8">
                            <w:pPr>
                              <w:rPr>
                                <w:lang w:val="en"/>
                              </w:rPr>
                            </w:pPr>
                            <w:r w:rsidRPr="006807F5">
                              <w:t>Submissions should be provided through our</w:t>
                            </w:r>
                            <w:r w:rsidRPr="006807F5">
                              <w:rPr>
                                <w:lang w:val="en"/>
                              </w:rPr>
                              <w:t xml:space="preserve"> </w:t>
                            </w:r>
                            <w:hyperlink r:id="rId13" w:history="1">
                              <w:r w:rsidRPr="00FB654D">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4"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5" w:history="1">
                              <w:r w:rsidRPr="006807F5">
                                <w:rPr>
                                  <w:rStyle w:val="Hyperlink"/>
                                </w:rPr>
                                <w:t>Advisory Committee on Chemicals Scheduling (ACCS)</w:t>
                              </w:r>
                            </w:hyperlink>
                            <w:r w:rsidRPr="006807F5">
                              <w:rPr>
                                <w:lang w:val="en"/>
                              </w:rPr>
                              <w:t xml:space="preserve">, </w:t>
                            </w:r>
                            <w:r w:rsidRPr="006807F5">
                              <w:t>or a joint meeting of these two committees.</w:t>
                            </w:r>
                          </w:p>
                          <w:p w14:paraId="6E106106" w14:textId="18B20E12" w:rsidR="009C4B1B" w:rsidRPr="006807F5" w:rsidRDefault="009C4B1B" w:rsidP="00D371A8">
                            <w:pPr>
                              <w:rPr>
                                <w:b/>
                                <w:lang w:val="en"/>
                              </w:rPr>
                            </w:pPr>
                            <w:r>
                              <w:rPr>
                                <w:b/>
                                <w:lang w:val="en"/>
                              </w:rPr>
                              <w:t xml:space="preserve">This consultation closes on </w:t>
                            </w:r>
                            <w:r w:rsidR="00F54212">
                              <w:rPr>
                                <w:b/>
                                <w:lang w:val="en"/>
                              </w:rPr>
                              <w:t>29 September 2022</w:t>
                            </w:r>
                            <w:r w:rsidRPr="006807F5">
                              <w:rPr>
                                <w:b/>
                                <w:lang w:val="en"/>
                              </w:rPr>
                              <w:t>.</w:t>
                            </w:r>
                          </w:p>
                          <w:p w14:paraId="0567147A" w14:textId="77777777" w:rsidR="009C4B1B" w:rsidRPr="00C356C4" w:rsidRDefault="009C4B1B" w:rsidP="00D371A8">
                            <w:r w:rsidRPr="0010179A">
                              <w:t>We aim to provide documents in an accessible format. If you're having problems using this document, please contact </w:t>
                            </w:r>
                            <w:hyperlink r:id="rId16" w:history="1">
                              <w:r w:rsidRPr="0010179A">
                                <w:rPr>
                                  <w:rStyle w:val="Hyperlink"/>
                                </w:rPr>
                                <w:t>medicines.scheduling@health.gov.au</w:t>
                              </w:r>
                            </w:hyperlink>
                            <w:r w:rsidRPr="0010179A">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008A7C" id="_x0000_t202" coordsize="21600,21600" o:spt="202" path="m,l,21600r21600,l21600,xe">
                <v:stroke joinstyle="miter"/>
                <v:path gradientshapeok="t" o:connecttype="rect"/>
              </v:shapetype>
              <v:shape id="Text Box 1" o:spid="_x0000_s1026" type="#_x0000_t202" style="position:absolute;margin-left:0;margin-top:61.3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" fillcolor="#c6d0e9" strokeweight=".5pt">
                <v:textbox style="mso-fit-shape-to-text:t">
                  <w:txbxContent>
                    <w:p w14:paraId="02861CED" w14:textId="689A1B2D" w:rsidR="009C4B1B" w:rsidRPr="006807F5" w:rsidRDefault="009C4B1B" w:rsidP="00D371A8">
                      <w:pPr>
                        <w:rPr>
                          <w:lang w:val="en"/>
                        </w:rPr>
                      </w:pPr>
                      <w:r w:rsidRPr="006807F5">
                        <w:t>Submissions should be provided through our</w:t>
                      </w:r>
                      <w:r w:rsidRPr="006807F5">
                        <w:rPr>
                          <w:lang w:val="en"/>
                        </w:rPr>
                        <w:t xml:space="preserve"> </w:t>
                      </w:r>
                      <w:hyperlink r:id="rId17" w:history="1">
                        <w:r w:rsidRPr="00FB654D">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8"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9" w:history="1">
                        <w:r w:rsidRPr="006807F5">
                          <w:rPr>
                            <w:rStyle w:val="Hyperlink"/>
                          </w:rPr>
                          <w:t>Advisory Committee on Chemicals Scheduling (ACCS)</w:t>
                        </w:r>
                      </w:hyperlink>
                      <w:r w:rsidRPr="006807F5">
                        <w:rPr>
                          <w:lang w:val="en"/>
                        </w:rPr>
                        <w:t xml:space="preserve">, </w:t>
                      </w:r>
                      <w:r w:rsidRPr="006807F5">
                        <w:t>or a joint meeting of these two committees.</w:t>
                      </w:r>
                    </w:p>
                    <w:p w14:paraId="6E106106" w14:textId="18B20E12" w:rsidR="009C4B1B" w:rsidRPr="006807F5" w:rsidRDefault="009C4B1B" w:rsidP="00D371A8">
                      <w:pPr>
                        <w:rPr>
                          <w:b/>
                          <w:lang w:val="en"/>
                        </w:rPr>
                      </w:pPr>
                      <w:r>
                        <w:rPr>
                          <w:b/>
                          <w:lang w:val="en"/>
                        </w:rPr>
                        <w:t xml:space="preserve">This consultation closes on </w:t>
                      </w:r>
                      <w:r w:rsidR="00F54212">
                        <w:rPr>
                          <w:b/>
                          <w:lang w:val="en"/>
                        </w:rPr>
                        <w:t>29 September 2022</w:t>
                      </w:r>
                      <w:r w:rsidRPr="006807F5">
                        <w:rPr>
                          <w:b/>
                          <w:lang w:val="en"/>
                        </w:rPr>
                        <w:t>.</w:t>
                      </w:r>
                    </w:p>
                    <w:p w14:paraId="0567147A" w14:textId="77777777" w:rsidR="009C4B1B" w:rsidRPr="00C356C4" w:rsidRDefault="009C4B1B" w:rsidP="00D371A8">
                      <w:r w:rsidRPr="0010179A">
                        <w:t>We aim to provide documents in an accessible format. If you're having problems using this document, please contact </w:t>
                      </w:r>
                      <w:hyperlink r:id="rId20" w:history="1">
                        <w:r w:rsidRPr="0010179A">
                          <w:rPr>
                            <w:rStyle w:val="Hyperlink"/>
                          </w:rPr>
                          <w:t>medicines.scheduling@health.gov.au</w:t>
                        </w:r>
                      </w:hyperlink>
                      <w:r w:rsidRPr="0010179A">
                        <w:t>.</w:t>
                      </w:r>
                    </w:p>
                  </w:txbxContent>
                </v:textbox>
                <w10:wrap type="square" anchorx="margin"/>
              </v:shape>
            </w:pict>
          </mc:Fallback>
        </mc:AlternateContent>
      </w:r>
      <w:r w:rsidR="006807F5" w:rsidRPr="006807F5">
        <w:t xml:space="preserve">In accordance with regulation 42ZCZK of the Regulations, the Secretary invites public submissions on scheduling proposals referred to the </w:t>
      </w:r>
      <w:r w:rsidR="001C6D21">
        <w:t>November</w:t>
      </w:r>
      <w:r w:rsidR="001C6D21" w:rsidRPr="006807F5">
        <w:t xml:space="preserve"> </w:t>
      </w:r>
      <w:r w:rsidR="006807F5" w:rsidRPr="006807F5">
        <w:t>202</w:t>
      </w:r>
      <w:r w:rsidR="00F261BD">
        <w:t>2</w:t>
      </w:r>
      <w:r w:rsidR="006807F5" w:rsidRPr="006807F5">
        <w:t xml:space="preserve"> meeting</w:t>
      </w:r>
      <w:r w:rsidR="00F261BD">
        <w:t>s</w:t>
      </w:r>
      <w:r w:rsidR="006807F5" w:rsidRPr="006807F5">
        <w:t xml:space="preserve"> of the Advisory Committee</w:t>
      </w:r>
      <w:r w:rsidR="00F261BD">
        <w:t>s</w:t>
      </w:r>
      <w:r w:rsidR="006807F5" w:rsidRPr="006807F5">
        <w:t xml:space="preserve"> on Medicines and Chemicals Scheduling. Submissions must be received by close of business </w:t>
      </w:r>
      <w:r w:rsidR="00F54212">
        <w:rPr>
          <w:b/>
          <w:lang w:val="en"/>
        </w:rPr>
        <w:t>29 September 2022</w:t>
      </w:r>
      <w:r w:rsidR="006807F5" w:rsidRPr="006807F5">
        <w:t>.</w:t>
      </w:r>
    </w:p>
    <w:p w14:paraId="40137743" w14:textId="7C692BD4" w:rsidR="00F8365F" w:rsidRPr="009401F6" w:rsidRDefault="00F8365F" w:rsidP="006807F5">
      <w:r w:rsidRPr="009401F6">
        <w:br w:type="page"/>
      </w:r>
    </w:p>
    <w:p w14:paraId="45D314B0" w14:textId="2F70528C" w:rsidR="002C1070" w:rsidRPr="00BC2009" w:rsidRDefault="002C1070" w:rsidP="002C1070">
      <w:pPr>
        <w:pStyle w:val="Heading2"/>
      </w:pPr>
      <w:bookmarkStart w:id="2" w:name="_Toc46751744"/>
      <w:bookmarkStart w:id="3" w:name="_Toc112833579"/>
      <w:bookmarkStart w:id="4" w:name="_Toc323738671"/>
      <w:bookmarkStart w:id="5" w:name="_Toc356305157"/>
      <w:bookmarkEnd w:id="0"/>
      <w:r>
        <w:lastRenderedPageBreak/>
        <w:t xml:space="preserve">Proposed amendments referred for scheduling advice to ACMS </w:t>
      </w:r>
      <w:r w:rsidR="001C6D21">
        <w:t xml:space="preserve">meeting </w:t>
      </w:r>
      <w:r>
        <w:t>#</w:t>
      </w:r>
      <w:bookmarkEnd w:id="2"/>
      <w:r w:rsidR="009E3643">
        <w:t>40</w:t>
      </w:r>
      <w:r w:rsidR="00DA39D7">
        <w:t>, November 2022</w:t>
      </w:r>
      <w:bookmarkEnd w:id="3"/>
    </w:p>
    <w:p w14:paraId="06414940" w14:textId="77777777" w:rsidR="003A5DBD" w:rsidRDefault="003A5DBD" w:rsidP="003A5DBD">
      <w:pPr>
        <w:pStyle w:val="Heading3"/>
        <w:numPr>
          <w:ilvl w:val="0"/>
          <w:numId w:val="0"/>
        </w:numPr>
        <w:ind w:left="576" w:hanging="576"/>
      </w:pPr>
      <w:bookmarkStart w:id="6" w:name="_Toc112833580"/>
      <w:bookmarkEnd w:id="4"/>
      <w:bookmarkEnd w:id="5"/>
      <w:r>
        <w:t>Ivermectin</w:t>
      </w:r>
      <w:bookmarkEnd w:id="6"/>
    </w:p>
    <w:p w14:paraId="11A3DF50" w14:textId="77777777" w:rsidR="003A5DBD" w:rsidRDefault="003A5DBD" w:rsidP="003A5DBD">
      <w:pPr>
        <w:pStyle w:val="Heading4"/>
      </w:pPr>
      <w:bookmarkStart w:id="7" w:name="_Toc112833581"/>
      <w:r>
        <w:t>Proposal</w:t>
      </w:r>
      <w:bookmarkEnd w:id="7"/>
    </w:p>
    <w:p w14:paraId="56BAC957" w14:textId="77777777" w:rsidR="003A5DBD" w:rsidRDefault="003A5DBD" w:rsidP="003A5DBD">
      <w:r>
        <w:t>The applicant has proposed deletion of the Appendix D entry relating to ivermectin. This will remove the restrictions on the prescription of ivermectin, which is currently limited to approved indications by medical specialists in nominated fields. The restrictions were originally implemented due to concerns regarding the significant increase in off-label prescribing of ivermectin for the prevention and treatment of COVID-19.</w:t>
      </w:r>
    </w:p>
    <w:p w14:paraId="56CB012B" w14:textId="77777777" w:rsidR="003A5DBD" w:rsidRDefault="003A5DBD" w:rsidP="003A5DBD">
      <w:pPr>
        <w:pStyle w:val="Heading4"/>
      </w:pPr>
      <w:bookmarkStart w:id="8" w:name="_Toc112833582"/>
      <w:r>
        <w:t>CAS number:</w:t>
      </w:r>
      <w:bookmarkEnd w:id="8"/>
    </w:p>
    <w:p w14:paraId="44F8C469" w14:textId="77777777" w:rsidR="003A5DBD" w:rsidRDefault="003A5DBD" w:rsidP="003A5DBD">
      <w:r>
        <w:t>70288-86-7</w:t>
      </w:r>
    </w:p>
    <w:p w14:paraId="1693B84E" w14:textId="77777777" w:rsidR="003A5DBD" w:rsidRDefault="003A5DBD" w:rsidP="003A5DBD">
      <w:pPr>
        <w:pStyle w:val="Heading4"/>
      </w:pPr>
      <w:bookmarkStart w:id="9" w:name="_Toc112833583"/>
      <w:r>
        <w:t>Alternative names</w:t>
      </w:r>
      <w:bookmarkEnd w:id="9"/>
    </w:p>
    <w:p w14:paraId="3C1238BD" w14:textId="77777777" w:rsidR="003A5DBD" w:rsidRDefault="003A5DBD" w:rsidP="003A5DBD">
      <w:r>
        <w:t>22,23-Dihydroabamectin; 22,23-dihydroavermectin B</w:t>
      </w:r>
      <w:r>
        <w:rPr>
          <w:vertAlign w:val="subscript"/>
        </w:rPr>
        <w:t>1</w:t>
      </w:r>
      <w:r>
        <w:t>; 22,23-dihydro C-076B</w:t>
      </w:r>
      <w:r>
        <w:rPr>
          <w:vertAlign w:val="subscript"/>
        </w:rPr>
        <w:t>1</w:t>
      </w:r>
    </w:p>
    <w:p w14:paraId="2217918A" w14:textId="77777777" w:rsidR="003A5DBD" w:rsidRDefault="003A5DBD" w:rsidP="003A5DBD">
      <w:pPr>
        <w:pStyle w:val="Heading4"/>
      </w:pPr>
      <w:bookmarkStart w:id="10" w:name="_Toc112833584"/>
      <w:r>
        <w:t>Applicant</w:t>
      </w:r>
      <w:bookmarkEnd w:id="10"/>
    </w:p>
    <w:p w14:paraId="7D371DAA" w14:textId="77777777" w:rsidR="003A5DBD" w:rsidRDefault="003A5DBD" w:rsidP="003A5DBD">
      <w:r>
        <w:t>Private applicant</w:t>
      </w:r>
    </w:p>
    <w:p w14:paraId="467A0E59" w14:textId="77777777" w:rsidR="003A5DBD" w:rsidRDefault="003A5DBD" w:rsidP="003A5DBD">
      <w:pPr>
        <w:pStyle w:val="Heading4"/>
      </w:pPr>
      <w:bookmarkStart w:id="11" w:name="_Toc112833585"/>
      <w:r>
        <w:t>Current scheduling</w:t>
      </w:r>
      <w:bookmarkEnd w:id="11"/>
    </w:p>
    <w:p w14:paraId="53855575" w14:textId="77777777" w:rsidR="003A5DBD" w:rsidRDefault="003A5DBD" w:rsidP="003A5DBD">
      <w:pPr>
        <w:rPr>
          <w:rFonts w:asciiTheme="minorHAnsi" w:hAnsiTheme="minorHAnsi" w:cstheme="minorHAnsi"/>
        </w:rPr>
      </w:pPr>
      <w:r>
        <w:rPr>
          <w:rFonts w:asciiTheme="minorHAnsi" w:hAnsiTheme="minorHAnsi" w:cstheme="minorHAnsi"/>
        </w:rPr>
        <w:t>Ivermectin is currently listed in Schedules 4, 5 and 7 of the Poisons Standard as follows:</w:t>
      </w:r>
    </w:p>
    <w:p w14:paraId="3D2C3D46" w14:textId="77777777" w:rsidR="003A5DBD" w:rsidRDefault="003A5DBD" w:rsidP="003A5DBD">
      <w:pPr>
        <w:ind w:left="426"/>
        <w:rPr>
          <w:b/>
        </w:rPr>
      </w:pPr>
      <w:r>
        <w:rPr>
          <w:b/>
        </w:rPr>
        <w:t>Schedule 4</w:t>
      </w:r>
    </w:p>
    <w:p w14:paraId="6537831D" w14:textId="77777777" w:rsidR="003A5DBD" w:rsidRDefault="003A5DBD" w:rsidP="003A5DBD">
      <w:pPr>
        <w:ind w:left="426" w:firstLine="294"/>
        <w:rPr>
          <w:rFonts w:cstheme="minorHAnsi"/>
        </w:rPr>
      </w:pPr>
      <w:r>
        <w:rPr>
          <w:rFonts w:cstheme="minorHAnsi"/>
        </w:rPr>
        <w:t>IVERMECTIN:</w:t>
      </w:r>
    </w:p>
    <w:p w14:paraId="1DADE3D4" w14:textId="77777777" w:rsidR="003A5DBD" w:rsidRDefault="003A5DBD" w:rsidP="008E48A7">
      <w:pPr>
        <w:pStyle w:val="ListBulleta"/>
        <w:numPr>
          <w:ilvl w:val="0"/>
          <w:numId w:val="51"/>
        </w:numPr>
        <w:ind w:left="1146"/>
      </w:pPr>
      <w:r>
        <w:t>for human use; or</w:t>
      </w:r>
    </w:p>
    <w:p w14:paraId="3309EBE5" w14:textId="77777777" w:rsidR="003A5DBD" w:rsidRDefault="003A5DBD" w:rsidP="008E48A7">
      <w:pPr>
        <w:pStyle w:val="ListBulleta"/>
        <w:numPr>
          <w:ilvl w:val="0"/>
          <w:numId w:val="51"/>
        </w:numPr>
        <w:ind w:left="1146"/>
      </w:pPr>
      <w:r>
        <w:t>for the treatment of mange in dogs.</w:t>
      </w:r>
    </w:p>
    <w:p w14:paraId="1EAB8CA8" w14:textId="77777777" w:rsidR="003A5DBD" w:rsidRDefault="003A5DBD" w:rsidP="003A5DBD">
      <w:pPr>
        <w:pStyle w:val="ListBulleta"/>
        <w:numPr>
          <w:ilvl w:val="0"/>
          <w:numId w:val="0"/>
        </w:numPr>
        <w:ind w:left="426"/>
        <w:rPr>
          <w:b/>
          <w:bCs/>
        </w:rPr>
      </w:pPr>
      <w:r>
        <w:rPr>
          <w:b/>
          <w:bCs/>
        </w:rPr>
        <w:t>Schedule 7</w:t>
      </w:r>
    </w:p>
    <w:p w14:paraId="363FC20D" w14:textId="77777777" w:rsidR="003A5DBD" w:rsidRDefault="003A5DBD" w:rsidP="003A5DBD">
      <w:pPr>
        <w:pStyle w:val="ListBulleta"/>
        <w:numPr>
          <w:ilvl w:val="0"/>
          <w:numId w:val="0"/>
        </w:numPr>
        <w:ind w:left="426"/>
      </w:pPr>
      <w:r>
        <w:rPr>
          <w:b/>
          <w:bCs/>
        </w:rPr>
        <w:tab/>
      </w:r>
      <w:r>
        <w:t xml:space="preserve">IVERMECTIN </w:t>
      </w:r>
      <w:r>
        <w:rPr>
          <w:b/>
          <w:bCs/>
        </w:rPr>
        <w:t>except</w:t>
      </w:r>
      <w:r>
        <w:t xml:space="preserve"> when included in Schedule 4 or 5.</w:t>
      </w:r>
    </w:p>
    <w:p w14:paraId="47044F54" w14:textId="77777777" w:rsidR="003A5DBD" w:rsidRDefault="003A5DBD" w:rsidP="003A5DBD">
      <w:pPr>
        <w:pStyle w:val="ListBulleta"/>
        <w:numPr>
          <w:ilvl w:val="0"/>
          <w:numId w:val="0"/>
        </w:numPr>
        <w:ind w:left="426"/>
        <w:rPr>
          <w:b/>
          <w:bCs/>
        </w:rPr>
      </w:pPr>
      <w:r>
        <w:rPr>
          <w:b/>
          <w:bCs/>
        </w:rPr>
        <w:t>Schedule 5</w:t>
      </w:r>
    </w:p>
    <w:p w14:paraId="0B6424DB" w14:textId="77777777" w:rsidR="003A5DBD" w:rsidRDefault="003A5DBD" w:rsidP="003A5DBD">
      <w:pPr>
        <w:pStyle w:val="ListBulleta"/>
        <w:numPr>
          <w:ilvl w:val="0"/>
          <w:numId w:val="0"/>
        </w:numPr>
        <w:ind w:left="426" w:firstLine="294"/>
      </w:pPr>
      <w:r>
        <w:t>IVERMECTIN for use in animals:</w:t>
      </w:r>
    </w:p>
    <w:p w14:paraId="1BE6A925" w14:textId="77777777" w:rsidR="003A5DBD" w:rsidRDefault="003A5DBD" w:rsidP="008E48A7">
      <w:pPr>
        <w:pStyle w:val="ListBulleta"/>
        <w:numPr>
          <w:ilvl w:val="0"/>
          <w:numId w:val="52"/>
        </w:numPr>
        <w:ind w:left="1146"/>
      </w:pPr>
      <w:r>
        <w:t xml:space="preserve">in preparations for the prophylaxis of heartworm in cats and </w:t>
      </w:r>
      <w:proofErr w:type="gramStart"/>
      <w:r>
        <w:t>dogs;</w:t>
      </w:r>
      <w:proofErr w:type="gramEnd"/>
    </w:p>
    <w:p w14:paraId="7AF3C422" w14:textId="77777777" w:rsidR="003A5DBD" w:rsidRDefault="003A5DBD" w:rsidP="008E48A7">
      <w:pPr>
        <w:pStyle w:val="ListBulleta"/>
        <w:numPr>
          <w:ilvl w:val="0"/>
          <w:numId w:val="52"/>
        </w:numPr>
        <w:ind w:left="1146"/>
      </w:pPr>
      <w:r>
        <w:t xml:space="preserve">in intraruminal implants containing 160 mg or less of </w:t>
      </w:r>
      <w:proofErr w:type="gramStart"/>
      <w:r>
        <w:t>ivermectin;</w:t>
      </w:r>
      <w:proofErr w:type="gramEnd"/>
    </w:p>
    <w:p w14:paraId="74B8486E" w14:textId="77777777" w:rsidR="003A5DBD" w:rsidRDefault="003A5DBD" w:rsidP="008E48A7">
      <w:pPr>
        <w:pStyle w:val="ListBulleta"/>
        <w:numPr>
          <w:ilvl w:val="0"/>
          <w:numId w:val="52"/>
        </w:numPr>
        <w:ind w:left="1146"/>
      </w:pPr>
      <w:r>
        <w:t>in preparations containing 3.5 per cent or less of ivermectin when packed in child-resistant packaging or in packaging approved by the relevant registration authority; or</w:t>
      </w:r>
    </w:p>
    <w:p w14:paraId="5CBF9C5F" w14:textId="77777777" w:rsidR="003A5DBD" w:rsidRDefault="003A5DBD" w:rsidP="008E48A7">
      <w:pPr>
        <w:pStyle w:val="ListBulleta"/>
        <w:numPr>
          <w:ilvl w:val="0"/>
          <w:numId w:val="52"/>
        </w:numPr>
        <w:ind w:left="1146"/>
      </w:pPr>
      <w:r>
        <w:t>in other preparations containing 2 per cent or less of ivermectin.</w:t>
      </w:r>
    </w:p>
    <w:p w14:paraId="3DDEBE74" w14:textId="77777777" w:rsidR="003A5DBD" w:rsidRDefault="003A5DBD" w:rsidP="003A5DBD">
      <w:pPr>
        <w:ind w:left="426"/>
        <w:rPr>
          <w:b/>
        </w:rPr>
      </w:pPr>
      <w:r>
        <w:rPr>
          <w:b/>
        </w:rPr>
        <w:lastRenderedPageBreak/>
        <w:t>Index</w:t>
      </w:r>
    </w:p>
    <w:p w14:paraId="253D4F18" w14:textId="77777777" w:rsidR="003A5DBD" w:rsidRDefault="003A5DBD" w:rsidP="003A5DBD">
      <w:pPr>
        <w:ind w:left="567"/>
      </w:pPr>
      <w:r>
        <w:t>IVERMECTIN</w:t>
      </w:r>
    </w:p>
    <w:p w14:paraId="3C101539" w14:textId="77777777" w:rsidR="003A5DBD" w:rsidRDefault="003A5DBD" w:rsidP="003A5DBD">
      <w:pPr>
        <w:ind w:left="567"/>
      </w:pPr>
      <w:r>
        <w:t>Schedule 7</w:t>
      </w:r>
      <w:r>
        <w:br/>
        <w:t>Schedule 5</w:t>
      </w:r>
      <w:r>
        <w:br/>
        <w:t>Schedule 4</w:t>
      </w:r>
      <w:r>
        <w:br/>
        <w:t>Appendix D, Item 10</w:t>
      </w:r>
    </w:p>
    <w:p w14:paraId="500B0CD0" w14:textId="77777777" w:rsidR="003A5DBD" w:rsidRDefault="003A5DBD" w:rsidP="003A5DBD">
      <w:r>
        <w:t>It is also included in Appendix D as follows:</w:t>
      </w:r>
    </w:p>
    <w:tbl>
      <w:tblPr>
        <w:tblStyle w:val="TableGrid"/>
        <w:tblW w:w="0" w:type="auto"/>
        <w:tblInd w:w="426" w:type="dxa"/>
        <w:tblLook w:val="04A0" w:firstRow="1" w:lastRow="0" w:firstColumn="1" w:lastColumn="0" w:noHBand="0" w:noVBand="1"/>
      </w:tblPr>
      <w:tblGrid>
        <w:gridCol w:w="703"/>
        <w:gridCol w:w="709"/>
        <w:gridCol w:w="7222"/>
      </w:tblGrid>
      <w:tr w:rsidR="003A5DBD" w14:paraId="65081B00" w14:textId="77777777" w:rsidTr="003A5DBD">
        <w:tc>
          <w:tcPr>
            <w:tcW w:w="703" w:type="dxa"/>
            <w:tcBorders>
              <w:top w:val="single" w:sz="4" w:space="0" w:color="auto"/>
              <w:left w:val="single" w:sz="4" w:space="0" w:color="auto"/>
              <w:bottom w:val="single" w:sz="4" w:space="0" w:color="auto"/>
              <w:right w:val="single" w:sz="4" w:space="0" w:color="auto"/>
            </w:tcBorders>
            <w:hideMark/>
          </w:tcPr>
          <w:p w14:paraId="52F770FC" w14:textId="77777777" w:rsidR="003A5DBD" w:rsidRDefault="003A5DBD">
            <w:pPr>
              <w:rPr>
                <w:b/>
                <w:bCs/>
                <w:sz w:val="21"/>
                <w:szCs w:val="20"/>
                <w:lang w:eastAsia="en-AU"/>
              </w:rPr>
            </w:pPr>
            <w:r>
              <w:rPr>
                <w:b/>
                <w:bCs/>
                <w:sz w:val="21"/>
                <w:szCs w:val="20"/>
                <w:lang w:eastAsia="en-AU"/>
              </w:rPr>
              <w:t>10.</w:t>
            </w:r>
          </w:p>
        </w:tc>
        <w:tc>
          <w:tcPr>
            <w:tcW w:w="7931" w:type="dxa"/>
            <w:gridSpan w:val="2"/>
            <w:tcBorders>
              <w:top w:val="single" w:sz="4" w:space="0" w:color="auto"/>
              <w:left w:val="single" w:sz="4" w:space="0" w:color="auto"/>
              <w:bottom w:val="single" w:sz="4" w:space="0" w:color="auto"/>
              <w:right w:val="single" w:sz="4" w:space="0" w:color="auto"/>
            </w:tcBorders>
            <w:hideMark/>
          </w:tcPr>
          <w:p w14:paraId="79B66330" w14:textId="77777777" w:rsidR="003A5DBD" w:rsidRDefault="003A5DBD">
            <w:pPr>
              <w:rPr>
                <w:b/>
                <w:bCs/>
                <w:sz w:val="21"/>
                <w:szCs w:val="20"/>
                <w:lang w:eastAsia="en-AU"/>
              </w:rPr>
            </w:pPr>
            <w:r>
              <w:rPr>
                <w:b/>
                <w:bCs/>
                <w:sz w:val="21"/>
                <w:szCs w:val="20"/>
                <w:lang w:eastAsia="en-AU"/>
              </w:rPr>
              <w:t>Poisons available only when prescribed or authorised for:</w:t>
            </w:r>
          </w:p>
        </w:tc>
      </w:tr>
      <w:tr w:rsidR="003A5DBD" w14:paraId="3EE36705" w14:textId="77777777" w:rsidTr="003A5DBD">
        <w:tc>
          <w:tcPr>
            <w:tcW w:w="703" w:type="dxa"/>
            <w:tcBorders>
              <w:top w:val="single" w:sz="4" w:space="0" w:color="auto"/>
              <w:left w:val="single" w:sz="4" w:space="0" w:color="auto"/>
              <w:bottom w:val="single" w:sz="4" w:space="0" w:color="auto"/>
              <w:right w:val="single" w:sz="4" w:space="0" w:color="auto"/>
            </w:tcBorders>
          </w:tcPr>
          <w:p w14:paraId="0300C4DE" w14:textId="77777777" w:rsidR="003A5DBD" w:rsidRDefault="003A5DBD">
            <w:pPr>
              <w:rPr>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4F8D2169" w14:textId="77777777" w:rsidR="003A5DBD" w:rsidRDefault="003A5DBD">
            <w:pPr>
              <w:rPr>
                <w:sz w:val="21"/>
                <w:szCs w:val="20"/>
                <w:lang w:eastAsia="en-AU"/>
              </w:rPr>
            </w:pPr>
            <w:r>
              <w:rPr>
                <w:sz w:val="21"/>
                <w:szCs w:val="20"/>
                <w:lang w:eastAsia="en-AU"/>
              </w:rPr>
              <w:t>(1)</w:t>
            </w:r>
          </w:p>
        </w:tc>
        <w:tc>
          <w:tcPr>
            <w:tcW w:w="722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006"/>
            </w:tblGrid>
            <w:tr w:rsidR="003A5DBD" w14:paraId="3899C39A" w14:textId="77777777">
              <w:trPr>
                <w:trHeight w:val="479"/>
              </w:trPr>
              <w:tc>
                <w:tcPr>
                  <w:tcW w:w="0" w:type="auto"/>
                  <w:tcBorders>
                    <w:top w:val="nil"/>
                    <w:left w:val="nil"/>
                    <w:bottom w:val="nil"/>
                    <w:right w:val="nil"/>
                  </w:tcBorders>
                  <w:hideMark/>
                </w:tcPr>
                <w:p w14:paraId="74478BCA" w14:textId="77777777" w:rsidR="003A5DBD" w:rsidRDefault="003A5DBD">
                  <w:pPr>
                    <w:rPr>
                      <w:szCs w:val="21"/>
                    </w:rPr>
                  </w:pPr>
                  <w:r>
                    <w:rPr>
                      <w:szCs w:val="21"/>
                    </w:rPr>
                    <w:t xml:space="preserve">an indication that is accepted by the Secretary of the Australian Government Department of Health in relation to the inclusion of ivermectin in tablet dosage form in the Australian Register of Therapeutic Goods (an </w:t>
                  </w:r>
                  <w:r>
                    <w:rPr>
                      <w:b/>
                      <w:bCs/>
                      <w:i/>
                      <w:iCs/>
                      <w:szCs w:val="21"/>
                    </w:rPr>
                    <w:t>approved indication</w:t>
                  </w:r>
                  <w:r>
                    <w:rPr>
                      <w:szCs w:val="21"/>
                    </w:rPr>
                    <w:t xml:space="preserve">); or </w:t>
                  </w:r>
                </w:p>
                <w:p w14:paraId="77CAC2A2" w14:textId="77777777" w:rsidR="003A5DBD" w:rsidRDefault="003A5DBD">
                  <w:pPr>
                    <w:pStyle w:val="Default"/>
                    <w:spacing w:after="120" w:line="256" w:lineRule="auto"/>
                    <w:rPr>
                      <w:rFonts w:ascii="Cambria" w:hAnsi="Cambria"/>
                      <w:sz w:val="18"/>
                      <w:szCs w:val="18"/>
                      <w:lang w:eastAsia="en-US"/>
                    </w:rPr>
                  </w:pPr>
                  <w:r>
                    <w:rPr>
                      <w:rFonts w:ascii="Cambria" w:hAnsi="Cambria"/>
                      <w:sz w:val="18"/>
                      <w:szCs w:val="18"/>
                      <w:lang w:eastAsia="en-US"/>
                    </w:rPr>
                    <w:t xml:space="preserve">Note: Approved indications are shown in the public summary of the Australian Register of Therapeutic Goods on the Therapeutic Goods Administration website at www.tga.gov.au. </w:t>
                  </w:r>
                </w:p>
              </w:tc>
            </w:tr>
          </w:tbl>
          <w:p w14:paraId="7DF1C36F" w14:textId="77777777" w:rsidR="003A5DBD" w:rsidRDefault="003A5DBD">
            <w:pPr>
              <w:rPr>
                <w:sz w:val="21"/>
                <w:szCs w:val="20"/>
                <w:lang w:eastAsia="en-AU"/>
              </w:rPr>
            </w:pPr>
          </w:p>
        </w:tc>
      </w:tr>
      <w:tr w:rsidR="003A5DBD" w14:paraId="47538A2B" w14:textId="77777777" w:rsidTr="003A5DBD">
        <w:tc>
          <w:tcPr>
            <w:tcW w:w="703" w:type="dxa"/>
            <w:tcBorders>
              <w:top w:val="single" w:sz="4" w:space="0" w:color="auto"/>
              <w:left w:val="single" w:sz="4" w:space="0" w:color="auto"/>
              <w:bottom w:val="single" w:sz="4" w:space="0" w:color="auto"/>
              <w:right w:val="single" w:sz="4" w:space="0" w:color="auto"/>
            </w:tcBorders>
          </w:tcPr>
          <w:p w14:paraId="34F401A9" w14:textId="77777777" w:rsidR="003A5DBD" w:rsidRDefault="003A5DBD">
            <w:pPr>
              <w:rPr>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0FF077E1" w14:textId="77777777" w:rsidR="003A5DBD" w:rsidRDefault="003A5DBD">
            <w:pPr>
              <w:rPr>
                <w:sz w:val="21"/>
                <w:szCs w:val="20"/>
                <w:lang w:eastAsia="en-AU"/>
              </w:rPr>
            </w:pPr>
            <w:r>
              <w:rPr>
                <w:sz w:val="21"/>
                <w:szCs w:val="20"/>
                <w:lang w:eastAsia="en-AU"/>
              </w:rPr>
              <w:t>(2)</w:t>
            </w:r>
          </w:p>
        </w:tc>
        <w:tc>
          <w:tcPr>
            <w:tcW w:w="7222" w:type="dxa"/>
            <w:tcBorders>
              <w:top w:val="single" w:sz="4" w:space="0" w:color="auto"/>
              <w:left w:val="single" w:sz="4" w:space="0" w:color="auto"/>
              <w:bottom w:val="single" w:sz="4" w:space="0" w:color="auto"/>
              <w:right w:val="single" w:sz="4" w:space="0" w:color="auto"/>
            </w:tcBorders>
            <w:hideMark/>
          </w:tcPr>
          <w:p w14:paraId="1733B128" w14:textId="77777777" w:rsidR="003A5DBD" w:rsidRDefault="003A5DBD">
            <w:pPr>
              <w:rPr>
                <w:lang w:eastAsia="en-AU"/>
              </w:rPr>
            </w:pPr>
            <w:r>
              <w:rPr>
                <w:lang w:eastAsia="en-AU"/>
              </w:rPr>
              <w:t xml:space="preserve">an indication that is not an approved indication, when the preparation is prescribed or authorised by a medical practitioner registered under State or Territory legislation that forms part of the Health Practitioner Regulation National Law, as a specialist in any of the following specialties or fields of specialty practices: </w:t>
            </w:r>
          </w:p>
          <w:p w14:paraId="35200AC6" w14:textId="77777777" w:rsidR="003A5DBD" w:rsidRDefault="003A5DBD">
            <w:pPr>
              <w:rPr>
                <w:lang w:eastAsia="en-AU"/>
              </w:rPr>
            </w:pPr>
            <w:r>
              <w:rPr>
                <w:lang w:eastAsia="en-AU"/>
              </w:rPr>
              <w:t xml:space="preserve">(a) </w:t>
            </w:r>
            <w:proofErr w:type="gramStart"/>
            <w:r>
              <w:rPr>
                <w:lang w:eastAsia="en-AU"/>
              </w:rPr>
              <w:t>dermatology;</w:t>
            </w:r>
            <w:proofErr w:type="gramEnd"/>
            <w:r>
              <w:rPr>
                <w:lang w:eastAsia="en-AU"/>
              </w:rPr>
              <w:t xml:space="preserve"> </w:t>
            </w:r>
          </w:p>
          <w:p w14:paraId="294A0D19" w14:textId="77777777" w:rsidR="003A5DBD" w:rsidRDefault="003A5DBD">
            <w:pPr>
              <w:rPr>
                <w:lang w:eastAsia="en-AU"/>
              </w:rPr>
            </w:pPr>
            <w:r>
              <w:rPr>
                <w:lang w:eastAsia="en-AU"/>
              </w:rPr>
              <w:t xml:space="preserve">(b) gastroenterology and </w:t>
            </w:r>
            <w:proofErr w:type="gramStart"/>
            <w:r>
              <w:rPr>
                <w:lang w:eastAsia="en-AU"/>
              </w:rPr>
              <w:t>hepatology;</w:t>
            </w:r>
            <w:proofErr w:type="gramEnd"/>
            <w:r>
              <w:rPr>
                <w:lang w:eastAsia="en-AU"/>
              </w:rPr>
              <w:t xml:space="preserve"> </w:t>
            </w:r>
          </w:p>
          <w:p w14:paraId="18E53048" w14:textId="77777777" w:rsidR="003A5DBD" w:rsidRDefault="003A5DBD">
            <w:pPr>
              <w:rPr>
                <w:lang w:eastAsia="en-AU"/>
              </w:rPr>
            </w:pPr>
            <w:r>
              <w:rPr>
                <w:lang w:eastAsia="en-AU"/>
              </w:rPr>
              <w:t xml:space="preserve">(c) infectious </w:t>
            </w:r>
            <w:proofErr w:type="gramStart"/>
            <w:r>
              <w:rPr>
                <w:lang w:eastAsia="en-AU"/>
              </w:rPr>
              <w:t>diseases;</w:t>
            </w:r>
            <w:proofErr w:type="gramEnd"/>
            <w:r>
              <w:rPr>
                <w:lang w:eastAsia="en-AU"/>
              </w:rPr>
              <w:t xml:space="preserve"> </w:t>
            </w:r>
          </w:p>
          <w:p w14:paraId="2B79F67A" w14:textId="77777777" w:rsidR="003A5DBD" w:rsidRDefault="003A5DBD">
            <w:pPr>
              <w:rPr>
                <w:lang w:eastAsia="en-AU"/>
              </w:rPr>
            </w:pPr>
            <w:r>
              <w:rPr>
                <w:lang w:eastAsia="en-AU"/>
              </w:rPr>
              <w:t xml:space="preserve">(d) paediatric gastroenterology and </w:t>
            </w:r>
            <w:proofErr w:type="gramStart"/>
            <w:r>
              <w:rPr>
                <w:lang w:eastAsia="en-AU"/>
              </w:rPr>
              <w:t>hepatology;</w:t>
            </w:r>
            <w:proofErr w:type="gramEnd"/>
            <w:r>
              <w:rPr>
                <w:lang w:eastAsia="en-AU"/>
              </w:rPr>
              <w:t xml:space="preserve"> </w:t>
            </w:r>
          </w:p>
          <w:p w14:paraId="00F16244" w14:textId="77777777" w:rsidR="003A5DBD" w:rsidRDefault="003A5DBD">
            <w:pPr>
              <w:rPr>
                <w:sz w:val="21"/>
                <w:szCs w:val="20"/>
                <w:lang w:eastAsia="en-AU"/>
              </w:rPr>
            </w:pPr>
            <w:r>
              <w:rPr>
                <w:lang w:eastAsia="en-AU"/>
              </w:rPr>
              <w:t>(e) paediatric infectious diseases; or</w:t>
            </w:r>
            <w:r>
              <w:rPr>
                <w:szCs w:val="22"/>
                <w:lang w:eastAsia="en-AU"/>
              </w:rPr>
              <w:t xml:space="preserve"> </w:t>
            </w:r>
          </w:p>
        </w:tc>
      </w:tr>
      <w:tr w:rsidR="003A5DBD" w14:paraId="2CA47862" w14:textId="77777777" w:rsidTr="003A5DBD">
        <w:tc>
          <w:tcPr>
            <w:tcW w:w="703" w:type="dxa"/>
            <w:tcBorders>
              <w:top w:val="single" w:sz="4" w:space="0" w:color="auto"/>
              <w:left w:val="single" w:sz="4" w:space="0" w:color="auto"/>
              <w:bottom w:val="single" w:sz="4" w:space="0" w:color="auto"/>
              <w:right w:val="single" w:sz="4" w:space="0" w:color="auto"/>
            </w:tcBorders>
          </w:tcPr>
          <w:p w14:paraId="6AE867B1" w14:textId="77777777" w:rsidR="003A5DBD" w:rsidRDefault="003A5DBD">
            <w:pPr>
              <w:rPr>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70DECEF5" w14:textId="77777777" w:rsidR="003A5DBD" w:rsidRDefault="003A5DBD">
            <w:pPr>
              <w:rPr>
                <w:sz w:val="21"/>
                <w:szCs w:val="20"/>
                <w:lang w:eastAsia="en-AU"/>
              </w:rPr>
            </w:pPr>
            <w:r>
              <w:rPr>
                <w:sz w:val="21"/>
                <w:szCs w:val="20"/>
                <w:lang w:eastAsia="en-AU"/>
              </w:rPr>
              <w:t>(3)</w:t>
            </w:r>
          </w:p>
        </w:tc>
        <w:tc>
          <w:tcPr>
            <w:tcW w:w="7222" w:type="dxa"/>
            <w:tcBorders>
              <w:top w:val="single" w:sz="4" w:space="0" w:color="auto"/>
              <w:left w:val="single" w:sz="4" w:space="0" w:color="auto"/>
              <w:bottom w:val="single" w:sz="4" w:space="0" w:color="auto"/>
              <w:right w:val="single" w:sz="4" w:space="0" w:color="auto"/>
            </w:tcBorders>
            <w:hideMark/>
          </w:tcPr>
          <w:p w14:paraId="2EB68F4E" w14:textId="77777777" w:rsidR="003A5DBD" w:rsidRDefault="003A5DBD">
            <w:pPr>
              <w:rPr>
                <w:sz w:val="21"/>
                <w:szCs w:val="20"/>
                <w:lang w:eastAsia="en-AU"/>
              </w:rPr>
            </w:pPr>
            <w:r>
              <w:rPr>
                <w:lang w:eastAsia="en-AU"/>
              </w:rPr>
              <w:t xml:space="preserve">use in a clinical trial that is approved by, or notified to, the Secretary of the Australian Government Department of Health under the Therapeutic Goods Act 1989. </w:t>
            </w:r>
          </w:p>
        </w:tc>
      </w:tr>
      <w:tr w:rsidR="003A5DBD" w14:paraId="0CE5C3D3" w14:textId="77777777" w:rsidTr="003A5DBD">
        <w:tc>
          <w:tcPr>
            <w:tcW w:w="703" w:type="dxa"/>
            <w:tcBorders>
              <w:top w:val="single" w:sz="4" w:space="0" w:color="auto"/>
              <w:left w:val="single" w:sz="4" w:space="0" w:color="auto"/>
              <w:bottom w:val="single" w:sz="4" w:space="0" w:color="auto"/>
              <w:right w:val="single" w:sz="4" w:space="0" w:color="auto"/>
            </w:tcBorders>
          </w:tcPr>
          <w:p w14:paraId="3CAB014C" w14:textId="77777777" w:rsidR="003A5DBD" w:rsidRDefault="003A5DBD">
            <w:pPr>
              <w:rPr>
                <w:szCs w:val="22"/>
                <w:lang w:eastAsia="en-AU"/>
              </w:rPr>
            </w:pPr>
          </w:p>
        </w:tc>
        <w:tc>
          <w:tcPr>
            <w:tcW w:w="709" w:type="dxa"/>
            <w:tcBorders>
              <w:top w:val="single" w:sz="4" w:space="0" w:color="auto"/>
              <w:left w:val="single" w:sz="4" w:space="0" w:color="auto"/>
              <w:bottom w:val="single" w:sz="4" w:space="0" w:color="auto"/>
              <w:right w:val="single" w:sz="4" w:space="0" w:color="auto"/>
            </w:tcBorders>
          </w:tcPr>
          <w:p w14:paraId="075D9535" w14:textId="77777777" w:rsidR="003A5DBD" w:rsidRDefault="003A5DBD">
            <w:pPr>
              <w:rPr>
                <w:szCs w:val="22"/>
                <w:lang w:eastAsia="en-AU"/>
              </w:rPr>
            </w:pPr>
          </w:p>
        </w:tc>
        <w:tc>
          <w:tcPr>
            <w:tcW w:w="7222" w:type="dxa"/>
            <w:tcBorders>
              <w:top w:val="single" w:sz="4" w:space="0" w:color="auto"/>
              <w:left w:val="single" w:sz="4" w:space="0" w:color="auto"/>
              <w:bottom w:val="single" w:sz="4" w:space="0" w:color="auto"/>
              <w:right w:val="single" w:sz="4" w:space="0" w:color="auto"/>
            </w:tcBorders>
            <w:hideMark/>
          </w:tcPr>
          <w:p w14:paraId="2C31C881" w14:textId="77777777" w:rsidR="003A5DBD" w:rsidRDefault="003A5DBD">
            <w:pPr>
              <w:rPr>
                <w:szCs w:val="22"/>
                <w:lang w:eastAsia="en-AU"/>
              </w:rPr>
            </w:pPr>
            <w:r>
              <w:rPr>
                <w:szCs w:val="22"/>
                <w:lang w:eastAsia="en-AU"/>
              </w:rPr>
              <w:t>IVERMECTIN in preparations for oral administration for human use.</w:t>
            </w:r>
          </w:p>
        </w:tc>
      </w:tr>
    </w:tbl>
    <w:p w14:paraId="659629A7" w14:textId="77777777" w:rsidR="003A5DBD" w:rsidRDefault="003A5DBD" w:rsidP="003A5DBD">
      <w:pPr>
        <w:pStyle w:val="Heading4"/>
      </w:pPr>
      <w:bookmarkStart w:id="12" w:name="_Toc112833586"/>
      <w:r>
        <w:t>Proposed scheduling</w:t>
      </w:r>
      <w:bookmarkEnd w:id="12"/>
    </w:p>
    <w:p w14:paraId="4CC8C7C1" w14:textId="77777777" w:rsidR="003A5DBD" w:rsidRDefault="003A5DBD" w:rsidP="003A5DBD">
      <w:pPr>
        <w:rPr>
          <w:rFonts w:cstheme="minorHAnsi"/>
        </w:rPr>
      </w:pPr>
      <w:r>
        <w:rPr>
          <w:rFonts w:cstheme="minorHAnsi"/>
        </w:rPr>
        <w:t>No changes are proposed for the entries for ivermectin in Schedules 4, 5 or 7.</w:t>
      </w:r>
    </w:p>
    <w:p w14:paraId="4DA41A05" w14:textId="77777777" w:rsidR="003A5DBD" w:rsidRDefault="003A5DBD" w:rsidP="003A5DBD">
      <w:pPr>
        <w:ind w:left="426"/>
        <w:rPr>
          <w:b/>
        </w:rPr>
      </w:pPr>
      <w:r>
        <w:rPr>
          <w:b/>
        </w:rPr>
        <w:t>Index – Amend Entry</w:t>
      </w:r>
    </w:p>
    <w:p w14:paraId="2B8702AA" w14:textId="77777777" w:rsidR="003A5DBD" w:rsidRDefault="003A5DBD" w:rsidP="003A5DBD">
      <w:pPr>
        <w:ind w:left="426" w:firstLine="294"/>
        <w:rPr>
          <w:rFonts w:cstheme="minorHAnsi"/>
        </w:rPr>
      </w:pPr>
      <w:r>
        <w:rPr>
          <w:rFonts w:cstheme="minorHAnsi"/>
        </w:rPr>
        <w:t>IVERMECTIN</w:t>
      </w:r>
    </w:p>
    <w:p w14:paraId="757E0D38" w14:textId="77777777" w:rsidR="003A5DBD" w:rsidRDefault="003A5DBD" w:rsidP="003A5DBD">
      <w:pPr>
        <w:ind w:left="720"/>
        <w:rPr>
          <w:rFonts w:cstheme="minorHAnsi"/>
        </w:rPr>
      </w:pPr>
      <w:r>
        <w:rPr>
          <w:rFonts w:cstheme="minorHAnsi"/>
        </w:rPr>
        <w:t>Schedule 7</w:t>
      </w:r>
      <w:r>
        <w:rPr>
          <w:rFonts w:cstheme="minorHAnsi"/>
        </w:rPr>
        <w:br/>
        <w:t>Schedule 5</w:t>
      </w:r>
      <w:r>
        <w:rPr>
          <w:rFonts w:asciiTheme="minorHAnsi" w:hAnsiTheme="minorHAnsi" w:cstheme="minorHAnsi"/>
        </w:rPr>
        <w:br/>
      </w:r>
      <w:r>
        <w:rPr>
          <w:rFonts w:cstheme="minorHAnsi"/>
        </w:rPr>
        <w:t>Schedule 4</w:t>
      </w:r>
      <w:r>
        <w:rPr>
          <w:rFonts w:cstheme="minorHAnsi"/>
        </w:rPr>
        <w:br/>
      </w:r>
      <w:r>
        <w:rPr>
          <w:rFonts w:cstheme="minorHAnsi"/>
          <w:strike/>
          <w:color w:val="FF0000"/>
        </w:rPr>
        <w:t>Appendix D, Item 10</w:t>
      </w:r>
    </w:p>
    <w:p w14:paraId="7FCE18E6" w14:textId="77777777" w:rsidR="003A5DBD" w:rsidRDefault="003A5DBD" w:rsidP="003A5DBD">
      <w:pPr>
        <w:ind w:left="426"/>
        <w:rPr>
          <w:b/>
        </w:rPr>
      </w:pPr>
      <w:r>
        <w:rPr>
          <w:b/>
        </w:rPr>
        <w:lastRenderedPageBreak/>
        <w:t xml:space="preserve">Appendix D – Delete Entry </w:t>
      </w:r>
    </w:p>
    <w:tbl>
      <w:tblPr>
        <w:tblStyle w:val="TableGrid"/>
        <w:tblW w:w="0" w:type="auto"/>
        <w:tblInd w:w="426" w:type="dxa"/>
        <w:tblLook w:val="04A0" w:firstRow="1" w:lastRow="0" w:firstColumn="1" w:lastColumn="0" w:noHBand="0" w:noVBand="1"/>
      </w:tblPr>
      <w:tblGrid>
        <w:gridCol w:w="703"/>
        <w:gridCol w:w="709"/>
        <w:gridCol w:w="7222"/>
      </w:tblGrid>
      <w:tr w:rsidR="003A5DBD" w14:paraId="687B0C86" w14:textId="77777777" w:rsidTr="003A5DBD">
        <w:tc>
          <w:tcPr>
            <w:tcW w:w="703" w:type="dxa"/>
            <w:tcBorders>
              <w:top w:val="single" w:sz="4" w:space="0" w:color="auto"/>
              <w:left w:val="single" w:sz="4" w:space="0" w:color="auto"/>
              <w:bottom w:val="single" w:sz="4" w:space="0" w:color="auto"/>
              <w:right w:val="single" w:sz="4" w:space="0" w:color="auto"/>
            </w:tcBorders>
            <w:hideMark/>
          </w:tcPr>
          <w:p w14:paraId="209E1DA0" w14:textId="77777777" w:rsidR="003A5DBD" w:rsidRDefault="003A5DBD">
            <w:pPr>
              <w:rPr>
                <w:b/>
                <w:bCs/>
                <w:strike/>
                <w:color w:val="FF0000"/>
                <w:sz w:val="21"/>
                <w:szCs w:val="20"/>
                <w:lang w:eastAsia="en-AU"/>
              </w:rPr>
            </w:pPr>
            <w:r>
              <w:rPr>
                <w:b/>
                <w:bCs/>
                <w:strike/>
                <w:color w:val="FF0000"/>
                <w:sz w:val="21"/>
                <w:szCs w:val="20"/>
                <w:lang w:eastAsia="en-AU"/>
              </w:rPr>
              <w:t>10.</w:t>
            </w:r>
          </w:p>
        </w:tc>
        <w:tc>
          <w:tcPr>
            <w:tcW w:w="7931" w:type="dxa"/>
            <w:gridSpan w:val="2"/>
            <w:tcBorders>
              <w:top w:val="single" w:sz="4" w:space="0" w:color="auto"/>
              <w:left w:val="single" w:sz="4" w:space="0" w:color="auto"/>
              <w:bottom w:val="single" w:sz="4" w:space="0" w:color="auto"/>
              <w:right w:val="single" w:sz="4" w:space="0" w:color="auto"/>
            </w:tcBorders>
            <w:hideMark/>
          </w:tcPr>
          <w:p w14:paraId="6CE35685" w14:textId="77777777" w:rsidR="003A5DBD" w:rsidRDefault="003A5DBD">
            <w:pPr>
              <w:rPr>
                <w:b/>
                <w:bCs/>
                <w:strike/>
                <w:color w:val="FF0000"/>
                <w:sz w:val="21"/>
                <w:szCs w:val="20"/>
                <w:lang w:eastAsia="en-AU"/>
              </w:rPr>
            </w:pPr>
            <w:r>
              <w:rPr>
                <w:b/>
                <w:bCs/>
                <w:strike/>
                <w:color w:val="FF0000"/>
                <w:sz w:val="21"/>
                <w:szCs w:val="20"/>
                <w:lang w:eastAsia="en-AU"/>
              </w:rPr>
              <w:t>Poisons available only when prescribed or authorised for:</w:t>
            </w:r>
          </w:p>
        </w:tc>
      </w:tr>
      <w:tr w:rsidR="003A5DBD" w14:paraId="4B227127" w14:textId="77777777" w:rsidTr="003A5DBD">
        <w:tc>
          <w:tcPr>
            <w:tcW w:w="703" w:type="dxa"/>
            <w:tcBorders>
              <w:top w:val="single" w:sz="4" w:space="0" w:color="auto"/>
              <w:left w:val="single" w:sz="4" w:space="0" w:color="auto"/>
              <w:bottom w:val="single" w:sz="4" w:space="0" w:color="auto"/>
              <w:right w:val="single" w:sz="4" w:space="0" w:color="auto"/>
            </w:tcBorders>
          </w:tcPr>
          <w:p w14:paraId="539C5336" w14:textId="77777777" w:rsidR="003A5DBD" w:rsidRDefault="003A5DB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2F3112FD" w14:textId="77777777" w:rsidR="003A5DBD" w:rsidRDefault="003A5DBD">
            <w:pPr>
              <w:rPr>
                <w:strike/>
                <w:color w:val="FF0000"/>
                <w:sz w:val="21"/>
                <w:szCs w:val="20"/>
                <w:lang w:eastAsia="en-AU"/>
              </w:rPr>
            </w:pPr>
            <w:r>
              <w:rPr>
                <w:strike/>
                <w:color w:val="FF0000"/>
                <w:sz w:val="21"/>
                <w:szCs w:val="20"/>
                <w:lang w:eastAsia="en-AU"/>
              </w:rPr>
              <w:t>(1)</w:t>
            </w:r>
          </w:p>
        </w:tc>
        <w:tc>
          <w:tcPr>
            <w:tcW w:w="722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006"/>
            </w:tblGrid>
            <w:tr w:rsidR="003A5DBD" w14:paraId="50EA3F15" w14:textId="77777777">
              <w:trPr>
                <w:trHeight w:val="479"/>
              </w:trPr>
              <w:tc>
                <w:tcPr>
                  <w:tcW w:w="0" w:type="auto"/>
                  <w:tcBorders>
                    <w:top w:val="nil"/>
                    <w:left w:val="nil"/>
                    <w:bottom w:val="nil"/>
                    <w:right w:val="nil"/>
                  </w:tcBorders>
                  <w:hideMark/>
                </w:tcPr>
                <w:p w14:paraId="08B23B9F" w14:textId="77777777" w:rsidR="003A5DBD" w:rsidRDefault="003A5DBD">
                  <w:pPr>
                    <w:rPr>
                      <w:strike/>
                      <w:color w:val="FF0000"/>
                      <w:szCs w:val="21"/>
                    </w:rPr>
                  </w:pPr>
                  <w:r>
                    <w:rPr>
                      <w:strike/>
                      <w:color w:val="FF0000"/>
                      <w:szCs w:val="21"/>
                    </w:rPr>
                    <w:t xml:space="preserve">an indication that is accepted by the Secretary of the Australian Government Department of Health in relation to the inclusion of ivermectin in tablet dosage form in the Australian Register of Therapeutic Goods (an </w:t>
                  </w:r>
                  <w:r>
                    <w:rPr>
                      <w:b/>
                      <w:bCs/>
                      <w:i/>
                      <w:iCs/>
                      <w:strike/>
                      <w:color w:val="FF0000"/>
                      <w:szCs w:val="21"/>
                    </w:rPr>
                    <w:t>approved indication</w:t>
                  </w:r>
                  <w:r>
                    <w:rPr>
                      <w:strike/>
                      <w:color w:val="FF0000"/>
                      <w:szCs w:val="21"/>
                    </w:rPr>
                    <w:t xml:space="preserve">); or </w:t>
                  </w:r>
                </w:p>
                <w:p w14:paraId="38A5EFB8" w14:textId="77777777" w:rsidR="003A5DBD" w:rsidRDefault="003A5DBD">
                  <w:pPr>
                    <w:pStyle w:val="Default"/>
                    <w:spacing w:after="120" w:line="256" w:lineRule="auto"/>
                    <w:rPr>
                      <w:rFonts w:ascii="Cambria" w:hAnsi="Cambria"/>
                      <w:strike/>
                      <w:color w:val="FF0000"/>
                      <w:sz w:val="18"/>
                      <w:szCs w:val="18"/>
                      <w:lang w:eastAsia="en-US"/>
                    </w:rPr>
                  </w:pPr>
                  <w:r>
                    <w:rPr>
                      <w:rFonts w:ascii="Cambria" w:hAnsi="Cambria"/>
                      <w:strike/>
                      <w:color w:val="FF0000"/>
                      <w:sz w:val="18"/>
                      <w:szCs w:val="18"/>
                      <w:lang w:eastAsia="en-US"/>
                    </w:rPr>
                    <w:t xml:space="preserve">Note: Approved indications are shown in the public summary of the Australian Register of Therapeutic Goods on the Therapeutic Goods Administration website at www.tga.gov.au. </w:t>
                  </w:r>
                </w:p>
              </w:tc>
            </w:tr>
          </w:tbl>
          <w:p w14:paraId="4582EF48" w14:textId="77777777" w:rsidR="003A5DBD" w:rsidRDefault="003A5DBD">
            <w:pPr>
              <w:rPr>
                <w:strike/>
                <w:color w:val="FF0000"/>
                <w:sz w:val="21"/>
                <w:szCs w:val="20"/>
                <w:lang w:eastAsia="en-AU"/>
              </w:rPr>
            </w:pPr>
          </w:p>
        </w:tc>
      </w:tr>
      <w:tr w:rsidR="003A5DBD" w14:paraId="1BA30FEC" w14:textId="77777777" w:rsidTr="003A5DBD">
        <w:tc>
          <w:tcPr>
            <w:tcW w:w="703" w:type="dxa"/>
            <w:tcBorders>
              <w:top w:val="single" w:sz="4" w:space="0" w:color="auto"/>
              <w:left w:val="single" w:sz="4" w:space="0" w:color="auto"/>
              <w:bottom w:val="single" w:sz="4" w:space="0" w:color="auto"/>
              <w:right w:val="single" w:sz="4" w:space="0" w:color="auto"/>
            </w:tcBorders>
          </w:tcPr>
          <w:p w14:paraId="035BB066" w14:textId="77777777" w:rsidR="003A5DBD" w:rsidRDefault="003A5DB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6F8AFA9D" w14:textId="77777777" w:rsidR="003A5DBD" w:rsidRDefault="003A5DBD">
            <w:pPr>
              <w:rPr>
                <w:strike/>
                <w:color w:val="FF0000"/>
                <w:sz w:val="21"/>
                <w:szCs w:val="20"/>
                <w:lang w:eastAsia="en-AU"/>
              </w:rPr>
            </w:pPr>
            <w:r>
              <w:rPr>
                <w:strike/>
                <w:color w:val="FF0000"/>
                <w:sz w:val="21"/>
                <w:szCs w:val="20"/>
                <w:lang w:eastAsia="en-AU"/>
              </w:rPr>
              <w:t>(2)</w:t>
            </w:r>
          </w:p>
        </w:tc>
        <w:tc>
          <w:tcPr>
            <w:tcW w:w="7222" w:type="dxa"/>
            <w:tcBorders>
              <w:top w:val="single" w:sz="4" w:space="0" w:color="auto"/>
              <w:left w:val="single" w:sz="4" w:space="0" w:color="auto"/>
              <w:bottom w:val="single" w:sz="4" w:space="0" w:color="auto"/>
              <w:right w:val="single" w:sz="4" w:space="0" w:color="auto"/>
            </w:tcBorders>
            <w:hideMark/>
          </w:tcPr>
          <w:p w14:paraId="41BD56C4" w14:textId="77777777" w:rsidR="003A5DBD" w:rsidRDefault="003A5DBD">
            <w:pPr>
              <w:rPr>
                <w:strike/>
                <w:color w:val="FF0000"/>
                <w:lang w:eastAsia="en-AU"/>
              </w:rPr>
            </w:pPr>
            <w:r>
              <w:rPr>
                <w:strike/>
                <w:color w:val="FF0000"/>
                <w:lang w:eastAsia="en-AU"/>
              </w:rPr>
              <w:t xml:space="preserve">an indication that is not an approved indication, when the preparation is prescribed or authorised by a medical practitioner registered under State or Territory legislation that forms part of the Health Practitioner Regulation National Law, as a specialist in any of the following specialties or fields of specialty practices: </w:t>
            </w:r>
          </w:p>
          <w:p w14:paraId="17B66F41" w14:textId="77777777" w:rsidR="003A5DBD" w:rsidRDefault="003A5DBD">
            <w:pPr>
              <w:rPr>
                <w:strike/>
                <w:color w:val="FF0000"/>
                <w:lang w:eastAsia="en-AU"/>
              </w:rPr>
            </w:pPr>
            <w:r>
              <w:rPr>
                <w:strike/>
                <w:color w:val="FF0000"/>
                <w:lang w:eastAsia="en-AU"/>
              </w:rPr>
              <w:t xml:space="preserve">(a) </w:t>
            </w:r>
            <w:proofErr w:type="gramStart"/>
            <w:r>
              <w:rPr>
                <w:strike/>
                <w:color w:val="FF0000"/>
                <w:lang w:eastAsia="en-AU"/>
              </w:rPr>
              <w:t>dermatology;</w:t>
            </w:r>
            <w:proofErr w:type="gramEnd"/>
            <w:r>
              <w:rPr>
                <w:strike/>
                <w:color w:val="FF0000"/>
                <w:lang w:eastAsia="en-AU"/>
              </w:rPr>
              <w:t xml:space="preserve"> </w:t>
            </w:r>
          </w:p>
          <w:p w14:paraId="4CD6C01E" w14:textId="77777777" w:rsidR="003A5DBD" w:rsidRDefault="003A5DBD">
            <w:pPr>
              <w:rPr>
                <w:strike/>
                <w:color w:val="FF0000"/>
                <w:lang w:eastAsia="en-AU"/>
              </w:rPr>
            </w:pPr>
            <w:r>
              <w:rPr>
                <w:strike/>
                <w:color w:val="FF0000"/>
                <w:lang w:eastAsia="en-AU"/>
              </w:rPr>
              <w:t xml:space="preserve">(b) gastroenterology and </w:t>
            </w:r>
            <w:proofErr w:type="gramStart"/>
            <w:r>
              <w:rPr>
                <w:strike/>
                <w:color w:val="FF0000"/>
                <w:lang w:eastAsia="en-AU"/>
              </w:rPr>
              <w:t>hepatology;</w:t>
            </w:r>
            <w:proofErr w:type="gramEnd"/>
            <w:r>
              <w:rPr>
                <w:strike/>
                <w:color w:val="FF0000"/>
                <w:lang w:eastAsia="en-AU"/>
              </w:rPr>
              <w:t xml:space="preserve"> </w:t>
            </w:r>
          </w:p>
          <w:p w14:paraId="65951EE1" w14:textId="77777777" w:rsidR="003A5DBD" w:rsidRDefault="003A5DBD">
            <w:pPr>
              <w:rPr>
                <w:strike/>
                <w:color w:val="FF0000"/>
                <w:lang w:eastAsia="en-AU"/>
              </w:rPr>
            </w:pPr>
            <w:r>
              <w:rPr>
                <w:strike/>
                <w:color w:val="FF0000"/>
                <w:lang w:eastAsia="en-AU"/>
              </w:rPr>
              <w:t xml:space="preserve">(c) infectious </w:t>
            </w:r>
            <w:proofErr w:type="gramStart"/>
            <w:r>
              <w:rPr>
                <w:strike/>
                <w:color w:val="FF0000"/>
                <w:lang w:eastAsia="en-AU"/>
              </w:rPr>
              <w:t>diseases;</w:t>
            </w:r>
            <w:proofErr w:type="gramEnd"/>
            <w:r>
              <w:rPr>
                <w:strike/>
                <w:color w:val="FF0000"/>
                <w:lang w:eastAsia="en-AU"/>
              </w:rPr>
              <w:t xml:space="preserve"> </w:t>
            </w:r>
          </w:p>
          <w:p w14:paraId="24CE91BB" w14:textId="77777777" w:rsidR="003A5DBD" w:rsidRDefault="003A5DBD">
            <w:pPr>
              <w:rPr>
                <w:strike/>
                <w:color w:val="FF0000"/>
                <w:lang w:eastAsia="en-AU"/>
              </w:rPr>
            </w:pPr>
            <w:r>
              <w:rPr>
                <w:strike/>
                <w:color w:val="FF0000"/>
                <w:lang w:eastAsia="en-AU"/>
              </w:rPr>
              <w:t xml:space="preserve">(d) paediatric gastroenterology and </w:t>
            </w:r>
            <w:proofErr w:type="gramStart"/>
            <w:r>
              <w:rPr>
                <w:strike/>
                <w:color w:val="FF0000"/>
                <w:lang w:eastAsia="en-AU"/>
              </w:rPr>
              <w:t>hepatology;</w:t>
            </w:r>
            <w:proofErr w:type="gramEnd"/>
            <w:r>
              <w:rPr>
                <w:strike/>
                <w:color w:val="FF0000"/>
                <w:lang w:eastAsia="en-AU"/>
              </w:rPr>
              <w:t xml:space="preserve"> </w:t>
            </w:r>
          </w:p>
          <w:p w14:paraId="23B96D4E" w14:textId="77777777" w:rsidR="003A5DBD" w:rsidRDefault="003A5DBD">
            <w:pPr>
              <w:rPr>
                <w:strike/>
                <w:color w:val="FF0000"/>
                <w:sz w:val="21"/>
                <w:szCs w:val="20"/>
                <w:lang w:eastAsia="en-AU"/>
              </w:rPr>
            </w:pPr>
            <w:r>
              <w:rPr>
                <w:strike/>
                <w:color w:val="FF0000"/>
                <w:lang w:eastAsia="en-AU"/>
              </w:rPr>
              <w:t>(e) paediatric infectious diseases; or</w:t>
            </w:r>
            <w:r>
              <w:rPr>
                <w:strike/>
                <w:color w:val="FF0000"/>
                <w:szCs w:val="22"/>
                <w:lang w:eastAsia="en-AU"/>
              </w:rPr>
              <w:t xml:space="preserve"> </w:t>
            </w:r>
          </w:p>
        </w:tc>
      </w:tr>
      <w:tr w:rsidR="003A5DBD" w14:paraId="6052EB9A" w14:textId="77777777" w:rsidTr="003A5DBD">
        <w:tc>
          <w:tcPr>
            <w:tcW w:w="703" w:type="dxa"/>
            <w:tcBorders>
              <w:top w:val="single" w:sz="4" w:space="0" w:color="auto"/>
              <w:left w:val="single" w:sz="4" w:space="0" w:color="auto"/>
              <w:bottom w:val="single" w:sz="4" w:space="0" w:color="auto"/>
              <w:right w:val="single" w:sz="4" w:space="0" w:color="auto"/>
            </w:tcBorders>
          </w:tcPr>
          <w:p w14:paraId="59A68841" w14:textId="77777777" w:rsidR="003A5DBD" w:rsidRDefault="003A5DB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hideMark/>
          </w:tcPr>
          <w:p w14:paraId="64C6164E" w14:textId="77777777" w:rsidR="003A5DBD" w:rsidRDefault="003A5DBD">
            <w:pPr>
              <w:rPr>
                <w:strike/>
                <w:color w:val="FF0000"/>
                <w:sz w:val="21"/>
                <w:szCs w:val="20"/>
                <w:lang w:eastAsia="en-AU"/>
              </w:rPr>
            </w:pPr>
            <w:r>
              <w:rPr>
                <w:strike/>
                <w:color w:val="FF0000"/>
                <w:sz w:val="21"/>
                <w:szCs w:val="20"/>
                <w:lang w:eastAsia="en-AU"/>
              </w:rPr>
              <w:t>(3)</w:t>
            </w:r>
          </w:p>
        </w:tc>
        <w:tc>
          <w:tcPr>
            <w:tcW w:w="7222" w:type="dxa"/>
            <w:tcBorders>
              <w:top w:val="single" w:sz="4" w:space="0" w:color="auto"/>
              <w:left w:val="single" w:sz="4" w:space="0" w:color="auto"/>
              <w:bottom w:val="single" w:sz="4" w:space="0" w:color="auto"/>
              <w:right w:val="single" w:sz="4" w:space="0" w:color="auto"/>
            </w:tcBorders>
            <w:hideMark/>
          </w:tcPr>
          <w:p w14:paraId="1E528F5F" w14:textId="77777777" w:rsidR="003A5DBD" w:rsidRDefault="003A5DBD">
            <w:pPr>
              <w:rPr>
                <w:strike/>
                <w:color w:val="FF0000"/>
                <w:sz w:val="21"/>
                <w:szCs w:val="20"/>
                <w:lang w:eastAsia="en-AU"/>
              </w:rPr>
            </w:pPr>
            <w:r>
              <w:rPr>
                <w:strike/>
                <w:color w:val="FF0000"/>
                <w:lang w:eastAsia="en-AU"/>
              </w:rPr>
              <w:t xml:space="preserve">use in a clinical trial that is approved by, or notified to, the Secretary of the Australian Government Department of Health under the Therapeutic Goods Act 1989. </w:t>
            </w:r>
          </w:p>
        </w:tc>
      </w:tr>
      <w:tr w:rsidR="003A5DBD" w14:paraId="2DB429C2" w14:textId="77777777" w:rsidTr="003A5DBD">
        <w:tc>
          <w:tcPr>
            <w:tcW w:w="703" w:type="dxa"/>
            <w:tcBorders>
              <w:top w:val="single" w:sz="4" w:space="0" w:color="auto"/>
              <w:left w:val="single" w:sz="4" w:space="0" w:color="auto"/>
              <w:bottom w:val="single" w:sz="4" w:space="0" w:color="auto"/>
              <w:right w:val="single" w:sz="4" w:space="0" w:color="auto"/>
            </w:tcBorders>
          </w:tcPr>
          <w:p w14:paraId="682566B5" w14:textId="77777777" w:rsidR="003A5DBD" w:rsidRDefault="003A5DBD">
            <w:pPr>
              <w:rPr>
                <w:strike/>
                <w:color w:val="FF0000"/>
                <w:sz w:val="21"/>
                <w:szCs w:val="20"/>
                <w:lang w:eastAsia="en-AU"/>
              </w:rPr>
            </w:pPr>
          </w:p>
        </w:tc>
        <w:tc>
          <w:tcPr>
            <w:tcW w:w="709" w:type="dxa"/>
            <w:tcBorders>
              <w:top w:val="single" w:sz="4" w:space="0" w:color="auto"/>
              <w:left w:val="single" w:sz="4" w:space="0" w:color="auto"/>
              <w:bottom w:val="single" w:sz="4" w:space="0" w:color="auto"/>
              <w:right w:val="single" w:sz="4" w:space="0" w:color="auto"/>
            </w:tcBorders>
          </w:tcPr>
          <w:p w14:paraId="7DE21FF1" w14:textId="77777777" w:rsidR="003A5DBD" w:rsidRDefault="003A5DBD">
            <w:pPr>
              <w:rPr>
                <w:strike/>
                <w:color w:val="FF0000"/>
                <w:sz w:val="21"/>
                <w:szCs w:val="20"/>
                <w:lang w:eastAsia="en-AU"/>
              </w:rPr>
            </w:pPr>
          </w:p>
        </w:tc>
        <w:tc>
          <w:tcPr>
            <w:tcW w:w="7222" w:type="dxa"/>
            <w:tcBorders>
              <w:top w:val="single" w:sz="4" w:space="0" w:color="auto"/>
              <w:left w:val="single" w:sz="4" w:space="0" w:color="auto"/>
              <w:bottom w:val="single" w:sz="4" w:space="0" w:color="auto"/>
              <w:right w:val="single" w:sz="4" w:space="0" w:color="auto"/>
            </w:tcBorders>
            <w:hideMark/>
          </w:tcPr>
          <w:p w14:paraId="66F059DC" w14:textId="77777777" w:rsidR="003A5DBD" w:rsidRDefault="003A5DBD">
            <w:pPr>
              <w:rPr>
                <w:strike/>
                <w:color w:val="FF0000"/>
                <w:sz w:val="21"/>
                <w:szCs w:val="20"/>
                <w:lang w:eastAsia="en-AU"/>
              </w:rPr>
            </w:pPr>
            <w:r>
              <w:rPr>
                <w:strike/>
                <w:color w:val="FF0000"/>
                <w:sz w:val="21"/>
                <w:szCs w:val="20"/>
                <w:lang w:eastAsia="en-AU"/>
              </w:rPr>
              <w:t>IVERMECTIN in preparations for oral administration for human use.</w:t>
            </w:r>
          </w:p>
        </w:tc>
      </w:tr>
    </w:tbl>
    <w:p w14:paraId="73B2D356" w14:textId="77777777" w:rsidR="003A5DBD" w:rsidRDefault="003A5DBD" w:rsidP="003A5DBD">
      <w:pPr>
        <w:pStyle w:val="Heading4"/>
      </w:pPr>
      <w:bookmarkStart w:id="13" w:name="_Toc112833587"/>
      <w:r>
        <w:t>Background</w:t>
      </w:r>
      <w:bookmarkEnd w:id="13"/>
    </w:p>
    <w:p w14:paraId="2E627E9B" w14:textId="77777777" w:rsidR="003A5DBD" w:rsidRDefault="003A5DBD" w:rsidP="003A5DBD">
      <w:pPr>
        <w:pStyle w:val="ListBullet"/>
        <w:numPr>
          <w:ilvl w:val="0"/>
          <w:numId w:val="0"/>
        </w:numPr>
      </w:pPr>
      <w:r>
        <w:t xml:space="preserve">Ivermectin is an antiparasitic drug that is indicated in tablet form for the treatment of conditions such as strongyloidiasis and scabies. Concerns regarding the increase in off-label prescribing of oral ivermectin as a potential therapy for prophylaxis or treatment of COVID-19 led to the creation of the existing Appendix D entry in September 2021, on the advice of the ACMS. The Appendix D entry restricts off-label prescribing of ivermectin to dermatologists, gastroenterologists, hepatologists, and specialists in infectious diseases. The </w:t>
      </w:r>
      <w:hyperlink r:id="rId21" w:anchor="/guideline/6624/section/113367" w:history="1">
        <w:r>
          <w:rPr>
            <w:rStyle w:val="Hyperlink"/>
          </w:rPr>
          <w:t>National COVID-19 Clinical Evidence Taskforce</w:t>
        </w:r>
      </w:hyperlink>
      <w:r>
        <w:rPr>
          <w:rStyle w:val="FootnoteReference"/>
        </w:rPr>
        <w:footnoteReference w:id="1"/>
      </w:r>
      <w:r>
        <w:t xml:space="preserve"> does not recommend the use of ivermectin for the treatment of COVID-19.</w:t>
      </w:r>
    </w:p>
    <w:p w14:paraId="139FDD99" w14:textId="77777777" w:rsidR="003A5DBD" w:rsidRDefault="003A5DBD" w:rsidP="003A5DBD">
      <w:pPr>
        <w:pStyle w:val="Heading4"/>
      </w:pPr>
      <w:bookmarkStart w:id="14" w:name="_Toc112833588"/>
      <w:r>
        <w:t>Summary of applicant’s reasons for the proposal</w:t>
      </w:r>
      <w:bookmarkEnd w:id="14"/>
    </w:p>
    <w:p w14:paraId="7704EF86" w14:textId="77777777" w:rsidR="003A5DBD" w:rsidRDefault="003A5DBD" w:rsidP="008E48A7">
      <w:pPr>
        <w:pStyle w:val="ListBullet"/>
        <w:numPr>
          <w:ilvl w:val="0"/>
          <w:numId w:val="53"/>
        </w:numPr>
        <w:spacing w:before="180"/>
        <w:ind w:left="425" w:hanging="425"/>
      </w:pPr>
      <w:r>
        <w:t xml:space="preserve">The listing of ivermectin in Appendix D of the Poisons Standard is irrational, irresponsible, reckless, negligent, and possibly criminal. It poses a serious threat to public safety and may </w:t>
      </w:r>
      <w:r>
        <w:lastRenderedPageBreak/>
        <w:t xml:space="preserve">have caused the unnecessary deaths of thousands of Australians by preventing general practitioners from effectively treating their patients. </w:t>
      </w:r>
    </w:p>
    <w:p w14:paraId="1365E9AF" w14:textId="77777777" w:rsidR="003A5DBD" w:rsidRDefault="003A5DBD" w:rsidP="008E48A7">
      <w:pPr>
        <w:pStyle w:val="ListBullet"/>
        <w:numPr>
          <w:ilvl w:val="0"/>
          <w:numId w:val="53"/>
        </w:numPr>
        <w:spacing w:before="180"/>
        <w:ind w:left="425" w:hanging="425"/>
      </w:pPr>
      <w:r>
        <w:t xml:space="preserve">Ivermectin is a safe, cheap, and effective medication </w:t>
      </w:r>
      <w:hyperlink r:id="rId22" w:history="1">
        <w:r>
          <w:rPr>
            <w:rStyle w:val="Hyperlink"/>
          </w:rPr>
          <w:t>that may prevent 44 per cent of COVID-19 infections</w:t>
        </w:r>
      </w:hyperlink>
      <w:r>
        <w:rPr>
          <w:rStyle w:val="FootnoteReference"/>
        </w:rPr>
        <w:footnoteReference w:id="2"/>
      </w:r>
      <w:r>
        <w:t xml:space="preserve"> and may prevent serious illness and death caused by COVID-19 infections. Ivermectin is well tolerated at doses well beyond those that are typically prescribed for approved indications, which is at odds with the reasoning provided for the Appendix D entry. The </w:t>
      </w:r>
      <w:hyperlink r:id="rId23" w:history="1">
        <w:proofErr w:type="spellStart"/>
        <w:r>
          <w:rPr>
            <w:rStyle w:val="Hyperlink"/>
          </w:rPr>
          <w:t>AusPAR</w:t>
        </w:r>
        <w:proofErr w:type="spellEnd"/>
        <w:r>
          <w:rPr>
            <w:rStyle w:val="Hyperlink"/>
          </w:rPr>
          <w:t xml:space="preserve"> for ivermectin</w:t>
        </w:r>
      </w:hyperlink>
      <w:r>
        <w:rPr>
          <w:rStyle w:val="FootnoteReference"/>
        </w:rPr>
        <w:footnoteReference w:id="3"/>
      </w:r>
      <w:r>
        <w:t xml:space="preserve"> cites good tolerability and no safety concerns at doses ranging from 30 mg to 120 mg, which is up to 10 times the typical dose for the treatment of scabies.</w:t>
      </w:r>
    </w:p>
    <w:p w14:paraId="47C297BF" w14:textId="77777777" w:rsidR="003A5DBD" w:rsidRDefault="003A5DBD" w:rsidP="008E48A7">
      <w:pPr>
        <w:pStyle w:val="ListBullet"/>
        <w:numPr>
          <w:ilvl w:val="0"/>
          <w:numId w:val="53"/>
        </w:numPr>
        <w:spacing w:before="180"/>
        <w:ind w:left="425" w:hanging="425"/>
      </w:pPr>
      <w:r>
        <w:t>The Appendix D listing removes patient choice, and forces patients to access ivermectin on the black market or to use veterinary preparations of ivermectin. This unsupervised use of ivermectin is unsafe, caused by an undue change to the Poisons Standard which has the opposite effect to that which was intended.</w:t>
      </w:r>
    </w:p>
    <w:p w14:paraId="0F444492" w14:textId="77777777" w:rsidR="003A5DBD" w:rsidRDefault="003A5DBD" w:rsidP="008E48A7">
      <w:pPr>
        <w:pStyle w:val="ListBullet"/>
        <w:numPr>
          <w:ilvl w:val="0"/>
          <w:numId w:val="53"/>
        </w:numPr>
        <w:spacing w:before="180"/>
        <w:ind w:left="425" w:hanging="425"/>
      </w:pPr>
      <w:r>
        <w:t xml:space="preserve">There is no evidence that general practitioners had been prescribing ivermectin unsafely or that this prescribing was undesirable prior to the inclusion of the Appendix D entry for ivermectin. Further, there is no evidence that ivermectin is unsafe when prescribed by doctors and dispensed by pharmacists. </w:t>
      </w:r>
    </w:p>
    <w:p w14:paraId="490741C5" w14:textId="77777777" w:rsidR="003A5DBD" w:rsidRDefault="003A5DBD" w:rsidP="008E48A7">
      <w:pPr>
        <w:pStyle w:val="ListBullet"/>
        <w:numPr>
          <w:ilvl w:val="0"/>
          <w:numId w:val="53"/>
        </w:numPr>
        <w:spacing w:before="180"/>
        <w:ind w:left="425" w:hanging="425"/>
      </w:pPr>
      <w:r>
        <w:t xml:space="preserve">Vaccines against COVID-19 have not been completely effective and there is an unmet demand for an effective alternative treatment. Rising infection rates could also be ameliorated by the prophylactic use of ivermectin. The use of ivermectin in African countries and the corresponding relatively low rate of COVID-19 infection in these countries supports claims of the efficacy of ivermectin for this </w:t>
      </w:r>
      <w:proofErr w:type="gramStart"/>
      <w:r>
        <w:t>purpose, and</w:t>
      </w:r>
      <w:proofErr w:type="gramEnd"/>
      <w:r>
        <w:t xml:space="preserve"> is supported by a considerable volume of published literature.</w:t>
      </w:r>
    </w:p>
    <w:p w14:paraId="36730D44" w14:textId="77777777" w:rsidR="003A5DBD" w:rsidRDefault="003A5DBD" w:rsidP="008E48A7">
      <w:pPr>
        <w:pStyle w:val="ListBullet"/>
        <w:numPr>
          <w:ilvl w:val="0"/>
          <w:numId w:val="53"/>
        </w:numPr>
        <w:spacing w:before="180"/>
        <w:ind w:left="425" w:hanging="425"/>
      </w:pPr>
      <w:r>
        <w:t xml:space="preserve">The original decision to place ivermectin into Appendix D was based on research indicating that ivermectin is ineffective in preventing or treating COVID-19. There was a failure to consider if counterfeit ivermectin could explain some or </w:t>
      </w:r>
      <w:proofErr w:type="gramStart"/>
      <w:r>
        <w:t>all of</w:t>
      </w:r>
      <w:proofErr w:type="gramEnd"/>
      <w:r>
        <w:t xml:space="preserve"> the negative research upon which the decision was based.</w:t>
      </w:r>
    </w:p>
    <w:p w14:paraId="76D0B65A" w14:textId="77777777" w:rsidR="003A5DBD" w:rsidRDefault="003A5DBD" w:rsidP="003A5DBD">
      <w:pPr>
        <w:pStyle w:val="Heading4"/>
      </w:pPr>
      <w:bookmarkStart w:id="15" w:name="_Toc112833589"/>
      <w:r>
        <w:t>Key uses / expected use</w:t>
      </w:r>
      <w:bookmarkEnd w:id="15"/>
    </w:p>
    <w:p w14:paraId="3FF093EE" w14:textId="77777777" w:rsidR="003A5DBD" w:rsidRDefault="003A5DBD" w:rsidP="003A5DBD">
      <w:r>
        <w:t>Medicines (for the purposes of this application)</w:t>
      </w:r>
    </w:p>
    <w:p w14:paraId="0B67E768" w14:textId="77777777" w:rsidR="003A5DBD" w:rsidRDefault="003A5DBD" w:rsidP="003A5DBD">
      <w:pPr>
        <w:pStyle w:val="Heading4"/>
      </w:pPr>
      <w:bookmarkStart w:id="16" w:name="_Toc112833590"/>
      <w:r>
        <w:t>Australian regulations</w:t>
      </w:r>
      <w:bookmarkEnd w:id="16"/>
    </w:p>
    <w:p w14:paraId="2C25415F" w14:textId="77777777" w:rsidR="003A5DBD" w:rsidRDefault="003A5DBD" w:rsidP="008E48A7">
      <w:pPr>
        <w:pStyle w:val="ListBullet"/>
        <w:numPr>
          <w:ilvl w:val="0"/>
          <w:numId w:val="53"/>
        </w:numPr>
      </w:pPr>
      <w:r>
        <w:t xml:space="preserve">According to the </w:t>
      </w:r>
      <w:hyperlink r:id="rId24" w:history="1">
        <w:r>
          <w:rPr>
            <w:rStyle w:val="Hyperlink"/>
          </w:rPr>
          <w:t>TGA Ingredient Database</w:t>
        </w:r>
      </w:hyperlink>
      <w:r>
        <w:t>,</w:t>
      </w:r>
      <w:r>
        <w:rPr>
          <w:rStyle w:val="FootnoteReference"/>
        </w:rPr>
        <w:footnoteReference w:id="4"/>
      </w:r>
      <w:r>
        <w:t xml:space="preserve"> ivermectin is:</w:t>
      </w:r>
    </w:p>
    <w:p w14:paraId="2C49A305" w14:textId="77777777" w:rsidR="003A5DBD" w:rsidRDefault="003A5DBD" w:rsidP="008E48A7">
      <w:pPr>
        <w:pStyle w:val="ListBullet2"/>
        <w:numPr>
          <w:ilvl w:val="1"/>
          <w:numId w:val="53"/>
        </w:numPr>
        <w:ind w:left="850" w:hanging="425"/>
      </w:pPr>
      <w:r>
        <w:t xml:space="preserve">available for use as an Active Ingredient in: Biologicals, Export Only and Prescription </w:t>
      </w:r>
      <w:proofErr w:type="gramStart"/>
      <w:r>
        <w:t>Medicines;</w:t>
      </w:r>
      <w:proofErr w:type="gramEnd"/>
    </w:p>
    <w:p w14:paraId="1FFFB190" w14:textId="77777777" w:rsidR="003A5DBD" w:rsidRDefault="003A5DBD" w:rsidP="008E48A7">
      <w:pPr>
        <w:pStyle w:val="ListBullet2"/>
        <w:numPr>
          <w:ilvl w:val="1"/>
          <w:numId w:val="53"/>
        </w:numPr>
        <w:ind w:left="850" w:hanging="425"/>
      </w:pPr>
      <w:r>
        <w:t xml:space="preserve">available for use as an Excipient Ingredient in: Biologicals, Devices and Prescription </w:t>
      </w:r>
      <w:proofErr w:type="gramStart"/>
      <w:r>
        <w:t>Medicines;</w:t>
      </w:r>
      <w:proofErr w:type="gramEnd"/>
    </w:p>
    <w:p w14:paraId="2F4BA460" w14:textId="77777777" w:rsidR="003A5DBD" w:rsidRDefault="003A5DBD" w:rsidP="008E48A7">
      <w:pPr>
        <w:pStyle w:val="ListBullet2"/>
        <w:numPr>
          <w:ilvl w:val="1"/>
          <w:numId w:val="53"/>
        </w:numPr>
        <w:ind w:left="850" w:hanging="425"/>
      </w:pPr>
      <w:r>
        <w:t>not available as an equivalent ingredient in any application.</w:t>
      </w:r>
    </w:p>
    <w:p w14:paraId="03EDC029" w14:textId="77777777" w:rsidR="003A5DBD" w:rsidRDefault="003A5DBD" w:rsidP="008E48A7">
      <w:pPr>
        <w:pStyle w:val="ListBullet"/>
        <w:numPr>
          <w:ilvl w:val="0"/>
          <w:numId w:val="53"/>
        </w:numPr>
      </w:pPr>
      <w:r>
        <w:lastRenderedPageBreak/>
        <w:t xml:space="preserve">As of August 2022, there were three medicines currently active on the </w:t>
      </w:r>
      <w:hyperlink r:id="rId25" w:history="1">
        <w:r>
          <w:rPr>
            <w:rStyle w:val="Hyperlink"/>
          </w:rPr>
          <w:t>Australian Register of Therapeutic Goods (ARTG)</w:t>
        </w:r>
      </w:hyperlink>
      <w:r>
        <w:rPr>
          <w:rStyle w:val="FootnoteReference"/>
        </w:rPr>
        <w:footnoteReference w:id="5"/>
      </w:r>
      <w:r>
        <w:t xml:space="preserve"> that contain ivermectin as an active ingredient, all available as prescription-only medicines. This includes one oral dosage form (STROMECTOL 3 mg tablets).</w:t>
      </w:r>
    </w:p>
    <w:p w14:paraId="52F18ABC" w14:textId="77777777" w:rsidR="003A5DBD" w:rsidRDefault="003A5DBD" w:rsidP="008E48A7">
      <w:pPr>
        <w:pStyle w:val="ListBullet"/>
        <w:numPr>
          <w:ilvl w:val="0"/>
          <w:numId w:val="53"/>
        </w:numPr>
      </w:pPr>
      <w:r>
        <w:t xml:space="preserve">Ivermectin is not permitted to be included in listed medicines as it is not included in the </w:t>
      </w:r>
      <w:hyperlink r:id="rId26" w:history="1">
        <w:r>
          <w:rPr>
            <w:rStyle w:val="Hyperlink"/>
          </w:rPr>
          <w:t>Therapeutic Goods (Permissible Ingredients) Determination</w:t>
        </w:r>
      </w:hyperlink>
      <w:r>
        <w:rPr>
          <w:rStyle w:val="FootnoteReference"/>
        </w:rPr>
        <w:footnoteReference w:id="6"/>
      </w:r>
      <w:r>
        <w:t xml:space="preserve"> No.4 of 2022. </w:t>
      </w:r>
    </w:p>
    <w:p w14:paraId="17641DB9" w14:textId="77777777" w:rsidR="003A5DBD" w:rsidRDefault="003A5DBD" w:rsidP="008E48A7">
      <w:pPr>
        <w:pStyle w:val="ListBullet"/>
        <w:keepNext/>
        <w:keepLines/>
        <w:numPr>
          <w:ilvl w:val="0"/>
          <w:numId w:val="53"/>
        </w:numPr>
      </w:pPr>
      <w:r>
        <w:t xml:space="preserve">The </w:t>
      </w:r>
      <w:hyperlink r:id="rId27" w:history="1">
        <w:r>
          <w:rPr>
            <w:rStyle w:val="Hyperlink"/>
          </w:rPr>
          <w:t>TGA prescribing medicines in pregnancy database</w:t>
        </w:r>
      </w:hyperlink>
      <w:r>
        <w:rPr>
          <w:rStyle w:val="FootnoteReference"/>
        </w:rPr>
        <w:footnoteReference w:id="7"/>
      </w:r>
      <w:r>
        <w:t xml:space="preserve"> classifies ivermectin as:</w:t>
      </w:r>
    </w:p>
    <w:tbl>
      <w:tblPr>
        <w:tblStyle w:val="TableTGAblue"/>
        <w:tblW w:w="8670" w:type="dxa"/>
        <w:tblInd w:w="392" w:type="dxa"/>
        <w:tblLook w:val="04A0" w:firstRow="1" w:lastRow="0" w:firstColumn="1" w:lastColumn="0" w:noHBand="0" w:noVBand="1"/>
      </w:tblPr>
      <w:tblGrid>
        <w:gridCol w:w="1775"/>
        <w:gridCol w:w="1749"/>
        <w:gridCol w:w="1854"/>
        <w:gridCol w:w="1846"/>
        <w:gridCol w:w="1446"/>
      </w:tblGrid>
      <w:tr w:rsidR="003A5DBD" w14:paraId="45C06E57" w14:textId="77777777" w:rsidTr="003A5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76D50A5C" w14:textId="77777777" w:rsidR="003A5DBD" w:rsidRDefault="003A5DBD">
            <w:pPr>
              <w:keepLines/>
              <w:rPr>
                <w:sz w:val="20"/>
                <w:szCs w:val="20"/>
                <w:lang w:eastAsia="en-AU"/>
              </w:rPr>
            </w:pPr>
            <w:r>
              <w:rPr>
                <w:sz w:val="20"/>
                <w:szCs w:val="20"/>
                <w:lang w:eastAsia="en-AU"/>
              </w:rPr>
              <w:t>Drug name</w:t>
            </w:r>
          </w:p>
        </w:tc>
        <w:tc>
          <w:tcPr>
            <w:tcW w:w="1971" w:type="dxa"/>
            <w:hideMark/>
          </w:tcPr>
          <w:p w14:paraId="65FB688D" w14:textId="77777777" w:rsidR="003A5DBD" w:rsidRDefault="003A5DBD">
            <w:pPr>
              <w:keepLines/>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Category</w:t>
            </w:r>
          </w:p>
        </w:tc>
        <w:tc>
          <w:tcPr>
            <w:tcW w:w="1971" w:type="dxa"/>
            <w:hideMark/>
          </w:tcPr>
          <w:p w14:paraId="78E6D03F" w14:textId="77777777" w:rsidR="003A5DBD" w:rsidRDefault="003A5DBD">
            <w:pPr>
              <w:keepLines/>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Classification Level 1</w:t>
            </w:r>
          </w:p>
        </w:tc>
        <w:tc>
          <w:tcPr>
            <w:tcW w:w="1971" w:type="dxa"/>
            <w:hideMark/>
          </w:tcPr>
          <w:p w14:paraId="49CFF7B9" w14:textId="77777777" w:rsidR="003A5DBD" w:rsidRDefault="003A5DBD">
            <w:pPr>
              <w:keepLines/>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Classification Level 2</w:t>
            </w:r>
          </w:p>
        </w:tc>
        <w:tc>
          <w:tcPr>
            <w:tcW w:w="787" w:type="dxa"/>
            <w:hideMark/>
          </w:tcPr>
          <w:p w14:paraId="4A5F5158" w14:textId="77777777" w:rsidR="003A5DBD" w:rsidRDefault="003A5DBD">
            <w:pPr>
              <w:keepLines/>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Classification Level 3</w:t>
            </w:r>
          </w:p>
        </w:tc>
      </w:tr>
      <w:tr w:rsidR="003A5DBD" w14:paraId="73F9FD70" w14:textId="77777777" w:rsidTr="003A5DBD">
        <w:tc>
          <w:tcPr>
            <w:cnfStyle w:val="001000000000" w:firstRow="0" w:lastRow="0" w:firstColumn="1" w:lastColumn="0" w:oddVBand="0" w:evenVBand="0" w:oddHBand="0" w:evenHBand="0" w:firstRowFirstColumn="0" w:firstRowLastColumn="0" w:lastRowFirstColumn="0" w:lastRowLastColumn="0"/>
            <w:tcW w:w="1970" w:type="dxa"/>
            <w:tcBorders>
              <w:top w:val="single" w:sz="8" w:space="0" w:color="002C47"/>
              <w:left w:val="single" w:sz="8" w:space="0" w:color="002C47"/>
              <w:bottom w:val="single" w:sz="8" w:space="0" w:color="002C47"/>
              <w:right w:val="single" w:sz="8" w:space="0" w:color="002C47"/>
            </w:tcBorders>
            <w:hideMark/>
          </w:tcPr>
          <w:p w14:paraId="0255E37D" w14:textId="77777777" w:rsidR="003A5DBD" w:rsidRDefault="003A5DBD">
            <w:pPr>
              <w:keepNext/>
              <w:keepLines/>
              <w:rPr>
                <w:sz w:val="20"/>
                <w:szCs w:val="20"/>
                <w:lang w:eastAsia="en-AU"/>
              </w:rPr>
            </w:pPr>
            <w:r>
              <w:rPr>
                <w:sz w:val="20"/>
                <w:szCs w:val="20"/>
                <w:lang w:eastAsia="en-AU"/>
              </w:rPr>
              <w:t>Ivermectin</w:t>
            </w:r>
          </w:p>
        </w:tc>
        <w:tc>
          <w:tcPr>
            <w:tcW w:w="1971" w:type="dxa"/>
            <w:tcBorders>
              <w:top w:val="single" w:sz="8" w:space="0" w:color="002C47"/>
              <w:left w:val="single" w:sz="8" w:space="0" w:color="002C47"/>
              <w:bottom w:val="single" w:sz="8" w:space="0" w:color="002C47"/>
              <w:right w:val="single" w:sz="8" w:space="0" w:color="002C47"/>
            </w:tcBorders>
            <w:hideMark/>
          </w:tcPr>
          <w:p w14:paraId="3404EAC2" w14:textId="77777777" w:rsidR="003A5DBD" w:rsidRDefault="003A5DBD">
            <w:pPr>
              <w:keepNext/>
              <w:keepLines/>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B3</w:t>
            </w:r>
          </w:p>
        </w:tc>
        <w:tc>
          <w:tcPr>
            <w:tcW w:w="1971" w:type="dxa"/>
            <w:tcBorders>
              <w:top w:val="single" w:sz="8" w:space="0" w:color="002C47"/>
              <w:left w:val="single" w:sz="8" w:space="0" w:color="002C47"/>
              <w:bottom w:val="single" w:sz="8" w:space="0" w:color="002C47"/>
              <w:right w:val="single" w:sz="8" w:space="0" w:color="002C47"/>
            </w:tcBorders>
            <w:hideMark/>
          </w:tcPr>
          <w:p w14:paraId="3BAEDEBC" w14:textId="77777777" w:rsidR="003A5DBD" w:rsidRDefault="003A5DBD">
            <w:pPr>
              <w:keepNext/>
              <w:keepLines/>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Antimicrobials</w:t>
            </w:r>
          </w:p>
        </w:tc>
        <w:tc>
          <w:tcPr>
            <w:tcW w:w="1971" w:type="dxa"/>
            <w:tcBorders>
              <w:top w:val="single" w:sz="8" w:space="0" w:color="002C47"/>
              <w:left w:val="single" w:sz="8" w:space="0" w:color="002C47"/>
              <w:bottom w:val="single" w:sz="8" w:space="0" w:color="002C47"/>
              <w:right w:val="single" w:sz="8" w:space="0" w:color="002C47"/>
            </w:tcBorders>
            <w:hideMark/>
          </w:tcPr>
          <w:p w14:paraId="3EA39D00" w14:textId="77777777" w:rsidR="003A5DBD" w:rsidRDefault="003A5DBD">
            <w:pPr>
              <w:keepNext/>
              <w:keepLines/>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Anthelmintics</w:t>
            </w:r>
          </w:p>
        </w:tc>
        <w:tc>
          <w:tcPr>
            <w:tcW w:w="787" w:type="dxa"/>
            <w:tcBorders>
              <w:top w:val="single" w:sz="8" w:space="0" w:color="002C47"/>
              <w:left w:val="single" w:sz="8" w:space="0" w:color="002C47"/>
              <w:bottom w:val="single" w:sz="8" w:space="0" w:color="002C47"/>
              <w:right w:val="single" w:sz="8" w:space="0" w:color="002C47"/>
            </w:tcBorders>
          </w:tcPr>
          <w:p w14:paraId="25CAE683" w14:textId="77777777" w:rsidR="003A5DBD" w:rsidRDefault="003A5DBD">
            <w:pPr>
              <w:keepNext/>
              <w:keepLines/>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3A5DBD" w14:paraId="4F6AFA0C" w14:textId="77777777" w:rsidTr="003A5DBD">
        <w:tc>
          <w:tcPr>
            <w:cnfStyle w:val="001000000000" w:firstRow="0" w:lastRow="0" w:firstColumn="1" w:lastColumn="0" w:oddVBand="0" w:evenVBand="0" w:oddHBand="0" w:evenHBand="0" w:firstRowFirstColumn="0" w:firstRowLastColumn="0" w:lastRowFirstColumn="0" w:lastRowLastColumn="0"/>
            <w:tcW w:w="8670" w:type="dxa"/>
            <w:gridSpan w:val="5"/>
            <w:tcBorders>
              <w:top w:val="single" w:sz="8" w:space="0" w:color="002C47"/>
              <w:left w:val="single" w:sz="8" w:space="0" w:color="002C47"/>
              <w:bottom w:val="single" w:sz="8" w:space="0" w:color="002C47"/>
              <w:right w:val="single" w:sz="8" w:space="0" w:color="002C47"/>
            </w:tcBorders>
            <w:hideMark/>
          </w:tcPr>
          <w:p w14:paraId="587CA753" w14:textId="77777777" w:rsidR="003A5DBD" w:rsidRDefault="003A5DBD">
            <w:pPr>
              <w:keepNext/>
              <w:keepLines/>
              <w:rPr>
                <w:sz w:val="16"/>
                <w:szCs w:val="16"/>
                <w:lang w:eastAsia="en-AU"/>
              </w:rPr>
            </w:pPr>
            <w:r>
              <w:rPr>
                <w:b/>
                <w:sz w:val="16"/>
                <w:szCs w:val="16"/>
                <w:lang w:eastAsia="en-AU"/>
              </w:rPr>
              <w:t>Category B3</w:t>
            </w:r>
            <w:r>
              <w:rPr>
                <w:sz w:val="16"/>
                <w:szCs w:val="16"/>
                <w:lang w:eastAsia="en-AU"/>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12BFBE3" w14:textId="77777777" w:rsidR="003A5DBD" w:rsidRDefault="003A5DBD">
            <w:pPr>
              <w:keepNext/>
              <w:keepLines/>
              <w:rPr>
                <w:sz w:val="16"/>
                <w:szCs w:val="16"/>
                <w:lang w:eastAsia="en-AU"/>
              </w:rPr>
            </w:pPr>
            <w:r>
              <w:rPr>
                <w:sz w:val="16"/>
                <w:szCs w:val="16"/>
                <w:lang w:eastAsia="en-AU"/>
              </w:rPr>
              <w:t>Studies in animals have shown evidence of an increased occurrence of foetal damage, the significance of which is considered uncertain in humans.</w:t>
            </w:r>
          </w:p>
        </w:tc>
      </w:tr>
    </w:tbl>
    <w:p w14:paraId="56077C3E" w14:textId="77777777" w:rsidR="003A5DBD" w:rsidRDefault="003A5DBD" w:rsidP="008E48A7">
      <w:pPr>
        <w:pStyle w:val="ListBullet"/>
        <w:numPr>
          <w:ilvl w:val="0"/>
          <w:numId w:val="53"/>
        </w:numPr>
      </w:pPr>
      <w:r>
        <w:t xml:space="preserve">There are no warning statements pertaining to ivermectin in the </w:t>
      </w:r>
      <w:hyperlink r:id="rId28" w:history="1">
        <w:r>
          <w:rPr>
            <w:rStyle w:val="Hyperlink"/>
          </w:rPr>
          <w:t>Therapeutic Goods (Medicines Advisory Statements) Specification 2019</w:t>
        </w:r>
      </w:hyperlink>
      <w:r>
        <w:rPr>
          <w:rStyle w:val="Hyperlink"/>
        </w:rPr>
        <w:t>.</w:t>
      </w:r>
      <w:r>
        <w:rPr>
          <w:rStyle w:val="FootnoteReference"/>
        </w:rPr>
        <w:footnoteReference w:id="8"/>
      </w:r>
    </w:p>
    <w:p w14:paraId="78364736" w14:textId="77777777" w:rsidR="003A5DBD" w:rsidRDefault="003A5DBD" w:rsidP="008E48A7">
      <w:pPr>
        <w:pStyle w:val="ListBullet"/>
        <w:numPr>
          <w:ilvl w:val="0"/>
          <w:numId w:val="53"/>
        </w:numPr>
      </w:pPr>
      <w:r>
        <w:t xml:space="preserve">As of August 2022, there were 32 reports of adverse events for products containing ivermectin as an active ingredient on the </w:t>
      </w:r>
      <w:hyperlink r:id="rId29" w:history="1">
        <w:r>
          <w:rPr>
            <w:rStyle w:val="Hyperlink"/>
          </w:rPr>
          <w:t>Database of Adverse Event Notifications (DAEN)</w:t>
        </w:r>
      </w:hyperlink>
      <w:r>
        <w:rPr>
          <w:rStyle w:val="Hyperlink"/>
        </w:rPr>
        <w:t>,</w:t>
      </w:r>
      <w:r>
        <w:rPr>
          <w:rStyle w:val="FootnoteReference"/>
        </w:rPr>
        <w:footnoteReference w:id="9"/>
      </w:r>
      <w:r>
        <w:t xml:space="preserve"> with 23 reports where ivermectin was the single suspected medicine. There were 5 reports of deaths associated with ivermectin use. The recorded adverse events were widely varied in nature. </w:t>
      </w:r>
    </w:p>
    <w:p w14:paraId="5556EA03" w14:textId="77777777" w:rsidR="003A5DBD" w:rsidRDefault="003A5DBD" w:rsidP="008E48A7">
      <w:pPr>
        <w:pStyle w:val="ListBullet"/>
        <w:numPr>
          <w:ilvl w:val="0"/>
          <w:numId w:val="53"/>
        </w:numPr>
      </w:pPr>
      <w:r>
        <w:t xml:space="preserve">As of August 2022, there were 184 products containing ivermectin as an active ingredient/constituent or scheduled substance listed on the </w:t>
      </w:r>
      <w:hyperlink r:id="rId30" w:history="1">
        <w:r>
          <w:rPr>
            <w:rStyle w:val="Hyperlink"/>
          </w:rPr>
          <w:t>Public Chemical Registration Information System Search (</w:t>
        </w:r>
        <w:proofErr w:type="spellStart"/>
        <w:r>
          <w:rPr>
            <w:rStyle w:val="Hyperlink"/>
          </w:rPr>
          <w:t>PubCRIS</w:t>
        </w:r>
        <w:proofErr w:type="spellEnd"/>
        <w:r>
          <w:rPr>
            <w:rStyle w:val="Hyperlink"/>
          </w:rPr>
          <w:t>)</w:t>
        </w:r>
      </w:hyperlink>
      <w:r>
        <w:rPr>
          <w:rStyle w:val="Hyperlink"/>
        </w:rPr>
        <w:t>.</w:t>
      </w:r>
      <w:r>
        <w:rPr>
          <w:rStyle w:val="FootnoteReference"/>
        </w:rPr>
        <w:footnoteReference w:id="10"/>
      </w:r>
      <w:r>
        <w:t xml:space="preserve"> </w:t>
      </w:r>
    </w:p>
    <w:p w14:paraId="025C57A0" w14:textId="77777777" w:rsidR="003A5DBD" w:rsidRDefault="003A5DBD" w:rsidP="008E48A7">
      <w:pPr>
        <w:pStyle w:val="ListBullet"/>
        <w:numPr>
          <w:ilvl w:val="0"/>
          <w:numId w:val="53"/>
        </w:numPr>
      </w:pPr>
      <w:r>
        <w:t xml:space="preserve">In 2015-2020 there were 15 adverse experiences recorded for ivermectin in the </w:t>
      </w:r>
      <w:hyperlink r:id="rId31" w:history="1">
        <w:r>
          <w:rPr>
            <w:rStyle w:val="Hyperlink"/>
          </w:rPr>
          <w:t>APVMA Adverse Experience Reporting Program</w:t>
        </w:r>
      </w:hyperlink>
      <w:r>
        <w:rPr>
          <w:rStyle w:val="Hyperlink"/>
        </w:rPr>
        <w:t xml:space="preserve"> database (AERP).</w:t>
      </w:r>
      <w:r>
        <w:rPr>
          <w:rStyle w:val="FootnoteReference"/>
        </w:rPr>
        <w:footnoteReference w:id="11"/>
      </w:r>
      <w:r>
        <w:rPr>
          <w:rStyle w:val="Hyperlink"/>
        </w:rPr>
        <w:t xml:space="preserve"> These included 11 </w:t>
      </w:r>
      <w:r>
        <w:t xml:space="preserve">incidents classified as related to animal health and one related to human health. </w:t>
      </w:r>
    </w:p>
    <w:p w14:paraId="2B9A4322" w14:textId="77777777" w:rsidR="003A5DBD" w:rsidRDefault="003A5DBD" w:rsidP="003A5DBD">
      <w:pPr>
        <w:pStyle w:val="Heading4"/>
      </w:pPr>
      <w:bookmarkStart w:id="17" w:name="_Toc112833591"/>
      <w:r>
        <w:lastRenderedPageBreak/>
        <w:t>International regulations</w:t>
      </w:r>
      <w:bookmarkEnd w:id="17"/>
    </w:p>
    <w:p w14:paraId="580E370F" w14:textId="77777777" w:rsidR="003A5DBD" w:rsidRDefault="003A5DBD" w:rsidP="008E48A7">
      <w:pPr>
        <w:pStyle w:val="ListBullet"/>
        <w:numPr>
          <w:ilvl w:val="0"/>
          <w:numId w:val="53"/>
        </w:numPr>
      </w:pPr>
      <w:r>
        <w:t xml:space="preserve">The </w:t>
      </w:r>
      <w:hyperlink r:id="rId32" w:history="1">
        <w:r>
          <w:rPr>
            <w:rStyle w:val="Hyperlink"/>
          </w:rPr>
          <w:t>Health Canada Drug Product Database</w:t>
        </w:r>
      </w:hyperlink>
      <w:r>
        <w:rPr>
          <w:rStyle w:val="FootnoteReference"/>
        </w:rPr>
        <w:footnoteReference w:id="12"/>
      </w:r>
      <w:r>
        <w:t xml:space="preserve"> lists 20 marketed products containing ivermectin, including 2 prescription-only medicines for human use (one oral tablet and one topical cream).</w:t>
      </w:r>
    </w:p>
    <w:p w14:paraId="346324C6" w14:textId="77777777" w:rsidR="003A5DBD" w:rsidRDefault="003A5DBD" w:rsidP="008E48A7">
      <w:pPr>
        <w:pStyle w:val="ListBullet"/>
        <w:numPr>
          <w:ilvl w:val="0"/>
          <w:numId w:val="53"/>
        </w:numPr>
        <w:rPr>
          <w:color w:val="0000FF"/>
          <w:u w:val="single"/>
        </w:rPr>
      </w:pPr>
      <w:r>
        <w:t xml:space="preserve">The </w:t>
      </w:r>
      <w:hyperlink r:id="rId33" w:history="1">
        <w:proofErr w:type="spellStart"/>
        <w:r>
          <w:rPr>
            <w:rStyle w:val="Hyperlink"/>
          </w:rPr>
          <w:t>Medsafe</w:t>
        </w:r>
        <w:proofErr w:type="spellEnd"/>
        <w:r>
          <w:rPr>
            <w:rStyle w:val="Hyperlink"/>
          </w:rPr>
          <w:t xml:space="preserve"> (New Zealand Medicines and Medical Devices Safety Authority) Medicines Classification Database</w:t>
        </w:r>
      </w:hyperlink>
      <w:r>
        <w:rPr>
          <w:rStyle w:val="FootnoteReference"/>
        </w:rPr>
        <w:footnoteReference w:id="13"/>
      </w:r>
      <w:r>
        <w:t xml:space="preserve"> lists ivermectin as a prescription-only medicine.</w:t>
      </w:r>
    </w:p>
    <w:p w14:paraId="5A86901A" w14:textId="77777777" w:rsidR="003A5DBD" w:rsidRDefault="003A5DBD" w:rsidP="008E48A7">
      <w:pPr>
        <w:pStyle w:val="ListBullet"/>
        <w:numPr>
          <w:ilvl w:val="0"/>
          <w:numId w:val="53"/>
        </w:numPr>
        <w:rPr>
          <w:rStyle w:val="Hyperlink"/>
        </w:rPr>
      </w:pPr>
      <w:r>
        <w:rPr>
          <w:rStyle w:val="Hyperlink"/>
        </w:rPr>
        <w:t xml:space="preserve">The United States Food and Drug Administration </w:t>
      </w:r>
      <w:hyperlink r:id="rId34" w:history="1">
        <w:r>
          <w:rPr>
            <w:rStyle w:val="Hyperlink"/>
          </w:rPr>
          <w:t>Orange</w:t>
        </w:r>
      </w:hyperlink>
      <w:r>
        <w:rPr>
          <w:rStyle w:val="Hyperlink"/>
        </w:rPr>
        <w:t xml:space="preserve"> Book</w:t>
      </w:r>
      <w:r>
        <w:rPr>
          <w:rStyle w:val="FootnoteReference"/>
        </w:rPr>
        <w:footnoteReference w:id="14"/>
      </w:r>
      <w:r>
        <w:rPr>
          <w:rStyle w:val="Hyperlink"/>
        </w:rPr>
        <w:t xml:space="preserve"> lists 8 products containing ivermectin, including two prescription-only oral dosage forms (tablets).</w:t>
      </w:r>
    </w:p>
    <w:p w14:paraId="77531CEB" w14:textId="77777777" w:rsidR="003A5DBD" w:rsidRDefault="003A5DBD" w:rsidP="008E48A7">
      <w:pPr>
        <w:pStyle w:val="ListBullet"/>
        <w:numPr>
          <w:ilvl w:val="0"/>
          <w:numId w:val="53"/>
        </w:numPr>
        <w:rPr>
          <w:rStyle w:val="Hyperlink"/>
        </w:rPr>
      </w:pPr>
      <w:r>
        <w:rPr>
          <w:rStyle w:val="Hyperlink"/>
        </w:rPr>
        <w:t xml:space="preserve">The European Commission lists 95 products containing ivermectin in the </w:t>
      </w:r>
      <w:hyperlink r:id="rId35" w:history="1">
        <w:r>
          <w:rPr>
            <w:rStyle w:val="Hyperlink"/>
          </w:rPr>
          <w:t>Union Register of medicinal products</w:t>
        </w:r>
      </w:hyperlink>
      <w:r>
        <w:rPr>
          <w:rStyle w:val="Hyperlink"/>
        </w:rPr>
        <w:t>.</w:t>
      </w:r>
      <w:r>
        <w:rPr>
          <w:rStyle w:val="FootnoteReference"/>
        </w:rPr>
        <w:footnoteReference w:id="15"/>
      </w:r>
      <w:r>
        <w:rPr>
          <w:rStyle w:val="Hyperlink"/>
        </w:rPr>
        <w:t xml:space="preserve"> All products listed are for veterinary use.</w:t>
      </w:r>
    </w:p>
    <w:p w14:paraId="4A895DA7" w14:textId="77777777" w:rsidR="003A5DBD" w:rsidRDefault="003A5DBD" w:rsidP="008E48A7">
      <w:pPr>
        <w:pStyle w:val="ListBullet"/>
        <w:numPr>
          <w:ilvl w:val="0"/>
          <w:numId w:val="53"/>
        </w:numPr>
        <w:rPr>
          <w:rStyle w:val="Hyperlink"/>
        </w:rPr>
      </w:pPr>
      <w:r>
        <w:rPr>
          <w:rStyle w:val="Hyperlink"/>
        </w:rPr>
        <w:t xml:space="preserve">The </w:t>
      </w:r>
      <w:hyperlink r:id="rId36" w:history="1">
        <w:r>
          <w:rPr>
            <w:rStyle w:val="Hyperlink"/>
          </w:rPr>
          <w:t>Health Products Regulatory Authority of Ireland</w:t>
        </w:r>
      </w:hyperlink>
      <w:r>
        <w:rPr>
          <w:rStyle w:val="FootnoteReference"/>
        </w:rPr>
        <w:footnoteReference w:id="16"/>
      </w:r>
      <w:r>
        <w:rPr>
          <w:rStyle w:val="Hyperlink"/>
        </w:rPr>
        <w:t xml:space="preserve"> regulates two products containing ivermectin. Both are topical creams that are available by prescription-only.</w:t>
      </w:r>
    </w:p>
    <w:p w14:paraId="12DABA4B" w14:textId="77777777" w:rsidR="003A5DBD" w:rsidRDefault="003A5DBD" w:rsidP="003A5DBD">
      <w:pPr>
        <w:pStyle w:val="Heading4"/>
      </w:pPr>
      <w:bookmarkStart w:id="18" w:name="_Toc112833592"/>
      <w:r>
        <w:t>International advice and recommendations</w:t>
      </w:r>
      <w:bookmarkEnd w:id="18"/>
    </w:p>
    <w:p w14:paraId="6C2994ED" w14:textId="77777777" w:rsidR="003A5DBD" w:rsidRDefault="003A5DBD" w:rsidP="008E48A7">
      <w:pPr>
        <w:pStyle w:val="ListBullet"/>
        <w:numPr>
          <w:ilvl w:val="0"/>
          <w:numId w:val="50"/>
        </w:numPr>
      </w:pPr>
      <w:r>
        <w:t xml:space="preserve">The </w:t>
      </w:r>
      <w:hyperlink r:id="rId37" w:history="1">
        <w:r>
          <w:rPr>
            <w:rStyle w:val="Hyperlink"/>
          </w:rPr>
          <w:t>World Health Organization</w:t>
        </w:r>
      </w:hyperlink>
      <w:r>
        <w:rPr>
          <w:rStyle w:val="FootnoteReference"/>
        </w:rPr>
        <w:footnoteReference w:id="17"/>
      </w:r>
      <w:r>
        <w:t xml:space="preserve"> recommends not to use ivermectin in patients with COVID-19 except in the context of a clinical trial.</w:t>
      </w:r>
    </w:p>
    <w:p w14:paraId="12434575" w14:textId="77777777" w:rsidR="003A5DBD" w:rsidRDefault="003A5DBD" w:rsidP="008E48A7">
      <w:pPr>
        <w:pStyle w:val="ListBullet"/>
        <w:numPr>
          <w:ilvl w:val="0"/>
          <w:numId w:val="50"/>
        </w:numPr>
      </w:pPr>
      <w:r>
        <w:t xml:space="preserve">The </w:t>
      </w:r>
      <w:hyperlink r:id="rId38" w:history="1">
        <w:r>
          <w:rPr>
            <w:rStyle w:val="Hyperlink"/>
          </w:rPr>
          <w:t>United States National Institutes of Health</w:t>
        </w:r>
      </w:hyperlink>
      <w:r>
        <w:rPr>
          <w:rStyle w:val="FootnoteReference"/>
        </w:rPr>
        <w:footnoteReference w:id="18"/>
      </w:r>
      <w:r>
        <w:t xml:space="preserve"> recommends against the use of ivermectin for the treatment of COVID-19, except in clinical trials.</w:t>
      </w:r>
    </w:p>
    <w:p w14:paraId="39CC48A2" w14:textId="77777777" w:rsidR="003A5DBD" w:rsidRDefault="003A5DBD" w:rsidP="008E48A7">
      <w:pPr>
        <w:pStyle w:val="ListBullet"/>
        <w:numPr>
          <w:ilvl w:val="0"/>
          <w:numId w:val="50"/>
        </w:numPr>
      </w:pPr>
      <w:r>
        <w:t xml:space="preserve">Ivermectin is not approved by the </w:t>
      </w:r>
      <w:hyperlink r:id="rId39" w:history="1">
        <w:r>
          <w:rPr>
            <w:rStyle w:val="Hyperlink"/>
          </w:rPr>
          <w:t>US Food and Drug Administration</w:t>
        </w:r>
      </w:hyperlink>
      <w:r>
        <w:rPr>
          <w:rStyle w:val="FootnoteReference"/>
        </w:rPr>
        <w:footnoteReference w:id="19"/>
      </w:r>
      <w:r>
        <w:t xml:space="preserve"> for the treatment or prevention of COVID-19.</w:t>
      </w:r>
    </w:p>
    <w:p w14:paraId="6D0B525B" w14:textId="77777777" w:rsidR="003A5DBD" w:rsidRDefault="003A5DBD" w:rsidP="008E48A7">
      <w:pPr>
        <w:pStyle w:val="ListBullet"/>
        <w:numPr>
          <w:ilvl w:val="0"/>
          <w:numId w:val="50"/>
        </w:numPr>
      </w:pPr>
      <w:r>
        <w:t xml:space="preserve">The </w:t>
      </w:r>
      <w:hyperlink r:id="rId40" w:history="1">
        <w:r>
          <w:rPr>
            <w:rStyle w:val="Hyperlink"/>
          </w:rPr>
          <w:t>European Medicines Agency</w:t>
        </w:r>
      </w:hyperlink>
      <w:r>
        <w:rPr>
          <w:rStyle w:val="FootnoteReference"/>
        </w:rPr>
        <w:footnoteReference w:id="20"/>
      </w:r>
      <w:r>
        <w:t xml:space="preserve"> advises against the use of ivermectin for the prevention or treatment of COVID-19 outside randomised clinical trials.</w:t>
      </w:r>
    </w:p>
    <w:p w14:paraId="0DA74A07" w14:textId="6B0F22F7" w:rsidR="00F261BD" w:rsidRPr="00F261BD" w:rsidRDefault="00F261BD" w:rsidP="00F4649D">
      <w:pPr>
        <w:pStyle w:val="Heading3"/>
        <w:numPr>
          <w:ilvl w:val="0"/>
          <w:numId w:val="0"/>
        </w:numPr>
        <w:ind w:left="576" w:hanging="576"/>
      </w:pPr>
      <w:bookmarkStart w:id="19" w:name="_Toc112833593"/>
      <w:r>
        <w:lastRenderedPageBreak/>
        <w:t>Brimonidine</w:t>
      </w:r>
      <w:bookmarkEnd w:id="19"/>
    </w:p>
    <w:p w14:paraId="65CFA636" w14:textId="5FA50CFF" w:rsidR="00F261BD" w:rsidRDefault="00F261BD" w:rsidP="00F261BD">
      <w:pPr>
        <w:pStyle w:val="Heading4"/>
      </w:pPr>
      <w:bookmarkStart w:id="20" w:name="_Toc112833594"/>
      <w:r>
        <w:t>Proposal</w:t>
      </w:r>
      <w:bookmarkEnd w:id="20"/>
    </w:p>
    <w:p w14:paraId="6A28643E" w14:textId="444E7D5E" w:rsidR="00F261BD" w:rsidRPr="00D75206" w:rsidRDefault="00DA39D7" w:rsidP="00F261BD">
      <w:r>
        <w:t>The applicant has proposed the c</w:t>
      </w:r>
      <w:r w:rsidR="004D749D">
        <w:t>reation of a new Schedule 2 entry for ophthalmic preparations containing not more than 0.025 per cent of brimonidine for adult use.</w:t>
      </w:r>
      <w:r>
        <w:t xml:space="preserve"> The new entry would provide </w:t>
      </w:r>
      <w:r w:rsidR="006679B1">
        <w:t xml:space="preserve">pharmacy </w:t>
      </w:r>
      <w:r>
        <w:t xml:space="preserve">access to certain ophthalmic products for the treatment of eye redness and minor irritations in adults </w:t>
      </w:r>
      <w:r w:rsidR="006679B1">
        <w:t xml:space="preserve">aged </w:t>
      </w:r>
      <w:r>
        <w:t xml:space="preserve">18 </w:t>
      </w:r>
      <w:r w:rsidR="006679B1">
        <w:t xml:space="preserve">years </w:t>
      </w:r>
      <w:r>
        <w:t xml:space="preserve">and over.  </w:t>
      </w:r>
    </w:p>
    <w:p w14:paraId="2A9A9DAE" w14:textId="57AB87CC" w:rsidR="00F261BD" w:rsidRDefault="00F261BD" w:rsidP="00F261BD">
      <w:pPr>
        <w:pStyle w:val="Heading4"/>
      </w:pPr>
      <w:bookmarkStart w:id="21" w:name="_Toc112833595"/>
      <w:r>
        <w:t>CAS number</w:t>
      </w:r>
      <w:bookmarkEnd w:id="21"/>
    </w:p>
    <w:p w14:paraId="089FD90E" w14:textId="57252AB4" w:rsidR="00F261BD" w:rsidRDefault="00C55582" w:rsidP="00F261BD">
      <w:r>
        <w:t>59803-98-4</w:t>
      </w:r>
    </w:p>
    <w:p w14:paraId="7756B471" w14:textId="16EC2C6F" w:rsidR="00F261BD" w:rsidRDefault="00F261BD" w:rsidP="00F261BD">
      <w:pPr>
        <w:pStyle w:val="Heading4"/>
      </w:pPr>
      <w:bookmarkStart w:id="22" w:name="_Toc112833596"/>
      <w:r>
        <w:t>Alternative names</w:t>
      </w:r>
      <w:bookmarkEnd w:id="22"/>
    </w:p>
    <w:p w14:paraId="11750E7A" w14:textId="6B98F732" w:rsidR="004D749D" w:rsidRPr="004D749D" w:rsidRDefault="004D749D" w:rsidP="004D749D">
      <w:r w:rsidRPr="004D749D">
        <w:t>5-Bromo-N-(4,5-dihydro-1H-imidazol-2-yl)-6-quinoxalinamine</w:t>
      </w:r>
      <w:r>
        <w:t xml:space="preserve">; </w:t>
      </w:r>
      <w:r w:rsidRPr="004D749D">
        <w:t>5-bromo-6-(2-imidazolin-2-</w:t>
      </w:r>
      <w:proofErr w:type="gramStart"/>
      <w:r w:rsidRPr="004D749D">
        <w:t>ylamino)quinoxaline</w:t>
      </w:r>
      <w:proofErr w:type="gramEnd"/>
      <w:r>
        <w:t>.</w:t>
      </w:r>
    </w:p>
    <w:p w14:paraId="65E0F388" w14:textId="52F2B430" w:rsidR="00F261BD" w:rsidRPr="002C1070" w:rsidRDefault="00F261BD" w:rsidP="00F261BD">
      <w:pPr>
        <w:pStyle w:val="Heading4"/>
      </w:pPr>
      <w:bookmarkStart w:id="23" w:name="_Toc112833597"/>
      <w:r>
        <w:t>Applicant</w:t>
      </w:r>
      <w:bookmarkEnd w:id="23"/>
    </w:p>
    <w:p w14:paraId="01EB9641" w14:textId="6650359E" w:rsidR="00F261BD" w:rsidRPr="003639D9" w:rsidRDefault="00F261BD" w:rsidP="00F261BD">
      <w:r w:rsidRPr="004D749D">
        <w:t>Private applicant</w:t>
      </w:r>
    </w:p>
    <w:p w14:paraId="45EFFA07" w14:textId="20F4C36F" w:rsidR="00F261BD" w:rsidRDefault="00F261BD" w:rsidP="00F261BD">
      <w:pPr>
        <w:pStyle w:val="Heading4"/>
      </w:pPr>
      <w:bookmarkStart w:id="24" w:name="_Toc112833598"/>
      <w:r>
        <w:t>Current scheduling</w:t>
      </w:r>
      <w:bookmarkEnd w:id="24"/>
    </w:p>
    <w:p w14:paraId="2F9414F4" w14:textId="5CB34A4D" w:rsidR="00F261BD" w:rsidRDefault="004D749D" w:rsidP="00F261BD">
      <w:pPr>
        <w:rPr>
          <w:rFonts w:asciiTheme="minorHAnsi" w:hAnsiTheme="minorHAnsi" w:cstheme="minorHAnsi"/>
        </w:rPr>
      </w:pPr>
      <w:r>
        <w:rPr>
          <w:rFonts w:asciiTheme="minorHAnsi" w:hAnsiTheme="minorHAnsi" w:cstheme="minorHAnsi"/>
        </w:rPr>
        <w:t>Brimonidine</w:t>
      </w:r>
      <w:r w:rsidR="00F261BD" w:rsidRPr="00AF12F6">
        <w:rPr>
          <w:rFonts w:asciiTheme="minorHAnsi" w:hAnsiTheme="minorHAnsi" w:cstheme="minorHAnsi"/>
        </w:rPr>
        <w:t xml:space="preserve"> is currently listed in Schedule </w:t>
      </w:r>
      <w:r>
        <w:rPr>
          <w:rFonts w:asciiTheme="minorHAnsi" w:hAnsiTheme="minorHAnsi" w:cstheme="minorHAnsi"/>
        </w:rPr>
        <w:t>4</w:t>
      </w:r>
      <w:r w:rsidR="00F261BD">
        <w:rPr>
          <w:rFonts w:asciiTheme="minorHAnsi" w:hAnsiTheme="minorHAnsi" w:cstheme="minorHAnsi"/>
        </w:rPr>
        <w:t xml:space="preserve"> of the Poisons Standard as follows:</w:t>
      </w:r>
    </w:p>
    <w:p w14:paraId="5EF491C8" w14:textId="709F3185" w:rsidR="00F261BD" w:rsidRPr="006D5C84" w:rsidRDefault="00F261BD" w:rsidP="00F261BD">
      <w:pPr>
        <w:ind w:left="426"/>
        <w:rPr>
          <w:b/>
        </w:rPr>
      </w:pPr>
      <w:r w:rsidRPr="006D5C84">
        <w:rPr>
          <w:b/>
        </w:rPr>
        <w:t xml:space="preserve">Schedule </w:t>
      </w:r>
      <w:r w:rsidR="004D749D">
        <w:rPr>
          <w:b/>
        </w:rPr>
        <w:t>4</w:t>
      </w:r>
    </w:p>
    <w:p w14:paraId="678987E3" w14:textId="2A5D6159" w:rsidR="00F261BD" w:rsidRDefault="004D749D" w:rsidP="00171B1C">
      <w:pPr>
        <w:ind w:left="426" w:firstLine="294"/>
        <w:rPr>
          <w:rFonts w:asciiTheme="minorHAnsi" w:hAnsiTheme="minorHAnsi" w:cstheme="minorHAnsi"/>
        </w:rPr>
      </w:pPr>
      <w:r>
        <w:rPr>
          <w:rFonts w:asciiTheme="minorHAnsi" w:hAnsiTheme="minorHAnsi" w:cstheme="minorHAnsi"/>
        </w:rPr>
        <w:t>BRIMONIDINE</w:t>
      </w:r>
    </w:p>
    <w:p w14:paraId="222EEE54" w14:textId="77777777" w:rsidR="00F261BD" w:rsidRPr="005133F7" w:rsidRDefault="00F261BD" w:rsidP="00F261BD">
      <w:pPr>
        <w:ind w:left="426"/>
        <w:rPr>
          <w:b/>
        </w:rPr>
      </w:pPr>
      <w:r>
        <w:rPr>
          <w:b/>
        </w:rPr>
        <w:t>Index</w:t>
      </w:r>
    </w:p>
    <w:p w14:paraId="7D79BE57" w14:textId="0A87AFF0" w:rsidR="00F261BD" w:rsidRPr="00ED6E9B" w:rsidRDefault="00ED6E9B" w:rsidP="008C7D39">
      <w:pPr>
        <w:ind w:left="426" w:firstLine="294"/>
        <w:rPr>
          <w:rFonts w:asciiTheme="minorHAnsi" w:hAnsiTheme="minorHAnsi" w:cstheme="minorHAnsi"/>
          <w:b/>
          <w:bCs/>
        </w:rPr>
      </w:pPr>
      <w:r w:rsidRPr="00ED6E9B">
        <w:rPr>
          <w:rFonts w:asciiTheme="minorHAnsi" w:hAnsiTheme="minorHAnsi" w:cstheme="minorHAnsi"/>
          <w:b/>
          <w:bCs/>
        </w:rPr>
        <w:t>BRIMONIDINE</w:t>
      </w:r>
    </w:p>
    <w:p w14:paraId="127532CD" w14:textId="271C89AD" w:rsidR="00ED6E9B" w:rsidRDefault="00ED6E9B" w:rsidP="008C7D39">
      <w:pPr>
        <w:ind w:left="426" w:firstLine="294"/>
        <w:rPr>
          <w:rFonts w:asciiTheme="minorHAnsi" w:hAnsiTheme="minorHAnsi" w:cstheme="minorHAnsi"/>
        </w:rPr>
      </w:pPr>
      <w:r>
        <w:rPr>
          <w:rFonts w:asciiTheme="minorHAnsi" w:hAnsiTheme="minorHAnsi" w:cstheme="minorHAnsi"/>
        </w:rPr>
        <w:t>Schedule 4</w:t>
      </w:r>
    </w:p>
    <w:p w14:paraId="0D63DE10" w14:textId="5882482C" w:rsidR="00F261BD" w:rsidRDefault="00F261BD" w:rsidP="00F261BD">
      <w:pPr>
        <w:pStyle w:val="Heading4"/>
      </w:pPr>
      <w:bookmarkStart w:id="25" w:name="_Toc112833599"/>
      <w:r>
        <w:t>Proposed scheduling</w:t>
      </w:r>
      <w:bookmarkEnd w:id="25"/>
    </w:p>
    <w:p w14:paraId="4B4AD3D1" w14:textId="608F74EE" w:rsidR="00F261BD" w:rsidRPr="00CD40FB" w:rsidRDefault="00F261BD" w:rsidP="00F261BD">
      <w:pPr>
        <w:ind w:left="426"/>
        <w:rPr>
          <w:b/>
        </w:rPr>
      </w:pPr>
      <w:r w:rsidRPr="00ED6E9B">
        <w:rPr>
          <w:b/>
        </w:rPr>
        <w:t xml:space="preserve">Schedule </w:t>
      </w:r>
      <w:r w:rsidR="00ED6E9B" w:rsidRPr="00ED6E9B">
        <w:rPr>
          <w:b/>
        </w:rPr>
        <w:t>4</w:t>
      </w:r>
      <w:r w:rsidRPr="00ED6E9B">
        <w:rPr>
          <w:b/>
        </w:rPr>
        <w:t xml:space="preserve"> –</w:t>
      </w:r>
      <w:r w:rsidR="00ED6E9B" w:rsidRPr="00ED6E9B">
        <w:rPr>
          <w:b/>
        </w:rPr>
        <w:t xml:space="preserve"> </w:t>
      </w:r>
      <w:r w:rsidRPr="00ED6E9B">
        <w:rPr>
          <w:b/>
        </w:rPr>
        <w:t>Amend Entry</w:t>
      </w:r>
    </w:p>
    <w:p w14:paraId="10ACE81F" w14:textId="14A9B8A7" w:rsidR="00F261BD" w:rsidRDefault="00ED6E9B" w:rsidP="00ED6E9B">
      <w:pPr>
        <w:ind w:left="426" w:firstLine="294"/>
        <w:rPr>
          <w:rFonts w:asciiTheme="minorHAnsi" w:hAnsiTheme="minorHAnsi" w:cstheme="minorHAnsi"/>
        </w:rPr>
      </w:pPr>
      <w:r>
        <w:rPr>
          <w:rFonts w:asciiTheme="minorHAnsi" w:hAnsiTheme="minorHAnsi" w:cstheme="minorHAnsi"/>
        </w:rPr>
        <w:t xml:space="preserve">BRIMONIDINE </w:t>
      </w:r>
      <w:r w:rsidRPr="00F83DDA">
        <w:rPr>
          <w:rFonts w:asciiTheme="minorHAnsi" w:hAnsiTheme="minorHAnsi" w:cstheme="minorHAnsi"/>
          <w:b/>
          <w:bCs/>
          <w:color w:val="00B050"/>
        </w:rPr>
        <w:t xml:space="preserve">except </w:t>
      </w:r>
      <w:r w:rsidRPr="00F83DDA">
        <w:rPr>
          <w:rFonts w:asciiTheme="minorHAnsi" w:hAnsiTheme="minorHAnsi" w:cstheme="minorHAnsi"/>
          <w:color w:val="00B050"/>
        </w:rPr>
        <w:t>when included in Schedule 2.</w:t>
      </w:r>
    </w:p>
    <w:p w14:paraId="7F63DC8A" w14:textId="54BDBCB0" w:rsidR="00ED6E9B" w:rsidRDefault="00ED6E9B" w:rsidP="00F261BD">
      <w:pPr>
        <w:ind w:left="426"/>
        <w:rPr>
          <w:rFonts w:asciiTheme="minorHAnsi" w:hAnsiTheme="minorHAnsi" w:cstheme="minorHAnsi"/>
          <w:b/>
          <w:bCs/>
        </w:rPr>
      </w:pPr>
      <w:r w:rsidRPr="00ED6E9B">
        <w:rPr>
          <w:rFonts w:asciiTheme="minorHAnsi" w:hAnsiTheme="minorHAnsi" w:cstheme="minorHAnsi"/>
          <w:b/>
          <w:bCs/>
        </w:rPr>
        <w:t>Schedule 2 – Create entry</w:t>
      </w:r>
    </w:p>
    <w:p w14:paraId="0DFC8B8D" w14:textId="19B081F7" w:rsidR="00ED6E9B" w:rsidRPr="00ED6E9B" w:rsidRDefault="00ED6E9B" w:rsidP="00ED6E9B">
      <w:pPr>
        <w:ind w:left="720"/>
        <w:rPr>
          <w:rFonts w:asciiTheme="minorHAnsi" w:hAnsiTheme="minorHAnsi" w:cstheme="minorHAnsi"/>
          <w:color w:val="00B050"/>
        </w:rPr>
      </w:pPr>
      <w:r w:rsidRPr="00ED6E9B">
        <w:rPr>
          <w:rFonts w:asciiTheme="minorHAnsi" w:hAnsiTheme="minorHAnsi" w:cstheme="minorHAnsi"/>
          <w:color w:val="00B050"/>
        </w:rPr>
        <w:t>BRIMONIDINE in ophthalmic preparations for adult use containing not more than 0.025 per cent of brimonidine.</w:t>
      </w:r>
    </w:p>
    <w:p w14:paraId="20C721BE" w14:textId="2230F7F6" w:rsidR="00F261BD" w:rsidRDefault="00F261BD" w:rsidP="00F261BD">
      <w:pPr>
        <w:ind w:left="426"/>
        <w:rPr>
          <w:b/>
        </w:rPr>
      </w:pPr>
      <w:r w:rsidRPr="00ED6E9B">
        <w:rPr>
          <w:b/>
        </w:rPr>
        <w:t>Index –</w:t>
      </w:r>
      <w:r w:rsidR="00ED6E9B" w:rsidRPr="00ED6E9B">
        <w:rPr>
          <w:b/>
        </w:rPr>
        <w:t xml:space="preserve"> </w:t>
      </w:r>
      <w:r w:rsidRPr="00ED6E9B">
        <w:rPr>
          <w:b/>
        </w:rPr>
        <w:t>Amend Entry</w:t>
      </w:r>
    </w:p>
    <w:p w14:paraId="126649DF" w14:textId="45738D72" w:rsidR="00F261BD" w:rsidRPr="00ED6E9B" w:rsidRDefault="00ED6E9B" w:rsidP="008C7D39">
      <w:pPr>
        <w:ind w:left="426" w:firstLine="294"/>
        <w:rPr>
          <w:rFonts w:asciiTheme="minorHAnsi" w:hAnsiTheme="minorHAnsi" w:cstheme="minorHAnsi"/>
          <w:b/>
          <w:bCs/>
        </w:rPr>
      </w:pPr>
      <w:r w:rsidRPr="00ED6E9B">
        <w:rPr>
          <w:rFonts w:asciiTheme="minorHAnsi" w:hAnsiTheme="minorHAnsi" w:cstheme="minorHAnsi"/>
          <w:b/>
          <w:bCs/>
        </w:rPr>
        <w:t>BRIMONIDINE</w:t>
      </w:r>
    </w:p>
    <w:p w14:paraId="7D061D16" w14:textId="3147468C" w:rsidR="00ED6E9B" w:rsidRDefault="00ED6E9B" w:rsidP="008C7D39">
      <w:pPr>
        <w:ind w:left="720"/>
        <w:rPr>
          <w:rFonts w:asciiTheme="minorHAnsi" w:hAnsiTheme="minorHAnsi" w:cstheme="minorHAnsi"/>
        </w:rPr>
      </w:pPr>
      <w:r>
        <w:rPr>
          <w:rFonts w:asciiTheme="minorHAnsi" w:hAnsiTheme="minorHAnsi" w:cstheme="minorHAnsi"/>
        </w:rPr>
        <w:t>Schedule 4</w:t>
      </w:r>
      <w:r>
        <w:rPr>
          <w:rFonts w:asciiTheme="minorHAnsi" w:hAnsiTheme="minorHAnsi" w:cstheme="minorHAnsi"/>
        </w:rPr>
        <w:br/>
      </w:r>
      <w:r w:rsidRPr="00ED6E9B">
        <w:rPr>
          <w:rFonts w:asciiTheme="minorHAnsi" w:hAnsiTheme="minorHAnsi" w:cstheme="minorHAnsi"/>
          <w:color w:val="00B050"/>
        </w:rPr>
        <w:t>Schedule 2</w:t>
      </w:r>
    </w:p>
    <w:p w14:paraId="47DF62C5" w14:textId="170CAC31" w:rsidR="00F261BD" w:rsidRDefault="00F261BD" w:rsidP="00F261BD">
      <w:pPr>
        <w:pStyle w:val="Heading4"/>
      </w:pPr>
      <w:bookmarkStart w:id="26" w:name="_Toc112833600"/>
      <w:r>
        <w:lastRenderedPageBreak/>
        <w:t>Background</w:t>
      </w:r>
      <w:bookmarkEnd w:id="26"/>
    </w:p>
    <w:p w14:paraId="5FDCFF79" w14:textId="62A7A054" w:rsidR="00F261BD" w:rsidRDefault="00ED6E9B" w:rsidP="00F261BD">
      <w:r>
        <w:t>Brimonidine (used as the tartrate salt) is an alpha-2 selective adrenergic agonist</w:t>
      </w:r>
      <w:r w:rsidR="00C55582">
        <w:t>, a class of medicines known for vasoconstrictive properties</w:t>
      </w:r>
      <w:r>
        <w:t xml:space="preserve">. Ophthalmic preparations containing 0.025 per cent of brimonidine are used to relive redness of the eye due to minor irritations such as environmental allergies, </w:t>
      </w:r>
      <w:proofErr w:type="gramStart"/>
      <w:r>
        <w:t>dryness</w:t>
      </w:r>
      <w:proofErr w:type="gramEnd"/>
      <w:r>
        <w:t xml:space="preserve"> and fatigue in adults. Higher strengths are used for lowering elevated intraocular pressure and the treatment of glaucoma. Topical preparations can be used for the treatment of rosacea.</w:t>
      </w:r>
      <w:r w:rsidR="008459AF" w:rsidRPr="008459AF">
        <w:t xml:space="preserve"> </w:t>
      </w:r>
      <w:r w:rsidR="008459AF">
        <w:t>All preparations of brimonidine for human therapeutic use are currently Schedule 4 medicines.</w:t>
      </w:r>
    </w:p>
    <w:p w14:paraId="3C41B1FA" w14:textId="6FF9E5FA" w:rsidR="00F261BD" w:rsidRDefault="002F0D8F" w:rsidP="00F261BD">
      <w:pPr>
        <w:pStyle w:val="Heading4"/>
      </w:pPr>
      <w:bookmarkStart w:id="27" w:name="_Toc112833601"/>
      <w:r>
        <w:t>Summary of applicant’s</w:t>
      </w:r>
      <w:r w:rsidR="00F261BD">
        <w:t xml:space="preserve"> reasons for </w:t>
      </w:r>
      <w:r>
        <w:t xml:space="preserve">the </w:t>
      </w:r>
      <w:r w:rsidR="00F261BD">
        <w:t>proposal</w:t>
      </w:r>
      <w:bookmarkEnd w:id="27"/>
      <w:r w:rsidR="007E3688">
        <w:t xml:space="preserve"> </w:t>
      </w:r>
    </w:p>
    <w:p w14:paraId="3F55A8AD" w14:textId="6F8F598D" w:rsidR="00F261BD" w:rsidRDefault="00F4649D" w:rsidP="008E48A7">
      <w:pPr>
        <w:pStyle w:val="ListBullet"/>
        <w:numPr>
          <w:ilvl w:val="0"/>
          <w:numId w:val="31"/>
        </w:numPr>
      </w:pPr>
      <w:r w:rsidRPr="008A5566">
        <w:t>Brimonidine tartrate 0.025</w:t>
      </w:r>
      <w:r w:rsidR="00095691">
        <w:t xml:space="preserve"> per cent</w:t>
      </w:r>
      <w:r w:rsidRPr="008A5566">
        <w:t xml:space="preserve"> w/v is </w:t>
      </w:r>
      <w:r w:rsidR="008E01F7">
        <w:t xml:space="preserve">already </w:t>
      </w:r>
      <w:r w:rsidR="00C52927" w:rsidRPr="008A5566">
        <w:t xml:space="preserve">available and approved </w:t>
      </w:r>
      <w:r w:rsidR="002F0D8F" w:rsidRPr="008A5566">
        <w:t>as over the counter (OTC) medicines</w:t>
      </w:r>
      <w:r w:rsidR="002F0D8F">
        <w:t xml:space="preserve"> both</w:t>
      </w:r>
      <w:r w:rsidR="002F0D8F" w:rsidRPr="008A5566">
        <w:t xml:space="preserve"> </w:t>
      </w:r>
      <w:r w:rsidR="00C52927" w:rsidRPr="008A5566">
        <w:t>in the USA</w:t>
      </w:r>
      <w:r w:rsidR="001112B7" w:rsidRPr="008A5566">
        <w:t xml:space="preserve"> for use in children and adults aged 5 and over</w:t>
      </w:r>
      <w:r w:rsidR="002F0D8F">
        <w:t>,</w:t>
      </w:r>
      <w:r w:rsidR="00C52927" w:rsidRPr="008A5566">
        <w:t xml:space="preserve"> and Canada </w:t>
      </w:r>
      <w:r w:rsidR="002F0D8F">
        <w:t xml:space="preserve">for use </w:t>
      </w:r>
      <w:r w:rsidR="001112B7" w:rsidRPr="008A5566">
        <w:t>in adults 18</w:t>
      </w:r>
      <w:r w:rsidR="00F83DDA" w:rsidRPr="008A5566">
        <w:t xml:space="preserve"> and over</w:t>
      </w:r>
      <w:r w:rsidR="001112B7" w:rsidRPr="008A5566">
        <w:t xml:space="preserve">. It is currently classified as a </w:t>
      </w:r>
      <w:r w:rsidR="006679B1">
        <w:t>S</w:t>
      </w:r>
      <w:r w:rsidR="001112B7" w:rsidRPr="008A5566">
        <w:t>chedule 4 prescription only medicine in Australia</w:t>
      </w:r>
      <w:r w:rsidR="006746FB" w:rsidRPr="008A5566">
        <w:t>, however at the 0.025</w:t>
      </w:r>
      <w:r w:rsidR="00095691">
        <w:t xml:space="preserve"> per cent</w:t>
      </w:r>
      <w:r w:rsidR="006746FB" w:rsidRPr="008A5566">
        <w:t xml:space="preserve"> concentration, the substance meets S</w:t>
      </w:r>
      <w:r w:rsidR="006679B1">
        <w:t xml:space="preserve">chedule </w:t>
      </w:r>
      <w:r w:rsidR="006746FB" w:rsidRPr="008A5566">
        <w:t xml:space="preserve">2 </w:t>
      </w:r>
      <w:r w:rsidR="00EB64C6">
        <w:t>scheduling factors</w:t>
      </w:r>
      <w:r w:rsidR="006746FB" w:rsidRPr="008A5566">
        <w:t xml:space="preserve">. </w:t>
      </w:r>
    </w:p>
    <w:p w14:paraId="60DC86B3" w14:textId="0A45D490" w:rsidR="00C52927" w:rsidRPr="008A5566" w:rsidRDefault="008E01F7" w:rsidP="008E48A7">
      <w:pPr>
        <w:pStyle w:val="ListBullet"/>
        <w:numPr>
          <w:ilvl w:val="0"/>
          <w:numId w:val="31"/>
        </w:numPr>
      </w:pPr>
      <w:r>
        <w:t>Brimonidine at the concentration in the proposal is intended to treat e</w:t>
      </w:r>
      <w:r w:rsidR="00C52927" w:rsidRPr="008A5566">
        <w:t>ye redness, itching or irritation</w:t>
      </w:r>
      <w:r>
        <w:t>, which</w:t>
      </w:r>
      <w:r w:rsidR="00C52927" w:rsidRPr="008A5566">
        <w:t xml:space="preserve"> is easily diagnosed and can be self-managed by the individual</w:t>
      </w:r>
      <w:r>
        <w:t>, consistent with a Schedule 2 medicine</w:t>
      </w:r>
      <w:r w:rsidR="006F172D">
        <w:t xml:space="preserve">. </w:t>
      </w:r>
      <w:r>
        <w:t>The substance</w:t>
      </w:r>
      <w:r w:rsidR="006F172D" w:rsidRPr="008A5566">
        <w:t xml:space="preserve"> has no observed </w:t>
      </w:r>
      <w:r w:rsidR="00EB64C6">
        <w:t>potential</w:t>
      </w:r>
      <w:r w:rsidR="00EB64C6" w:rsidRPr="008A5566">
        <w:t xml:space="preserve"> </w:t>
      </w:r>
      <w:r w:rsidR="006F172D" w:rsidRPr="008A5566">
        <w:t>of misuse or abuse</w:t>
      </w:r>
      <w:r>
        <w:t xml:space="preserve">, and at the proposed concentration </w:t>
      </w:r>
      <w:r w:rsidRPr="008A5566">
        <w:t>accidental ingest</w:t>
      </w:r>
      <w:r>
        <w:t>ion</w:t>
      </w:r>
      <w:r w:rsidRPr="008A5566">
        <w:t xml:space="preserve"> is unlikely to have any significant adverse effects</w:t>
      </w:r>
      <w:r>
        <w:t xml:space="preserve"> in children</w:t>
      </w:r>
      <w:r w:rsidR="006F172D" w:rsidRPr="008A5566">
        <w:t xml:space="preserve">. </w:t>
      </w:r>
    </w:p>
    <w:p w14:paraId="40EC04E9" w14:textId="699355B4" w:rsidR="00C52927" w:rsidRPr="008A5566" w:rsidRDefault="006746FB" w:rsidP="008E48A7">
      <w:pPr>
        <w:pStyle w:val="ListBullet"/>
        <w:numPr>
          <w:ilvl w:val="0"/>
          <w:numId w:val="31"/>
        </w:numPr>
      </w:pPr>
      <w:r w:rsidRPr="008A5566">
        <w:t>Brimonidine tartrate has reported s</w:t>
      </w:r>
      <w:r w:rsidR="00C52927" w:rsidRPr="008A5566">
        <w:t>ome minor side effects such as pain at the application site, nasopharyngitis and headaches</w:t>
      </w:r>
      <w:r w:rsidR="00EB64C6">
        <w:t>.</w:t>
      </w:r>
      <w:r w:rsidRPr="008A5566">
        <w:t xml:space="preserve"> </w:t>
      </w:r>
      <w:r w:rsidR="00EB64C6">
        <w:t>H</w:t>
      </w:r>
      <w:r w:rsidRPr="008A5566">
        <w:t xml:space="preserve">owever, all potential side effects reported were mild and temporary. </w:t>
      </w:r>
      <w:r w:rsidR="006F172D" w:rsidRPr="008A5566">
        <w:t>Studies using brimonidine tartrate 0.025</w:t>
      </w:r>
      <w:r w:rsidR="00095691">
        <w:t xml:space="preserve"> per cent</w:t>
      </w:r>
      <w:r w:rsidR="006F172D" w:rsidRPr="008A5566">
        <w:t xml:space="preserve"> have shown low toxicity and no systemic absorption of the substance. </w:t>
      </w:r>
    </w:p>
    <w:p w14:paraId="5541AE67" w14:textId="41AC2BB4" w:rsidR="00C52927" w:rsidRPr="008A5566" w:rsidRDefault="006746FB" w:rsidP="008E48A7">
      <w:pPr>
        <w:pStyle w:val="ListBullet"/>
        <w:numPr>
          <w:ilvl w:val="0"/>
          <w:numId w:val="31"/>
        </w:numPr>
      </w:pPr>
      <w:r w:rsidRPr="008A5566">
        <w:t>Brimonidine tartrate 0.025</w:t>
      </w:r>
      <w:r w:rsidR="00095691">
        <w:t xml:space="preserve"> per cent</w:t>
      </w:r>
      <w:r w:rsidRPr="008A5566">
        <w:t xml:space="preserve"> </w:t>
      </w:r>
      <w:r w:rsidR="00EB64C6">
        <w:t xml:space="preserve">is </w:t>
      </w:r>
      <w:r w:rsidRPr="008A5566">
        <w:t>not</w:t>
      </w:r>
      <w:r w:rsidR="00C52927" w:rsidRPr="008A5566">
        <w:t xml:space="preserve"> </w:t>
      </w:r>
      <w:r w:rsidR="00EB64C6">
        <w:t xml:space="preserve">proposed </w:t>
      </w:r>
      <w:r w:rsidR="00C52927" w:rsidRPr="008A5566">
        <w:t xml:space="preserve">for use in children </w:t>
      </w:r>
      <w:r w:rsidR="00EB64C6">
        <w:t xml:space="preserve">under </w:t>
      </w:r>
      <w:r w:rsidR="00C52927" w:rsidRPr="008A5566">
        <w:t>18 years of age</w:t>
      </w:r>
      <w:r w:rsidR="002F0D8F">
        <w:t xml:space="preserve">, </w:t>
      </w:r>
      <w:r w:rsidRPr="008A5566">
        <w:t xml:space="preserve">consistent with </w:t>
      </w:r>
      <w:r w:rsidR="00EB64C6">
        <w:t xml:space="preserve">Health </w:t>
      </w:r>
      <w:r w:rsidRPr="008A5566">
        <w:t xml:space="preserve">Canada’s recommendation. </w:t>
      </w:r>
    </w:p>
    <w:p w14:paraId="392265B5" w14:textId="4D39FD39" w:rsidR="00F261BD" w:rsidRDefault="00F261BD" w:rsidP="00F261BD">
      <w:pPr>
        <w:pStyle w:val="Heading4"/>
      </w:pPr>
      <w:bookmarkStart w:id="28" w:name="_Toc112833602"/>
      <w:r>
        <w:t>Key uses / expected use</w:t>
      </w:r>
      <w:bookmarkEnd w:id="28"/>
    </w:p>
    <w:p w14:paraId="77A4AFE9" w14:textId="69E10978" w:rsidR="00F261BD" w:rsidRDefault="00F261BD" w:rsidP="00F261BD">
      <w:r w:rsidRPr="00C55582">
        <w:t>Medicines</w:t>
      </w:r>
    </w:p>
    <w:p w14:paraId="03FD71B6" w14:textId="0C4FC815" w:rsidR="00F261BD" w:rsidRDefault="00F261BD" w:rsidP="00F261BD">
      <w:pPr>
        <w:pStyle w:val="Heading4"/>
      </w:pPr>
      <w:bookmarkStart w:id="29" w:name="_Toc112833603"/>
      <w:r>
        <w:t>Australian regulations</w:t>
      </w:r>
      <w:bookmarkEnd w:id="29"/>
    </w:p>
    <w:p w14:paraId="77206ED5" w14:textId="040BE1B8" w:rsidR="00F261BD" w:rsidRDefault="00F261BD" w:rsidP="00F261BD">
      <w:pPr>
        <w:pStyle w:val="ListBullet"/>
      </w:pPr>
      <w:r>
        <w:t xml:space="preserve">According to the </w:t>
      </w:r>
      <w:hyperlink r:id="rId41"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21"/>
      </w:r>
      <w:r>
        <w:t xml:space="preserve"> </w:t>
      </w:r>
      <w:r w:rsidR="000135AA">
        <w:t>brimonidine</w:t>
      </w:r>
      <w:r>
        <w:t xml:space="preserve"> is:</w:t>
      </w:r>
    </w:p>
    <w:p w14:paraId="7A264090" w14:textId="6870C135" w:rsidR="00C55582" w:rsidRDefault="00C55582" w:rsidP="00F73276">
      <w:pPr>
        <w:pStyle w:val="ListBullet2"/>
      </w:pPr>
      <w:r>
        <w:t xml:space="preserve">Available for use as an Active </w:t>
      </w:r>
      <w:r w:rsidRPr="00F73276">
        <w:t>Ingredient</w:t>
      </w:r>
      <w:r>
        <w:t xml:space="preserve"> in Biologicals, Export Only and Prescription </w:t>
      </w:r>
      <w:proofErr w:type="gramStart"/>
      <w:r>
        <w:t>Medicines;</w:t>
      </w:r>
      <w:proofErr w:type="gramEnd"/>
    </w:p>
    <w:p w14:paraId="48B0FFC5" w14:textId="767FB8E9" w:rsidR="00C55582" w:rsidRDefault="00C55582" w:rsidP="00C55582">
      <w:pPr>
        <w:pStyle w:val="ListBullet2"/>
      </w:pPr>
      <w:r>
        <w:t xml:space="preserve">Available for use as an Excipient Ingredient in Biologicals, Devices and Prescription </w:t>
      </w:r>
      <w:proofErr w:type="gramStart"/>
      <w:r>
        <w:t>Medicines;</w:t>
      </w:r>
      <w:proofErr w:type="gramEnd"/>
    </w:p>
    <w:p w14:paraId="6F5C6351" w14:textId="302F6571" w:rsidR="00F261BD" w:rsidRPr="00796638" w:rsidRDefault="00C55582" w:rsidP="00796638">
      <w:pPr>
        <w:pStyle w:val="ListBullet2"/>
      </w:pPr>
      <w:r>
        <w:t>Not available as an Equivalent Ingredient in any application.</w:t>
      </w:r>
    </w:p>
    <w:p w14:paraId="465B1D7A" w14:textId="448954ED" w:rsidR="00F261BD" w:rsidRDefault="00F261BD" w:rsidP="00F261BD">
      <w:pPr>
        <w:pStyle w:val="ListBullet"/>
      </w:pPr>
      <w:r>
        <w:t xml:space="preserve">As </w:t>
      </w:r>
      <w:r w:rsidRPr="00006DEB">
        <w:t xml:space="preserve">of </w:t>
      </w:r>
      <w:r w:rsidR="00C55582" w:rsidRPr="00006DEB">
        <w:t>August</w:t>
      </w:r>
      <w:r w:rsidRPr="00006DEB">
        <w:t xml:space="preserve"> 20</w:t>
      </w:r>
      <w:r w:rsidR="00C55582" w:rsidRPr="00006DEB">
        <w:t>22</w:t>
      </w:r>
      <w:r>
        <w:t>, t</w:t>
      </w:r>
      <w:r w:rsidRPr="00881DFE">
        <w:t xml:space="preserve">here </w:t>
      </w:r>
      <w:r>
        <w:t>were</w:t>
      </w:r>
      <w:r w:rsidRPr="00881DFE">
        <w:t xml:space="preserve"> </w:t>
      </w:r>
      <w:r w:rsidR="00C55582">
        <w:t>7</w:t>
      </w:r>
      <w:r>
        <w:t xml:space="preserve"> medicine</w:t>
      </w:r>
      <w:r w:rsidRPr="00881DFE">
        <w:t xml:space="preserve">s currently active on the </w:t>
      </w:r>
      <w:hyperlink r:id="rId42" w:history="1">
        <w:r w:rsidRPr="00293CCA">
          <w:rPr>
            <w:rStyle w:val="Hyperlink"/>
          </w:rPr>
          <w:t>Australian Register of Therapeutic Goods (ARTG)</w:t>
        </w:r>
      </w:hyperlink>
      <w:r>
        <w:rPr>
          <w:rStyle w:val="FootnoteReference"/>
        </w:rPr>
        <w:footnoteReference w:id="22"/>
      </w:r>
      <w:r>
        <w:t xml:space="preserve"> that contain</w:t>
      </w:r>
      <w:r w:rsidRPr="00881DFE">
        <w:t xml:space="preserve"> </w:t>
      </w:r>
      <w:r w:rsidR="00C55582">
        <w:t>brimonidine (</w:t>
      </w:r>
      <w:r w:rsidR="00006DEB">
        <w:t xml:space="preserve">as </w:t>
      </w:r>
      <w:r w:rsidR="00C55582">
        <w:t>tartrate)</w:t>
      </w:r>
      <w:r>
        <w:t xml:space="preserve"> as an active ingredient</w:t>
      </w:r>
      <w:r w:rsidRPr="00881DFE">
        <w:t>.</w:t>
      </w:r>
      <w:r>
        <w:t xml:space="preserve"> </w:t>
      </w:r>
      <w:r w:rsidR="00006DEB">
        <w:t>All are</w:t>
      </w:r>
      <w:r>
        <w:t xml:space="preserve"> prescription</w:t>
      </w:r>
      <w:r w:rsidR="00006DEB">
        <w:t xml:space="preserve">-only </w:t>
      </w:r>
      <w:r>
        <w:t>medicines</w:t>
      </w:r>
      <w:r w:rsidR="00006DEB">
        <w:t xml:space="preserve"> in the form of eye drops or gels</w:t>
      </w:r>
      <w:r w:rsidR="00F55B63">
        <w:t>, including two dual-active preparations</w:t>
      </w:r>
      <w:r>
        <w:t>.</w:t>
      </w:r>
    </w:p>
    <w:p w14:paraId="16FB3E5C" w14:textId="1086B6EB" w:rsidR="00F261BD" w:rsidRPr="00006DEB" w:rsidRDefault="00006DEB" w:rsidP="00006DEB">
      <w:pPr>
        <w:pStyle w:val="ListBullet"/>
      </w:pPr>
      <w:r>
        <w:lastRenderedPageBreak/>
        <w:t>Brimonidine</w:t>
      </w:r>
      <w:r w:rsidR="00F261BD" w:rsidRPr="009C55D5">
        <w:t xml:space="preserve"> is not permitted to be included in listed medicines </w:t>
      </w:r>
      <w:r w:rsidR="00F261BD">
        <w:t xml:space="preserve">as it is not included in the </w:t>
      </w:r>
      <w:hyperlink r:id="rId43" w:history="1">
        <w:r w:rsidR="00F261BD" w:rsidRPr="00824CAC">
          <w:rPr>
            <w:rStyle w:val="Hyperlink"/>
          </w:rPr>
          <w:t>Therapeutic Goods (Permissible Ingredients) Determination</w:t>
        </w:r>
      </w:hyperlink>
      <w:r w:rsidR="00F261BD">
        <w:rPr>
          <w:rStyle w:val="FootnoteReference"/>
        </w:rPr>
        <w:footnoteReference w:id="23"/>
      </w:r>
      <w:r w:rsidR="00F261BD" w:rsidRPr="009C55D5">
        <w:t xml:space="preserve"> No.</w:t>
      </w:r>
      <w:r w:rsidR="009C073B">
        <w:t>4</w:t>
      </w:r>
      <w:r w:rsidR="00F261BD" w:rsidRPr="009C55D5">
        <w:t xml:space="preserve"> of 20</w:t>
      </w:r>
      <w:r>
        <w:t>22</w:t>
      </w:r>
      <w:r w:rsidR="00F261BD" w:rsidRPr="009C55D5">
        <w:t xml:space="preserve">. </w:t>
      </w:r>
    </w:p>
    <w:p w14:paraId="3F940A17" w14:textId="69155258" w:rsidR="00F261BD" w:rsidRDefault="00F261BD" w:rsidP="00F261BD">
      <w:pPr>
        <w:pStyle w:val="ListBullet"/>
        <w:keepNext/>
        <w:keepLines/>
      </w:pPr>
      <w:r>
        <w:t xml:space="preserve">The </w:t>
      </w:r>
      <w:hyperlink r:id="rId44"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24"/>
      </w:r>
      <w:r>
        <w:t xml:space="preserve"> classifies </w:t>
      </w:r>
      <w:r w:rsidR="00006DEB">
        <w:t>brimonidine</w:t>
      </w:r>
      <w:r>
        <w:t xml:space="preserve"> as:</w:t>
      </w:r>
    </w:p>
    <w:tbl>
      <w:tblPr>
        <w:tblStyle w:val="TableTGAblue"/>
        <w:tblW w:w="8635" w:type="dxa"/>
        <w:tblInd w:w="357" w:type="dxa"/>
        <w:tblLook w:val="04A0" w:firstRow="1" w:lastRow="0" w:firstColumn="1" w:lastColumn="0" w:noHBand="0" w:noVBand="1"/>
      </w:tblPr>
      <w:tblGrid>
        <w:gridCol w:w="2596"/>
        <w:gridCol w:w="1148"/>
        <w:gridCol w:w="1749"/>
        <w:gridCol w:w="1570"/>
        <w:gridCol w:w="1572"/>
      </w:tblGrid>
      <w:tr w:rsidR="00F261BD" w:rsidRPr="003346CF" w14:paraId="14E83FB0" w14:textId="77777777" w:rsidTr="00B84346">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2596" w:type="dxa"/>
          </w:tcPr>
          <w:p w14:paraId="2D53F6D0" w14:textId="77777777" w:rsidR="00F261BD" w:rsidRPr="003346CF" w:rsidRDefault="00F261BD" w:rsidP="00F261BD">
            <w:pPr>
              <w:keepLines/>
              <w:rPr>
                <w:sz w:val="20"/>
                <w:szCs w:val="20"/>
              </w:rPr>
            </w:pPr>
            <w:r>
              <w:rPr>
                <w:sz w:val="20"/>
                <w:szCs w:val="20"/>
              </w:rPr>
              <w:t>Drug name</w:t>
            </w:r>
          </w:p>
        </w:tc>
        <w:tc>
          <w:tcPr>
            <w:tcW w:w="1148" w:type="dxa"/>
          </w:tcPr>
          <w:p w14:paraId="093056F8"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749" w:type="dxa"/>
          </w:tcPr>
          <w:p w14:paraId="1E850D8F"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570" w:type="dxa"/>
          </w:tcPr>
          <w:p w14:paraId="7165F9E4"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572" w:type="dxa"/>
          </w:tcPr>
          <w:p w14:paraId="7030A2F3"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F261BD" w:rsidRPr="003346CF" w14:paraId="0942E148" w14:textId="77777777" w:rsidTr="00B84346">
        <w:trPr>
          <w:trHeight w:val="576"/>
        </w:trPr>
        <w:tc>
          <w:tcPr>
            <w:cnfStyle w:val="001000000000" w:firstRow="0" w:lastRow="0" w:firstColumn="1" w:lastColumn="0" w:oddVBand="0" w:evenVBand="0" w:oddHBand="0" w:evenHBand="0" w:firstRowFirstColumn="0" w:firstRowLastColumn="0" w:lastRowFirstColumn="0" w:lastRowLastColumn="0"/>
            <w:tcW w:w="2596" w:type="dxa"/>
          </w:tcPr>
          <w:p w14:paraId="2CDFFCB5" w14:textId="5CC9DA1C" w:rsidR="00F261BD" w:rsidRPr="003346CF" w:rsidRDefault="00006DEB" w:rsidP="00F261BD">
            <w:pPr>
              <w:keepNext/>
              <w:keepLines/>
              <w:rPr>
                <w:sz w:val="20"/>
                <w:szCs w:val="20"/>
              </w:rPr>
            </w:pPr>
            <w:r>
              <w:rPr>
                <w:sz w:val="20"/>
                <w:szCs w:val="20"/>
              </w:rPr>
              <w:t>brimonidine/brinzolamide</w:t>
            </w:r>
          </w:p>
        </w:tc>
        <w:tc>
          <w:tcPr>
            <w:tcW w:w="1148" w:type="dxa"/>
          </w:tcPr>
          <w:p w14:paraId="27EE8751" w14:textId="58B60BC2" w:rsidR="00F261BD"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B3</w:t>
            </w:r>
          </w:p>
        </w:tc>
        <w:tc>
          <w:tcPr>
            <w:tcW w:w="1749" w:type="dxa"/>
          </w:tcPr>
          <w:p w14:paraId="04CA06EC" w14:textId="02CD8984" w:rsidR="00F261BD"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Ophthalmic drugs</w:t>
            </w:r>
          </w:p>
        </w:tc>
        <w:tc>
          <w:tcPr>
            <w:tcW w:w="1570" w:type="dxa"/>
          </w:tcPr>
          <w:p w14:paraId="55782CB4" w14:textId="77777777" w:rsidR="00F261BD" w:rsidRPr="003346CF" w:rsidRDefault="00F261BD"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c>
          <w:tcPr>
            <w:tcW w:w="1572" w:type="dxa"/>
          </w:tcPr>
          <w:p w14:paraId="7E57CC3B" w14:textId="77777777" w:rsidR="00F261BD" w:rsidRPr="003346CF" w:rsidRDefault="00F261BD"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006DEB" w:rsidRPr="003346CF" w14:paraId="308201A9" w14:textId="77777777" w:rsidTr="00B84346">
        <w:trPr>
          <w:trHeight w:val="561"/>
        </w:trPr>
        <w:tc>
          <w:tcPr>
            <w:cnfStyle w:val="001000000000" w:firstRow="0" w:lastRow="0" w:firstColumn="1" w:lastColumn="0" w:oddVBand="0" w:evenVBand="0" w:oddHBand="0" w:evenHBand="0" w:firstRowFirstColumn="0" w:firstRowLastColumn="0" w:lastRowFirstColumn="0" w:lastRowLastColumn="0"/>
            <w:tcW w:w="2596" w:type="dxa"/>
          </w:tcPr>
          <w:p w14:paraId="37A561F0" w14:textId="1147ED2C" w:rsidR="00006DEB" w:rsidRPr="003346CF" w:rsidRDefault="00006DEB" w:rsidP="00F261BD">
            <w:pPr>
              <w:keepNext/>
              <w:keepLines/>
              <w:rPr>
                <w:sz w:val="20"/>
              </w:rPr>
            </w:pPr>
            <w:r>
              <w:rPr>
                <w:sz w:val="20"/>
              </w:rPr>
              <w:t>brimonidine/timolol</w:t>
            </w:r>
          </w:p>
        </w:tc>
        <w:tc>
          <w:tcPr>
            <w:tcW w:w="1148" w:type="dxa"/>
          </w:tcPr>
          <w:p w14:paraId="5EAB16CB" w14:textId="5AEDF14F"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r>
              <w:rPr>
                <w:sz w:val="20"/>
              </w:rPr>
              <w:t>C</w:t>
            </w:r>
          </w:p>
        </w:tc>
        <w:tc>
          <w:tcPr>
            <w:tcW w:w="1749" w:type="dxa"/>
          </w:tcPr>
          <w:p w14:paraId="64964515" w14:textId="5E4804F7"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r>
              <w:rPr>
                <w:sz w:val="20"/>
                <w:szCs w:val="20"/>
              </w:rPr>
              <w:t>Ophthalmic drugs</w:t>
            </w:r>
          </w:p>
        </w:tc>
        <w:tc>
          <w:tcPr>
            <w:tcW w:w="1570" w:type="dxa"/>
          </w:tcPr>
          <w:p w14:paraId="73E52093" w14:textId="77777777"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p>
        </w:tc>
        <w:tc>
          <w:tcPr>
            <w:tcW w:w="1572" w:type="dxa"/>
          </w:tcPr>
          <w:p w14:paraId="381FA176" w14:textId="77777777"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p>
        </w:tc>
      </w:tr>
      <w:tr w:rsidR="00006DEB" w:rsidRPr="003346CF" w14:paraId="248DE5FA" w14:textId="77777777" w:rsidTr="00B84346">
        <w:trPr>
          <w:trHeight w:val="561"/>
        </w:trPr>
        <w:tc>
          <w:tcPr>
            <w:cnfStyle w:val="001000000000" w:firstRow="0" w:lastRow="0" w:firstColumn="1" w:lastColumn="0" w:oddVBand="0" w:evenVBand="0" w:oddHBand="0" w:evenHBand="0" w:firstRowFirstColumn="0" w:firstRowLastColumn="0" w:lastRowFirstColumn="0" w:lastRowLastColumn="0"/>
            <w:tcW w:w="2596" w:type="dxa"/>
          </w:tcPr>
          <w:p w14:paraId="20FC8893" w14:textId="3D09B4E2" w:rsidR="00006DEB" w:rsidRPr="003346CF" w:rsidRDefault="00006DEB" w:rsidP="00F261BD">
            <w:pPr>
              <w:keepNext/>
              <w:keepLines/>
              <w:rPr>
                <w:sz w:val="20"/>
              </w:rPr>
            </w:pPr>
            <w:r>
              <w:rPr>
                <w:sz w:val="20"/>
              </w:rPr>
              <w:t>brimonidine tartrate</w:t>
            </w:r>
          </w:p>
        </w:tc>
        <w:tc>
          <w:tcPr>
            <w:tcW w:w="1148" w:type="dxa"/>
          </w:tcPr>
          <w:p w14:paraId="1310202F" w14:textId="50E10A43"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r>
              <w:rPr>
                <w:sz w:val="20"/>
              </w:rPr>
              <w:t>B3</w:t>
            </w:r>
          </w:p>
        </w:tc>
        <w:tc>
          <w:tcPr>
            <w:tcW w:w="1749" w:type="dxa"/>
          </w:tcPr>
          <w:p w14:paraId="6CAF6810" w14:textId="56ED22F3"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r>
              <w:rPr>
                <w:sz w:val="20"/>
                <w:szCs w:val="20"/>
              </w:rPr>
              <w:t>Ophthalmic drugs</w:t>
            </w:r>
          </w:p>
        </w:tc>
        <w:tc>
          <w:tcPr>
            <w:tcW w:w="1570" w:type="dxa"/>
          </w:tcPr>
          <w:p w14:paraId="20382879" w14:textId="77777777"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p>
        </w:tc>
        <w:tc>
          <w:tcPr>
            <w:tcW w:w="1572" w:type="dxa"/>
          </w:tcPr>
          <w:p w14:paraId="25756AC6" w14:textId="77777777" w:rsidR="00006DEB" w:rsidRPr="003346CF" w:rsidRDefault="00006DEB" w:rsidP="00F261BD">
            <w:pPr>
              <w:keepNext/>
              <w:keepLines/>
              <w:cnfStyle w:val="000000000000" w:firstRow="0" w:lastRow="0" w:firstColumn="0" w:lastColumn="0" w:oddVBand="0" w:evenVBand="0" w:oddHBand="0" w:evenHBand="0" w:firstRowFirstColumn="0" w:firstRowLastColumn="0" w:lastRowFirstColumn="0" w:lastRowLastColumn="0"/>
              <w:rPr>
                <w:sz w:val="20"/>
              </w:rPr>
            </w:pPr>
          </w:p>
        </w:tc>
      </w:tr>
      <w:tr w:rsidR="00F261BD" w:rsidRPr="003346CF" w14:paraId="2CDADF24" w14:textId="77777777" w:rsidTr="00B84346">
        <w:trPr>
          <w:trHeight w:val="2450"/>
        </w:trPr>
        <w:tc>
          <w:tcPr>
            <w:cnfStyle w:val="001000000000" w:firstRow="0" w:lastRow="0" w:firstColumn="1" w:lastColumn="0" w:oddVBand="0" w:evenVBand="0" w:oddHBand="0" w:evenHBand="0" w:firstRowFirstColumn="0" w:firstRowLastColumn="0" w:lastRowFirstColumn="0" w:lastRowLastColumn="0"/>
            <w:tcW w:w="8635" w:type="dxa"/>
            <w:gridSpan w:val="5"/>
          </w:tcPr>
          <w:p w14:paraId="253A2CE6" w14:textId="77777777" w:rsidR="00F261BD" w:rsidRPr="003C7D97" w:rsidRDefault="00F261BD" w:rsidP="00F261BD">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3D93305" w14:textId="77777777" w:rsidR="00F261BD" w:rsidRPr="003C7D97" w:rsidRDefault="00F261BD" w:rsidP="00F261BD">
            <w:pPr>
              <w:keepNext/>
              <w:keepLines/>
              <w:rPr>
                <w:sz w:val="16"/>
                <w:szCs w:val="16"/>
              </w:rPr>
            </w:pPr>
            <w:r w:rsidRPr="003C7D97">
              <w:rPr>
                <w:sz w:val="16"/>
                <w:szCs w:val="16"/>
              </w:rPr>
              <w:t>Studies in animals have shown evidence of an increased occurrence of foetal damage, the significance of which is considered uncertain in humans.</w:t>
            </w:r>
          </w:p>
          <w:p w14:paraId="6B335F46" w14:textId="74085C89" w:rsidR="00F261BD" w:rsidRPr="00006DEB" w:rsidRDefault="00F261BD" w:rsidP="00F261BD">
            <w:pPr>
              <w:keepNext/>
              <w:keepLines/>
              <w:rPr>
                <w:sz w:val="16"/>
                <w:szCs w:val="16"/>
              </w:rPr>
            </w:pPr>
            <w:r w:rsidRPr="003C7D97">
              <w:rPr>
                <w:b/>
                <w:sz w:val="16"/>
                <w:szCs w:val="16"/>
              </w:rPr>
              <w:t>Category C</w:t>
            </w:r>
            <w:r w:rsidRPr="003C7D97">
              <w:rPr>
                <w:sz w:val="16"/>
                <w:szCs w:val="16"/>
              </w:rPr>
              <w:t xml:space="preserve"> – Drugs which, owing to their pharmacological effects, have </w:t>
            </w:r>
            <w:proofErr w:type="gramStart"/>
            <w:r w:rsidRPr="003C7D97">
              <w:rPr>
                <w:sz w:val="16"/>
                <w:szCs w:val="16"/>
              </w:rPr>
              <w:t>caused</w:t>
            </w:r>
            <w:proofErr w:type="gramEnd"/>
            <w:r w:rsidRPr="003C7D97">
              <w:rPr>
                <w:sz w:val="16"/>
                <w:szCs w:val="16"/>
              </w:rPr>
              <w:t xml:space="preserve"> or may be suspected of causing, harmful effects on the human foetus or neonate without causing malformations. These effects may be reversible. Accompanying texts should be consulted for further details.</w:t>
            </w:r>
          </w:p>
        </w:tc>
      </w:tr>
    </w:tbl>
    <w:p w14:paraId="49FC5D38" w14:textId="406BCBBF" w:rsidR="00F261BD" w:rsidRDefault="00F261BD" w:rsidP="00F261BD">
      <w:pPr>
        <w:pStyle w:val="ListBullet"/>
      </w:pPr>
      <w:r>
        <w:t xml:space="preserve">There are no </w:t>
      </w:r>
      <w:r w:rsidRPr="00A30084">
        <w:t xml:space="preserve">warning statements pertaining </w:t>
      </w:r>
      <w:r>
        <w:t xml:space="preserve">to </w:t>
      </w:r>
      <w:r w:rsidR="00006DEB">
        <w:t>brimonidine</w:t>
      </w:r>
      <w:r>
        <w:t xml:space="preserve"> in the </w:t>
      </w:r>
      <w:hyperlink r:id="rId45" w:history="1">
        <w:r w:rsidRPr="00AB7BF5">
          <w:rPr>
            <w:rStyle w:val="Hyperlink"/>
          </w:rPr>
          <w:t>Therapeutic Goods (Medicines Advisory Statements) Specification 2019</w:t>
        </w:r>
      </w:hyperlink>
      <w:r w:rsidR="004C2080">
        <w:rPr>
          <w:rStyle w:val="Hyperlink"/>
        </w:rPr>
        <w:t>.</w:t>
      </w:r>
      <w:r>
        <w:rPr>
          <w:rStyle w:val="FootnoteReference"/>
        </w:rPr>
        <w:footnoteReference w:id="25"/>
      </w:r>
    </w:p>
    <w:p w14:paraId="025FEF1C" w14:textId="00A60313" w:rsidR="00F261BD" w:rsidRPr="00006DEB" w:rsidRDefault="00006DEB" w:rsidP="000135AA">
      <w:pPr>
        <w:pStyle w:val="ListBullet"/>
        <w:rPr>
          <w:i/>
          <w:color w:val="0098F6" w:themeColor="text2" w:themeTint="99"/>
        </w:rPr>
      </w:pPr>
      <w:r>
        <w:t>Since January 2012</w:t>
      </w:r>
      <w:r w:rsidR="00F261BD">
        <w:t xml:space="preserve">, there </w:t>
      </w:r>
      <w:r>
        <w:t>have been 82</w:t>
      </w:r>
      <w:r w:rsidR="00F261BD" w:rsidRPr="009C55D5">
        <w:t xml:space="preserve"> reports of adverse events for products containing </w:t>
      </w:r>
      <w:r>
        <w:t>brimonidine</w:t>
      </w:r>
      <w:r w:rsidR="00F261BD" w:rsidRPr="009C55D5">
        <w:t xml:space="preserve"> as an active ingredient</w:t>
      </w:r>
      <w:r w:rsidR="00F261BD">
        <w:t xml:space="preserve"> on the </w:t>
      </w:r>
      <w:hyperlink r:id="rId46" w:history="1">
        <w:r w:rsidR="00F261BD" w:rsidRPr="00F0449C">
          <w:rPr>
            <w:rStyle w:val="Hyperlink"/>
          </w:rPr>
          <w:t>Database of Adverse Event Notifications (DAEN)</w:t>
        </w:r>
      </w:hyperlink>
      <w:r w:rsidR="00F261BD" w:rsidRPr="00254E0B">
        <w:t>,</w:t>
      </w:r>
      <w:r w:rsidR="00F261BD" w:rsidRPr="00F0449C">
        <w:rPr>
          <w:rStyle w:val="FootnoteReference"/>
        </w:rPr>
        <w:footnoteReference w:id="26"/>
      </w:r>
      <w:r w:rsidR="00F261BD" w:rsidRPr="009C55D5">
        <w:t xml:space="preserve"> with </w:t>
      </w:r>
      <w:r>
        <w:t xml:space="preserve">63 </w:t>
      </w:r>
      <w:r w:rsidR="00F261BD" w:rsidRPr="009C55D5">
        <w:t xml:space="preserve">reports where </w:t>
      </w:r>
      <w:r>
        <w:t xml:space="preserve">brimonidine </w:t>
      </w:r>
      <w:r w:rsidR="00F261BD" w:rsidRPr="009C55D5">
        <w:t>was the single suspected medicine.</w:t>
      </w:r>
      <w:r>
        <w:t xml:space="preserve"> </w:t>
      </w:r>
      <w:proofErr w:type="gramStart"/>
      <w:r w:rsidR="000A0D99">
        <w:t>The majority of</w:t>
      </w:r>
      <w:proofErr w:type="gramEnd"/>
      <w:r w:rsidR="000A0D99">
        <w:t xml:space="preserve"> reported incidents related to eye disorders, including iridocyclitis, increased intraocular pressure and conjunctivitis.</w:t>
      </w:r>
    </w:p>
    <w:p w14:paraId="3564C011" w14:textId="42BACCCA" w:rsidR="00F261BD" w:rsidRDefault="00F261BD" w:rsidP="00F261BD">
      <w:pPr>
        <w:pStyle w:val="ListBullet"/>
      </w:pPr>
      <w:r>
        <w:t xml:space="preserve">As of </w:t>
      </w:r>
      <w:r w:rsidR="000A0D99" w:rsidRPr="000A0D99">
        <w:t>August</w:t>
      </w:r>
      <w:r w:rsidRPr="000A0D99">
        <w:t xml:space="preserve"> 20</w:t>
      </w:r>
      <w:r w:rsidR="000A0D99" w:rsidRPr="000A0D99">
        <w:t>22</w:t>
      </w:r>
      <w:r w:rsidRPr="000A0D99">
        <w:t>, there were no</w:t>
      </w:r>
      <w:r w:rsidRPr="00F0449C">
        <w:t xml:space="preserve"> products containing </w:t>
      </w:r>
      <w:r w:rsidR="000A0D99">
        <w:t xml:space="preserve">brimonidine </w:t>
      </w:r>
      <w:r>
        <w:t xml:space="preserve">as an active ingredient/constituent or scheduled substance </w:t>
      </w:r>
      <w:r w:rsidRPr="00F0449C">
        <w:t xml:space="preserve">listed on the </w:t>
      </w:r>
      <w:hyperlink r:id="rId47"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27"/>
      </w:r>
      <w:r>
        <w:t xml:space="preserve"> </w:t>
      </w:r>
    </w:p>
    <w:p w14:paraId="4C752037" w14:textId="7DAA9F8C" w:rsidR="00F261BD" w:rsidRPr="008A5566" w:rsidRDefault="00F261BD" w:rsidP="00F261BD">
      <w:pPr>
        <w:pStyle w:val="Heading4"/>
      </w:pPr>
      <w:bookmarkStart w:id="30" w:name="_Toc112833604"/>
      <w:r w:rsidRPr="008A5566">
        <w:t>International regulations</w:t>
      </w:r>
      <w:bookmarkEnd w:id="30"/>
    </w:p>
    <w:p w14:paraId="7A09B784" w14:textId="0F4B7777" w:rsidR="00796638" w:rsidRPr="00796638" w:rsidRDefault="006746FB" w:rsidP="00F261BD">
      <w:pPr>
        <w:pStyle w:val="ListBullet"/>
        <w:rPr>
          <w:color w:val="0000FF"/>
          <w:u w:val="single"/>
        </w:rPr>
      </w:pPr>
      <w:r w:rsidRPr="008A5566">
        <w:t xml:space="preserve">Brimonidine tartrate is listed on the </w:t>
      </w:r>
      <w:hyperlink r:id="rId48" w:history="1">
        <w:r w:rsidRPr="00796638">
          <w:rPr>
            <w:rStyle w:val="Hyperlink"/>
          </w:rPr>
          <w:t>Food and Drugs Administration Approved Drugs Database</w:t>
        </w:r>
      </w:hyperlink>
      <w:r w:rsidR="00796638">
        <w:rPr>
          <w:rStyle w:val="FootnoteReference"/>
        </w:rPr>
        <w:footnoteReference w:id="28"/>
      </w:r>
      <w:r w:rsidRPr="008A5566">
        <w:t xml:space="preserve"> </w:t>
      </w:r>
      <w:r w:rsidR="00796638">
        <w:t>with 1</w:t>
      </w:r>
      <w:r w:rsidR="009F4FB4">
        <w:t>6</w:t>
      </w:r>
      <w:r w:rsidR="00796638">
        <w:t xml:space="preserve"> products, all prescription</w:t>
      </w:r>
      <w:r w:rsidR="00766462">
        <w:t>-only</w:t>
      </w:r>
      <w:r w:rsidR="00796638">
        <w:t xml:space="preserve"> medicines except one with brimonidine tartrate concentration of 0.025</w:t>
      </w:r>
      <w:r w:rsidR="00095691">
        <w:t xml:space="preserve"> per cent</w:t>
      </w:r>
      <w:r w:rsidR="00796638">
        <w:t xml:space="preserve"> w/v</w:t>
      </w:r>
      <w:r w:rsidR="00766462">
        <w:t xml:space="preserve"> which is available as an OTC medicine.</w:t>
      </w:r>
    </w:p>
    <w:p w14:paraId="3ACFEED1" w14:textId="031FBF2D" w:rsidR="006746FB" w:rsidRPr="008A5566" w:rsidRDefault="001C5F86" w:rsidP="00F261BD">
      <w:pPr>
        <w:pStyle w:val="ListBullet"/>
        <w:rPr>
          <w:color w:val="0000FF"/>
          <w:u w:val="single"/>
        </w:rPr>
      </w:pPr>
      <w:hyperlink r:id="rId49" w:history="1">
        <w:r w:rsidR="00796638" w:rsidRPr="00796638">
          <w:rPr>
            <w:rStyle w:val="Hyperlink"/>
          </w:rPr>
          <w:t>T</w:t>
        </w:r>
        <w:r w:rsidR="006746FB" w:rsidRPr="00796638">
          <w:rPr>
            <w:rStyle w:val="Hyperlink"/>
          </w:rPr>
          <w:t>he Health Canada Drug Product Database</w:t>
        </w:r>
      </w:hyperlink>
      <w:r w:rsidR="00796638">
        <w:rPr>
          <w:rStyle w:val="FootnoteReference"/>
        </w:rPr>
        <w:footnoteReference w:id="29"/>
      </w:r>
      <w:r w:rsidR="00796638">
        <w:t xml:space="preserve"> has 19 products listed with brimonidine tartrate as an active ingredient, all of which are prescription</w:t>
      </w:r>
      <w:r w:rsidR="009C073B">
        <w:t xml:space="preserve">-only </w:t>
      </w:r>
      <w:r w:rsidR="00796638">
        <w:t>medicines except one OTC at a concentration of 0.025</w:t>
      </w:r>
      <w:r w:rsidR="00095691">
        <w:t xml:space="preserve"> per cent</w:t>
      </w:r>
      <w:r w:rsidR="00796638">
        <w:t xml:space="preserve"> w/v. </w:t>
      </w:r>
    </w:p>
    <w:p w14:paraId="65CC2BA9" w14:textId="52350215" w:rsidR="00F261BD" w:rsidRPr="008A5566" w:rsidRDefault="0016337D" w:rsidP="00F261BD">
      <w:pPr>
        <w:pStyle w:val="ListBullet"/>
        <w:rPr>
          <w:color w:val="0000FF"/>
          <w:u w:val="single"/>
        </w:rPr>
      </w:pPr>
      <w:r w:rsidRPr="008A5566">
        <w:t xml:space="preserve">The UK’s </w:t>
      </w:r>
      <w:hyperlink r:id="rId50" w:history="1">
        <w:r w:rsidRPr="008A5566">
          <w:rPr>
            <w:rStyle w:val="Hyperlink"/>
          </w:rPr>
          <w:t>electronic medicines compendium</w:t>
        </w:r>
      </w:hyperlink>
      <w:r w:rsidRPr="008A5566">
        <w:t xml:space="preserve"> </w:t>
      </w:r>
      <w:r w:rsidR="00A43B16" w:rsidRPr="008A5566">
        <w:t>lists</w:t>
      </w:r>
      <w:r w:rsidRPr="008A5566">
        <w:t xml:space="preserve"> brimonidine tartrate 0.2</w:t>
      </w:r>
      <w:r w:rsidR="00095691">
        <w:t xml:space="preserve"> per cent</w:t>
      </w:r>
      <w:r w:rsidRPr="008A5566">
        <w:t xml:space="preserve"> w/v eye drops a</w:t>
      </w:r>
      <w:r w:rsidR="009C073B">
        <w:t xml:space="preserve">s a </w:t>
      </w:r>
      <w:r w:rsidRPr="008A5566">
        <w:t>prescription only medicine</w:t>
      </w:r>
      <w:r w:rsidR="00A43B16" w:rsidRPr="008A5566">
        <w:t xml:space="preserve">. </w:t>
      </w:r>
    </w:p>
    <w:p w14:paraId="234D367C" w14:textId="77777777" w:rsidR="009F4FB4" w:rsidRPr="008046F0" w:rsidRDefault="00A43B16" w:rsidP="00406832">
      <w:pPr>
        <w:pStyle w:val="ListBullet"/>
        <w:rPr>
          <w:rStyle w:val="Hyperlink"/>
          <w:color w:val="auto"/>
        </w:rPr>
      </w:pPr>
      <w:r w:rsidRPr="008A5566">
        <w:rPr>
          <w:rStyle w:val="Hyperlink"/>
          <w:color w:val="auto"/>
          <w:u w:val="none"/>
        </w:rPr>
        <w:t xml:space="preserve">The </w:t>
      </w:r>
      <w:hyperlink r:id="rId51" w:history="1">
        <w:r w:rsidRPr="008A5566">
          <w:rPr>
            <w:rStyle w:val="Hyperlink"/>
          </w:rPr>
          <w:t>Health Products Regulatory Authority of Ireland</w:t>
        </w:r>
      </w:hyperlink>
      <w:r w:rsidRPr="008A5566">
        <w:rPr>
          <w:rStyle w:val="Hyperlink"/>
          <w:color w:val="auto"/>
          <w:u w:val="none"/>
        </w:rPr>
        <w:t xml:space="preserve"> regulates brimonidine tartrate as </w:t>
      </w:r>
      <w:r w:rsidR="009C073B">
        <w:rPr>
          <w:rStyle w:val="Hyperlink"/>
          <w:color w:val="auto"/>
          <w:u w:val="none"/>
        </w:rPr>
        <w:t xml:space="preserve">a </w:t>
      </w:r>
      <w:r w:rsidR="00985BB2" w:rsidRPr="008A5566">
        <w:rPr>
          <w:rStyle w:val="Hyperlink"/>
          <w:color w:val="auto"/>
          <w:u w:val="none"/>
        </w:rPr>
        <w:t>prescription</w:t>
      </w:r>
      <w:r w:rsidR="009C073B">
        <w:rPr>
          <w:rStyle w:val="Hyperlink"/>
          <w:color w:val="auto"/>
          <w:u w:val="none"/>
        </w:rPr>
        <w:t>-</w:t>
      </w:r>
      <w:r w:rsidR="00985BB2" w:rsidRPr="008A5566">
        <w:rPr>
          <w:rStyle w:val="Hyperlink"/>
          <w:color w:val="auto"/>
          <w:u w:val="none"/>
        </w:rPr>
        <w:t>only medicine.</w:t>
      </w:r>
    </w:p>
    <w:p w14:paraId="652F4B6E" w14:textId="73F5CA1B" w:rsidR="00A43B16" w:rsidRPr="008A5566" w:rsidRDefault="009F4FB4" w:rsidP="00406832">
      <w:pPr>
        <w:pStyle w:val="ListBullet"/>
        <w:rPr>
          <w:rStyle w:val="Hyperlink"/>
          <w:color w:val="auto"/>
        </w:rPr>
      </w:pPr>
      <w:r>
        <w:rPr>
          <w:rStyle w:val="Hyperlink"/>
          <w:color w:val="auto"/>
          <w:u w:val="none"/>
        </w:rPr>
        <w:t xml:space="preserve">New Zealand </w:t>
      </w:r>
      <w:hyperlink r:id="rId52" w:history="1">
        <w:proofErr w:type="spellStart"/>
        <w:r w:rsidR="00604225" w:rsidRPr="00604225">
          <w:rPr>
            <w:rStyle w:val="Hyperlink"/>
          </w:rPr>
          <w:t>Medsafe’s</w:t>
        </w:r>
        <w:proofErr w:type="spellEnd"/>
        <w:r w:rsidR="00604225" w:rsidRPr="00604225">
          <w:rPr>
            <w:rStyle w:val="Hyperlink"/>
          </w:rPr>
          <w:t xml:space="preserve"> Medicines Classification Database</w:t>
        </w:r>
      </w:hyperlink>
      <w:r w:rsidR="00604225">
        <w:rPr>
          <w:rStyle w:val="FootnoteReference"/>
        </w:rPr>
        <w:footnoteReference w:id="30"/>
      </w:r>
      <w:r w:rsidR="00604225">
        <w:rPr>
          <w:rStyle w:val="Hyperlink"/>
          <w:color w:val="auto"/>
          <w:u w:val="none"/>
        </w:rPr>
        <w:t xml:space="preserve"> regulates brimonidine as a prescription-only medicine.</w:t>
      </w:r>
    </w:p>
    <w:p w14:paraId="378A14B8" w14:textId="21517CDE" w:rsidR="00F261BD" w:rsidRPr="00F261BD" w:rsidRDefault="00F261BD" w:rsidP="00A45026">
      <w:pPr>
        <w:pStyle w:val="Heading3"/>
        <w:numPr>
          <w:ilvl w:val="0"/>
          <w:numId w:val="0"/>
        </w:numPr>
      </w:pPr>
      <w:bookmarkStart w:id="31" w:name="_Toc112833605"/>
      <w:r w:rsidRPr="008A5566">
        <w:t>Fexofenadine</w:t>
      </w:r>
      <w:bookmarkEnd w:id="31"/>
    </w:p>
    <w:p w14:paraId="47499B41" w14:textId="35C416AB" w:rsidR="00F261BD" w:rsidRDefault="00F261BD" w:rsidP="00F261BD">
      <w:pPr>
        <w:pStyle w:val="Heading4"/>
      </w:pPr>
      <w:bookmarkStart w:id="32" w:name="_Toc112833606"/>
      <w:r>
        <w:t>Proposal</w:t>
      </w:r>
      <w:bookmarkEnd w:id="32"/>
    </w:p>
    <w:p w14:paraId="6DD5E03B" w14:textId="538DD398" w:rsidR="00F261BD" w:rsidRPr="00D75206" w:rsidRDefault="00985BB2" w:rsidP="00F261BD">
      <w:r w:rsidRPr="008A5566">
        <w:t xml:space="preserve">The applicant </w:t>
      </w:r>
      <w:r w:rsidR="00174699">
        <w:t xml:space="preserve">has proposed an amendment to the Schedule 2 entry for fexofenadine to </w:t>
      </w:r>
      <w:r w:rsidR="008E01F7">
        <w:t xml:space="preserve">increase the pack size available for general sale from 5 dosage units </w:t>
      </w:r>
      <w:r w:rsidR="00174699">
        <w:t>to 10 dosage units</w:t>
      </w:r>
      <w:r w:rsidR="008E01F7">
        <w:t>, when labelled</w:t>
      </w:r>
      <w:r w:rsidR="00174699">
        <w:t xml:space="preserve"> for the treatment of seasonal allergic rhinitis in adults and children aged 12 years and above.</w:t>
      </w:r>
    </w:p>
    <w:p w14:paraId="41082C8C" w14:textId="02FB50C1" w:rsidR="00F261BD" w:rsidRDefault="00F261BD" w:rsidP="00F261BD">
      <w:pPr>
        <w:pStyle w:val="Heading4"/>
      </w:pPr>
      <w:bookmarkStart w:id="33" w:name="_Toc112833607"/>
      <w:r>
        <w:t>CAS number</w:t>
      </w:r>
      <w:bookmarkEnd w:id="33"/>
    </w:p>
    <w:p w14:paraId="71A1CD19" w14:textId="0C61D876" w:rsidR="00F261BD" w:rsidRDefault="000135AA" w:rsidP="00F261BD">
      <w:r>
        <w:t>83799-24-0</w:t>
      </w:r>
    </w:p>
    <w:p w14:paraId="67463AE8" w14:textId="5853773B" w:rsidR="00F261BD" w:rsidRDefault="00F261BD" w:rsidP="00F261BD">
      <w:pPr>
        <w:pStyle w:val="Heading4"/>
      </w:pPr>
      <w:bookmarkStart w:id="34" w:name="_Toc112833608"/>
      <w:r>
        <w:t>Alternative names</w:t>
      </w:r>
      <w:bookmarkEnd w:id="34"/>
    </w:p>
    <w:p w14:paraId="0C4EB5D1" w14:textId="0CFB7288" w:rsidR="00F261BD" w:rsidRPr="002C1070" w:rsidRDefault="000135AA" w:rsidP="00F261BD">
      <w:r w:rsidRPr="000135AA">
        <w:rPr>
          <w:highlight w:val="green"/>
        </w:rPr>
        <w:br/>
      </w:r>
      <w:r w:rsidRPr="000135AA">
        <w:t>4-[1-Hydroxy-4-[4-(hydroxydiphenylmethyl)-1-</w:t>
      </w:r>
      <w:proofErr w:type="gramStart"/>
      <w:r w:rsidRPr="000135AA">
        <w:t>piperidinyl]butyl</w:t>
      </w:r>
      <w:proofErr w:type="gramEnd"/>
      <w:r w:rsidRPr="000135AA">
        <w:t xml:space="preserve">]-α,α-dimethylbenzeneacetic acid; </w:t>
      </w:r>
      <w:proofErr w:type="spellStart"/>
      <w:r w:rsidRPr="000135AA">
        <w:t>carboxyterfenadine</w:t>
      </w:r>
      <w:proofErr w:type="spellEnd"/>
      <w:r w:rsidRPr="000135AA">
        <w:t>; terfenadine carboxylate</w:t>
      </w:r>
    </w:p>
    <w:p w14:paraId="42A1DD1B" w14:textId="03C28D6D" w:rsidR="00F261BD" w:rsidRPr="002C1070" w:rsidRDefault="00F261BD" w:rsidP="00F261BD">
      <w:pPr>
        <w:pStyle w:val="Heading4"/>
      </w:pPr>
      <w:bookmarkStart w:id="35" w:name="_Toc112833609"/>
      <w:r>
        <w:t>Applicant</w:t>
      </w:r>
      <w:bookmarkEnd w:id="35"/>
    </w:p>
    <w:p w14:paraId="56AC27E7" w14:textId="607FE297" w:rsidR="00F261BD" w:rsidRPr="003639D9" w:rsidRDefault="00F261BD" w:rsidP="00F261BD">
      <w:r w:rsidRPr="00EF3A07">
        <w:t>Private applicant</w:t>
      </w:r>
    </w:p>
    <w:p w14:paraId="2583B39E" w14:textId="75503F75" w:rsidR="00F261BD" w:rsidRDefault="00F261BD" w:rsidP="00F261BD">
      <w:pPr>
        <w:pStyle w:val="Heading4"/>
      </w:pPr>
      <w:bookmarkStart w:id="36" w:name="_Toc112833610"/>
      <w:r>
        <w:t>Current scheduling</w:t>
      </w:r>
      <w:bookmarkEnd w:id="36"/>
    </w:p>
    <w:p w14:paraId="0CDF7704" w14:textId="4B5D5A20" w:rsidR="00F261BD" w:rsidRDefault="00EF3A07" w:rsidP="00F261BD">
      <w:pPr>
        <w:rPr>
          <w:rFonts w:asciiTheme="minorHAnsi" w:hAnsiTheme="minorHAnsi" w:cstheme="minorHAnsi"/>
        </w:rPr>
      </w:pPr>
      <w:r>
        <w:rPr>
          <w:rFonts w:asciiTheme="minorHAnsi" w:hAnsiTheme="minorHAnsi" w:cstheme="minorHAnsi"/>
        </w:rPr>
        <w:t>Fexofenadine</w:t>
      </w:r>
      <w:r w:rsidR="00F261BD" w:rsidRPr="00AF12F6">
        <w:rPr>
          <w:rFonts w:asciiTheme="minorHAnsi" w:hAnsiTheme="minorHAnsi" w:cstheme="minorHAnsi"/>
        </w:rPr>
        <w:t xml:space="preserve"> is currently listed in Schedules </w:t>
      </w:r>
      <w:r>
        <w:rPr>
          <w:rFonts w:asciiTheme="minorHAnsi" w:hAnsiTheme="minorHAnsi" w:cstheme="minorHAnsi"/>
        </w:rPr>
        <w:t>2</w:t>
      </w:r>
      <w:r w:rsidR="00F261BD">
        <w:rPr>
          <w:rFonts w:asciiTheme="minorHAnsi" w:hAnsiTheme="minorHAnsi" w:cstheme="minorHAnsi"/>
        </w:rPr>
        <w:t xml:space="preserve"> and </w:t>
      </w:r>
      <w:r>
        <w:rPr>
          <w:rFonts w:asciiTheme="minorHAnsi" w:hAnsiTheme="minorHAnsi" w:cstheme="minorHAnsi"/>
        </w:rPr>
        <w:t>4</w:t>
      </w:r>
      <w:r w:rsidR="00F261BD">
        <w:rPr>
          <w:rFonts w:asciiTheme="minorHAnsi" w:hAnsiTheme="minorHAnsi" w:cstheme="minorHAnsi"/>
        </w:rPr>
        <w:t xml:space="preserve"> of the Poisons Standard as follows:</w:t>
      </w:r>
    </w:p>
    <w:p w14:paraId="4E612F47" w14:textId="69083826" w:rsidR="00EF3A07" w:rsidRDefault="00EF3A07" w:rsidP="00F261BD">
      <w:pPr>
        <w:ind w:left="426"/>
        <w:rPr>
          <w:b/>
        </w:rPr>
      </w:pPr>
      <w:r>
        <w:rPr>
          <w:b/>
        </w:rPr>
        <w:t>Schedule 4</w:t>
      </w:r>
    </w:p>
    <w:p w14:paraId="029BCF59" w14:textId="77777777" w:rsidR="00EF3A07" w:rsidRPr="00EF3A07" w:rsidRDefault="00EF3A07" w:rsidP="00171B1C">
      <w:pPr>
        <w:ind w:left="426" w:firstLine="294"/>
        <w:rPr>
          <w:bCs/>
        </w:rPr>
      </w:pPr>
      <w:r w:rsidRPr="00EF3A07">
        <w:rPr>
          <w:bCs/>
        </w:rPr>
        <w:t xml:space="preserve">FEXOFENADINE </w:t>
      </w:r>
      <w:r w:rsidRPr="00EF3A07">
        <w:rPr>
          <w:b/>
        </w:rPr>
        <w:t>except</w:t>
      </w:r>
      <w:r w:rsidRPr="00EF3A07">
        <w:rPr>
          <w:bCs/>
        </w:rPr>
        <w:t xml:space="preserve">: </w:t>
      </w:r>
    </w:p>
    <w:p w14:paraId="48660E2A" w14:textId="77777777" w:rsidR="00EF3A07" w:rsidRDefault="00EF3A07" w:rsidP="002416C6">
      <w:pPr>
        <w:pStyle w:val="ListBulleta"/>
      </w:pPr>
      <w:r w:rsidRPr="00EF3A07">
        <w:t xml:space="preserve">when included in Schedule </w:t>
      </w:r>
      <w:proofErr w:type="gramStart"/>
      <w:r w:rsidRPr="00EF3A07">
        <w:t>2;</w:t>
      </w:r>
      <w:proofErr w:type="gramEnd"/>
    </w:p>
    <w:p w14:paraId="57619463" w14:textId="1FF96F88" w:rsidR="00EF3A07" w:rsidRPr="00EF3A07" w:rsidRDefault="00EF3A07" w:rsidP="002416C6">
      <w:pPr>
        <w:pStyle w:val="ListBulleta"/>
      </w:pPr>
      <w:r w:rsidRPr="00EF3A07">
        <w:t xml:space="preserve">in divided preparations for the treatment of seasonal allergic rhinitis in adults and children 12 years of age and over when: </w:t>
      </w:r>
    </w:p>
    <w:p w14:paraId="55868928" w14:textId="4AC39FD3" w:rsidR="00EF3A07" w:rsidRPr="00EF3A07" w:rsidRDefault="00EF3A07" w:rsidP="002416C6">
      <w:pPr>
        <w:pStyle w:val="ListBulleti"/>
      </w:pPr>
      <w:r w:rsidRPr="00EF3A07">
        <w:t xml:space="preserve">in a primary pack containing 20 dosage units or less and not more than 10 days’ supply; and </w:t>
      </w:r>
    </w:p>
    <w:p w14:paraId="2548B2A7" w14:textId="77BAEDA8" w:rsidR="00EF3A07" w:rsidRPr="00EF3A07" w:rsidRDefault="00EF3A07" w:rsidP="002416C6">
      <w:pPr>
        <w:pStyle w:val="ListBulleti"/>
      </w:pPr>
      <w:r w:rsidRPr="00EF3A07">
        <w:lastRenderedPageBreak/>
        <w:t xml:space="preserve">labelled with a recommended daily dose not exceeding 120 mg of </w:t>
      </w:r>
      <w:proofErr w:type="gramStart"/>
      <w:r w:rsidRPr="00EF3A07">
        <w:t>fexofenadine;</w:t>
      </w:r>
      <w:proofErr w:type="gramEnd"/>
      <w:r w:rsidRPr="00EF3A07">
        <w:t xml:space="preserve"> </w:t>
      </w:r>
    </w:p>
    <w:p w14:paraId="70FA7274" w14:textId="770AC8C0" w:rsidR="00EF3A07" w:rsidRPr="00EF3A07" w:rsidRDefault="00EF3A07" w:rsidP="002416C6">
      <w:pPr>
        <w:pStyle w:val="ListBulleta"/>
      </w:pPr>
      <w:r w:rsidRPr="00EF3A07">
        <w:t xml:space="preserve">for </w:t>
      </w:r>
      <w:r w:rsidRPr="002416C6">
        <w:t>the</w:t>
      </w:r>
      <w:r w:rsidRPr="00EF3A07">
        <w:t xml:space="preserve"> treatment of seasonal allergic rhinitis in adults and children 12 years of age and over when: </w:t>
      </w:r>
    </w:p>
    <w:p w14:paraId="5305B869" w14:textId="53F9F72E" w:rsidR="00EF3A07" w:rsidRPr="00EF3A07" w:rsidRDefault="00EF3A07" w:rsidP="008E48A7">
      <w:pPr>
        <w:pStyle w:val="ListBulleti"/>
        <w:numPr>
          <w:ilvl w:val="0"/>
          <w:numId w:val="12"/>
        </w:numPr>
      </w:pPr>
      <w:r w:rsidRPr="00EF3A07">
        <w:t xml:space="preserve">in a primary pack containing 5 dosage units or less and not more than 5 days’ supply; and </w:t>
      </w:r>
    </w:p>
    <w:p w14:paraId="1D80801E" w14:textId="4B80F3A3" w:rsidR="00EF3A07" w:rsidRPr="00EF3A07" w:rsidRDefault="00EF3A07" w:rsidP="002416C6">
      <w:pPr>
        <w:pStyle w:val="ListBulleti"/>
      </w:pPr>
      <w:r w:rsidRPr="00EF3A07">
        <w:t xml:space="preserve">labelled with a recommended daily dose not exceeding 180 mg of </w:t>
      </w:r>
      <w:proofErr w:type="gramStart"/>
      <w:r w:rsidRPr="00EF3A07">
        <w:t>fexofenadine;</w:t>
      </w:r>
      <w:proofErr w:type="gramEnd"/>
      <w:r w:rsidRPr="00EF3A07">
        <w:t xml:space="preserve"> or </w:t>
      </w:r>
    </w:p>
    <w:p w14:paraId="65BFCEEB" w14:textId="4AA6AB4A" w:rsidR="00EF3A07" w:rsidRPr="00EF3A07" w:rsidRDefault="00EF3A07" w:rsidP="002416C6">
      <w:pPr>
        <w:pStyle w:val="ListBulleta"/>
      </w:pPr>
      <w:r w:rsidRPr="00EF3A07">
        <w:t xml:space="preserve">for the treatment of seasonal allergic rhinitis and children 6 years of age and over when: </w:t>
      </w:r>
    </w:p>
    <w:p w14:paraId="0A720D47" w14:textId="570AB508" w:rsidR="00EF3A07" w:rsidRPr="00EF3A07" w:rsidRDefault="00EF3A07" w:rsidP="008E48A7">
      <w:pPr>
        <w:pStyle w:val="ListBulleti"/>
        <w:numPr>
          <w:ilvl w:val="0"/>
          <w:numId w:val="13"/>
        </w:numPr>
      </w:pPr>
      <w:r w:rsidRPr="00EF3A07">
        <w:t xml:space="preserve">in a primary pack containing 20 dosage units or less and not more than 10 days’ supply; and </w:t>
      </w:r>
    </w:p>
    <w:p w14:paraId="54741297" w14:textId="65127938" w:rsidR="00EF3A07" w:rsidRPr="00EF3A07" w:rsidRDefault="00EF3A07" w:rsidP="002416C6">
      <w:pPr>
        <w:pStyle w:val="ListBulleti"/>
      </w:pPr>
      <w:r w:rsidRPr="00EF3A07">
        <w:t xml:space="preserve">labelled with a recommended daily dose not exceeding 60 mg of fexofenadine. </w:t>
      </w:r>
    </w:p>
    <w:p w14:paraId="73E5871A" w14:textId="57576241" w:rsidR="00F261BD" w:rsidRPr="006D5C84" w:rsidRDefault="00F261BD" w:rsidP="00F261BD">
      <w:pPr>
        <w:ind w:left="426"/>
        <w:rPr>
          <w:b/>
        </w:rPr>
      </w:pPr>
      <w:r w:rsidRPr="006D5C84">
        <w:rPr>
          <w:b/>
        </w:rPr>
        <w:t xml:space="preserve">Schedule </w:t>
      </w:r>
      <w:r w:rsidR="00EF3A07">
        <w:rPr>
          <w:b/>
        </w:rPr>
        <w:t>2</w:t>
      </w:r>
    </w:p>
    <w:p w14:paraId="2850B524" w14:textId="77777777" w:rsidR="00EF3A07" w:rsidRPr="00EF3A07" w:rsidRDefault="00EF3A07" w:rsidP="00EF3A07">
      <w:pPr>
        <w:ind w:left="426" w:firstLine="294"/>
        <w:rPr>
          <w:rFonts w:asciiTheme="minorHAnsi" w:hAnsiTheme="minorHAnsi" w:cstheme="minorHAnsi"/>
        </w:rPr>
      </w:pPr>
      <w:r w:rsidRPr="00EF3A07">
        <w:rPr>
          <w:rFonts w:asciiTheme="minorHAnsi" w:hAnsiTheme="minorHAnsi" w:cstheme="minorHAnsi"/>
        </w:rPr>
        <w:t xml:space="preserve">FEXOFENADINE in preparations for oral use </w:t>
      </w:r>
      <w:r w:rsidRPr="00EF3A07">
        <w:rPr>
          <w:rFonts w:asciiTheme="minorHAnsi" w:hAnsiTheme="minorHAnsi" w:cstheme="minorHAnsi"/>
          <w:b/>
          <w:bCs/>
        </w:rPr>
        <w:t xml:space="preserve">except </w:t>
      </w:r>
      <w:r w:rsidRPr="00EF3A07">
        <w:rPr>
          <w:rFonts w:asciiTheme="minorHAnsi" w:hAnsiTheme="minorHAnsi" w:cstheme="minorHAnsi"/>
        </w:rPr>
        <w:t>in divided preparations:</w:t>
      </w:r>
    </w:p>
    <w:p w14:paraId="68EC6AC4" w14:textId="06FFFEA4" w:rsidR="00EF3A07" w:rsidRPr="00EF3A07" w:rsidRDefault="00EF3A07" w:rsidP="008E48A7">
      <w:pPr>
        <w:pStyle w:val="ListBulleta"/>
        <w:numPr>
          <w:ilvl w:val="0"/>
          <w:numId w:val="14"/>
        </w:numPr>
      </w:pPr>
      <w:r w:rsidRPr="00EF3A07">
        <w:t xml:space="preserve">for the treatment of seasonal allergic rhinitis in adults and children 12 years of age and over when: </w:t>
      </w:r>
    </w:p>
    <w:p w14:paraId="50C8D26B" w14:textId="0808F388" w:rsidR="00EF3A07" w:rsidRPr="00EF3A07" w:rsidRDefault="00EF3A07" w:rsidP="008E48A7">
      <w:pPr>
        <w:pStyle w:val="ListBulleti"/>
        <w:numPr>
          <w:ilvl w:val="0"/>
          <w:numId w:val="15"/>
        </w:numPr>
      </w:pPr>
      <w:r w:rsidRPr="00EF3A07">
        <w:t>in a primary pack containing 20 dosage units or less and not more than 10 days’ supply; and</w:t>
      </w:r>
    </w:p>
    <w:p w14:paraId="433D3E52" w14:textId="0E1CCEED" w:rsidR="00EF3A07" w:rsidRPr="00EF3A07" w:rsidRDefault="00EF3A07" w:rsidP="002416C6">
      <w:pPr>
        <w:pStyle w:val="ListBulleti"/>
      </w:pPr>
      <w:r w:rsidRPr="00EF3A07">
        <w:t xml:space="preserve">labelled with a recommended daily dose not exceeding 120 mg of </w:t>
      </w:r>
      <w:proofErr w:type="gramStart"/>
      <w:r w:rsidRPr="00EF3A07">
        <w:t>fexofenadine;</w:t>
      </w:r>
      <w:proofErr w:type="gramEnd"/>
    </w:p>
    <w:p w14:paraId="1F8C9566" w14:textId="5051E757" w:rsidR="00EF3A07" w:rsidRPr="00EF3A07" w:rsidRDefault="00EF3A07" w:rsidP="002416C6">
      <w:pPr>
        <w:pStyle w:val="ListBulleta"/>
      </w:pPr>
      <w:r w:rsidRPr="00EF3A07">
        <w:t>for the treatment of seasonal allergic rhinitis in adults and children 12 years of age and over when:</w:t>
      </w:r>
    </w:p>
    <w:p w14:paraId="6F4C3A13" w14:textId="6248948F" w:rsidR="00EF3A07" w:rsidRPr="00EF3A07" w:rsidRDefault="00EF3A07" w:rsidP="008E48A7">
      <w:pPr>
        <w:pStyle w:val="ListBulleti"/>
        <w:numPr>
          <w:ilvl w:val="0"/>
          <w:numId w:val="10"/>
        </w:numPr>
      </w:pPr>
      <w:r w:rsidRPr="00EF3A07">
        <w:t>in a primary pack containing 5 dosage units or less and not more than 5 days’ supply; and</w:t>
      </w:r>
    </w:p>
    <w:p w14:paraId="5A5CEACE" w14:textId="37E5A382" w:rsidR="00EF3A07" w:rsidRPr="00EF3A07" w:rsidRDefault="00EF3A07" w:rsidP="002416C6">
      <w:pPr>
        <w:pStyle w:val="ListBulleti"/>
      </w:pPr>
      <w:r w:rsidRPr="00EF3A07">
        <w:t xml:space="preserve">labelled with a recommended daily dose not exceeding 180 mg of </w:t>
      </w:r>
      <w:proofErr w:type="gramStart"/>
      <w:r w:rsidRPr="00EF3A07">
        <w:t>fexofenadine;</w:t>
      </w:r>
      <w:proofErr w:type="gramEnd"/>
      <w:r w:rsidRPr="00EF3A07">
        <w:t xml:space="preserve"> or</w:t>
      </w:r>
    </w:p>
    <w:p w14:paraId="39A8BD13" w14:textId="7AFE770E" w:rsidR="00EF3A07" w:rsidRPr="00EF3A07" w:rsidRDefault="00EF3A07" w:rsidP="002416C6">
      <w:pPr>
        <w:pStyle w:val="ListBulleta"/>
      </w:pPr>
      <w:r w:rsidRPr="00EF3A07">
        <w:t>for the treatment of seasonal allergic rhinitis and children 6 years of age and over when:</w:t>
      </w:r>
    </w:p>
    <w:p w14:paraId="196A4C62" w14:textId="76DB2BD3" w:rsidR="00EF3A07" w:rsidRPr="00EF3A07" w:rsidRDefault="00EF3A07" w:rsidP="008E48A7">
      <w:pPr>
        <w:pStyle w:val="ListBulleti"/>
        <w:numPr>
          <w:ilvl w:val="0"/>
          <w:numId w:val="11"/>
        </w:numPr>
      </w:pPr>
      <w:r w:rsidRPr="00EF3A07">
        <w:t>in a primary pack containing 20 dosage units or less and not more than 10 days’ supply; and</w:t>
      </w:r>
    </w:p>
    <w:p w14:paraId="6B32DFF3" w14:textId="3D2D4B20" w:rsidR="00EF3A07" w:rsidRDefault="00EF3A07" w:rsidP="002416C6">
      <w:pPr>
        <w:pStyle w:val="ListBulleti"/>
      </w:pPr>
      <w:r w:rsidRPr="00EF3A07">
        <w:t>labelled with a recommended daily dose not exceeding 60 mg of fexofenadine.</w:t>
      </w:r>
    </w:p>
    <w:p w14:paraId="1DF27005" w14:textId="19C64E89" w:rsidR="00F261BD" w:rsidRPr="005133F7" w:rsidRDefault="00F261BD" w:rsidP="00691BBB">
      <w:pPr>
        <w:ind w:left="426"/>
        <w:rPr>
          <w:b/>
        </w:rPr>
      </w:pPr>
      <w:r>
        <w:rPr>
          <w:b/>
        </w:rPr>
        <w:t>Index</w:t>
      </w:r>
    </w:p>
    <w:p w14:paraId="78C040E3" w14:textId="0442A70A" w:rsidR="00F261BD" w:rsidRPr="002416C6" w:rsidRDefault="002416C6" w:rsidP="00691BBB">
      <w:pPr>
        <w:ind w:left="426" w:firstLine="294"/>
        <w:rPr>
          <w:rFonts w:asciiTheme="minorHAnsi" w:hAnsiTheme="minorHAnsi" w:cstheme="minorHAnsi"/>
          <w:b/>
          <w:bCs/>
        </w:rPr>
      </w:pPr>
      <w:r w:rsidRPr="002416C6">
        <w:rPr>
          <w:rFonts w:asciiTheme="minorHAnsi" w:hAnsiTheme="minorHAnsi" w:cstheme="minorHAnsi"/>
          <w:b/>
          <w:bCs/>
        </w:rPr>
        <w:t>FEXOFENADINE</w:t>
      </w:r>
    </w:p>
    <w:p w14:paraId="0C0ECC6E" w14:textId="5B227FCD" w:rsidR="002416C6" w:rsidRDefault="002416C6" w:rsidP="00691BBB">
      <w:pPr>
        <w:ind w:left="720"/>
        <w:rPr>
          <w:rFonts w:asciiTheme="minorHAnsi" w:hAnsiTheme="minorHAnsi" w:cstheme="minorHAnsi"/>
        </w:rPr>
      </w:pPr>
      <w:r>
        <w:rPr>
          <w:rFonts w:asciiTheme="minorHAnsi" w:hAnsiTheme="minorHAnsi" w:cstheme="minorHAnsi"/>
        </w:rPr>
        <w:t>Schedule 4</w:t>
      </w:r>
      <w:r>
        <w:rPr>
          <w:rFonts w:asciiTheme="minorHAnsi" w:hAnsiTheme="minorHAnsi" w:cstheme="minorHAnsi"/>
        </w:rPr>
        <w:br/>
        <w:t>Schedule 2</w:t>
      </w:r>
    </w:p>
    <w:p w14:paraId="028632D7" w14:textId="14E70055" w:rsidR="00F261BD" w:rsidRDefault="002416C6" w:rsidP="00F261BD">
      <w:pPr>
        <w:rPr>
          <w:rFonts w:asciiTheme="minorHAnsi" w:hAnsiTheme="minorHAnsi" w:cstheme="minorHAnsi"/>
        </w:rPr>
      </w:pPr>
      <w:r>
        <w:rPr>
          <w:rFonts w:asciiTheme="minorHAnsi" w:hAnsiTheme="minorHAnsi" w:cstheme="minorHAnsi"/>
        </w:rPr>
        <w:lastRenderedPageBreak/>
        <w:t xml:space="preserve">Fexofenadine </w:t>
      </w:r>
      <w:r w:rsidR="00F261BD" w:rsidRPr="00AF12F6">
        <w:rPr>
          <w:rFonts w:asciiTheme="minorHAnsi" w:hAnsiTheme="minorHAnsi" w:cstheme="minorHAnsi"/>
        </w:rPr>
        <w:t xml:space="preserve">is </w:t>
      </w:r>
      <w:r>
        <w:rPr>
          <w:rFonts w:asciiTheme="minorHAnsi" w:hAnsiTheme="minorHAnsi" w:cstheme="minorHAnsi"/>
        </w:rPr>
        <w:t>excluded</w:t>
      </w:r>
      <w:r w:rsidR="00F261BD" w:rsidRPr="00AF12F6">
        <w:rPr>
          <w:rFonts w:asciiTheme="minorHAnsi" w:hAnsiTheme="minorHAnsi" w:cstheme="minorHAnsi"/>
        </w:rPr>
        <w:t xml:space="preserve"> under the entry</w:t>
      </w:r>
      <w:r w:rsidR="00F261BD">
        <w:rPr>
          <w:rFonts w:asciiTheme="minorHAnsi" w:hAnsiTheme="minorHAnsi" w:cstheme="minorHAnsi"/>
        </w:rPr>
        <w:t xml:space="preserve"> </w:t>
      </w:r>
      <w:r>
        <w:rPr>
          <w:rFonts w:asciiTheme="minorHAnsi" w:hAnsiTheme="minorHAnsi" w:cstheme="minorHAnsi"/>
        </w:rPr>
        <w:t>for ANTIHISTAMINES</w:t>
      </w:r>
      <w:r w:rsidR="00F261BD" w:rsidRPr="00AF12F6">
        <w:rPr>
          <w:rFonts w:asciiTheme="minorHAnsi" w:hAnsiTheme="minorHAnsi" w:cstheme="minorHAnsi"/>
        </w:rPr>
        <w:t xml:space="preserve"> in Appendix </w:t>
      </w:r>
      <w:r w:rsidR="00F261BD" w:rsidRPr="002416C6">
        <w:rPr>
          <w:rFonts w:asciiTheme="minorHAnsi" w:hAnsiTheme="minorHAnsi" w:cstheme="minorHAnsi"/>
        </w:rPr>
        <w:t>F</w:t>
      </w:r>
      <w:r w:rsidR="00991439">
        <w:rPr>
          <w:rFonts w:asciiTheme="minorHAnsi" w:hAnsiTheme="minorHAnsi" w:cstheme="minorHAnsi"/>
        </w:rPr>
        <w:t>, and does not require the specified warning statements</w:t>
      </w:r>
      <w:r w:rsidR="00F261BD" w:rsidRPr="00AF12F6">
        <w:rPr>
          <w:rFonts w:asciiTheme="minorHAnsi" w:hAnsiTheme="minorHAnsi" w:cstheme="minorHAnsi"/>
        </w:rPr>
        <w:t xml:space="preserve"> </w:t>
      </w:r>
      <w:r w:rsidR="00F261BD">
        <w:rPr>
          <w:rFonts w:asciiTheme="minorHAnsi" w:hAnsiTheme="minorHAnsi" w:cstheme="minorHAnsi"/>
        </w:rPr>
        <w:t>as follows</w:t>
      </w:r>
      <w:r w:rsidR="00F261BD" w:rsidRPr="00AF12F6">
        <w:rPr>
          <w:rFonts w:asciiTheme="minorHAnsi" w:hAnsiTheme="minorHAnsi" w:cstheme="minorHAnsi"/>
        </w:rPr>
        <w:t>:</w:t>
      </w:r>
    </w:p>
    <w:p w14:paraId="243E1866" w14:textId="5285730D" w:rsidR="001E7C94" w:rsidRDefault="001E7C94" w:rsidP="00F261BD">
      <w:pPr>
        <w:rPr>
          <w:rFonts w:asciiTheme="minorHAnsi" w:hAnsiTheme="minorHAnsi" w:cstheme="minorHAnsi"/>
        </w:rPr>
      </w:pPr>
      <w:r>
        <w:rPr>
          <w:rFonts w:asciiTheme="minorHAnsi" w:hAnsiTheme="minorHAnsi" w:cstheme="minorHAnsi"/>
        </w:rPr>
        <w:t xml:space="preserve">Warning Statements </w:t>
      </w:r>
      <w:r w:rsidRPr="001E7C94">
        <w:rPr>
          <w:rFonts w:asciiTheme="minorHAnsi" w:hAnsiTheme="minorHAnsi" w:cstheme="minorHAnsi"/>
          <w:b/>
          <w:bCs/>
        </w:rPr>
        <w:t>39</w:t>
      </w:r>
      <w:r>
        <w:rPr>
          <w:rFonts w:asciiTheme="minorHAnsi" w:hAnsiTheme="minorHAnsi" w:cstheme="minorHAnsi"/>
        </w:rPr>
        <w:t xml:space="preserve"> (This medication may cause drowsiness. If affected do not drive a vehicle or operate machinery. Avoid alcohol.) and </w:t>
      </w:r>
      <w:r w:rsidRPr="001E7C94">
        <w:rPr>
          <w:rFonts w:asciiTheme="minorHAnsi" w:hAnsiTheme="minorHAnsi" w:cstheme="minorHAnsi"/>
          <w:b/>
          <w:bCs/>
        </w:rPr>
        <w:t>40</w:t>
      </w:r>
      <w:r>
        <w:rPr>
          <w:rFonts w:asciiTheme="minorHAnsi" w:hAnsiTheme="minorHAnsi" w:cstheme="minorHAnsi"/>
        </w:rPr>
        <w:t xml:space="preserve"> (This medication may cause drowsiness and may increase the effects of alcohol. If affected do not drive a motor vehicle or operate machinery.) </w:t>
      </w:r>
    </w:p>
    <w:p w14:paraId="54035FF9" w14:textId="0208BCC2" w:rsidR="00BC2A62" w:rsidRDefault="00BC2A62" w:rsidP="008C7D39">
      <w:pPr>
        <w:ind w:firstLine="720"/>
        <w:rPr>
          <w:rFonts w:asciiTheme="minorHAnsi" w:hAnsiTheme="minorHAnsi" w:cstheme="minorHAnsi"/>
        </w:rPr>
      </w:pPr>
      <w:r>
        <w:rPr>
          <w:rFonts w:asciiTheme="minorHAnsi" w:hAnsiTheme="minorHAnsi" w:cstheme="minorHAnsi"/>
        </w:rPr>
        <w:t xml:space="preserve">ANTIHISTAMINES not separately specified in this Appendix </w:t>
      </w:r>
      <w:r w:rsidRPr="00BC2A62">
        <w:rPr>
          <w:rFonts w:asciiTheme="minorHAnsi" w:hAnsiTheme="minorHAnsi" w:cstheme="minorHAnsi"/>
          <w:b/>
          <w:bCs/>
        </w:rPr>
        <w:t>except</w:t>
      </w:r>
      <w:r>
        <w:rPr>
          <w:rFonts w:asciiTheme="minorHAnsi" w:hAnsiTheme="minorHAnsi" w:cstheme="minorHAnsi"/>
        </w:rPr>
        <w:t>:</w:t>
      </w:r>
    </w:p>
    <w:p w14:paraId="4F48EA1C" w14:textId="5AB2856E" w:rsidR="00BC2A62" w:rsidRDefault="00BC2A62" w:rsidP="008E48A7">
      <w:pPr>
        <w:pStyle w:val="ListBulleta"/>
        <w:numPr>
          <w:ilvl w:val="0"/>
          <w:numId w:val="16"/>
        </w:numPr>
      </w:pPr>
      <w:r>
        <w:t xml:space="preserve">dermal, ocular, parenteral and paediatric </w:t>
      </w:r>
      <w:proofErr w:type="gramStart"/>
      <w:r>
        <w:t>preparations;</w:t>
      </w:r>
      <w:proofErr w:type="gramEnd"/>
      <w:r>
        <w:tab/>
      </w:r>
    </w:p>
    <w:p w14:paraId="3EF8E25B" w14:textId="6A804EDC" w:rsidR="00BC2A62" w:rsidRDefault="00BC2A62" w:rsidP="001E7C94">
      <w:pPr>
        <w:pStyle w:val="ListBulleta"/>
      </w:pPr>
      <w:r>
        <w:t xml:space="preserve">oral preparations of </w:t>
      </w:r>
      <w:proofErr w:type="spellStart"/>
      <w:r>
        <w:t>astemizole</w:t>
      </w:r>
      <w:proofErr w:type="spellEnd"/>
      <w:r>
        <w:t xml:space="preserve">, azelastine, </w:t>
      </w:r>
      <w:proofErr w:type="spellStart"/>
      <w:r>
        <w:t>bilastine</w:t>
      </w:r>
      <w:proofErr w:type="spellEnd"/>
      <w:r>
        <w:t xml:space="preserve">, desloratadine, fexofenadine, loratadine, terfenadine or </w:t>
      </w:r>
      <w:proofErr w:type="gramStart"/>
      <w:r>
        <w:t>cetirizine;</w:t>
      </w:r>
      <w:proofErr w:type="gramEnd"/>
    </w:p>
    <w:p w14:paraId="69EEFA7E" w14:textId="788CA11A" w:rsidR="00BC2A62" w:rsidRDefault="00BC2A62" w:rsidP="001E7C94">
      <w:pPr>
        <w:pStyle w:val="ListBulleta"/>
      </w:pPr>
      <w:r>
        <w:t>nasal preparations of azelastine; or</w:t>
      </w:r>
    </w:p>
    <w:p w14:paraId="624E2ACB" w14:textId="3B342534" w:rsidR="00BC2A62" w:rsidRDefault="00BC2A62" w:rsidP="001E7C94">
      <w:pPr>
        <w:pStyle w:val="ListBulleta"/>
      </w:pPr>
      <w:r>
        <w:t>preparations for the treatment of animals</w:t>
      </w:r>
      <w:r w:rsidR="001E7C94">
        <w:t>.</w:t>
      </w:r>
    </w:p>
    <w:p w14:paraId="486EA34D" w14:textId="41B854E0" w:rsidR="00F261BD" w:rsidRDefault="00F261BD" w:rsidP="00F261BD">
      <w:pPr>
        <w:pStyle w:val="Heading4"/>
      </w:pPr>
      <w:bookmarkStart w:id="37" w:name="_Toc112833611"/>
      <w:r>
        <w:t>Proposed scheduling</w:t>
      </w:r>
      <w:bookmarkEnd w:id="37"/>
    </w:p>
    <w:p w14:paraId="5894710C" w14:textId="77777777" w:rsidR="00C43A50" w:rsidRDefault="00C43A50" w:rsidP="00C43A50">
      <w:pPr>
        <w:ind w:left="426"/>
        <w:rPr>
          <w:b/>
        </w:rPr>
      </w:pPr>
      <w:r>
        <w:rPr>
          <w:b/>
        </w:rPr>
        <w:t>Schedule 4</w:t>
      </w:r>
    </w:p>
    <w:p w14:paraId="51C1B6CB" w14:textId="77777777" w:rsidR="00C43A50" w:rsidRPr="00EF3A07" w:rsidRDefault="00C43A50" w:rsidP="00A84CEF">
      <w:pPr>
        <w:ind w:left="426" w:firstLine="294"/>
        <w:rPr>
          <w:bCs/>
        </w:rPr>
      </w:pPr>
      <w:r w:rsidRPr="00EF3A07">
        <w:rPr>
          <w:bCs/>
        </w:rPr>
        <w:t xml:space="preserve">FEXOFENADINE </w:t>
      </w:r>
      <w:r w:rsidRPr="00EF3A07">
        <w:rPr>
          <w:b/>
        </w:rPr>
        <w:t>except</w:t>
      </w:r>
      <w:r w:rsidRPr="00EF3A07">
        <w:rPr>
          <w:bCs/>
        </w:rPr>
        <w:t xml:space="preserve">: </w:t>
      </w:r>
    </w:p>
    <w:p w14:paraId="0F8E76FF" w14:textId="77777777" w:rsidR="00C43A50" w:rsidRDefault="00C43A50" w:rsidP="008E48A7">
      <w:pPr>
        <w:pStyle w:val="ListBulleta"/>
        <w:numPr>
          <w:ilvl w:val="0"/>
          <w:numId w:val="17"/>
        </w:numPr>
      </w:pPr>
      <w:r w:rsidRPr="00EF3A07">
        <w:t xml:space="preserve">when included in Schedule </w:t>
      </w:r>
      <w:proofErr w:type="gramStart"/>
      <w:r w:rsidRPr="00EF3A07">
        <w:t>2;</w:t>
      </w:r>
      <w:proofErr w:type="gramEnd"/>
    </w:p>
    <w:p w14:paraId="6777C1AB" w14:textId="77777777" w:rsidR="00C43A50" w:rsidRPr="00EF3A07" w:rsidRDefault="00C43A50" w:rsidP="00C43A50">
      <w:pPr>
        <w:pStyle w:val="ListBulleta"/>
      </w:pPr>
      <w:r w:rsidRPr="00EF3A07">
        <w:t xml:space="preserve">in divided preparations for the treatment of seasonal allergic rhinitis in adults and children 12 years of age and over when: </w:t>
      </w:r>
    </w:p>
    <w:p w14:paraId="784D9D53" w14:textId="77777777" w:rsidR="00C43A50" w:rsidRPr="00EF3A07" w:rsidRDefault="00C43A50" w:rsidP="008E48A7">
      <w:pPr>
        <w:pStyle w:val="ListBulleti"/>
        <w:numPr>
          <w:ilvl w:val="0"/>
          <w:numId w:val="18"/>
        </w:numPr>
      </w:pPr>
      <w:r w:rsidRPr="00EF3A07">
        <w:t xml:space="preserve">in a primary pack containing 20 dosage units or less and not more than 10 days’ supply; and </w:t>
      </w:r>
    </w:p>
    <w:p w14:paraId="5499820C" w14:textId="77777777" w:rsidR="00C43A50" w:rsidRPr="00EF3A07" w:rsidRDefault="00C43A50" w:rsidP="00C43A50">
      <w:pPr>
        <w:pStyle w:val="ListBulleti"/>
      </w:pPr>
      <w:r w:rsidRPr="00EF3A07">
        <w:t xml:space="preserve">labelled with a recommended daily dose not exceeding 120 mg of </w:t>
      </w:r>
      <w:proofErr w:type="gramStart"/>
      <w:r w:rsidRPr="00EF3A07">
        <w:t>fexofenadine;</w:t>
      </w:r>
      <w:proofErr w:type="gramEnd"/>
      <w:r w:rsidRPr="00EF3A07">
        <w:t xml:space="preserve"> </w:t>
      </w:r>
    </w:p>
    <w:p w14:paraId="201EDACE" w14:textId="77777777" w:rsidR="00C43A50" w:rsidRPr="00EF3A07" w:rsidRDefault="00C43A50" w:rsidP="00C43A50">
      <w:pPr>
        <w:pStyle w:val="ListBulleta"/>
      </w:pPr>
      <w:r w:rsidRPr="00EF3A07">
        <w:t xml:space="preserve">for </w:t>
      </w:r>
      <w:r w:rsidRPr="002416C6">
        <w:t>the</w:t>
      </w:r>
      <w:r w:rsidRPr="00EF3A07">
        <w:t xml:space="preserve"> treatment of seasonal allergic rhinitis in adults and children 12 years of age and over when: </w:t>
      </w:r>
    </w:p>
    <w:p w14:paraId="5ABCDF82" w14:textId="65A0A7B2" w:rsidR="00C43A50" w:rsidRPr="00EF3A07" w:rsidRDefault="00C43A50" w:rsidP="008E48A7">
      <w:pPr>
        <w:pStyle w:val="ListBulleti"/>
        <w:numPr>
          <w:ilvl w:val="0"/>
          <w:numId w:val="19"/>
        </w:numPr>
      </w:pPr>
      <w:r w:rsidRPr="00EF3A07">
        <w:t xml:space="preserve">in a primary pack containing </w:t>
      </w:r>
      <w:r w:rsidR="007B61AC" w:rsidRPr="009C073B">
        <w:rPr>
          <w:color w:val="00B050"/>
        </w:rPr>
        <w:t>10</w:t>
      </w:r>
      <w:r w:rsidR="007B61AC" w:rsidRPr="002622D9">
        <w:rPr>
          <w:strike/>
          <w:color w:val="FF0000"/>
        </w:rPr>
        <w:t xml:space="preserve">5 </w:t>
      </w:r>
      <w:r w:rsidRPr="00EF3A07">
        <w:t xml:space="preserve">dosage units or less and not more than </w:t>
      </w:r>
      <w:r w:rsidR="007B61AC" w:rsidRPr="009C073B">
        <w:rPr>
          <w:color w:val="00B050"/>
        </w:rPr>
        <w:t>10</w:t>
      </w:r>
      <w:r w:rsidR="007B61AC" w:rsidRPr="002622D9">
        <w:rPr>
          <w:strike/>
          <w:color w:val="FF0000"/>
        </w:rPr>
        <w:t xml:space="preserve">5 </w:t>
      </w:r>
      <w:r w:rsidRPr="00EF3A07">
        <w:t xml:space="preserve">days’ supply; and </w:t>
      </w:r>
    </w:p>
    <w:p w14:paraId="1AD773CB" w14:textId="77777777" w:rsidR="00C43A50" w:rsidRPr="00EF3A07" w:rsidRDefault="00C43A50" w:rsidP="00C43A50">
      <w:pPr>
        <w:pStyle w:val="ListBulleti"/>
      </w:pPr>
      <w:r w:rsidRPr="00EF3A07">
        <w:t xml:space="preserve">labelled with a recommended daily dose not exceeding 180 mg of </w:t>
      </w:r>
      <w:proofErr w:type="gramStart"/>
      <w:r w:rsidRPr="00EF3A07">
        <w:t>fexofenadine;</w:t>
      </w:r>
      <w:proofErr w:type="gramEnd"/>
      <w:r w:rsidRPr="00EF3A07">
        <w:t xml:space="preserve"> or </w:t>
      </w:r>
    </w:p>
    <w:p w14:paraId="5681E5FF" w14:textId="77777777" w:rsidR="00C43A50" w:rsidRPr="00EF3A07" w:rsidRDefault="00C43A50" w:rsidP="00C43A50">
      <w:pPr>
        <w:pStyle w:val="ListBulleta"/>
      </w:pPr>
      <w:r w:rsidRPr="00EF3A07">
        <w:t xml:space="preserve">for the treatment of seasonal allergic rhinitis and children 6 years of age and over when: </w:t>
      </w:r>
    </w:p>
    <w:p w14:paraId="50614AC4" w14:textId="77777777" w:rsidR="00C43A50" w:rsidRPr="00EF3A07" w:rsidRDefault="00C43A50" w:rsidP="008E48A7">
      <w:pPr>
        <w:pStyle w:val="ListBulleti"/>
        <w:numPr>
          <w:ilvl w:val="0"/>
          <w:numId w:val="20"/>
        </w:numPr>
      </w:pPr>
      <w:r w:rsidRPr="00EF3A07">
        <w:t xml:space="preserve">in a primary pack containing 20 dosage units or less and not more than 10 days’ supply; and </w:t>
      </w:r>
    </w:p>
    <w:p w14:paraId="65A9521A" w14:textId="242717B3" w:rsidR="00C43A50" w:rsidRPr="00C43A50" w:rsidRDefault="00C43A50" w:rsidP="00C43A50">
      <w:pPr>
        <w:pStyle w:val="ListBulleti"/>
      </w:pPr>
      <w:r w:rsidRPr="00EF3A07">
        <w:t xml:space="preserve">labelled with a recommended daily dose not exceeding 60 mg of fexofenadine. </w:t>
      </w:r>
    </w:p>
    <w:p w14:paraId="2BBFAC21" w14:textId="77777777" w:rsidR="00C43A50" w:rsidRPr="006D5C84" w:rsidRDefault="00C43A50" w:rsidP="00C43A50">
      <w:pPr>
        <w:ind w:left="426"/>
        <w:rPr>
          <w:b/>
        </w:rPr>
      </w:pPr>
      <w:r w:rsidRPr="006D5C84">
        <w:rPr>
          <w:b/>
        </w:rPr>
        <w:t xml:space="preserve">Schedule </w:t>
      </w:r>
      <w:r>
        <w:rPr>
          <w:b/>
        </w:rPr>
        <w:t>2</w:t>
      </w:r>
    </w:p>
    <w:p w14:paraId="733B2B0D" w14:textId="77777777" w:rsidR="00C43A50" w:rsidRPr="00EF3A07" w:rsidRDefault="00C43A50" w:rsidP="00C43A50">
      <w:pPr>
        <w:ind w:left="426" w:firstLine="294"/>
        <w:rPr>
          <w:rFonts w:asciiTheme="minorHAnsi" w:hAnsiTheme="minorHAnsi" w:cstheme="minorHAnsi"/>
        </w:rPr>
      </w:pPr>
      <w:r w:rsidRPr="00EF3A07">
        <w:rPr>
          <w:rFonts w:asciiTheme="minorHAnsi" w:hAnsiTheme="minorHAnsi" w:cstheme="minorHAnsi"/>
        </w:rPr>
        <w:t xml:space="preserve">FEXOFENADINE in preparations for oral use </w:t>
      </w:r>
      <w:r w:rsidRPr="00EF3A07">
        <w:rPr>
          <w:rFonts w:asciiTheme="minorHAnsi" w:hAnsiTheme="minorHAnsi" w:cstheme="minorHAnsi"/>
          <w:b/>
          <w:bCs/>
        </w:rPr>
        <w:t xml:space="preserve">except </w:t>
      </w:r>
      <w:r w:rsidRPr="00EF3A07">
        <w:rPr>
          <w:rFonts w:asciiTheme="minorHAnsi" w:hAnsiTheme="minorHAnsi" w:cstheme="minorHAnsi"/>
        </w:rPr>
        <w:t>in divided preparations:</w:t>
      </w:r>
    </w:p>
    <w:p w14:paraId="3FEF9359" w14:textId="77777777" w:rsidR="00C43A50" w:rsidRPr="00EF3A07" w:rsidRDefault="00C43A50" w:rsidP="008E48A7">
      <w:pPr>
        <w:pStyle w:val="ListBulleta"/>
        <w:numPr>
          <w:ilvl w:val="0"/>
          <w:numId w:val="21"/>
        </w:numPr>
      </w:pPr>
      <w:r w:rsidRPr="00EF3A07">
        <w:t xml:space="preserve">for the treatment of seasonal allergic rhinitis in adults and children 12 years of age and over when: </w:t>
      </w:r>
    </w:p>
    <w:p w14:paraId="64F4A076" w14:textId="77777777" w:rsidR="00C43A50" w:rsidRPr="00EF3A07" w:rsidRDefault="00C43A50" w:rsidP="008E48A7">
      <w:pPr>
        <w:pStyle w:val="ListBulleti"/>
        <w:numPr>
          <w:ilvl w:val="0"/>
          <w:numId w:val="22"/>
        </w:numPr>
      </w:pPr>
      <w:r w:rsidRPr="00EF3A07">
        <w:lastRenderedPageBreak/>
        <w:t>in a primary pack containing 20 dosage units or less and not more than 10 days’ supply; and</w:t>
      </w:r>
    </w:p>
    <w:p w14:paraId="17BCB49F" w14:textId="77777777" w:rsidR="00C43A50" w:rsidRPr="00EF3A07" w:rsidRDefault="00C43A50" w:rsidP="00C43A50">
      <w:pPr>
        <w:pStyle w:val="ListBulleti"/>
      </w:pPr>
      <w:r w:rsidRPr="00EF3A07">
        <w:t xml:space="preserve">labelled with a recommended daily dose not exceeding 120 mg of </w:t>
      </w:r>
      <w:proofErr w:type="gramStart"/>
      <w:r w:rsidRPr="00EF3A07">
        <w:t>fexofenadine;</w:t>
      </w:r>
      <w:proofErr w:type="gramEnd"/>
    </w:p>
    <w:p w14:paraId="3D6A04DD" w14:textId="77777777" w:rsidR="00C43A50" w:rsidRPr="00EF3A07" w:rsidRDefault="00C43A50" w:rsidP="00C43A50">
      <w:pPr>
        <w:pStyle w:val="ListBulleta"/>
      </w:pPr>
      <w:r w:rsidRPr="00EF3A07">
        <w:t>for the treatment of seasonal allergic rhinitis in adults and children 12 years of age and over when:</w:t>
      </w:r>
    </w:p>
    <w:p w14:paraId="2749689B" w14:textId="5712C4EC" w:rsidR="00C43A50" w:rsidRPr="00EF3A07" w:rsidRDefault="00C43A50" w:rsidP="008E48A7">
      <w:pPr>
        <w:pStyle w:val="ListBulleti"/>
        <w:numPr>
          <w:ilvl w:val="0"/>
          <w:numId w:val="23"/>
        </w:numPr>
        <w:jc w:val="both"/>
      </w:pPr>
      <w:r w:rsidRPr="00EF3A07">
        <w:t xml:space="preserve">in a primary pack containing </w:t>
      </w:r>
      <w:r w:rsidR="008A0642" w:rsidRPr="009C073B">
        <w:rPr>
          <w:color w:val="00B050"/>
        </w:rPr>
        <w:t>10</w:t>
      </w:r>
      <w:r w:rsidRPr="008A0642">
        <w:rPr>
          <w:strike/>
          <w:color w:val="FF0000"/>
        </w:rPr>
        <w:t>5</w:t>
      </w:r>
      <w:r w:rsidRPr="008A0642">
        <w:rPr>
          <w:color w:val="FF0000"/>
        </w:rPr>
        <w:t xml:space="preserve"> </w:t>
      </w:r>
      <w:r w:rsidRPr="00EF3A07">
        <w:t xml:space="preserve">dosage units or less and not more than </w:t>
      </w:r>
      <w:r w:rsidR="008A0642" w:rsidRPr="009C073B">
        <w:rPr>
          <w:color w:val="00B050"/>
        </w:rPr>
        <w:t>10</w:t>
      </w:r>
      <w:r w:rsidR="008A0642" w:rsidRPr="008A0642">
        <w:rPr>
          <w:strike/>
          <w:color w:val="FF0000"/>
        </w:rPr>
        <w:t>5</w:t>
      </w:r>
      <w:r w:rsidR="008A0642" w:rsidRPr="008A0642">
        <w:rPr>
          <w:color w:val="FF0000"/>
        </w:rPr>
        <w:t xml:space="preserve"> </w:t>
      </w:r>
      <w:r w:rsidRPr="00EF3A07">
        <w:t>days’ supply; and</w:t>
      </w:r>
    </w:p>
    <w:p w14:paraId="463EBF60" w14:textId="77777777" w:rsidR="00C43A50" w:rsidRPr="00EF3A07" w:rsidRDefault="00C43A50" w:rsidP="00C43A50">
      <w:pPr>
        <w:pStyle w:val="ListBulleti"/>
      </w:pPr>
      <w:r w:rsidRPr="00EF3A07">
        <w:t xml:space="preserve">labelled with a recommended daily dose not exceeding 180 mg of </w:t>
      </w:r>
      <w:proofErr w:type="gramStart"/>
      <w:r w:rsidRPr="00EF3A07">
        <w:t>fexofenadine;</w:t>
      </w:r>
      <w:proofErr w:type="gramEnd"/>
      <w:r w:rsidRPr="00EF3A07">
        <w:t xml:space="preserve"> or</w:t>
      </w:r>
    </w:p>
    <w:p w14:paraId="7040A123" w14:textId="77777777" w:rsidR="00C43A50" w:rsidRPr="00EF3A07" w:rsidRDefault="00C43A50" w:rsidP="00C43A50">
      <w:pPr>
        <w:pStyle w:val="ListBulleta"/>
      </w:pPr>
      <w:r w:rsidRPr="00EF3A07">
        <w:t>for the treatment of seasonal allergic rhinitis and children 6 years of age and over when:</w:t>
      </w:r>
    </w:p>
    <w:p w14:paraId="7A729EB1" w14:textId="77777777" w:rsidR="00C43A50" w:rsidRPr="00EF3A07" w:rsidRDefault="00C43A50" w:rsidP="008E48A7">
      <w:pPr>
        <w:pStyle w:val="ListBulleti"/>
        <w:numPr>
          <w:ilvl w:val="0"/>
          <w:numId w:val="24"/>
        </w:numPr>
      </w:pPr>
      <w:r w:rsidRPr="00EF3A07">
        <w:t>in a primary pack containing 20 dosage units or less and not more than 10 days’ supply; and</w:t>
      </w:r>
    </w:p>
    <w:p w14:paraId="1A3EEA8F" w14:textId="13161BB3" w:rsidR="00C43A50" w:rsidRDefault="00C43A50" w:rsidP="00C43A50">
      <w:pPr>
        <w:pStyle w:val="ListBulleti"/>
      </w:pPr>
      <w:r w:rsidRPr="00EF3A07">
        <w:t>labelled with a recommended daily dose not exceeding 60 mg of fexofenadine.</w:t>
      </w:r>
    </w:p>
    <w:p w14:paraId="7AB925F8" w14:textId="77777777" w:rsidR="00C43A50" w:rsidRPr="005133F7" w:rsidRDefault="00C43A50" w:rsidP="00691BBB">
      <w:pPr>
        <w:ind w:left="426"/>
        <w:rPr>
          <w:b/>
        </w:rPr>
      </w:pPr>
      <w:r>
        <w:rPr>
          <w:b/>
        </w:rPr>
        <w:t>Index</w:t>
      </w:r>
    </w:p>
    <w:p w14:paraId="2BF299E0" w14:textId="77777777" w:rsidR="00C43A50" w:rsidRPr="002416C6" w:rsidRDefault="00C43A50" w:rsidP="00691BBB">
      <w:pPr>
        <w:ind w:left="426" w:firstLine="294"/>
        <w:rPr>
          <w:rFonts w:asciiTheme="minorHAnsi" w:hAnsiTheme="minorHAnsi" w:cstheme="minorHAnsi"/>
          <w:b/>
          <w:bCs/>
        </w:rPr>
      </w:pPr>
      <w:r w:rsidRPr="002416C6">
        <w:rPr>
          <w:rFonts w:asciiTheme="minorHAnsi" w:hAnsiTheme="minorHAnsi" w:cstheme="minorHAnsi"/>
          <w:b/>
          <w:bCs/>
        </w:rPr>
        <w:t>FEXOFENADINE</w:t>
      </w:r>
    </w:p>
    <w:p w14:paraId="420A4F01" w14:textId="33CB2099" w:rsidR="00F261BD" w:rsidRDefault="00C43A50" w:rsidP="00691BBB">
      <w:pPr>
        <w:ind w:left="720"/>
        <w:rPr>
          <w:rFonts w:asciiTheme="minorHAnsi" w:hAnsiTheme="minorHAnsi" w:cstheme="minorHAnsi"/>
        </w:rPr>
      </w:pPr>
      <w:r>
        <w:rPr>
          <w:rFonts w:asciiTheme="minorHAnsi" w:hAnsiTheme="minorHAnsi" w:cstheme="minorHAnsi"/>
        </w:rPr>
        <w:t>Schedule 4</w:t>
      </w:r>
      <w:r>
        <w:rPr>
          <w:rFonts w:asciiTheme="minorHAnsi" w:hAnsiTheme="minorHAnsi" w:cstheme="minorHAnsi"/>
        </w:rPr>
        <w:br/>
        <w:t>Schedule 2</w:t>
      </w:r>
    </w:p>
    <w:p w14:paraId="2085AD83" w14:textId="2950A688" w:rsidR="00F261BD" w:rsidRPr="0055257B" w:rsidRDefault="00F261BD" w:rsidP="00F261BD">
      <w:pPr>
        <w:pStyle w:val="Heading4"/>
      </w:pPr>
      <w:bookmarkStart w:id="38" w:name="_Toc112833612"/>
      <w:r w:rsidRPr="0055257B">
        <w:t>Background</w:t>
      </w:r>
      <w:bookmarkEnd w:id="38"/>
    </w:p>
    <w:p w14:paraId="01A4103C" w14:textId="18D916F6" w:rsidR="006D1F01" w:rsidRPr="003A6A95" w:rsidRDefault="00A27E6F" w:rsidP="00C857A9">
      <w:pPr>
        <w:pStyle w:val="ListBullet"/>
        <w:numPr>
          <w:ilvl w:val="0"/>
          <w:numId w:val="0"/>
        </w:numPr>
        <w:rPr>
          <w:rFonts w:cs="Arial"/>
        </w:rPr>
      </w:pPr>
      <w:r>
        <w:rPr>
          <w:rFonts w:cstheme="majorHAnsi"/>
          <w:szCs w:val="22"/>
        </w:rPr>
        <w:t>Products containing f</w:t>
      </w:r>
      <w:r w:rsidR="002F3ED5" w:rsidRPr="00B360EB">
        <w:rPr>
          <w:rFonts w:cstheme="majorHAnsi"/>
          <w:szCs w:val="22"/>
        </w:rPr>
        <w:t xml:space="preserve">exofenadine hydrochloride </w:t>
      </w:r>
      <w:r>
        <w:rPr>
          <w:rFonts w:cstheme="majorHAnsi"/>
          <w:szCs w:val="22"/>
        </w:rPr>
        <w:t>are</w:t>
      </w:r>
      <w:r w:rsidRPr="00B360EB">
        <w:rPr>
          <w:rFonts w:cstheme="majorHAnsi"/>
          <w:szCs w:val="22"/>
        </w:rPr>
        <w:t xml:space="preserve"> </w:t>
      </w:r>
      <w:r w:rsidR="002F3ED5" w:rsidRPr="00B360EB">
        <w:rPr>
          <w:rFonts w:cstheme="majorHAnsi"/>
          <w:szCs w:val="22"/>
        </w:rPr>
        <w:t xml:space="preserve">currently approved </w:t>
      </w:r>
      <w:r>
        <w:rPr>
          <w:rFonts w:cstheme="majorHAnsi"/>
          <w:szCs w:val="22"/>
        </w:rPr>
        <w:t xml:space="preserve">by the TGA </w:t>
      </w:r>
      <w:r w:rsidR="002F3ED5" w:rsidRPr="00B360EB">
        <w:rPr>
          <w:rFonts w:cstheme="majorHAnsi"/>
          <w:szCs w:val="22"/>
        </w:rPr>
        <w:t xml:space="preserve">for providing temporary relief of seasonal allergic rhinitis (SAR) in children and adults aged 12 years and over. </w:t>
      </w:r>
      <w:r w:rsidR="006D1F01">
        <w:rPr>
          <w:rFonts w:cstheme="majorHAnsi"/>
          <w:szCs w:val="22"/>
        </w:rPr>
        <w:t xml:space="preserve">Since being placed into Schedule 2 of the Poisons Standard in 1999, </w:t>
      </w:r>
      <w:proofErr w:type="gramStart"/>
      <w:r w:rsidR="006D1F01">
        <w:rPr>
          <w:rFonts w:cstheme="majorHAnsi"/>
          <w:szCs w:val="22"/>
        </w:rPr>
        <w:t>a number of</w:t>
      </w:r>
      <w:proofErr w:type="gramEnd"/>
      <w:r w:rsidR="006D1F01">
        <w:rPr>
          <w:rFonts w:cstheme="majorHAnsi"/>
          <w:szCs w:val="22"/>
        </w:rPr>
        <w:t xml:space="preserve"> amendments have been made to </w:t>
      </w:r>
      <w:r w:rsidR="004F2B19">
        <w:rPr>
          <w:rFonts w:cstheme="majorHAnsi"/>
          <w:szCs w:val="22"/>
        </w:rPr>
        <w:t xml:space="preserve">progressively </w:t>
      </w:r>
      <w:r w:rsidR="006D1F01">
        <w:rPr>
          <w:rFonts w:cstheme="majorHAnsi"/>
          <w:szCs w:val="22"/>
        </w:rPr>
        <w:t xml:space="preserve">enable general sale of </w:t>
      </w:r>
      <w:r w:rsidR="005110EB">
        <w:rPr>
          <w:rFonts w:cstheme="majorHAnsi"/>
          <w:szCs w:val="22"/>
        </w:rPr>
        <w:t xml:space="preserve">oral preparations of </w:t>
      </w:r>
      <w:r w:rsidR="006D1F01">
        <w:rPr>
          <w:rFonts w:cstheme="majorHAnsi"/>
          <w:szCs w:val="22"/>
        </w:rPr>
        <w:t>fexofenadine in specified pack sizes</w:t>
      </w:r>
      <w:r w:rsidR="001C40AE">
        <w:rPr>
          <w:rFonts w:cstheme="majorHAnsi"/>
          <w:szCs w:val="22"/>
        </w:rPr>
        <w:t xml:space="preserve"> and</w:t>
      </w:r>
      <w:r w:rsidR="006D1F01">
        <w:rPr>
          <w:rFonts w:cstheme="majorHAnsi"/>
          <w:szCs w:val="22"/>
        </w:rPr>
        <w:t xml:space="preserve"> dosages and </w:t>
      </w:r>
      <w:r w:rsidR="001C40AE">
        <w:rPr>
          <w:rFonts w:cstheme="majorHAnsi"/>
          <w:szCs w:val="22"/>
        </w:rPr>
        <w:t xml:space="preserve">to particular </w:t>
      </w:r>
      <w:r w:rsidR="006D1F01">
        <w:rPr>
          <w:rFonts w:cstheme="majorHAnsi"/>
          <w:szCs w:val="22"/>
        </w:rPr>
        <w:t>age groups.</w:t>
      </w:r>
    </w:p>
    <w:p w14:paraId="0F003504" w14:textId="7110E9E5" w:rsidR="00F261BD" w:rsidRPr="0055257B" w:rsidRDefault="00A27E6F" w:rsidP="00F261BD">
      <w:pPr>
        <w:pStyle w:val="Heading4"/>
      </w:pPr>
      <w:bookmarkStart w:id="39" w:name="_Toc112833613"/>
      <w:r w:rsidRPr="00A27E6F">
        <w:t>Summary of applicant’s reasons for the proposal</w:t>
      </w:r>
      <w:bookmarkEnd w:id="39"/>
    </w:p>
    <w:p w14:paraId="15FE8C35" w14:textId="63849503" w:rsidR="00F261BD" w:rsidRPr="00632FE9" w:rsidRDefault="00A07868" w:rsidP="00F261BD">
      <w:pPr>
        <w:pStyle w:val="ListBullet"/>
        <w:rPr>
          <w:rFonts w:cstheme="majorHAnsi"/>
          <w:szCs w:val="22"/>
        </w:rPr>
      </w:pPr>
      <w:r w:rsidRPr="00632FE9">
        <w:rPr>
          <w:rFonts w:cstheme="majorHAnsi"/>
          <w:szCs w:val="22"/>
        </w:rPr>
        <w:t>Fexofenadine is non-sedating</w:t>
      </w:r>
      <w:r w:rsidR="00B84346">
        <w:rPr>
          <w:rFonts w:cstheme="majorHAnsi"/>
          <w:szCs w:val="22"/>
        </w:rPr>
        <w:t xml:space="preserve"> and</w:t>
      </w:r>
      <w:r w:rsidRPr="00632FE9">
        <w:rPr>
          <w:rFonts w:cstheme="majorHAnsi"/>
          <w:szCs w:val="22"/>
        </w:rPr>
        <w:t xml:space="preserve"> well tolerated</w:t>
      </w:r>
      <w:r w:rsidR="00B84346" w:rsidRPr="00B84346">
        <w:rPr>
          <w:rFonts w:cstheme="majorHAnsi"/>
          <w:szCs w:val="22"/>
        </w:rPr>
        <w:t xml:space="preserve"> </w:t>
      </w:r>
      <w:r w:rsidR="001F7B53">
        <w:rPr>
          <w:rFonts w:cstheme="majorHAnsi"/>
          <w:szCs w:val="22"/>
        </w:rPr>
        <w:t>for</w:t>
      </w:r>
      <w:r w:rsidR="00B84346">
        <w:rPr>
          <w:rFonts w:cstheme="majorHAnsi"/>
          <w:szCs w:val="22"/>
        </w:rPr>
        <w:t xml:space="preserve"> up to </w:t>
      </w:r>
      <w:r w:rsidR="00B84346" w:rsidRPr="00632FE9">
        <w:rPr>
          <w:rFonts w:cstheme="majorHAnsi"/>
          <w:szCs w:val="22"/>
        </w:rPr>
        <w:t>24</w:t>
      </w:r>
      <w:r w:rsidR="00B84346">
        <w:rPr>
          <w:rFonts w:cstheme="majorHAnsi"/>
          <w:szCs w:val="22"/>
        </w:rPr>
        <w:t xml:space="preserve"> </w:t>
      </w:r>
      <w:r w:rsidR="00B84346" w:rsidRPr="00632FE9">
        <w:rPr>
          <w:rFonts w:cstheme="majorHAnsi"/>
          <w:szCs w:val="22"/>
        </w:rPr>
        <w:t>hour</w:t>
      </w:r>
      <w:r w:rsidR="00B84346">
        <w:rPr>
          <w:rFonts w:cstheme="majorHAnsi"/>
          <w:szCs w:val="22"/>
        </w:rPr>
        <w:t>s of therapeutic effect</w:t>
      </w:r>
      <w:r w:rsidR="00B84346" w:rsidRPr="00632FE9">
        <w:rPr>
          <w:rFonts w:cstheme="majorHAnsi"/>
          <w:szCs w:val="22"/>
        </w:rPr>
        <w:t xml:space="preserve"> from one </w:t>
      </w:r>
      <w:r w:rsidR="00B84346">
        <w:rPr>
          <w:rFonts w:cstheme="majorHAnsi"/>
          <w:szCs w:val="22"/>
        </w:rPr>
        <w:t xml:space="preserve">120 mg or 180 mg </w:t>
      </w:r>
      <w:r w:rsidR="00B84346" w:rsidRPr="00632FE9">
        <w:rPr>
          <w:rFonts w:cstheme="majorHAnsi"/>
          <w:szCs w:val="22"/>
        </w:rPr>
        <w:t>dose</w:t>
      </w:r>
      <w:r w:rsidR="00AE48AA">
        <w:rPr>
          <w:rFonts w:cstheme="majorHAnsi"/>
          <w:szCs w:val="22"/>
        </w:rPr>
        <w:t>, indicating the safety associated with normal use of the medicine</w:t>
      </w:r>
      <w:r w:rsidR="00B84346">
        <w:rPr>
          <w:rFonts w:cstheme="majorHAnsi"/>
          <w:szCs w:val="22"/>
        </w:rPr>
        <w:t xml:space="preserve"> that is compatible with </w:t>
      </w:r>
      <w:r w:rsidR="003E7E40">
        <w:rPr>
          <w:rFonts w:cstheme="majorHAnsi"/>
          <w:szCs w:val="22"/>
        </w:rPr>
        <w:t>sale outside of a pharmacy</w:t>
      </w:r>
      <w:r w:rsidRPr="00632FE9">
        <w:rPr>
          <w:rFonts w:cstheme="majorHAnsi"/>
          <w:szCs w:val="22"/>
        </w:rPr>
        <w:t xml:space="preserve">. </w:t>
      </w:r>
    </w:p>
    <w:p w14:paraId="71A1C35A" w14:textId="4871A66C" w:rsidR="001D6D0D" w:rsidRPr="00632FE9" w:rsidRDefault="00D32F71" w:rsidP="001D6D0D">
      <w:pPr>
        <w:pStyle w:val="ListBullet"/>
        <w:rPr>
          <w:rFonts w:cstheme="majorHAnsi"/>
          <w:szCs w:val="22"/>
        </w:rPr>
      </w:pPr>
      <w:r>
        <w:rPr>
          <w:rFonts w:cstheme="majorHAnsi"/>
          <w:szCs w:val="22"/>
        </w:rPr>
        <w:t>A</w:t>
      </w:r>
      <w:r w:rsidR="001D6D0D" w:rsidRPr="00632FE9">
        <w:rPr>
          <w:rFonts w:cstheme="majorHAnsi"/>
          <w:szCs w:val="22"/>
        </w:rPr>
        <w:t xml:space="preserve"> larger pack size</w:t>
      </w:r>
      <w:r>
        <w:rPr>
          <w:rFonts w:cstheme="majorHAnsi"/>
          <w:szCs w:val="22"/>
        </w:rPr>
        <w:t xml:space="preserve"> would be more convenient</w:t>
      </w:r>
      <w:r w:rsidR="00EA0A1D">
        <w:rPr>
          <w:rFonts w:cstheme="majorHAnsi"/>
          <w:szCs w:val="22"/>
        </w:rPr>
        <w:t xml:space="preserve"> for consumers to purchase outside a pharmacy setting</w:t>
      </w:r>
      <w:r w:rsidR="00A27E6F">
        <w:rPr>
          <w:rFonts w:cstheme="majorHAnsi"/>
          <w:szCs w:val="22"/>
        </w:rPr>
        <w:t xml:space="preserve">. </w:t>
      </w:r>
      <w:r>
        <w:rPr>
          <w:rFonts w:cstheme="majorHAnsi"/>
          <w:szCs w:val="22"/>
        </w:rPr>
        <w:t xml:space="preserve">The user can have greater certainty of having </w:t>
      </w:r>
      <w:r w:rsidR="00BC4F9E">
        <w:rPr>
          <w:rFonts w:cstheme="majorHAnsi"/>
          <w:szCs w:val="22"/>
        </w:rPr>
        <w:t xml:space="preserve">a </w:t>
      </w:r>
      <w:r>
        <w:rPr>
          <w:rFonts w:cstheme="majorHAnsi"/>
          <w:szCs w:val="22"/>
        </w:rPr>
        <w:t xml:space="preserve">ready supply to </w:t>
      </w:r>
      <w:r w:rsidR="001D6D0D" w:rsidRPr="00632FE9">
        <w:rPr>
          <w:rFonts w:cstheme="majorHAnsi"/>
          <w:szCs w:val="22"/>
        </w:rPr>
        <w:t>relieve symptoms immediately after exposure to a trigger</w:t>
      </w:r>
      <w:r>
        <w:rPr>
          <w:rFonts w:cstheme="majorHAnsi"/>
          <w:szCs w:val="22"/>
        </w:rPr>
        <w:t xml:space="preserve"> without the need to purchase multiple packs. A larger pack can also </w:t>
      </w:r>
      <w:r w:rsidR="001D6D0D" w:rsidRPr="00632FE9">
        <w:rPr>
          <w:rFonts w:cstheme="majorHAnsi"/>
          <w:szCs w:val="22"/>
        </w:rPr>
        <w:t xml:space="preserve">support </w:t>
      </w:r>
      <w:r>
        <w:rPr>
          <w:rFonts w:cstheme="majorHAnsi"/>
          <w:szCs w:val="22"/>
        </w:rPr>
        <w:t xml:space="preserve">the </w:t>
      </w:r>
      <w:r w:rsidR="001D6D0D" w:rsidRPr="00632FE9">
        <w:rPr>
          <w:rFonts w:cstheme="majorHAnsi"/>
          <w:szCs w:val="22"/>
        </w:rPr>
        <w:t>treatment for multiple family members</w:t>
      </w:r>
      <w:r w:rsidR="00B90B09">
        <w:rPr>
          <w:rFonts w:cstheme="majorHAnsi"/>
          <w:szCs w:val="22"/>
        </w:rPr>
        <w:t>,</w:t>
      </w:r>
      <w:r w:rsidR="001D6D0D" w:rsidRPr="00632FE9">
        <w:rPr>
          <w:rFonts w:cstheme="majorHAnsi"/>
          <w:szCs w:val="22"/>
        </w:rPr>
        <w:t xml:space="preserve"> or for those sufferers experiencing intermittent episodes over a longer period in parts of Australia where the distance or duration of travel to a pharmacy during their opening hours may not be convenient. </w:t>
      </w:r>
    </w:p>
    <w:p w14:paraId="1619AA2A" w14:textId="3DBD3EBA" w:rsidR="001D6D0D" w:rsidRPr="00632FE9" w:rsidRDefault="00EA0A1D" w:rsidP="001D6D0D">
      <w:pPr>
        <w:pStyle w:val="ListBullet"/>
        <w:rPr>
          <w:rFonts w:cstheme="majorHAnsi"/>
          <w:szCs w:val="22"/>
        </w:rPr>
      </w:pPr>
      <w:r>
        <w:rPr>
          <w:rFonts w:cstheme="majorHAnsi"/>
          <w:szCs w:val="22"/>
        </w:rPr>
        <w:t>T</w:t>
      </w:r>
      <w:r w:rsidR="001D6D0D" w:rsidRPr="00632FE9">
        <w:rPr>
          <w:rFonts w:cstheme="majorHAnsi"/>
          <w:szCs w:val="22"/>
        </w:rPr>
        <w:t xml:space="preserve">here is already precedence in the Australian market </w:t>
      </w:r>
      <w:r>
        <w:rPr>
          <w:rFonts w:cstheme="majorHAnsi"/>
          <w:szCs w:val="22"/>
        </w:rPr>
        <w:t xml:space="preserve">for </w:t>
      </w:r>
      <w:r w:rsidR="00B84346">
        <w:rPr>
          <w:rFonts w:cstheme="majorHAnsi"/>
          <w:szCs w:val="22"/>
        </w:rPr>
        <w:t xml:space="preserve">general sale access to larger pack sizes of </w:t>
      </w:r>
      <w:r>
        <w:rPr>
          <w:rFonts w:cstheme="majorHAnsi"/>
          <w:szCs w:val="22"/>
        </w:rPr>
        <w:t>comparable medicines</w:t>
      </w:r>
      <w:r w:rsidR="001C40AE">
        <w:rPr>
          <w:rFonts w:cstheme="majorHAnsi"/>
          <w:szCs w:val="22"/>
        </w:rPr>
        <w:t>.</w:t>
      </w:r>
      <w:r>
        <w:rPr>
          <w:rFonts w:cstheme="majorHAnsi"/>
          <w:szCs w:val="22"/>
        </w:rPr>
        <w:t xml:space="preserve"> </w:t>
      </w:r>
      <w:r w:rsidR="001C40AE">
        <w:rPr>
          <w:rFonts w:cstheme="majorHAnsi"/>
          <w:szCs w:val="22"/>
        </w:rPr>
        <w:t>For example,</w:t>
      </w:r>
      <w:r w:rsidR="001D6D0D" w:rsidRPr="00632FE9">
        <w:rPr>
          <w:rFonts w:cstheme="majorHAnsi"/>
          <w:szCs w:val="22"/>
        </w:rPr>
        <w:t xml:space="preserve"> loratadine 10</w:t>
      </w:r>
      <w:r w:rsidR="00B84346">
        <w:rPr>
          <w:rFonts w:cstheme="majorHAnsi"/>
          <w:szCs w:val="22"/>
        </w:rPr>
        <w:t xml:space="preserve"> </w:t>
      </w:r>
      <w:r w:rsidR="001D6D0D" w:rsidRPr="00632FE9">
        <w:rPr>
          <w:rFonts w:cstheme="majorHAnsi"/>
          <w:szCs w:val="22"/>
        </w:rPr>
        <w:t xml:space="preserve">mg is available </w:t>
      </w:r>
      <w:r w:rsidR="00C857A9">
        <w:rPr>
          <w:rFonts w:cstheme="majorHAnsi"/>
          <w:szCs w:val="22"/>
        </w:rPr>
        <w:t>for general sale</w:t>
      </w:r>
      <w:r w:rsidR="001D6D0D" w:rsidRPr="00632FE9">
        <w:rPr>
          <w:rFonts w:cstheme="majorHAnsi"/>
          <w:szCs w:val="22"/>
        </w:rPr>
        <w:t xml:space="preserve"> in divided preparations for the treatment of </w:t>
      </w:r>
      <w:r>
        <w:rPr>
          <w:rFonts w:cstheme="majorHAnsi"/>
          <w:szCs w:val="22"/>
        </w:rPr>
        <w:t>SAR</w:t>
      </w:r>
      <w:r w:rsidR="00E61880">
        <w:rPr>
          <w:rFonts w:cstheme="majorHAnsi"/>
          <w:szCs w:val="22"/>
        </w:rPr>
        <w:t>,</w:t>
      </w:r>
      <w:r w:rsidR="001D6D0D" w:rsidRPr="00632FE9">
        <w:rPr>
          <w:rFonts w:cstheme="majorHAnsi"/>
          <w:szCs w:val="22"/>
        </w:rPr>
        <w:t xml:space="preserve"> in a primary pack containing 10 dosage units or less for adults and children</w:t>
      </w:r>
      <w:r w:rsidR="00B90B09">
        <w:rPr>
          <w:rFonts w:cstheme="majorHAnsi"/>
          <w:szCs w:val="22"/>
        </w:rPr>
        <w:t xml:space="preserve"> aged</w:t>
      </w:r>
      <w:r w:rsidR="001D6D0D" w:rsidRPr="00632FE9">
        <w:rPr>
          <w:rFonts w:cstheme="majorHAnsi"/>
          <w:szCs w:val="22"/>
        </w:rPr>
        <w:t xml:space="preserve"> 6 years</w:t>
      </w:r>
      <w:r w:rsidR="00B90B09">
        <w:rPr>
          <w:rFonts w:cstheme="majorHAnsi"/>
          <w:szCs w:val="22"/>
        </w:rPr>
        <w:t xml:space="preserve"> </w:t>
      </w:r>
      <w:r w:rsidR="001D6D0D" w:rsidRPr="00632FE9">
        <w:rPr>
          <w:rFonts w:cstheme="majorHAnsi"/>
          <w:szCs w:val="22"/>
        </w:rPr>
        <w:t>and over.</w:t>
      </w:r>
    </w:p>
    <w:p w14:paraId="424EAB6A" w14:textId="03E3A702" w:rsidR="0094250F" w:rsidRPr="00632FE9" w:rsidRDefault="0094250F" w:rsidP="008E48A7">
      <w:pPr>
        <w:pStyle w:val="ListBullet2"/>
        <w:numPr>
          <w:ilvl w:val="0"/>
          <w:numId w:val="28"/>
        </w:numPr>
        <w:rPr>
          <w:rFonts w:cstheme="majorHAnsi"/>
          <w:szCs w:val="22"/>
        </w:rPr>
      </w:pPr>
      <w:r w:rsidRPr="00632FE9">
        <w:rPr>
          <w:rFonts w:cstheme="majorHAnsi"/>
          <w:szCs w:val="22"/>
        </w:rPr>
        <w:lastRenderedPageBreak/>
        <w:t xml:space="preserve">Sufferers of SAR are capable of self-diagnosis due to the distinctive seasonal onset which </w:t>
      </w:r>
      <w:r w:rsidR="00810A89" w:rsidRPr="00632FE9">
        <w:rPr>
          <w:rFonts w:cstheme="majorHAnsi"/>
          <w:szCs w:val="22"/>
        </w:rPr>
        <w:t>differentiates it from other types of rhinitis.</w:t>
      </w:r>
      <w:r w:rsidRPr="00632FE9">
        <w:rPr>
          <w:rFonts w:cstheme="majorHAnsi"/>
          <w:szCs w:val="22"/>
        </w:rPr>
        <w:t xml:space="preserve"> Access to immediate relief of SAR is integral to self-management of the condition</w:t>
      </w:r>
      <w:r w:rsidR="00EA0A1D">
        <w:rPr>
          <w:rFonts w:cstheme="majorHAnsi"/>
          <w:szCs w:val="22"/>
        </w:rPr>
        <w:t>, which aligns with making the medicine more widely available for general sale</w:t>
      </w:r>
      <w:r w:rsidRPr="00632FE9">
        <w:rPr>
          <w:rFonts w:cstheme="majorHAnsi"/>
          <w:szCs w:val="22"/>
        </w:rPr>
        <w:t xml:space="preserve">. </w:t>
      </w:r>
    </w:p>
    <w:p w14:paraId="6C7F915D" w14:textId="6B15918E" w:rsidR="00810A89" w:rsidRPr="00632FE9" w:rsidRDefault="00810A89" w:rsidP="008E48A7">
      <w:pPr>
        <w:pStyle w:val="ListBullet2"/>
        <w:numPr>
          <w:ilvl w:val="0"/>
          <w:numId w:val="28"/>
        </w:numPr>
        <w:rPr>
          <w:rFonts w:cstheme="majorHAnsi"/>
          <w:szCs w:val="22"/>
        </w:rPr>
      </w:pPr>
      <w:r w:rsidRPr="00632FE9">
        <w:rPr>
          <w:rFonts w:cstheme="majorHAnsi"/>
          <w:szCs w:val="22"/>
        </w:rPr>
        <w:t xml:space="preserve">First registered in the United Kingdom in 1996, fexofenadine is now approved in over 100 countries for the same indication. In Australia, the substance has been approved since 1997. </w:t>
      </w:r>
      <w:r w:rsidR="00CA6F5A" w:rsidRPr="00632FE9">
        <w:rPr>
          <w:rFonts w:cstheme="majorHAnsi"/>
          <w:szCs w:val="22"/>
        </w:rPr>
        <w:t>Fexofenadine is accessible via supermarkets in several countries including Australia, USA and NZ</w:t>
      </w:r>
      <w:r w:rsidR="002622D9" w:rsidRPr="00632FE9">
        <w:rPr>
          <w:rFonts w:cstheme="majorHAnsi"/>
          <w:szCs w:val="22"/>
        </w:rPr>
        <w:t xml:space="preserve"> and has been available at this level for over a decade. </w:t>
      </w:r>
    </w:p>
    <w:p w14:paraId="7A56BC95" w14:textId="13EED156" w:rsidR="00F261BD" w:rsidRDefault="00F261BD" w:rsidP="00F261BD">
      <w:pPr>
        <w:pStyle w:val="Heading4"/>
      </w:pPr>
      <w:bookmarkStart w:id="40" w:name="_Toc112833614"/>
      <w:r>
        <w:t>Key uses / expected use</w:t>
      </w:r>
      <w:bookmarkEnd w:id="40"/>
    </w:p>
    <w:p w14:paraId="6C8D9683" w14:textId="57491CC2" w:rsidR="00F261BD" w:rsidRDefault="00F261BD" w:rsidP="00F261BD">
      <w:r w:rsidRPr="00673D85">
        <w:t>Medicines</w:t>
      </w:r>
    </w:p>
    <w:p w14:paraId="0ED41F7F" w14:textId="48AA4603" w:rsidR="00F261BD" w:rsidRDefault="00F261BD" w:rsidP="00F261BD">
      <w:pPr>
        <w:pStyle w:val="Heading4"/>
      </w:pPr>
      <w:bookmarkStart w:id="41" w:name="_Toc112833615"/>
      <w:r>
        <w:t>Australian regulations</w:t>
      </w:r>
      <w:bookmarkEnd w:id="41"/>
    </w:p>
    <w:p w14:paraId="53E445BD" w14:textId="2574261D" w:rsidR="00F261BD" w:rsidRDefault="00F261BD" w:rsidP="008E48A7">
      <w:pPr>
        <w:pStyle w:val="ListBullet"/>
        <w:numPr>
          <w:ilvl w:val="0"/>
          <w:numId w:val="27"/>
        </w:numPr>
      </w:pPr>
      <w:r>
        <w:t xml:space="preserve">According to the </w:t>
      </w:r>
      <w:hyperlink r:id="rId53"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31"/>
      </w:r>
      <w:r>
        <w:t xml:space="preserve"> </w:t>
      </w:r>
      <w:r w:rsidR="00673D85">
        <w:t>fexofenadine (as hydrochloride)</w:t>
      </w:r>
      <w:r>
        <w:t xml:space="preserve"> is:</w:t>
      </w:r>
    </w:p>
    <w:p w14:paraId="73E6DFC7" w14:textId="669487F5" w:rsidR="00673D85" w:rsidRDefault="00673D85" w:rsidP="00F73276">
      <w:pPr>
        <w:pStyle w:val="ListBullet2"/>
      </w:pPr>
      <w:r>
        <w:t xml:space="preserve">Available for use </w:t>
      </w:r>
      <w:r w:rsidRPr="00F73276">
        <w:t>as</w:t>
      </w:r>
      <w:r>
        <w:t xml:space="preserve"> an Active Ingredient in Biologicals, Export Only, Over the Counter and Prescription Medicines.</w:t>
      </w:r>
    </w:p>
    <w:p w14:paraId="6B30ABA7" w14:textId="700BA6FB" w:rsidR="00673D85" w:rsidRDefault="00673D85" w:rsidP="00F73276">
      <w:pPr>
        <w:pStyle w:val="ListBullet2"/>
      </w:pPr>
      <w:r>
        <w:t>Available for use as an Excipient Ingredient in Biologicals, Devices and Prescription Medicines.</w:t>
      </w:r>
    </w:p>
    <w:p w14:paraId="0A11EF83" w14:textId="7DF07946" w:rsidR="00673D85" w:rsidRPr="00673D85" w:rsidRDefault="00673D85" w:rsidP="00F73276">
      <w:pPr>
        <w:pStyle w:val="ListBullet2"/>
      </w:pPr>
      <w:r>
        <w:t xml:space="preserve">Not available as an </w:t>
      </w:r>
      <w:r w:rsidRPr="00F73276">
        <w:t>Equivalent</w:t>
      </w:r>
      <w:r>
        <w:t xml:space="preserve"> Ingredient in any application.</w:t>
      </w:r>
    </w:p>
    <w:p w14:paraId="77544E35" w14:textId="7924F898" w:rsidR="00F261BD" w:rsidRDefault="00F261BD" w:rsidP="008E48A7">
      <w:pPr>
        <w:pStyle w:val="ListBullet"/>
        <w:numPr>
          <w:ilvl w:val="0"/>
          <w:numId w:val="27"/>
        </w:numPr>
      </w:pPr>
      <w:r>
        <w:t xml:space="preserve">As </w:t>
      </w:r>
      <w:r w:rsidRPr="00660736">
        <w:t xml:space="preserve">of </w:t>
      </w:r>
      <w:r w:rsidR="00660736" w:rsidRPr="00660736">
        <w:t>August</w:t>
      </w:r>
      <w:r w:rsidRPr="00660736">
        <w:t xml:space="preserve"> 20</w:t>
      </w:r>
      <w:r w:rsidR="00660736" w:rsidRPr="00660736">
        <w:t>22</w:t>
      </w:r>
      <w:r w:rsidRPr="00660736">
        <w:t>,</w:t>
      </w:r>
      <w:r>
        <w:t xml:space="preserve"> t</w:t>
      </w:r>
      <w:r w:rsidRPr="00881DFE">
        <w:t xml:space="preserve">here </w:t>
      </w:r>
      <w:r>
        <w:t>were</w:t>
      </w:r>
      <w:r w:rsidRPr="00881DFE">
        <w:t xml:space="preserve"> </w:t>
      </w:r>
      <w:r w:rsidR="00660736">
        <w:t>50</w:t>
      </w:r>
      <w:r>
        <w:t xml:space="preserve"> medicine</w:t>
      </w:r>
      <w:r w:rsidRPr="00881DFE">
        <w:t xml:space="preserve">s currently active on the </w:t>
      </w:r>
      <w:hyperlink r:id="rId54" w:history="1">
        <w:r w:rsidRPr="00293CCA">
          <w:rPr>
            <w:rStyle w:val="Hyperlink"/>
          </w:rPr>
          <w:t>Australian Register of Therapeutic Goods (ARTG)</w:t>
        </w:r>
      </w:hyperlink>
      <w:r>
        <w:rPr>
          <w:rStyle w:val="FootnoteReference"/>
        </w:rPr>
        <w:footnoteReference w:id="32"/>
      </w:r>
      <w:r>
        <w:t xml:space="preserve"> that contain</w:t>
      </w:r>
      <w:r w:rsidRPr="00881DFE">
        <w:t xml:space="preserve"> </w:t>
      </w:r>
      <w:r w:rsidR="00660736">
        <w:t xml:space="preserve">fexofenadine </w:t>
      </w:r>
      <w:r>
        <w:t>as an active ingredient</w:t>
      </w:r>
      <w:r w:rsidRPr="00881DFE">
        <w:t>.</w:t>
      </w:r>
      <w:r>
        <w:t xml:space="preserve"> </w:t>
      </w:r>
      <w:r w:rsidR="00660736">
        <w:t xml:space="preserve">All are </w:t>
      </w:r>
      <w:r>
        <w:t>non-prescription medicines</w:t>
      </w:r>
      <w:r w:rsidR="006920BC">
        <w:t xml:space="preserve"> in tablet or oral suspension dosage forms</w:t>
      </w:r>
      <w:r>
        <w:t>.</w:t>
      </w:r>
    </w:p>
    <w:p w14:paraId="14246CDE" w14:textId="7AB06EB1" w:rsidR="00F261BD" w:rsidRDefault="00660736" w:rsidP="008E48A7">
      <w:pPr>
        <w:pStyle w:val="ListBullet"/>
        <w:numPr>
          <w:ilvl w:val="0"/>
          <w:numId w:val="27"/>
        </w:numPr>
      </w:pPr>
      <w:r>
        <w:t>Fexofenadine</w:t>
      </w:r>
      <w:r w:rsidR="00F261BD" w:rsidRPr="009C55D5">
        <w:t xml:space="preserve"> is not permitted to be included in listed medicines </w:t>
      </w:r>
      <w:r w:rsidR="00F261BD">
        <w:t xml:space="preserve">as it is not included in the </w:t>
      </w:r>
      <w:hyperlink r:id="rId55" w:history="1">
        <w:r w:rsidR="00F261BD" w:rsidRPr="00824CAC">
          <w:rPr>
            <w:rStyle w:val="Hyperlink"/>
          </w:rPr>
          <w:t>Therapeutic Goods (Permissible Ingredients) Determination</w:t>
        </w:r>
      </w:hyperlink>
      <w:r w:rsidR="00F261BD">
        <w:rPr>
          <w:rStyle w:val="FootnoteReference"/>
        </w:rPr>
        <w:footnoteReference w:id="33"/>
      </w:r>
      <w:r w:rsidR="00F261BD" w:rsidRPr="009C55D5">
        <w:t xml:space="preserve"> No.</w:t>
      </w:r>
      <w:r w:rsidR="00B360EB">
        <w:t>4</w:t>
      </w:r>
      <w:r w:rsidR="00F261BD" w:rsidRPr="009C55D5">
        <w:t xml:space="preserve"> of 20</w:t>
      </w:r>
      <w:r>
        <w:t>22</w:t>
      </w:r>
      <w:r w:rsidR="00F261BD" w:rsidRPr="009C55D5">
        <w:t xml:space="preserve">. </w:t>
      </w:r>
    </w:p>
    <w:p w14:paraId="59C1EB7E" w14:textId="19A50C4A" w:rsidR="00F261BD" w:rsidRDefault="00F261BD" w:rsidP="008E48A7">
      <w:pPr>
        <w:pStyle w:val="ListBullet"/>
        <w:keepNext/>
        <w:keepLines/>
        <w:numPr>
          <w:ilvl w:val="0"/>
          <w:numId w:val="27"/>
        </w:numPr>
      </w:pPr>
      <w:r>
        <w:lastRenderedPageBreak/>
        <w:t xml:space="preserve">The </w:t>
      </w:r>
      <w:hyperlink r:id="rId56"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34"/>
      </w:r>
      <w:r>
        <w:t xml:space="preserve"> classifies </w:t>
      </w:r>
      <w:r w:rsidR="00660736">
        <w:t>fexofenadine</w:t>
      </w:r>
      <w:r>
        <w:t xml:space="preserve"> as:</w:t>
      </w:r>
    </w:p>
    <w:tbl>
      <w:tblPr>
        <w:tblStyle w:val="TableTGAblue"/>
        <w:tblW w:w="8670" w:type="dxa"/>
        <w:tblInd w:w="357" w:type="dxa"/>
        <w:tblLook w:val="04A0" w:firstRow="1" w:lastRow="0" w:firstColumn="1" w:lastColumn="0" w:noHBand="0" w:noVBand="1"/>
      </w:tblPr>
      <w:tblGrid>
        <w:gridCol w:w="1812"/>
        <w:gridCol w:w="1727"/>
        <w:gridCol w:w="1834"/>
        <w:gridCol w:w="1851"/>
        <w:gridCol w:w="1446"/>
      </w:tblGrid>
      <w:tr w:rsidR="00F261BD" w:rsidRPr="003346CF" w14:paraId="287A179F" w14:textId="77777777" w:rsidTr="00692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7F7439A1" w14:textId="77777777" w:rsidR="00F261BD" w:rsidRPr="003346CF" w:rsidRDefault="00F261BD" w:rsidP="00F261BD">
            <w:pPr>
              <w:keepLines/>
              <w:rPr>
                <w:sz w:val="20"/>
                <w:szCs w:val="20"/>
              </w:rPr>
            </w:pPr>
            <w:r>
              <w:rPr>
                <w:sz w:val="20"/>
                <w:szCs w:val="20"/>
              </w:rPr>
              <w:t>Drug name</w:t>
            </w:r>
          </w:p>
        </w:tc>
        <w:tc>
          <w:tcPr>
            <w:tcW w:w="1971" w:type="dxa"/>
          </w:tcPr>
          <w:p w14:paraId="28D3D52B"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61A599E0"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290D1C9D"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787" w:type="dxa"/>
          </w:tcPr>
          <w:p w14:paraId="770F7EA3" w14:textId="77777777" w:rsidR="00F261BD" w:rsidRPr="003346CF" w:rsidRDefault="00F261BD" w:rsidP="00F261BD">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F261BD" w:rsidRPr="003346CF" w14:paraId="79EC8EAF" w14:textId="77777777" w:rsidTr="006920BC">
        <w:tc>
          <w:tcPr>
            <w:cnfStyle w:val="001000000000" w:firstRow="0" w:lastRow="0" w:firstColumn="1" w:lastColumn="0" w:oddVBand="0" w:evenVBand="0" w:oddHBand="0" w:evenHBand="0" w:firstRowFirstColumn="0" w:firstRowLastColumn="0" w:lastRowFirstColumn="0" w:lastRowLastColumn="0"/>
            <w:tcW w:w="1970" w:type="dxa"/>
          </w:tcPr>
          <w:p w14:paraId="6EE8F185" w14:textId="5FCB5280" w:rsidR="00F261BD" w:rsidRPr="003346CF" w:rsidRDefault="00660736" w:rsidP="00F261BD">
            <w:pPr>
              <w:keepNext/>
              <w:keepLines/>
              <w:rPr>
                <w:sz w:val="20"/>
                <w:szCs w:val="20"/>
              </w:rPr>
            </w:pPr>
            <w:r>
              <w:rPr>
                <w:sz w:val="20"/>
                <w:szCs w:val="20"/>
              </w:rPr>
              <w:t>Fexofenadine</w:t>
            </w:r>
          </w:p>
        </w:tc>
        <w:tc>
          <w:tcPr>
            <w:tcW w:w="1971" w:type="dxa"/>
          </w:tcPr>
          <w:p w14:paraId="79867572" w14:textId="0604966A" w:rsidR="00F261BD" w:rsidRPr="003346CF" w:rsidRDefault="00660736"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B2</w:t>
            </w:r>
          </w:p>
        </w:tc>
        <w:tc>
          <w:tcPr>
            <w:tcW w:w="1971" w:type="dxa"/>
          </w:tcPr>
          <w:p w14:paraId="3654999D" w14:textId="6B327085" w:rsidR="00F261BD" w:rsidRPr="003346CF" w:rsidRDefault="00660736"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Allergy and Immune System</w:t>
            </w:r>
          </w:p>
        </w:tc>
        <w:tc>
          <w:tcPr>
            <w:tcW w:w="1971" w:type="dxa"/>
          </w:tcPr>
          <w:p w14:paraId="6695F7F8" w14:textId="5444CCEC" w:rsidR="00F261BD" w:rsidRPr="003346CF" w:rsidRDefault="00660736"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Antihistamines</w:t>
            </w:r>
          </w:p>
        </w:tc>
        <w:tc>
          <w:tcPr>
            <w:tcW w:w="787" w:type="dxa"/>
          </w:tcPr>
          <w:p w14:paraId="2256E06E" w14:textId="77777777" w:rsidR="00F261BD" w:rsidRPr="003346CF" w:rsidRDefault="00F261BD" w:rsidP="00F261BD">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F261BD" w:rsidRPr="003346CF" w14:paraId="26AAE0F6" w14:textId="77777777" w:rsidTr="006920BC">
        <w:tc>
          <w:tcPr>
            <w:cnfStyle w:val="001000000000" w:firstRow="0" w:lastRow="0" w:firstColumn="1" w:lastColumn="0" w:oddVBand="0" w:evenVBand="0" w:oddHBand="0" w:evenHBand="0" w:firstRowFirstColumn="0" w:firstRowLastColumn="0" w:lastRowFirstColumn="0" w:lastRowLastColumn="0"/>
            <w:tcW w:w="8670" w:type="dxa"/>
            <w:gridSpan w:val="5"/>
          </w:tcPr>
          <w:p w14:paraId="3BE32673" w14:textId="77777777" w:rsidR="00F261BD" w:rsidRPr="003C7D97" w:rsidRDefault="00F261BD" w:rsidP="00F261BD">
            <w:pPr>
              <w:keepNext/>
              <w:keepLines/>
              <w:rPr>
                <w:sz w:val="16"/>
                <w:szCs w:val="16"/>
              </w:rPr>
            </w:pPr>
            <w:r w:rsidRPr="003C7D97">
              <w:rPr>
                <w:b/>
                <w:sz w:val="16"/>
                <w:szCs w:val="16"/>
              </w:rPr>
              <w:t>Category B2</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2578CF06" w14:textId="6BAB7B32" w:rsidR="00F261BD" w:rsidRPr="00660736" w:rsidRDefault="00F261BD" w:rsidP="00F261BD">
            <w:pPr>
              <w:keepNext/>
              <w:keepLines/>
              <w:rPr>
                <w:sz w:val="16"/>
                <w:szCs w:val="16"/>
              </w:rPr>
            </w:pPr>
            <w:r w:rsidRPr="003C7D97">
              <w:rPr>
                <w:sz w:val="16"/>
                <w:szCs w:val="16"/>
              </w:rPr>
              <w:t>Studies in animals are inadequate or may be lacking, but available data show no evidence of an increased occurrence of foetal damage.</w:t>
            </w:r>
          </w:p>
        </w:tc>
      </w:tr>
    </w:tbl>
    <w:p w14:paraId="048517A9" w14:textId="70266416" w:rsidR="00F261BD" w:rsidRDefault="00F261BD" w:rsidP="008E48A7">
      <w:pPr>
        <w:pStyle w:val="ListBullet"/>
        <w:numPr>
          <w:ilvl w:val="0"/>
          <w:numId w:val="27"/>
        </w:numPr>
      </w:pPr>
      <w:r>
        <w:t>The</w:t>
      </w:r>
      <w:r w:rsidRPr="00AB7BF5">
        <w:t xml:space="preserve"> </w:t>
      </w:r>
      <w:hyperlink r:id="rId57" w:history="1">
        <w:r w:rsidRPr="00AB7BF5">
          <w:rPr>
            <w:rStyle w:val="Hyperlink"/>
          </w:rPr>
          <w:t>Therapeutic Goods (Medicines Advisory Statements) Specification 2019</w:t>
        </w:r>
      </w:hyperlink>
      <w:r>
        <w:rPr>
          <w:rStyle w:val="FootnoteReference"/>
        </w:rPr>
        <w:footnoteReference w:id="35"/>
      </w:r>
      <w:r>
        <w:t xml:space="preserve"> requires</w:t>
      </w:r>
      <w:r w:rsidRPr="00A30084">
        <w:t xml:space="preserve"> the following warning statements pertaining to </w:t>
      </w:r>
      <w:r w:rsidR="00A509D1">
        <w:t>fexofenadine</w:t>
      </w:r>
      <w:r w:rsidRPr="00A30084">
        <w:t xml:space="preserve"> to be included on the labelling:</w:t>
      </w:r>
    </w:p>
    <w:tbl>
      <w:tblPr>
        <w:tblStyle w:val="TableTGAblue"/>
        <w:tblW w:w="0" w:type="auto"/>
        <w:tblInd w:w="360" w:type="dxa"/>
        <w:tblLook w:val="04A0" w:firstRow="1" w:lastRow="0" w:firstColumn="1" w:lastColumn="0" w:noHBand="0" w:noVBand="1"/>
      </w:tblPr>
      <w:tblGrid>
        <w:gridCol w:w="1871"/>
        <w:gridCol w:w="2110"/>
        <w:gridCol w:w="4709"/>
      </w:tblGrid>
      <w:tr w:rsidR="00F261BD" w:rsidRPr="006112EA" w14:paraId="7E37ABAE" w14:textId="77777777" w:rsidTr="00F26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0E95D27" w14:textId="77777777" w:rsidR="00F261BD" w:rsidRPr="006112EA" w:rsidRDefault="00F261BD" w:rsidP="00F261BD">
            <w:pPr>
              <w:pStyle w:val="ListBullet"/>
              <w:numPr>
                <w:ilvl w:val="0"/>
                <w:numId w:val="0"/>
              </w:numPr>
              <w:rPr>
                <w:sz w:val="20"/>
                <w:szCs w:val="20"/>
              </w:rPr>
            </w:pPr>
            <w:r>
              <w:rPr>
                <w:sz w:val="20"/>
                <w:szCs w:val="20"/>
              </w:rPr>
              <w:t>Substance</w:t>
            </w:r>
          </w:p>
        </w:tc>
        <w:tc>
          <w:tcPr>
            <w:tcW w:w="2117" w:type="dxa"/>
          </w:tcPr>
          <w:p w14:paraId="13A761D6" w14:textId="77777777" w:rsidR="00F261BD" w:rsidRPr="006112EA" w:rsidRDefault="00F261BD" w:rsidP="00F261B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Conditions </w:t>
            </w:r>
          </w:p>
        </w:tc>
        <w:tc>
          <w:tcPr>
            <w:tcW w:w="4734" w:type="dxa"/>
          </w:tcPr>
          <w:p w14:paraId="1760F8DB" w14:textId="77777777" w:rsidR="00F261BD" w:rsidRPr="006112EA" w:rsidRDefault="00F261BD" w:rsidP="00F261B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Required Statement(s) </w:t>
            </w:r>
          </w:p>
        </w:tc>
      </w:tr>
      <w:tr w:rsidR="00F261BD" w:rsidRPr="006112EA" w14:paraId="5081CFA1" w14:textId="77777777" w:rsidTr="00F261BD">
        <w:tc>
          <w:tcPr>
            <w:cnfStyle w:val="001000000000" w:firstRow="0" w:lastRow="0" w:firstColumn="1" w:lastColumn="0" w:oddVBand="0" w:evenVBand="0" w:oddHBand="0" w:evenHBand="0" w:firstRowFirstColumn="0" w:firstRowLastColumn="0" w:lastRowFirstColumn="0" w:lastRowLastColumn="0"/>
            <w:tcW w:w="1875" w:type="dxa"/>
          </w:tcPr>
          <w:p w14:paraId="38C22AA9" w14:textId="5B3970D4" w:rsidR="00F261BD" w:rsidRPr="006112EA" w:rsidRDefault="00A509D1" w:rsidP="00F261BD">
            <w:pPr>
              <w:rPr>
                <w:sz w:val="20"/>
                <w:szCs w:val="20"/>
              </w:rPr>
            </w:pPr>
            <w:r>
              <w:rPr>
                <w:sz w:val="20"/>
                <w:szCs w:val="20"/>
              </w:rPr>
              <w:t>Fexofenadine</w:t>
            </w:r>
          </w:p>
        </w:tc>
        <w:tc>
          <w:tcPr>
            <w:tcW w:w="2117" w:type="dxa"/>
          </w:tcPr>
          <w:p w14:paraId="0BEB5B9B" w14:textId="1BB365B3" w:rsidR="00F261BD" w:rsidRPr="006112EA" w:rsidRDefault="00A509D1" w:rsidP="00F261B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 medicines for oral use</w:t>
            </w:r>
          </w:p>
        </w:tc>
        <w:tc>
          <w:tcPr>
            <w:tcW w:w="4734" w:type="dxa"/>
          </w:tcPr>
          <w:p w14:paraId="5F26045A" w14:textId="563BEB1D" w:rsidR="00F261BD" w:rsidRPr="006112EA" w:rsidRDefault="00A509D1" w:rsidP="00F261B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If you are pregnant or breastfeeding, check with your doctor or pharmacist before using this medicine.</w:t>
            </w:r>
          </w:p>
        </w:tc>
      </w:tr>
    </w:tbl>
    <w:p w14:paraId="13BF2A21" w14:textId="3B05B6DD" w:rsidR="00F261BD" w:rsidRPr="009C55D5" w:rsidRDefault="00A509D1" w:rsidP="008E48A7">
      <w:pPr>
        <w:pStyle w:val="ListBullet"/>
        <w:numPr>
          <w:ilvl w:val="0"/>
          <w:numId w:val="27"/>
        </w:numPr>
      </w:pPr>
      <w:r>
        <w:t>Since</w:t>
      </w:r>
      <w:r w:rsidR="00F261BD">
        <w:t xml:space="preserve"> </w:t>
      </w:r>
      <w:r>
        <w:t>January 2012</w:t>
      </w:r>
      <w:r w:rsidR="00F261BD">
        <w:t xml:space="preserve">, there </w:t>
      </w:r>
      <w:r w:rsidR="003E46C7">
        <w:t>have been</w:t>
      </w:r>
      <w:r w:rsidR="00F261BD" w:rsidRPr="009C55D5">
        <w:t xml:space="preserve"> </w:t>
      </w:r>
      <w:r>
        <w:t>96</w:t>
      </w:r>
      <w:r w:rsidR="00F261BD" w:rsidRPr="009C55D5">
        <w:t xml:space="preserve"> reports of adverse events for products containing </w:t>
      </w:r>
      <w:r>
        <w:t xml:space="preserve">fexofenadine </w:t>
      </w:r>
      <w:r w:rsidR="00F261BD" w:rsidRPr="009C55D5">
        <w:t>as an active ingredient</w:t>
      </w:r>
      <w:r w:rsidR="00F261BD">
        <w:t xml:space="preserve"> on the </w:t>
      </w:r>
      <w:hyperlink r:id="rId58" w:history="1">
        <w:r w:rsidR="00F261BD" w:rsidRPr="00F0449C">
          <w:rPr>
            <w:rStyle w:val="Hyperlink"/>
          </w:rPr>
          <w:t>Database of Adverse Event Notifications (DAEN)</w:t>
        </w:r>
      </w:hyperlink>
      <w:r w:rsidR="00F261BD" w:rsidRPr="00254E0B">
        <w:t>,</w:t>
      </w:r>
      <w:r w:rsidR="00F261BD" w:rsidRPr="00F0449C">
        <w:rPr>
          <w:rStyle w:val="FootnoteReference"/>
        </w:rPr>
        <w:footnoteReference w:id="36"/>
      </w:r>
      <w:r w:rsidR="00F261BD" w:rsidRPr="009C55D5">
        <w:t xml:space="preserve"> with </w:t>
      </w:r>
      <w:r>
        <w:t>52</w:t>
      </w:r>
      <w:r w:rsidR="00F261BD" w:rsidRPr="009C55D5">
        <w:t xml:space="preserve"> reports where </w:t>
      </w:r>
      <w:r>
        <w:t xml:space="preserve">fexofenadine </w:t>
      </w:r>
      <w:r w:rsidR="00F261BD" w:rsidRPr="009C55D5">
        <w:t>was the single suspected medicine.</w:t>
      </w:r>
      <w:r>
        <w:t xml:space="preserve"> </w:t>
      </w:r>
      <w:r w:rsidR="00F52B51">
        <w:t>The reported adverse reactions were diverse in nature with no clear pattern to the affected organs.</w:t>
      </w:r>
      <w:r w:rsidR="00DA39D7">
        <w:t xml:space="preserve"> </w:t>
      </w:r>
    </w:p>
    <w:p w14:paraId="4EE7AA04" w14:textId="24510046" w:rsidR="00F261BD" w:rsidRDefault="00F261BD" w:rsidP="008E48A7">
      <w:pPr>
        <w:pStyle w:val="ListBullet"/>
        <w:numPr>
          <w:ilvl w:val="0"/>
          <w:numId w:val="27"/>
        </w:numPr>
      </w:pPr>
      <w:r>
        <w:t xml:space="preserve">As of </w:t>
      </w:r>
      <w:r w:rsidR="00562C48" w:rsidRPr="00562C48">
        <w:t>August</w:t>
      </w:r>
      <w:r w:rsidRPr="00562C48">
        <w:t xml:space="preserve"> 20</w:t>
      </w:r>
      <w:r w:rsidR="00562C48" w:rsidRPr="00562C48">
        <w:t>22</w:t>
      </w:r>
      <w:r>
        <w:t>, t</w:t>
      </w:r>
      <w:r w:rsidRPr="00F0449C">
        <w:t xml:space="preserve">here </w:t>
      </w:r>
      <w:r>
        <w:t>were</w:t>
      </w:r>
      <w:r w:rsidRPr="00F0449C">
        <w:t xml:space="preserve"> </w:t>
      </w:r>
      <w:r w:rsidRPr="00562C48">
        <w:t>no</w:t>
      </w:r>
      <w:r w:rsidRPr="00F0449C">
        <w:t xml:space="preserve"> products containing </w:t>
      </w:r>
      <w:r w:rsidR="00562C48">
        <w:t>fexofenadine</w:t>
      </w:r>
      <w:r w:rsidRPr="00F0449C">
        <w:t xml:space="preserve"> </w:t>
      </w:r>
      <w:r>
        <w:t xml:space="preserve">as an active ingredient/constituent or scheduled substance </w:t>
      </w:r>
      <w:r w:rsidRPr="00F0449C">
        <w:t xml:space="preserve">listed on the </w:t>
      </w:r>
      <w:hyperlink r:id="rId59"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37"/>
      </w:r>
      <w:r>
        <w:t xml:space="preserve"> </w:t>
      </w:r>
    </w:p>
    <w:p w14:paraId="77E92C11" w14:textId="23243216" w:rsidR="00F261BD" w:rsidRPr="00CB687C" w:rsidRDefault="00F261BD" w:rsidP="00F261BD">
      <w:pPr>
        <w:pStyle w:val="Heading4"/>
      </w:pPr>
      <w:bookmarkStart w:id="42" w:name="_Toc112833616"/>
      <w:r>
        <w:t>International regulations</w:t>
      </w:r>
      <w:bookmarkEnd w:id="42"/>
    </w:p>
    <w:p w14:paraId="01016812" w14:textId="26B957F0" w:rsidR="002622D9" w:rsidRPr="009018CD" w:rsidRDefault="002622D9" w:rsidP="008E48A7">
      <w:pPr>
        <w:pStyle w:val="ListBullet"/>
        <w:numPr>
          <w:ilvl w:val="0"/>
          <w:numId w:val="26"/>
        </w:numPr>
        <w:rPr>
          <w:color w:val="0000FF"/>
          <w:u w:val="single"/>
        </w:rPr>
      </w:pPr>
      <w:r w:rsidRPr="009018CD">
        <w:t xml:space="preserve">Fexofenadine is listed on the </w:t>
      </w:r>
      <w:hyperlink r:id="rId60" w:history="1">
        <w:r w:rsidRPr="009018CD">
          <w:rPr>
            <w:rStyle w:val="Hyperlink"/>
          </w:rPr>
          <w:t>Food and Drugs Administration Approved Drugs Database</w:t>
        </w:r>
      </w:hyperlink>
      <w:r w:rsidR="003E46C7">
        <w:rPr>
          <w:rStyle w:val="FootnoteReference"/>
          <w:color w:val="0000FF"/>
          <w:u w:val="single"/>
        </w:rPr>
        <w:footnoteReference w:id="38"/>
      </w:r>
      <w:r w:rsidRPr="009018CD">
        <w:t xml:space="preserve"> </w:t>
      </w:r>
      <w:r w:rsidR="009018CD">
        <w:t xml:space="preserve">in </w:t>
      </w:r>
      <w:r w:rsidR="003E46C7">
        <w:t>over the counter and prescription-only</w:t>
      </w:r>
      <w:r w:rsidR="009018CD">
        <w:t xml:space="preserve"> products </w:t>
      </w:r>
      <w:r w:rsidRPr="009018CD">
        <w:t xml:space="preserve">and the </w:t>
      </w:r>
      <w:hyperlink r:id="rId61" w:history="1">
        <w:r w:rsidRPr="009018CD">
          <w:rPr>
            <w:rStyle w:val="Hyperlink"/>
          </w:rPr>
          <w:t>Health Canada Drug Product Database</w:t>
        </w:r>
      </w:hyperlink>
      <w:r w:rsidR="003E46C7">
        <w:rPr>
          <w:rStyle w:val="FootnoteReference"/>
          <w:color w:val="0000FF"/>
          <w:u w:val="single"/>
        </w:rPr>
        <w:footnoteReference w:id="39"/>
      </w:r>
      <w:r w:rsidR="009018CD">
        <w:t xml:space="preserve"> with 4 OTC listings. </w:t>
      </w:r>
      <w:r w:rsidRPr="009018CD">
        <w:t xml:space="preserve"> </w:t>
      </w:r>
    </w:p>
    <w:p w14:paraId="119A021D" w14:textId="1647BFF8" w:rsidR="00985BB2" w:rsidRPr="009018CD" w:rsidRDefault="007808A3" w:rsidP="008E48A7">
      <w:pPr>
        <w:pStyle w:val="ListBullet"/>
        <w:numPr>
          <w:ilvl w:val="0"/>
          <w:numId w:val="26"/>
        </w:numPr>
        <w:rPr>
          <w:rStyle w:val="Hyperlink"/>
          <w:color w:val="auto"/>
        </w:rPr>
      </w:pPr>
      <w:r w:rsidRPr="009018CD">
        <w:rPr>
          <w:rStyle w:val="Hyperlink"/>
          <w:color w:val="auto"/>
          <w:u w:val="none"/>
        </w:rPr>
        <w:lastRenderedPageBreak/>
        <w:t xml:space="preserve">The </w:t>
      </w:r>
      <w:hyperlink r:id="rId62" w:history="1">
        <w:r w:rsidRPr="009018CD">
          <w:rPr>
            <w:rStyle w:val="Hyperlink"/>
          </w:rPr>
          <w:t>Health Products Regulatory Authority of Ireland</w:t>
        </w:r>
      </w:hyperlink>
      <w:r w:rsidR="003E46C7">
        <w:rPr>
          <w:rStyle w:val="FootnoteReference"/>
          <w:color w:val="0000FF"/>
          <w:u w:val="single"/>
        </w:rPr>
        <w:footnoteReference w:id="40"/>
      </w:r>
      <w:r w:rsidRPr="009018CD">
        <w:rPr>
          <w:rStyle w:val="Hyperlink"/>
          <w:color w:val="auto"/>
          <w:u w:val="none"/>
        </w:rPr>
        <w:t xml:space="preserve"> has several listing</w:t>
      </w:r>
      <w:r w:rsidR="003E46C7">
        <w:rPr>
          <w:rStyle w:val="Hyperlink"/>
          <w:color w:val="auto"/>
          <w:u w:val="none"/>
        </w:rPr>
        <w:t>s</w:t>
      </w:r>
      <w:r w:rsidRPr="009018CD">
        <w:rPr>
          <w:rStyle w:val="Hyperlink"/>
          <w:color w:val="auto"/>
          <w:u w:val="none"/>
        </w:rPr>
        <w:t xml:space="preserve"> for fexofenadine</w:t>
      </w:r>
      <w:r w:rsidR="00A60D8F" w:rsidRPr="009018CD">
        <w:rPr>
          <w:rStyle w:val="Hyperlink"/>
          <w:color w:val="auto"/>
          <w:u w:val="none"/>
        </w:rPr>
        <w:t>, all of which are prescription</w:t>
      </w:r>
      <w:r w:rsidR="009F397E">
        <w:rPr>
          <w:rStyle w:val="Hyperlink"/>
          <w:color w:val="auto"/>
          <w:u w:val="none"/>
        </w:rPr>
        <w:t>-</w:t>
      </w:r>
      <w:r w:rsidR="00A60D8F" w:rsidRPr="009018CD">
        <w:rPr>
          <w:rStyle w:val="Hyperlink"/>
          <w:color w:val="auto"/>
          <w:u w:val="none"/>
        </w:rPr>
        <w:t xml:space="preserve">only except for one </w:t>
      </w:r>
      <w:r w:rsidR="009F397E">
        <w:rPr>
          <w:rStyle w:val="Hyperlink"/>
          <w:color w:val="auto"/>
          <w:u w:val="none"/>
        </w:rPr>
        <w:t xml:space="preserve">120 mg tablet </w:t>
      </w:r>
      <w:r w:rsidR="00A60D8F" w:rsidRPr="009018CD">
        <w:rPr>
          <w:rStyle w:val="Hyperlink"/>
          <w:color w:val="auto"/>
          <w:u w:val="none"/>
        </w:rPr>
        <w:t>product</w:t>
      </w:r>
      <w:r w:rsidR="009F397E">
        <w:rPr>
          <w:rStyle w:val="Hyperlink"/>
          <w:color w:val="auto"/>
          <w:u w:val="none"/>
        </w:rPr>
        <w:t xml:space="preserve"> which is available without a prescription</w:t>
      </w:r>
      <w:r w:rsidR="001879E9" w:rsidRPr="009018CD">
        <w:rPr>
          <w:rStyle w:val="Hyperlink"/>
          <w:color w:val="auto"/>
          <w:u w:val="none"/>
        </w:rPr>
        <w:t>.</w:t>
      </w:r>
    </w:p>
    <w:p w14:paraId="406895D6" w14:textId="37AF52D5" w:rsidR="007808A3" w:rsidRPr="009018CD" w:rsidRDefault="001C5F86" w:rsidP="008E48A7">
      <w:pPr>
        <w:pStyle w:val="ListBullet"/>
        <w:numPr>
          <w:ilvl w:val="0"/>
          <w:numId w:val="26"/>
        </w:numPr>
        <w:rPr>
          <w:rStyle w:val="Hyperlink"/>
          <w:color w:val="auto"/>
        </w:rPr>
      </w:pPr>
      <w:hyperlink r:id="rId63" w:history="1">
        <w:r w:rsidR="00A60D8F" w:rsidRPr="009018CD">
          <w:rPr>
            <w:rStyle w:val="Hyperlink"/>
          </w:rPr>
          <w:t>New Zealand Medicines and Medical Devices Safety Authority (</w:t>
        </w:r>
        <w:proofErr w:type="spellStart"/>
        <w:r w:rsidR="00A60D8F" w:rsidRPr="009018CD">
          <w:rPr>
            <w:rStyle w:val="Hyperlink"/>
          </w:rPr>
          <w:t>MedSafe</w:t>
        </w:r>
        <w:proofErr w:type="spellEnd"/>
      </w:hyperlink>
      <w:r w:rsidR="00A60D8F" w:rsidRPr="009018CD">
        <w:rPr>
          <w:rStyle w:val="Hyperlink"/>
        </w:rPr>
        <w:t xml:space="preserve">) </w:t>
      </w:r>
      <w:r w:rsidR="00A60D8F" w:rsidRPr="009018CD">
        <w:rPr>
          <w:rStyle w:val="Hyperlink"/>
          <w:color w:val="auto"/>
          <w:u w:val="none"/>
        </w:rPr>
        <w:t>regulat</w:t>
      </w:r>
      <w:r w:rsidR="009F397E">
        <w:rPr>
          <w:rStyle w:val="Hyperlink"/>
          <w:color w:val="auto"/>
          <w:u w:val="none"/>
        </w:rPr>
        <w:t>e</w:t>
      </w:r>
      <w:r w:rsidR="00A60D8F" w:rsidRPr="009018CD">
        <w:rPr>
          <w:rStyle w:val="Hyperlink"/>
          <w:color w:val="auto"/>
          <w:u w:val="none"/>
        </w:rPr>
        <w:t xml:space="preserve">s fexofenadine </w:t>
      </w:r>
      <w:r w:rsidR="009F397E">
        <w:rPr>
          <w:rStyle w:val="Hyperlink"/>
          <w:color w:val="auto"/>
          <w:u w:val="none"/>
        </w:rPr>
        <w:t>as follows</w:t>
      </w:r>
      <w:r w:rsidR="00A60D8F" w:rsidRPr="009018CD">
        <w:rPr>
          <w:rStyle w:val="Hyperlink"/>
          <w:color w:val="auto"/>
          <w:u w:val="none"/>
        </w:rPr>
        <w:t xml:space="preserve">: </w:t>
      </w:r>
    </w:p>
    <w:tbl>
      <w:tblPr>
        <w:tblStyle w:val="TableTGAblue"/>
        <w:tblW w:w="8779" w:type="dxa"/>
        <w:tblInd w:w="340" w:type="dxa"/>
        <w:tblLayout w:type="fixed"/>
        <w:tblLook w:val="04A0" w:firstRow="1" w:lastRow="0" w:firstColumn="1" w:lastColumn="0" w:noHBand="0" w:noVBand="1"/>
      </w:tblPr>
      <w:tblGrid>
        <w:gridCol w:w="1640"/>
        <w:gridCol w:w="5297"/>
        <w:gridCol w:w="1842"/>
      </w:tblGrid>
      <w:tr w:rsidR="00A60D8F" w:rsidRPr="00A60D8F" w14:paraId="02E92419" w14:textId="77777777" w:rsidTr="00F53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tcBorders>
              <w:top w:val="single" w:sz="4" w:space="0" w:color="auto"/>
              <w:left w:val="single" w:sz="4" w:space="0" w:color="auto"/>
              <w:bottom w:val="single" w:sz="4" w:space="0" w:color="auto"/>
              <w:right w:val="single" w:sz="4" w:space="0" w:color="auto"/>
            </w:tcBorders>
            <w:hideMark/>
          </w:tcPr>
          <w:p w14:paraId="1E3392F6" w14:textId="77777777" w:rsidR="00A60D8F" w:rsidRPr="00A60D8F" w:rsidRDefault="00A60D8F" w:rsidP="00DF7858">
            <w:pPr>
              <w:spacing w:line="240" w:lineRule="auto"/>
              <w:rPr>
                <w:rFonts w:asciiTheme="minorHAnsi" w:eastAsia="Times New Roman" w:hAnsiTheme="minorHAnsi" w:cs="Segoe UI"/>
                <w:bCs/>
                <w:szCs w:val="22"/>
                <w:lang w:eastAsia="en-AU"/>
              </w:rPr>
            </w:pPr>
            <w:r w:rsidRPr="00A60D8F">
              <w:rPr>
                <w:rFonts w:asciiTheme="minorHAnsi" w:eastAsia="Times New Roman" w:hAnsiTheme="minorHAnsi" w:cs="Segoe UI"/>
                <w:bCs/>
                <w:szCs w:val="22"/>
                <w:lang w:eastAsia="en-AU"/>
              </w:rPr>
              <w:t>Ingredient</w:t>
            </w:r>
          </w:p>
        </w:tc>
        <w:tc>
          <w:tcPr>
            <w:tcW w:w="5297" w:type="dxa"/>
            <w:tcBorders>
              <w:top w:val="single" w:sz="4" w:space="0" w:color="auto"/>
              <w:left w:val="single" w:sz="4" w:space="0" w:color="auto"/>
              <w:bottom w:val="single" w:sz="4" w:space="0" w:color="auto"/>
              <w:right w:val="single" w:sz="4" w:space="0" w:color="auto"/>
            </w:tcBorders>
          </w:tcPr>
          <w:p w14:paraId="3B999DD7" w14:textId="57E3FE54" w:rsidR="00A60D8F" w:rsidRPr="00A60D8F" w:rsidRDefault="00A84CEF" w:rsidP="00DF7858">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Segoe UI"/>
                <w:bCs/>
                <w:szCs w:val="22"/>
                <w:lang w:eastAsia="en-AU"/>
              </w:rPr>
            </w:pPr>
            <w:r>
              <w:rPr>
                <w:rFonts w:asciiTheme="minorHAnsi" w:eastAsia="Times New Roman" w:hAnsiTheme="minorHAnsi" w:cs="Segoe UI"/>
                <w:bCs/>
                <w:szCs w:val="22"/>
                <w:lang w:eastAsia="en-AU"/>
              </w:rPr>
              <w:t>Conditions</w:t>
            </w:r>
          </w:p>
        </w:tc>
        <w:tc>
          <w:tcPr>
            <w:tcW w:w="1842" w:type="dxa"/>
            <w:tcBorders>
              <w:top w:val="single" w:sz="4" w:space="0" w:color="auto"/>
              <w:left w:val="single" w:sz="4" w:space="0" w:color="auto"/>
              <w:bottom w:val="single" w:sz="4" w:space="0" w:color="auto"/>
              <w:right w:val="single" w:sz="4" w:space="0" w:color="auto"/>
            </w:tcBorders>
          </w:tcPr>
          <w:p w14:paraId="0F491CF9" w14:textId="6B1F10B4" w:rsidR="00A60D8F" w:rsidRPr="00A60D8F" w:rsidRDefault="00A84CEF" w:rsidP="00DF7858">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Segoe UI"/>
                <w:bCs/>
                <w:szCs w:val="22"/>
                <w:lang w:eastAsia="en-AU"/>
              </w:rPr>
            </w:pPr>
            <w:r>
              <w:rPr>
                <w:rFonts w:asciiTheme="minorHAnsi" w:eastAsia="Times New Roman" w:hAnsiTheme="minorHAnsi" w:cs="Segoe UI"/>
                <w:bCs/>
                <w:szCs w:val="22"/>
                <w:lang w:eastAsia="en-AU"/>
              </w:rPr>
              <w:t>Classification</w:t>
            </w:r>
          </w:p>
        </w:tc>
      </w:tr>
      <w:tr w:rsidR="00A60D8F" w:rsidRPr="00A60D8F" w14:paraId="1C8B25D1" w14:textId="77777777" w:rsidTr="00F53485">
        <w:tc>
          <w:tcPr>
            <w:cnfStyle w:val="001000000000" w:firstRow="0" w:lastRow="0" w:firstColumn="1" w:lastColumn="0" w:oddVBand="0" w:evenVBand="0" w:oddHBand="0" w:evenHBand="0" w:firstRowFirstColumn="0" w:firstRowLastColumn="0" w:lastRowFirstColumn="0" w:lastRowLastColumn="0"/>
            <w:tcW w:w="1640" w:type="dxa"/>
            <w:tcBorders>
              <w:top w:val="single" w:sz="4" w:space="0" w:color="auto"/>
            </w:tcBorders>
            <w:hideMark/>
          </w:tcPr>
          <w:p w14:paraId="451A89EE" w14:textId="77777777" w:rsidR="00A60D8F" w:rsidRPr="00A60D8F" w:rsidRDefault="00A60D8F" w:rsidP="00A60D8F">
            <w:pPr>
              <w:spacing w:before="0" w:after="0" w:line="240" w:lineRule="auto"/>
              <w:rPr>
                <w:rFonts w:asciiTheme="minorHAnsi" w:eastAsia="Times New Roman" w:hAnsiTheme="minorHAnsi" w:cs="Segoe UI"/>
                <w:b/>
                <w:bCs/>
                <w:color w:val="FFFFFF"/>
                <w:szCs w:val="22"/>
                <w:lang w:eastAsia="en-AU"/>
              </w:rPr>
            </w:pPr>
          </w:p>
        </w:tc>
        <w:tc>
          <w:tcPr>
            <w:tcW w:w="5297" w:type="dxa"/>
            <w:tcBorders>
              <w:top w:val="single" w:sz="4" w:space="0" w:color="auto"/>
            </w:tcBorders>
            <w:hideMark/>
          </w:tcPr>
          <w:p w14:paraId="262A47CE" w14:textId="77777777" w:rsidR="00A60D8F" w:rsidRPr="00A60D8F" w:rsidRDefault="00A60D8F" w:rsidP="00A60D8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p>
        </w:tc>
        <w:tc>
          <w:tcPr>
            <w:tcW w:w="1842" w:type="dxa"/>
            <w:tcBorders>
              <w:top w:val="single" w:sz="4" w:space="0" w:color="auto"/>
            </w:tcBorders>
            <w:hideMark/>
          </w:tcPr>
          <w:p w14:paraId="3F117A3C" w14:textId="77777777" w:rsidR="00A60D8F" w:rsidRPr="00A60D8F" w:rsidRDefault="00A60D8F" w:rsidP="00A60D8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p>
        </w:tc>
      </w:tr>
      <w:tr w:rsidR="00A60D8F" w:rsidRPr="00A60D8F" w14:paraId="6786F9F3" w14:textId="77777777" w:rsidTr="00F53485">
        <w:tc>
          <w:tcPr>
            <w:cnfStyle w:val="001000000000" w:firstRow="0" w:lastRow="0" w:firstColumn="1" w:lastColumn="0" w:oddVBand="0" w:evenVBand="0" w:oddHBand="0" w:evenHBand="0" w:firstRowFirstColumn="0" w:firstRowLastColumn="0" w:lastRowFirstColumn="0" w:lastRowLastColumn="0"/>
            <w:tcW w:w="1640" w:type="dxa"/>
            <w:hideMark/>
          </w:tcPr>
          <w:p w14:paraId="21368A7C" w14:textId="77777777" w:rsidR="00A60D8F" w:rsidRPr="00B360EB" w:rsidRDefault="00A60D8F" w:rsidP="00DF7858">
            <w:pPr>
              <w:spacing w:line="240" w:lineRule="auto"/>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Fexofenadine</w:t>
            </w:r>
          </w:p>
        </w:tc>
        <w:tc>
          <w:tcPr>
            <w:tcW w:w="5297" w:type="dxa"/>
            <w:hideMark/>
          </w:tcPr>
          <w:p w14:paraId="446B7C6E"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b/>
                <w:bCs/>
                <w:szCs w:val="22"/>
                <w:lang w:eastAsia="en-AU"/>
              </w:rPr>
              <w:t>except</w:t>
            </w:r>
            <w:r w:rsidRPr="00B360EB">
              <w:rPr>
                <w:rFonts w:asciiTheme="minorHAnsi" w:eastAsia="Times New Roman" w:hAnsiTheme="minorHAnsi" w:cs="Segoe UI"/>
                <w:szCs w:val="22"/>
                <w:lang w:eastAsia="en-AU"/>
              </w:rPr>
              <w:t> for oral use</w:t>
            </w:r>
          </w:p>
        </w:tc>
        <w:tc>
          <w:tcPr>
            <w:tcW w:w="1842" w:type="dxa"/>
            <w:hideMark/>
          </w:tcPr>
          <w:p w14:paraId="6A916971"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Prescription</w:t>
            </w:r>
          </w:p>
        </w:tc>
      </w:tr>
      <w:tr w:rsidR="00A60D8F" w:rsidRPr="00A60D8F" w14:paraId="28DAB440" w14:textId="77777777" w:rsidTr="00F53485">
        <w:tc>
          <w:tcPr>
            <w:cnfStyle w:val="001000000000" w:firstRow="0" w:lastRow="0" w:firstColumn="1" w:lastColumn="0" w:oddVBand="0" w:evenVBand="0" w:oddHBand="0" w:evenHBand="0" w:firstRowFirstColumn="0" w:firstRowLastColumn="0" w:lastRowFirstColumn="0" w:lastRowLastColumn="0"/>
            <w:tcW w:w="1640" w:type="dxa"/>
            <w:hideMark/>
          </w:tcPr>
          <w:p w14:paraId="402FE0AE" w14:textId="77777777" w:rsidR="00A60D8F" w:rsidRPr="00B360EB" w:rsidRDefault="00A60D8F" w:rsidP="00DF7858">
            <w:pPr>
              <w:spacing w:line="240" w:lineRule="auto"/>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Fexofenadine</w:t>
            </w:r>
          </w:p>
        </w:tc>
        <w:tc>
          <w:tcPr>
            <w:tcW w:w="5297" w:type="dxa"/>
            <w:hideMark/>
          </w:tcPr>
          <w:p w14:paraId="07CB414A"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for oral use </w:t>
            </w:r>
            <w:r w:rsidRPr="00B360EB">
              <w:rPr>
                <w:rFonts w:asciiTheme="minorHAnsi" w:eastAsia="Times New Roman" w:hAnsiTheme="minorHAnsi" w:cs="Segoe UI"/>
                <w:b/>
                <w:bCs/>
                <w:szCs w:val="22"/>
                <w:lang w:eastAsia="en-AU"/>
              </w:rPr>
              <w:t>except</w:t>
            </w:r>
            <w:r w:rsidRPr="00B360EB">
              <w:rPr>
                <w:rFonts w:asciiTheme="minorHAnsi" w:eastAsia="Times New Roman" w:hAnsiTheme="minorHAnsi" w:cs="Segoe UI"/>
                <w:szCs w:val="22"/>
                <w:lang w:eastAsia="en-AU"/>
              </w:rPr>
              <w:t> for the treatment of seasonal allergic rhinitis in adults and children 12 years of age and over when in capsules containing 60 milligrams or less of fexofenadine hydrochloride or in tablets containing 120 milligrams or less of fexofenadine hydrochloride with a maximum daily dose of 120 milligrams when sold in the manufacturer's original pack containing 10 dosage units or less and not more than 5 days' supply</w:t>
            </w:r>
          </w:p>
        </w:tc>
        <w:tc>
          <w:tcPr>
            <w:tcW w:w="1842" w:type="dxa"/>
            <w:hideMark/>
          </w:tcPr>
          <w:p w14:paraId="1B9471B4"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Pharmacy Only</w:t>
            </w:r>
          </w:p>
        </w:tc>
      </w:tr>
      <w:tr w:rsidR="00A60D8F" w:rsidRPr="00A60D8F" w14:paraId="054F4645" w14:textId="77777777" w:rsidTr="00F53485">
        <w:tc>
          <w:tcPr>
            <w:cnfStyle w:val="001000000000" w:firstRow="0" w:lastRow="0" w:firstColumn="1" w:lastColumn="0" w:oddVBand="0" w:evenVBand="0" w:oddHBand="0" w:evenHBand="0" w:firstRowFirstColumn="0" w:firstRowLastColumn="0" w:lastRowFirstColumn="0" w:lastRowLastColumn="0"/>
            <w:tcW w:w="1640" w:type="dxa"/>
            <w:hideMark/>
          </w:tcPr>
          <w:p w14:paraId="6941B504" w14:textId="77777777" w:rsidR="00A60D8F" w:rsidRPr="00B360EB" w:rsidRDefault="00A60D8F" w:rsidP="00DF7858">
            <w:pPr>
              <w:spacing w:line="240" w:lineRule="auto"/>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Fexofenadine</w:t>
            </w:r>
          </w:p>
        </w:tc>
        <w:tc>
          <w:tcPr>
            <w:tcW w:w="5297" w:type="dxa"/>
            <w:hideMark/>
          </w:tcPr>
          <w:p w14:paraId="18CA5C62"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for the treatment of seasonal allergic rhinitis in adults and children 12 years of age and over when in capsules containing 60 milligrams or less of fexofenadine hydrochloride or in tablets containing 120 milligrams or less of fexofenadine hydrochloride with a maximum daily dose of 120 milligrams when sold in the manufacturer's original pack containing 20 dosage units or less and not more than 10 days' supply</w:t>
            </w:r>
          </w:p>
        </w:tc>
        <w:tc>
          <w:tcPr>
            <w:tcW w:w="1842" w:type="dxa"/>
            <w:hideMark/>
          </w:tcPr>
          <w:p w14:paraId="2646CDBB"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General Sale</w:t>
            </w:r>
          </w:p>
        </w:tc>
      </w:tr>
      <w:tr w:rsidR="00A60D8F" w:rsidRPr="00A60D8F" w14:paraId="0963A635" w14:textId="77777777" w:rsidTr="00F53485">
        <w:tc>
          <w:tcPr>
            <w:cnfStyle w:val="001000000000" w:firstRow="0" w:lastRow="0" w:firstColumn="1" w:lastColumn="0" w:oddVBand="0" w:evenVBand="0" w:oddHBand="0" w:evenHBand="0" w:firstRowFirstColumn="0" w:firstRowLastColumn="0" w:lastRowFirstColumn="0" w:lastRowLastColumn="0"/>
            <w:tcW w:w="1640" w:type="dxa"/>
            <w:hideMark/>
          </w:tcPr>
          <w:p w14:paraId="4D47758B" w14:textId="77777777" w:rsidR="00A60D8F" w:rsidRPr="00B360EB" w:rsidRDefault="00A60D8F" w:rsidP="00DF7858">
            <w:pPr>
              <w:spacing w:line="240" w:lineRule="auto"/>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Fexofenadine</w:t>
            </w:r>
          </w:p>
        </w:tc>
        <w:tc>
          <w:tcPr>
            <w:tcW w:w="5297" w:type="dxa"/>
            <w:hideMark/>
          </w:tcPr>
          <w:p w14:paraId="49754357"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for the treatment of seasonal allergic rhinitis in adults and children 12 years of age and over when in tablets containing 180mg or less of fexofenadine hydrochloride with maximum daily dose of 180mg when sold in the manufacturer's original pack containing 5 dosage units or less and not more than 5 days' supply.</w:t>
            </w:r>
          </w:p>
        </w:tc>
        <w:tc>
          <w:tcPr>
            <w:tcW w:w="1842" w:type="dxa"/>
            <w:hideMark/>
          </w:tcPr>
          <w:p w14:paraId="32A54563" w14:textId="77777777" w:rsidR="00A60D8F" w:rsidRPr="00B360EB" w:rsidRDefault="00A60D8F" w:rsidP="00DF785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szCs w:val="22"/>
                <w:lang w:eastAsia="en-AU"/>
              </w:rPr>
            </w:pPr>
            <w:r w:rsidRPr="00B360EB">
              <w:rPr>
                <w:rFonts w:asciiTheme="minorHAnsi" w:eastAsia="Times New Roman" w:hAnsiTheme="minorHAnsi" w:cs="Segoe UI"/>
                <w:szCs w:val="22"/>
                <w:lang w:eastAsia="en-AU"/>
              </w:rPr>
              <w:t>General Sale</w:t>
            </w:r>
          </w:p>
        </w:tc>
      </w:tr>
    </w:tbl>
    <w:p w14:paraId="7B424051" w14:textId="078FF2A2" w:rsidR="006175AA" w:rsidRPr="00F261BD" w:rsidRDefault="006175AA" w:rsidP="00F4649D">
      <w:pPr>
        <w:pStyle w:val="Heading3"/>
        <w:numPr>
          <w:ilvl w:val="0"/>
          <w:numId w:val="0"/>
        </w:numPr>
        <w:ind w:left="576" w:hanging="576"/>
      </w:pPr>
      <w:bookmarkStart w:id="43" w:name="_Toc112833617"/>
      <w:r>
        <w:t>Ibuprofen</w:t>
      </w:r>
      <w:bookmarkStart w:id="44" w:name="_Hlk110257574"/>
      <w:bookmarkEnd w:id="43"/>
    </w:p>
    <w:p w14:paraId="69286BCB" w14:textId="77777777" w:rsidR="00DA39D7" w:rsidRDefault="00B326D8" w:rsidP="00B326D8">
      <w:pPr>
        <w:pStyle w:val="Heading4"/>
      </w:pPr>
      <w:bookmarkStart w:id="45" w:name="_Toc112833618"/>
      <w:bookmarkEnd w:id="44"/>
      <w:r>
        <w:t>Proposal</w:t>
      </w:r>
      <w:bookmarkEnd w:id="45"/>
    </w:p>
    <w:p w14:paraId="4689C4CE" w14:textId="4B0A9C09" w:rsidR="00B326D8" w:rsidRPr="00DA39D7" w:rsidRDefault="00B326D8" w:rsidP="00DA39D7">
      <w:pPr>
        <w:rPr>
          <w:rFonts w:ascii="Arial" w:hAnsi="Arial"/>
          <w:sz w:val="26"/>
          <w:szCs w:val="26"/>
        </w:rPr>
      </w:pPr>
      <w:r>
        <w:t xml:space="preserve">The applicant </w:t>
      </w:r>
      <w:r w:rsidR="00DF5E0C">
        <w:t xml:space="preserve">has </w:t>
      </w:r>
      <w:r>
        <w:t>propose</w:t>
      </w:r>
      <w:r w:rsidR="00DF5E0C">
        <w:t>d</w:t>
      </w:r>
      <w:r>
        <w:t xml:space="preserve"> </w:t>
      </w:r>
      <w:r w:rsidRPr="00D26ADC">
        <w:t xml:space="preserve">the rescheduling of modified release ibuprofen </w:t>
      </w:r>
      <w:r w:rsidR="00092FDF" w:rsidRPr="00D26ADC">
        <w:t>from Schedule 3 to Schedule 2</w:t>
      </w:r>
      <w:r w:rsidR="00092FDF">
        <w:t xml:space="preserve">. The </w:t>
      </w:r>
      <w:r w:rsidR="009964AA">
        <w:t xml:space="preserve">change </w:t>
      </w:r>
      <w:r w:rsidR="00092FDF">
        <w:t>would apply to</w:t>
      </w:r>
      <w:r w:rsidRPr="00D26ADC">
        <w:t xml:space="preserve"> divided preparations containing 300 mg or less of ibuprofen</w:t>
      </w:r>
      <w:r w:rsidR="00310371">
        <w:t>,</w:t>
      </w:r>
      <w:r w:rsidRPr="00D26ADC">
        <w:t xml:space="preserve"> in a primary pack containing not more than 12 dosage units, when labelled with a </w:t>
      </w:r>
      <w:r w:rsidRPr="00D26ADC">
        <w:lastRenderedPageBreak/>
        <w:t>recommended daily dose of 1200 mg or less of ibuprofen</w:t>
      </w:r>
      <w:r w:rsidR="009964AA">
        <w:t>.</w:t>
      </w:r>
      <w:r w:rsidR="00DF5E0C">
        <w:t xml:space="preserve"> </w:t>
      </w:r>
      <w:r w:rsidR="009F397E">
        <w:t xml:space="preserve">This will enable patients </w:t>
      </w:r>
      <w:r w:rsidR="009964AA">
        <w:t xml:space="preserve">over 12 years of age </w:t>
      </w:r>
      <w:r w:rsidR="009F397E">
        <w:t xml:space="preserve">to access </w:t>
      </w:r>
      <w:r w:rsidR="004B6950">
        <w:t xml:space="preserve">some </w:t>
      </w:r>
      <w:r w:rsidR="009F397E">
        <w:t xml:space="preserve">preparations of </w:t>
      </w:r>
      <w:r w:rsidR="004B6950">
        <w:t xml:space="preserve">modified release </w:t>
      </w:r>
      <w:r w:rsidR="009F397E">
        <w:t>ibuprofen without</w:t>
      </w:r>
      <w:r w:rsidR="00DF5E0C">
        <w:t xml:space="preserve"> prior</w:t>
      </w:r>
      <w:r w:rsidR="009F397E">
        <w:t xml:space="preserve"> consult</w:t>
      </w:r>
      <w:r w:rsidR="00DF5E0C">
        <w:t>at</w:t>
      </w:r>
      <w:r w:rsidR="009F397E">
        <w:t>i</w:t>
      </w:r>
      <w:r w:rsidR="00DF5E0C">
        <w:t>o</w:t>
      </w:r>
      <w:r w:rsidR="009F397E">
        <w:t>n with a pharmacist.</w:t>
      </w:r>
    </w:p>
    <w:p w14:paraId="7D1121D8" w14:textId="7FBB2F18" w:rsidR="00B326D8" w:rsidRDefault="00B326D8" w:rsidP="00B326D8">
      <w:pPr>
        <w:pStyle w:val="Heading4"/>
      </w:pPr>
      <w:bookmarkStart w:id="46" w:name="_Toc112833619"/>
      <w:r>
        <w:t>CAS number</w:t>
      </w:r>
      <w:bookmarkEnd w:id="46"/>
    </w:p>
    <w:p w14:paraId="154C566E" w14:textId="20A1CCD5" w:rsidR="00B326D8" w:rsidRDefault="00B326D8" w:rsidP="00B326D8">
      <w:r>
        <w:t>15687-</w:t>
      </w:r>
      <w:r w:rsidR="009F397E">
        <w:t>2</w:t>
      </w:r>
      <w:r>
        <w:t>7-1</w:t>
      </w:r>
    </w:p>
    <w:p w14:paraId="2C9C7049" w14:textId="62D1299A" w:rsidR="00B326D8" w:rsidRDefault="00B326D8" w:rsidP="00B326D8">
      <w:pPr>
        <w:pStyle w:val="Heading4"/>
      </w:pPr>
      <w:bookmarkStart w:id="47" w:name="_Toc112833620"/>
      <w:r>
        <w:t>Alternative names</w:t>
      </w:r>
      <w:bookmarkEnd w:id="47"/>
    </w:p>
    <w:p w14:paraId="5B5EC67E" w14:textId="77777777" w:rsidR="00B326D8" w:rsidRPr="00F82056" w:rsidRDefault="00B326D8" w:rsidP="00B326D8">
      <w:pPr>
        <w:shd w:val="clear" w:color="auto" w:fill="FFFFFF"/>
        <w:spacing w:before="100" w:beforeAutospacing="1" w:after="45" w:line="240" w:lineRule="auto"/>
        <w:rPr>
          <w:rFonts w:eastAsia="Times New Roman" w:cs="Arial"/>
          <w:color w:val="262626"/>
          <w:szCs w:val="22"/>
          <w:lang w:eastAsia="en-AU"/>
        </w:rPr>
      </w:pPr>
      <w:r w:rsidRPr="00F82056">
        <w:rPr>
          <w:rFonts w:eastAsia="Times New Roman" w:cs="Arial"/>
          <w:color w:val="262626"/>
          <w:szCs w:val="22"/>
          <w:lang w:eastAsia="en-AU"/>
        </w:rPr>
        <w:t>α-Methyl-4-(2-</w:t>
      </w:r>
      <w:proofErr w:type="gramStart"/>
      <w:r w:rsidRPr="00F82056">
        <w:rPr>
          <w:rFonts w:eastAsia="Times New Roman" w:cs="Arial"/>
          <w:color w:val="262626"/>
          <w:szCs w:val="22"/>
          <w:lang w:eastAsia="en-AU"/>
        </w:rPr>
        <w:t>methylpropyl)</w:t>
      </w:r>
      <w:proofErr w:type="spellStart"/>
      <w:r w:rsidRPr="00F82056">
        <w:rPr>
          <w:rFonts w:eastAsia="Times New Roman" w:cs="Arial"/>
          <w:color w:val="262626"/>
          <w:szCs w:val="22"/>
          <w:lang w:eastAsia="en-AU"/>
        </w:rPr>
        <w:t>benzeneacetic</w:t>
      </w:r>
      <w:proofErr w:type="spellEnd"/>
      <w:proofErr w:type="gramEnd"/>
      <w:r w:rsidRPr="00F82056">
        <w:rPr>
          <w:rFonts w:eastAsia="Times New Roman" w:cs="Arial"/>
          <w:color w:val="262626"/>
          <w:szCs w:val="22"/>
          <w:lang w:eastAsia="en-AU"/>
        </w:rPr>
        <w:t xml:space="preserve"> acid</w:t>
      </w:r>
    </w:p>
    <w:p w14:paraId="1BD97424" w14:textId="35094D7C" w:rsidR="00B326D8" w:rsidRPr="00B326D8" w:rsidRDefault="00B326D8" w:rsidP="00B326D8">
      <w:pPr>
        <w:shd w:val="clear" w:color="auto" w:fill="FFFFFF"/>
        <w:spacing w:before="100" w:beforeAutospacing="1" w:after="45" w:line="240" w:lineRule="auto"/>
        <w:rPr>
          <w:rFonts w:eastAsia="Times New Roman" w:cs="Arial"/>
          <w:color w:val="262626"/>
          <w:szCs w:val="22"/>
          <w:lang w:eastAsia="en-AU"/>
        </w:rPr>
      </w:pPr>
      <w:r w:rsidRPr="00F82056">
        <w:rPr>
          <w:rFonts w:eastAsia="Times New Roman" w:cs="Arial"/>
          <w:i/>
          <w:iCs/>
          <w:color w:val="262626"/>
          <w:szCs w:val="22"/>
          <w:lang w:eastAsia="en-AU"/>
        </w:rPr>
        <w:t>p</w:t>
      </w:r>
      <w:r w:rsidRPr="00F82056">
        <w:rPr>
          <w:rFonts w:eastAsia="Times New Roman" w:cs="Arial"/>
          <w:color w:val="262626"/>
          <w:szCs w:val="22"/>
          <w:lang w:eastAsia="en-AU"/>
        </w:rPr>
        <w:t>-</w:t>
      </w:r>
      <w:proofErr w:type="spellStart"/>
      <w:r w:rsidRPr="00F82056">
        <w:rPr>
          <w:rFonts w:eastAsia="Times New Roman" w:cs="Arial"/>
          <w:color w:val="262626"/>
          <w:szCs w:val="22"/>
          <w:lang w:eastAsia="en-AU"/>
        </w:rPr>
        <w:t>Isobutylhydratropic</w:t>
      </w:r>
      <w:proofErr w:type="spellEnd"/>
      <w:r w:rsidRPr="00F82056">
        <w:rPr>
          <w:rFonts w:eastAsia="Times New Roman" w:cs="Arial"/>
          <w:color w:val="262626"/>
          <w:szCs w:val="22"/>
          <w:lang w:eastAsia="en-AU"/>
        </w:rPr>
        <w:t xml:space="preserve"> acid</w:t>
      </w:r>
    </w:p>
    <w:p w14:paraId="00493E0F" w14:textId="0059811F" w:rsidR="00B326D8" w:rsidRPr="002C1070" w:rsidRDefault="00B326D8" w:rsidP="00B326D8">
      <w:pPr>
        <w:pStyle w:val="Heading4"/>
      </w:pPr>
      <w:bookmarkStart w:id="48" w:name="_Toc112833621"/>
      <w:r>
        <w:t>Applicant</w:t>
      </w:r>
      <w:bookmarkEnd w:id="48"/>
    </w:p>
    <w:p w14:paraId="14DE62AD" w14:textId="77777777" w:rsidR="00B326D8" w:rsidRPr="00CE560E" w:rsidRDefault="00B326D8" w:rsidP="00B326D8">
      <w:r w:rsidRPr="00CE560E">
        <w:t xml:space="preserve">Private applicant </w:t>
      </w:r>
    </w:p>
    <w:p w14:paraId="327C342F" w14:textId="00E8E1A2" w:rsidR="00B326D8" w:rsidRDefault="00B326D8" w:rsidP="00B326D8">
      <w:pPr>
        <w:pStyle w:val="Heading4"/>
      </w:pPr>
      <w:bookmarkStart w:id="49" w:name="_Toc112833622"/>
      <w:r>
        <w:t>Current scheduling</w:t>
      </w:r>
      <w:bookmarkEnd w:id="49"/>
    </w:p>
    <w:p w14:paraId="61EAACCB" w14:textId="4BBD6B8A" w:rsidR="00B326D8" w:rsidRDefault="00B326D8" w:rsidP="00B326D8">
      <w:pPr>
        <w:rPr>
          <w:rFonts w:cstheme="minorHAnsi"/>
          <w:b/>
          <w:bCs/>
        </w:rPr>
      </w:pPr>
      <w:r>
        <w:rPr>
          <w:rFonts w:cstheme="minorHAnsi"/>
        </w:rPr>
        <w:t>IBUPROFEN</w:t>
      </w:r>
      <w:r w:rsidRPr="003C4DAA">
        <w:rPr>
          <w:rFonts w:cstheme="minorHAnsi"/>
        </w:rPr>
        <w:t xml:space="preserve"> is currently listed in Schedules </w:t>
      </w:r>
      <w:r>
        <w:rPr>
          <w:rFonts w:cstheme="minorHAnsi"/>
        </w:rPr>
        <w:t>2,</w:t>
      </w:r>
      <w:r w:rsidR="00171B1C">
        <w:rPr>
          <w:rFonts w:cstheme="minorHAnsi"/>
        </w:rPr>
        <w:t xml:space="preserve"> </w:t>
      </w:r>
      <w:r>
        <w:rPr>
          <w:rFonts w:cstheme="minorHAnsi"/>
        </w:rPr>
        <w:t>3 and 4</w:t>
      </w:r>
      <w:r w:rsidRPr="003C4DAA">
        <w:rPr>
          <w:rFonts w:cstheme="minorHAnsi"/>
        </w:rPr>
        <w:t xml:space="preserve"> of the Poisons Standard as follows:</w:t>
      </w:r>
    </w:p>
    <w:p w14:paraId="02F3E33B" w14:textId="77777777" w:rsidR="00B326D8" w:rsidRDefault="00B326D8" w:rsidP="00171B1C">
      <w:pPr>
        <w:ind w:left="426"/>
        <w:rPr>
          <w:rFonts w:cstheme="minorHAnsi"/>
          <w:b/>
          <w:bCs/>
        </w:rPr>
      </w:pPr>
      <w:r>
        <w:rPr>
          <w:rFonts w:cstheme="minorHAnsi"/>
          <w:b/>
          <w:bCs/>
        </w:rPr>
        <w:t xml:space="preserve">Schedule 4 </w:t>
      </w:r>
    </w:p>
    <w:p w14:paraId="61610F18" w14:textId="77777777" w:rsidR="00B326D8" w:rsidRPr="00F82056" w:rsidRDefault="00B326D8" w:rsidP="00171B1C">
      <w:pPr>
        <w:shd w:val="clear" w:color="auto" w:fill="FFFFFF"/>
        <w:spacing w:before="240" w:after="240"/>
        <w:ind w:firstLine="720"/>
        <w:rPr>
          <w:rFonts w:eastAsia="Times New Roman"/>
          <w:color w:val="000000"/>
          <w:szCs w:val="22"/>
          <w:lang w:eastAsia="en-AU"/>
        </w:rPr>
      </w:pPr>
      <w:r w:rsidRPr="00F82056">
        <w:rPr>
          <w:rFonts w:eastAsia="Times New Roman"/>
          <w:color w:val="000000"/>
          <w:szCs w:val="22"/>
          <w:lang w:eastAsia="en-AU"/>
        </w:rPr>
        <w:t>IBUPROFEN </w:t>
      </w:r>
      <w:r w:rsidRPr="00F82056">
        <w:rPr>
          <w:rFonts w:eastAsia="Times New Roman"/>
          <w:b/>
          <w:bCs/>
          <w:color w:val="000000"/>
          <w:szCs w:val="22"/>
          <w:lang w:eastAsia="en-AU"/>
        </w:rPr>
        <w:t>except</w:t>
      </w:r>
      <w:r w:rsidRPr="00F82056">
        <w:rPr>
          <w:rFonts w:eastAsia="Times New Roman"/>
          <w:color w:val="000000"/>
          <w:szCs w:val="22"/>
          <w:lang w:eastAsia="en-AU"/>
        </w:rPr>
        <w:t>:</w:t>
      </w:r>
    </w:p>
    <w:p w14:paraId="638D028E" w14:textId="6BAC61BC" w:rsidR="00B326D8" w:rsidRPr="00F82056" w:rsidRDefault="00B326D8" w:rsidP="008E48A7">
      <w:pPr>
        <w:pStyle w:val="ListBulleta"/>
        <w:numPr>
          <w:ilvl w:val="0"/>
          <w:numId w:val="35"/>
        </w:numPr>
        <w:rPr>
          <w:lang w:eastAsia="en-AU"/>
        </w:rPr>
      </w:pPr>
      <w:r w:rsidRPr="00F82056">
        <w:rPr>
          <w:lang w:eastAsia="en-AU"/>
        </w:rPr>
        <w:t xml:space="preserve">when included in or </w:t>
      </w:r>
      <w:r w:rsidRPr="00AB252D">
        <w:t>expressly</w:t>
      </w:r>
      <w:r w:rsidRPr="00F82056">
        <w:rPr>
          <w:lang w:eastAsia="en-AU"/>
        </w:rPr>
        <w:t xml:space="preserve"> excluded from Schedule 2 or 3; or</w:t>
      </w:r>
    </w:p>
    <w:p w14:paraId="33A7F593" w14:textId="383D40A4" w:rsidR="00B326D8" w:rsidRDefault="00B326D8" w:rsidP="00171B1C">
      <w:pPr>
        <w:pStyle w:val="ListBulleta"/>
        <w:rPr>
          <w:lang w:eastAsia="en-AU"/>
        </w:rPr>
      </w:pPr>
      <w:r w:rsidRPr="00F82056">
        <w:rPr>
          <w:lang w:eastAsia="en-AU"/>
        </w:rPr>
        <w:t>in preparations for dermal use.</w:t>
      </w:r>
    </w:p>
    <w:p w14:paraId="4D84E922" w14:textId="77777777" w:rsidR="00B326D8" w:rsidRPr="00F82056" w:rsidRDefault="00B326D8" w:rsidP="00B326D8">
      <w:pPr>
        <w:shd w:val="clear" w:color="auto" w:fill="FFFFFF"/>
        <w:spacing w:before="0" w:after="120" w:line="240" w:lineRule="auto"/>
        <w:ind w:left="928" w:hanging="360"/>
        <w:rPr>
          <w:rFonts w:eastAsia="Times New Roman"/>
          <w:color w:val="000000"/>
          <w:szCs w:val="22"/>
          <w:lang w:eastAsia="en-AU"/>
        </w:rPr>
      </w:pPr>
    </w:p>
    <w:p w14:paraId="0230A986" w14:textId="77777777" w:rsidR="00277B9C" w:rsidRDefault="00B326D8" w:rsidP="00277B9C">
      <w:pPr>
        <w:ind w:left="426"/>
        <w:rPr>
          <w:rFonts w:cstheme="minorHAnsi"/>
          <w:b/>
          <w:bCs/>
        </w:rPr>
      </w:pPr>
      <w:r w:rsidRPr="00F82056">
        <w:rPr>
          <w:rFonts w:cstheme="minorHAnsi"/>
          <w:b/>
          <w:bCs/>
        </w:rPr>
        <w:t>Schedule 3</w:t>
      </w:r>
    </w:p>
    <w:p w14:paraId="71C2037E" w14:textId="7C0FB8C7" w:rsidR="00B326D8" w:rsidRPr="00277B9C" w:rsidRDefault="00B326D8" w:rsidP="00277B9C">
      <w:pPr>
        <w:ind w:left="426" w:firstLine="294"/>
        <w:rPr>
          <w:rFonts w:cstheme="minorHAnsi"/>
          <w:b/>
          <w:bCs/>
        </w:rPr>
      </w:pPr>
      <w:r w:rsidRPr="00F82056">
        <w:rPr>
          <w:rFonts w:eastAsia="Times New Roman"/>
          <w:color w:val="000000"/>
          <w:szCs w:val="22"/>
          <w:lang w:eastAsia="en-AU"/>
        </w:rPr>
        <w:t>IBUPROFEN:</w:t>
      </w:r>
    </w:p>
    <w:p w14:paraId="3B0CE98B" w14:textId="63A62F72" w:rsidR="00B326D8" w:rsidRPr="00F82056" w:rsidRDefault="00B326D8" w:rsidP="008E48A7">
      <w:pPr>
        <w:pStyle w:val="ListBulleta"/>
        <w:numPr>
          <w:ilvl w:val="0"/>
          <w:numId w:val="33"/>
        </w:numPr>
        <w:rPr>
          <w:lang w:eastAsia="en-AU"/>
        </w:rPr>
      </w:pPr>
      <w:r w:rsidRPr="00F82056">
        <w:rPr>
          <w:lang w:eastAsia="en-AU"/>
        </w:rPr>
        <w:t>in divided preparations, each containing 400 mg or less of ibuprofen in a primary pack containing not more than 50 dosage units, when labelled:</w:t>
      </w:r>
    </w:p>
    <w:p w14:paraId="79683B34" w14:textId="0F7A2D9D" w:rsidR="00B326D8" w:rsidRPr="00F82056" w:rsidRDefault="00B326D8" w:rsidP="008E48A7">
      <w:pPr>
        <w:pStyle w:val="ListBulleti"/>
        <w:numPr>
          <w:ilvl w:val="0"/>
          <w:numId w:val="34"/>
        </w:numPr>
        <w:rPr>
          <w:lang w:eastAsia="en-AU"/>
        </w:rPr>
      </w:pPr>
      <w:r w:rsidRPr="00F82056">
        <w:rPr>
          <w:lang w:eastAsia="en-AU"/>
        </w:rPr>
        <w:t xml:space="preserve">with a </w:t>
      </w:r>
      <w:r w:rsidRPr="00AB252D">
        <w:t>recommended</w:t>
      </w:r>
      <w:r w:rsidRPr="00F82056">
        <w:rPr>
          <w:lang w:eastAsia="en-AU"/>
        </w:rPr>
        <w:t xml:space="preserve"> daily dose of 1200 mg or less of ibuprofen; and</w:t>
      </w:r>
    </w:p>
    <w:p w14:paraId="2EB4458F" w14:textId="29475032" w:rsidR="00B326D8" w:rsidRPr="00F82056" w:rsidRDefault="00B326D8" w:rsidP="00171B1C">
      <w:pPr>
        <w:pStyle w:val="ListBulleti"/>
        <w:rPr>
          <w:lang w:eastAsia="en-AU"/>
        </w:rPr>
      </w:pPr>
      <w:r w:rsidRPr="00F82056">
        <w:rPr>
          <w:lang w:eastAsia="en-AU"/>
        </w:rPr>
        <w:t>not for the treatment of children under 12 years of age; or</w:t>
      </w:r>
    </w:p>
    <w:p w14:paraId="54DD489A" w14:textId="6DEAF4D4" w:rsidR="00B326D8" w:rsidRPr="00F82056" w:rsidRDefault="00B326D8" w:rsidP="00AB252D">
      <w:pPr>
        <w:pStyle w:val="ListBulleta"/>
        <w:rPr>
          <w:lang w:eastAsia="en-AU"/>
        </w:rPr>
      </w:pPr>
      <w:r w:rsidRPr="00F82056">
        <w:rPr>
          <w:lang w:val="en-GB" w:eastAsia="en-AU"/>
        </w:rPr>
        <w:t>in a modified release dosage form, each containing 600 mg of ibuprofen </w:t>
      </w:r>
      <w:r w:rsidRPr="00F82056">
        <w:rPr>
          <w:lang w:eastAsia="en-AU"/>
        </w:rPr>
        <w:t>in a primary pack containing not more than 32 dosage units, when labelled:</w:t>
      </w:r>
    </w:p>
    <w:p w14:paraId="48372AFD" w14:textId="28F50B7E" w:rsidR="00B326D8" w:rsidRPr="00F82056" w:rsidRDefault="00B326D8" w:rsidP="008E48A7">
      <w:pPr>
        <w:pStyle w:val="ListBulleti"/>
        <w:numPr>
          <w:ilvl w:val="0"/>
          <w:numId w:val="36"/>
        </w:numPr>
        <w:rPr>
          <w:lang w:eastAsia="en-AU"/>
        </w:rPr>
      </w:pPr>
      <w:r w:rsidRPr="00F82056">
        <w:rPr>
          <w:lang w:eastAsia="en-AU"/>
        </w:rPr>
        <w:t>with a recommended daily dose of 1200 mg or less of ibuprofen; and</w:t>
      </w:r>
    </w:p>
    <w:p w14:paraId="07790D19" w14:textId="3DFE367D" w:rsidR="00B326D8" w:rsidRPr="00F82056" w:rsidRDefault="00B326D8" w:rsidP="00AB252D">
      <w:pPr>
        <w:pStyle w:val="ListBulleti"/>
        <w:rPr>
          <w:lang w:eastAsia="en-AU"/>
        </w:rPr>
      </w:pPr>
      <w:r w:rsidRPr="00F82056">
        <w:rPr>
          <w:lang w:eastAsia="en-AU"/>
        </w:rPr>
        <w:t xml:space="preserve">not for the treatment of children under 12 years of </w:t>
      </w:r>
      <w:proofErr w:type="gramStart"/>
      <w:r w:rsidRPr="00F82056">
        <w:rPr>
          <w:lang w:eastAsia="en-AU"/>
        </w:rPr>
        <w:t>age;</w:t>
      </w:r>
      <w:proofErr w:type="gramEnd"/>
    </w:p>
    <w:p w14:paraId="6D16D436" w14:textId="77777777" w:rsidR="00F53485" w:rsidRDefault="00B326D8" w:rsidP="00F53485">
      <w:pPr>
        <w:shd w:val="clear" w:color="auto" w:fill="FFFFFF"/>
        <w:spacing w:before="240" w:after="240"/>
        <w:ind w:firstLine="720"/>
        <w:rPr>
          <w:rFonts w:eastAsia="Times New Roman"/>
          <w:color w:val="000000"/>
          <w:szCs w:val="22"/>
          <w:lang w:eastAsia="en-AU"/>
        </w:rPr>
      </w:pPr>
      <w:r w:rsidRPr="00F82056">
        <w:rPr>
          <w:rFonts w:eastAsia="Times New Roman"/>
          <w:b/>
          <w:bCs/>
          <w:color w:val="000000"/>
          <w:szCs w:val="22"/>
          <w:lang w:eastAsia="en-AU"/>
        </w:rPr>
        <w:t>except</w:t>
      </w:r>
      <w:r w:rsidRPr="00F82056">
        <w:rPr>
          <w:rFonts w:eastAsia="Times New Roman"/>
          <w:color w:val="000000"/>
          <w:szCs w:val="22"/>
          <w:lang w:eastAsia="en-AU"/>
        </w:rPr>
        <w:t> when included in or expressly excluded from Schedule 2.</w:t>
      </w:r>
    </w:p>
    <w:p w14:paraId="4E4D59E9" w14:textId="12C6BB94" w:rsidR="00B326D8" w:rsidRPr="00F53485" w:rsidRDefault="00B326D8" w:rsidP="00F53485">
      <w:pPr>
        <w:shd w:val="clear" w:color="auto" w:fill="FFFFFF"/>
        <w:spacing w:before="240" w:after="240"/>
        <w:ind w:left="426"/>
        <w:rPr>
          <w:rFonts w:eastAsia="Times New Roman"/>
          <w:color w:val="000000"/>
          <w:szCs w:val="22"/>
          <w:lang w:eastAsia="en-AU"/>
        </w:rPr>
      </w:pPr>
      <w:r w:rsidRPr="00F82056">
        <w:rPr>
          <w:rFonts w:cstheme="minorHAnsi"/>
          <w:b/>
          <w:bCs/>
        </w:rPr>
        <w:t>Schedule 2</w:t>
      </w:r>
    </w:p>
    <w:p w14:paraId="087F0C3A" w14:textId="77777777" w:rsidR="00B326D8" w:rsidRPr="00F82056" w:rsidRDefault="00B326D8" w:rsidP="00F53485">
      <w:pPr>
        <w:shd w:val="clear" w:color="auto" w:fill="FFFFFF"/>
        <w:spacing w:before="240" w:after="240"/>
        <w:ind w:left="720"/>
        <w:rPr>
          <w:rFonts w:eastAsia="Times New Roman"/>
          <w:color w:val="000000"/>
          <w:szCs w:val="22"/>
          <w:lang w:eastAsia="en-AU"/>
        </w:rPr>
      </w:pPr>
      <w:r w:rsidRPr="00F82056">
        <w:rPr>
          <w:rFonts w:eastAsia="Times New Roman"/>
          <w:color w:val="000000"/>
          <w:szCs w:val="22"/>
          <w:lang w:eastAsia="en-AU"/>
        </w:rPr>
        <w:t>IBUPROFEN in preparations for oral use when labelled with a recommended daily dose of 1200 mg or less of ibuprofen:</w:t>
      </w:r>
    </w:p>
    <w:p w14:paraId="0D04B29D" w14:textId="5B6B06E8" w:rsidR="00B326D8" w:rsidRPr="00F82056" w:rsidRDefault="00B326D8" w:rsidP="008E48A7">
      <w:pPr>
        <w:pStyle w:val="ListBulleta"/>
        <w:numPr>
          <w:ilvl w:val="0"/>
          <w:numId w:val="37"/>
        </w:numPr>
        <w:rPr>
          <w:lang w:eastAsia="en-AU"/>
        </w:rPr>
      </w:pPr>
      <w:r w:rsidRPr="00F82056">
        <w:rPr>
          <w:lang w:eastAsia="en-AU"/>
        </w:rPr>
        <w:lastRenderedPageBreak/>
        <w:t xml:space="preserve">in liquid preparations when sold in the manufacturer’s original pack containing 8 g or less of </w:t>
      </w:r>
      <w:proofErr w:type="gramStart"/>
      <w:r w:rsidRPr="00F82056">
        <w:rPr>
          <w:lang w:eastAsia="en-AU"/>
        </w:rPr>
        <w:t>ibuprofen;</w:t>
      </w:r>
      <w:proofErr w:type="gramEnd"/>
      <w:r w:rsidRPr="00F82056">
        <w:rPr>
          <w:lang w:eastAsia="en-AU"/>
        </w:rPr>
        <w:t xml:space="preserve"> or</w:t>
      </w:r>
    </w:p>
    <w:p w14:paraId="0844E497" w14:textId="5ED4179D" w:rsidR="00B326D8" w:rsidRPr="00F82056" w:rsidRDefault="00B326D8" w:rsidP="00AB252D">
      <w:pPr>
        <w:pStyle w:val="ListBulleta"/>
        <w:rPr>
          <w:lang w:eastAsia="en-AU"/>
        </w:rPr>
      </w:pPr>
      <w:r w:rsidRPr="00F82056">
        <w:rPr>
          <w:lang w:eastAsia="en-AU"/>
        </w:rPr>
        <w:t>in divided preparations, each containing 200 mg or less of ibuprofen, in packs of not more than 100 dosage units </w:t>
      </w:r>
      <w:r w:rsidRPr="00F82056">
        <w:rPr>
          <w:b/>
          <w:bCs/>
          <w:lang w:eastAsia="en-AU"/>
        </w:rPr>
        <w:t>except</w:t>
      </w:r>
      <w:r w:rsidRPr="00F82056">
        <w:rPr>
          <w:lang w:eastAsia="en-AU"/>
        </w:rPr>
        <w:t> when:</w:t>
      </w:r>
    </w:p>
    <w:p w14:paraId="56022722" w14:textId="677D44D9" w:rsidR="00B326D8" w:rsidRPr="00F82056" w:rsidRDefault="00B326D8" w:rsidP="008E48A7">
      <w:pPr>
        <w:pStyle w:val="ListBulleti"/>
        <w:numPr>
          <w:ilvl w:val="0"/>
          <w:numId w:val="38"/>
        </w:numPr>
        <w:rPr>
          <w:lang w:eastAsia="en-AU"/>
        </w:rPr>
      </w:pPr>
      <w:r w:rsidRPr="00F82056">
        <w:rPr>
          <w:lang w:eastAsia="en-AU"/>
        </w:rPr>
        <w:t>as the only therapeutically active constituent (other than phenylephrine or when combined with an effervescent agent</w:t>
      </w:r>
      <w:proofErr w:type="gramStart"/>
      <w:r w:rsidRPr="00F82056">
        <w:rPr>
          <w:lang w:eastAsia="en-AU"/>
        </w:rPr>
        <w:t>);</w:t>
      </w:r>
      <w:proofErr w:type="gramEnd"/>
    </w:p>
    <w:p w14:paraId="2BA4189F" w14:textId="333BE07C" w:rsidR="00B326D8" w:rsidRPr="00F82056" w:rsidRDefault="00B326D8" w:rsidP="00E42D2F">
      <w:pPr>
        <w:pStyle w:val="ListBulleti"/>
        <w:rPr>
          <w:lang w:eastAsia="en-AU"/>
        </w:rPr>
      </w:pPr>
      <w:r w:rsidRPr="00F82056">
        <w:rPr>
          <w:lang w:eastAsia="en-AU"/>
        </w:rPr>
        <w:t xml:space="preserve">packed in blister or strip packaging or in a container with a child-resistant </w:t>
      </w:r>
      <w:proofErr w:type="gramStart"/>
      <w:r w:rsidRPr="00F82056">
        <w:rPr>
          <w:lang w:eastAsia="en-AU"/>
        </w:rPr>
        <w:t>closure;</w:t>
      </w:r>
      <w:proofErr w:type="gramEnd"/>
    </w:p>
    <w:p w14:paraId="51515A5C" w14:textId="65EBF881" w:rsidR="00B326D8" w:rsidRPr="00F82056" w:rsidRDefault="00B326D8" w:rsidP="00E42D2F">
      <w:pPr>
        <w:pStyle w:val="ListBulleti"/>
        <w:rPr>
          <w:lang w:eastAsia="en-AU"/>
        </w:rPr>
      </w:pPr>
      <w:r w:rsidRPr="00F82056">
        <w:rPr>
          <w:lang w:eastAsia="en-AU"/>
        </w:rPr>
        <w:t xml:space="preserve">in a primary pack containing not more than 25 dosage </w:t>
      </w:r>
      <w:proofErr w:type="gramStart"/>
      <w:r w:rsidRPr="00F82056">
        <w:rPr>
          <w:lang w:eastAsia="en-AU"/>
        </w:rPr>
        <w:t>units;</w:t>
      </w:r>
      <w:proofErr w:type="gramEnd"/>
    </w:p>
    <w:p w14:paraId="39046A04" w14:textId="5FBDA7E4" w:rsidR="00B326D8" w:rsidRPr="00F82056" w:rsidRDefault="00B326D8" w:rsidP="00E42D2F">
      <w:pPr>
        <w:pStyle w:val="ListBulleti"/>
        <w:rPr>
          <w:lang w:eastAsia="en-AU"/>
        </w:rPr>
      </w:pPr>
      <w:r w:rsidRPr="00F82056">
        <w:rPr>
          <w:lang w:eastAsia="en-AU"/>
        </w:rPr>
        <w:t xml:space="preserve">compliant with the requirements of the Required Advisory Statements for Medicine </w:t>
      </w:r>
      <w:proofErr w:type="gramStart"/>
      <w:r w:rsidRPr="00F82056">
        <w:rPr>
          <w:lang w:eastAsia="en-AU"/>
        </w:rPr>
        <w:t>Labels;</w:t>
      </w:r>
      <w:proofErr w:type="gramEnd"/>
    </w:p>
    <w:p w14:paraId="7963F92F" w14:textId="100A1B5B" w:rsidR="00B326D8" w:rsidRPr="00F82056" w:rsidRDefault="00B326D8" w:rsidP="00E42D2F">
      <w:pPr>
        <w:pStyle w:val="ListBulleti"/>
        <w:rPr>
          <w:lang w:eastAsia="en-AU"/>
        </w:rPr>
      </w:pPr>
      <w:r w:rsidRPr="00F82056">
        <w:rPr>
          <w:lang w:eastAsia="en-AU"/>
        </w:rPr>
        <w:t>not labelled for the treatment of children 6 years of age or less; and</w:t>
      </w:r>
    </w:p>
    <w:p w14:paraId="0B5B8932" w14:textId="5BD39D19" w:rsidR="00B326D8" w:rsidRPr="00F82056" w:rsidRDefault="00B326D8" w:rsidP="00E42D2F">
      <w:pPr>
        <w:pStyle w:val="ListBulleti"/>
        <w:rPr>
          <w:lang w:eastAsia="en-AU"/>
        </w:rPr>
      </w:pPr>
      <w:r w:rsidRPr="00F82056">
        <w:rPr>
          <w:lang w:eastAsia="en-AU"/>
        </w:rPr>
        <w:t>not labelled for the treatment of children under 12 years of age when combined with phenylephrine; or</w:t>
      </w:r>
    </w:p>
    <w:p w14:paraId="51AB0639" w14:textId="0C006C08" w:rsidR="00B326D8" w:rsidRPr="00F82056" w:rsidRDefault="00B326D8" w:rsidP="00AB252D">
      <w:pPr>
        <w:pStyle w:val="ListBulleta"/>
        <w:rPr>
          <w:lang w:eastAsia="en-AU"/>
        </w:rPr>
      </w:pPr>
      <w:r w:rsidRPr="00F82056">
        <w:rPr>
          <w:lang w:val="en" w:eastAsia="en-AU"/>
        </w:rPr>
        <w:t>in divided immediate release preparations, each containing 400 mg or less of ibuprofen in a primary pack containing not more than 12 dosage units, when labelled not for the treatment of children under 12 years of age.</w:t>
      </w:r>
    </w:p>
    <w:p w14:paraId="7EB950E5" w14:textId="77777777" w:rsidR="00B326D8" w:rsidRDefault="00B326D8" w:rsidP="00E42D2F">
      <w:pPr>
        <w:ind w:left="426"/>
        <w:rPr>
          <w:b/>
        </w:rPr>
      </w:pPr>
      <w:r>
        <w:rPr>
          <w:b/>
        </w:rPr>
        <w:t>Index</w:t>
      </w:r>
    </w:p>
    <w:p w14:paraId="266156FB" w14:textId="77777777" w:rsidR="00B326D8" w:rsidRPr="00F82056" w:rsidRDefault="00B326D8" w:rsidP="00E42D2F">
      <w:pPr>
        <w:shd w:val="clear" w:color="auto" w:fill="FFFFFF"/>
        <w:spacing w:before="240" w:after="240"/>
        <w:ind w:left="720"/>
        <w:rPr>
          <w:rFonts w:eastAsia="Times New Roman"/>
          <w:color w:val="000000"/>
          <w:szCs w:val="22"/>
          <w:lang w:eastAsia="en-AU"/>
        </w:rPr>
      </w:pPr>
      <w:r w:rsidRPr="00F53485">
        <w:rPr>
          <w:rFonts w:eastAsia="Times New Roman"/>
          <w:b/>
          <w:bCs/>
          <w:color w:val="000000"/>
          <w:szCs w:val="22"/>
          <w:lang w:eastAsia="en-AU"/>
        </w:rPr>
        <w:t>IBUPROFEN</w:t>
      </w:r>
      <w:r w:rsidRPr="00F82056">
        <w:rPr>
          <w:rFonts w:eastAsia="Times New Roman"/>
          <w:b/>
          <w:bCs/>
          <w:color w:val="000000"/>
          <w:szCs w:val="22"/>
          <w:lang w:eastAsia="en-AU"/>
        </w:rPr>
        <w:br/>
      </w:r>
      <w:r w:rsidRPr="00F82056">
        <w:rPr>
          <w:rFonts w:eastAsia="Times New Roman"/>
          <w:color w:val="000000"/>
          <w:szCs w:val="22"/>
          <w:lang w:eastAsia="en-AU"/>
        </w:rPr>
        <w:t>cross reference: PARACETAMOL</w:t>
      </w:r>
    </w:p>
    <w:p w14:paraId="7F52A356" w14:textId="77777777" w:rsidR="00B326D8" w:rsidRPr="005133F7" w:rsidRDefault="00B326D8" w:rsidP="00E42D2F">
      <w:pPr>
        <w:shd w:val="clear" w:color="auto" w:fill="FFFFFF"/>
        <w:spacing w:before="240" w:after="240"/>
        <w:ind w:left="720"/>
        <w:rPr>
          <w:b/>
        </w:rPr>
      </w:pPr>
      <w:r w:rsidRPr="00F82056">
        <w:rPr>
          <w:rFonts w:eastAsia="Times New Roman"/>
          <w:color w:val="000000"/>
          <w:szCs w:val="22"/>
          <w:lang w:eastAsia="en-AU"/>
        </w:rPr>
        <w:t>Schedule 4</w:t>
      </w:r>
      <w:r w:rsidRPr="00F82056">
        <w:rPr>
          <w:rFonts w:eastAsia="Times New Roman"/>
          <w:color w:val="000000"/>
          <w:szCs w:val="22"/>
          <w:lang w:eastAsia="en-AU"/>
        </w:rPr>
        <w:br/>
        <w:t>Schedule 3</w:t>
      </w:r>
      <w:r w:rsidRPr="00F82056">
        <w:rPr>
          <w:rFonts w:eastAsia="Times New Roman"/>
          <w:color w:val="000000"/>
          <w:szCs w:val="22"/>
          <w:lang w:eastAsia="en-AU"/>
        </w:rPr>
        <w:br/>
        <w:t>Schedule 2</w:t>
      </w:r>
      <w:r w:rsidRPr="00F82056">
        <w:rPr>
          <w:rFonts w:eastAsia="Times New Roman"/>
          <w:color w:val="000000"/>
          <w:szCs w:val="22"/>
          <w:lang w:eastAsia="en-AU"/>
        </w:rPr>
        <w:br/>
        <w:t>Appendix F, Part 3</w:t>
      </w:r>
      <w:r w:rsidRPr="00F82056">
        <w:rPr>
          <w:rFonts w:eastAsia="Times New Roman"/>
          <w:color w:val="000000"/>
          <w:szCs w:val="22"/>
          <w:lang w:eastAsia="en-AU"/>
        </w:rPr>
        <w:br/>
        <w:t>App</w:t>
      </w:r>
      <w:r>
        <w:rPr>
          <w:rFonts w:eastAsia="Times New Roman"/>
          <w:color w:val="000000"/>
          <w:szCs w:val="22"/>
          <w:lang w:eastAsia="en-AU"/>
        </w:rPr>
        <w:t>e</w:t>
      </w:r>
      <w:r w:rsidRPr="00F82056">
        <w:rPr>
          <w:rFonts w:eastAsia="Times New Roman"/>
          <w:color w:val="000000"/>
          <w:szCs w:val="22"/>
          <w:lang w:eastAsia="en-AU"/>
        </w:rPr>
        <w:t>ndix H</w:t>
      </w:r>
    </w:p>
    <w:p w14:paraId="13245A0D" w14:textId="1D80EDD6" w:rsidR="00CE116A" w:rsidRDefault="00E42D2F" w:rsidP="00B326D8">
      <w:pPr>
        <w:rPr>
          <w:color w:val="000000"/>
          <w:szCs w:val="22"/>
          <w:shd w:val="clear" w:color="auto" w:fill="FFFFFF"/>
        </w:rPr>
      </w:pPr>
      <w:r>
        <w:rPr>
          <w:color w:val="000000"/>
          <w:szCs w:val="22"/>
          <w:shd w:val="clear" w:color="auto" w:fill="FFFFFF"/>
        </w:rPr>
        <w:t xml:space="preserve">It is also included under the entry IBUPROFEN in </w:t>
      </w:r>
      <w:r w:rsidR="00B326D8" w:rsidRPr="003A6A95">
        <w:rPr>
          <w:color w:val="000000"/>
          <w:szCs w:val="22"/>
          <w:shd w:val="clear" w:color="auto" w:fill="FFFFFF"/>
        </w:rPr>
        <w:t>Appendix F</w:t>
      </w:r>
      <w:r>
        <w:rPr>
          <w:color w:val="000000"/>
          <w:szCs w:val="22"/>
          <w:shd w:val="clear" w:color="auto" w:fill="FFFFFF"/>
        </w:rPr>
        <w:t xml:space="preserve">, </w:t>
      </w:r>
      <w:r w:rsidR="00B326D8" w:rsidRPr="003A6A95">
        <w:rPr>
          <w:color w:val="000000"/>
          <w:szCs w:val="22"/>
          <w:shd w:val="clear" w:color="auto" w:fill="FFFFFF"/>
        </w:rPr>
        <w:t xml:space="preserve">part 3 </w:t>
      </w:r>
      <w:r>
        <w:rPr>
          <w:color w:val="000000"/>
          <w:szCs w:val="22"/>
          <w:shd w:val="clear" w:color="auto" w:fill="FFFFFF"/>
        </w:rPr>
        <w:t>as follows:</w:t>
      </w:r>
    </w:p>
    <w:p w14:paraId="363DE5D0" w14:textId="7FA63CB1" w:rsidR="00277B9C" w:rsidRPr="00277B9C" w:rsidRDefault="00277B9C" w:rsidP="00AB1FBD">
      <w:pPr>
        <w:shd w:val="clear" w:color="auto" w:fill="FFFFFF"/>
        <w:spacing w:before="240" w:after="240"/>
        <w:ind w:left="720"/>
        <w:rPr>
          <w:rFonts w:eastAsia="Times New Roman"/>
          <w:b/>
          <w:bCs/>
          <w:color w:val="000000"/>
          <w:szCs w:val="22"/>
          <w:u w:val="single"/>
          <w:lang w:eastAsia="en-AU"/>
        </w:rPr>
      </w:pPr>
      <w:r w:rsidRPr="00277B9C">
        <w:rPr>
          <w:rFonts w:eastAsia="Times New Roman"/>
          <w:b/>
          <w:bCs/>
          <w:color w:val="000000"/>
          <w:szCs w:val="22"/>
          <w:u w:val="single"/>
          <w:lang w:eastAsia="en-AU"/>
        </w:rPr>
        <w:t xml:space="preserve">Warning statements </w:t>
      </w:r>
    </w:p>
    <w:p w14:paraId="6EE1D462" w14:textId="77777777" w:rsidR="00277B9C" w:rsidRDefault="00277B9C" w:rsidP="00AB1FBD">
      <w:pPr>
        <w:shd w:val="clear" w:color="auto" w:fill="FFFFFF"/>
        <w:spacing w:before="240" w:after="240"/>
        <w:ind w:left="720"/>
        <w:rPr>
          <w:rFonts w:eastAsia="Times New Roman"/>
          <w:color w:val="000000"/>
          <w:szCs w:val="22"/>
          <w:lang w:eastAsia="en-AU"/>
        </w:rPr>
      </w:pPr>
      <w:r w:rsidRPr="00277B9C">
        <w:rPr>
          <w:rFonts w:eastAsia="Times New Roman"/>
          <w:b/>
          <w:bCs/>
          <w:color w:val="000000"/>
          <w:szCs w:val="22"/>
          <w:lang w:eastAsia="en-AU"/>
        </w:rPr>
        <w:t>101</w:t>
      </w:r>
      <w:r w:rsidRPr="00277B9C">
        <w:rPr>
          <w:rFonts w:eastAsia="Times New Roman"/>
          <w:color w:val="000000"/>
          <w:szCs w:val="22"/>
          <w:lang w:eastAsia="en-AU"/>
        </w:rPr>
        <w:t>. Don’t use [this product/name of the product]:</w:t>
      </w:r>
    </w:p>
    <w:p w14:paraId="76D8A3E2" w14:textId="77777777" w:rsidR="00277B9C" w:rsidRDefault="00277B9C" w:rsidP="00AB1FBD">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If you have a stomach ulcer.</w:t>
      </w:r>
    </w:p>
    <w:p w14:paraId="26233611" w14:textId="77777777" w:rsidR="00277B9C" w:rsidRDefault="00277B9C" w:rsidP="00AB1FBD">
      <w:pPr>
        <w:shd w:val="clear" w:color="auto" w:fill="FFFFFF"/>
        <w:spacing w:before="240" w:after="240"/>
        <w:ind w:left="1440"/>
        <w:rPr>
          <w:rFonts w:eastAsia="Times New Roman"/>
          <w:color w:val="000000"/>
          <w:szCs w:val="22"/>
          <w:lang w:eastAsia="en-AU"/>
        </w:rPr>
      </w:pPr>
      <w:r w:rsidRPr="00277B9C">
        <w:rPr>
          <w:rFonts w:eastAsia="Times New Roman"/>
          <w:color w:val="000000"/>
          <w:szCs w:val="22"/>
          <w:lang w:eastAsia="en-AU"/>
        </w:rPr>
        <w:t>In the last 3 months of pregnancy. [This statement may be omitted in preparations used exclusively for the treatment of dysmenorrhoea.]</w:t>
      </w:r>
    </w:p>
    <w:p w14:paraId="4B2043A5" w14:textId="4E3A1ACE" w:rsidR="00277B9C" w:rsidRPr="00277B9C" w:rsidRDefault="00277B9C" w:rsidP="00AB1FBD">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If you are allergic to (name of substance) or anti-inflammatory medicines.</w:t>
      </w:r>
    </w:p>
    <w:p w14:paraId="363C146C" w14:textId="77777777" w:rsidR="00277B9C" w:rsidRDefault="00277B9C" w:rsidP="00AB1FBD">
      <w:pPr>
        <w:shd w:val="clear" w:color="auto" w:fill="FFFFFF"/>
        <w:spacing w:before="240" w:after="240"/>
        <w:ind w:left="720"/>
        <w:rPr>
          <w:rFonts w:eastAsia="Times New Roman"/>
          <w:color w:val="000000"/>
          <w:szCs w:val="22"/>
          <w:lang w:eastAsia="en-AU"/>
        </w:rPr>
      </w:pPr>
      <w:r w:rsidRPr="00277B9C">
        <w:rPr>
          <w:rFonts w:eastAsia="Times New Roman"/>
          <w:b/>
          <w:bCs/>
          <w:color w:val="000000"/>
          <w:szCs w:val="22"/>
          <w:lang w:eastAsia="en-AU"/>
        </w:rPr>
        <w:t>104</w:t>
      </w:r>
      <w:r w:rsidRPr="00277B9C">
        <w:rPr>
          <w:rFonts w:eastAsia="Times New Roman"/>
          <w:color w:val="000000"/>
          <w:szCs w:val="22"/>
          <w:lang w:eastAsia="en-AU"/>
        </w:rPr>
        <w:t>. Unless a doctor has told you to, don’t use [this product/name of the product]:</w:t>
      </w:r>
    </w:p>
    <w:p w14:paraId="1ACBBABA" w14:textId="77777777" w:rsidR="00277B9C" w:rsidRDefault="00277B9C" w:rsidP="00AB1FBD">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t>For more than a few days at a time.</w:t>
      </w:r>
    </w:p>
    <w:p w14:paraId="7FFD20F2" w14:textId="77777777" w:rsidR="00277B9C" w:rsidRDefault="00277B9C" w:rsidP="00AB1FBD">
      <w:pPr>
        <w:shd w:val="clear" w:color="auto" w:fill="FFFFFF"/>
        <w:spacing w:before="240" w:after="240"/>
        <w:ind w:left="1440"/>
        <w:rPr>
          <w:rFonts w:eastAsia="Times New Roman"/>
          <w:color w:val="000000"/>
          <w:szCs w:val="22"/>
          <w:lang w:eastAsia="en-AU"/>
        </w:rPr>
      </w:pPr>
      <w:r w:rsidRPr="00277B9C">
        <w:rPr>
          <w:rFonts w:eastAsia="Times New Roman"/>
          <w:color w:val="000000"/>
          <w:szCs w:val="22"/>
          <w:lang w:eastAsia="en-AU"/>
        </w:rPr>
        <w:t>With other medicines containing (name of substance) or other anti-inflammatory medicines.</w:t>
      </w:r>
    </w:p>
    <w:p w14:paraId="6E7F6175" w14:textId="77777777" w:rsidR="00277B9C" w:rsidRDefault="00277B9C" w:rsidP="00AB1FBD">
      <w:pPr>
        <w:shd w:val="clear" w:color="auto" w:fill="FFFFFF"/>
        <w:spacing w:before="240" w:after="240"/>
        <w:ind w:left="720" w:firstLine="720"/>
        <w:rPr>
          <w:rFonts w:eastAsia="Times New Roman"/>
          <w:color w:val="000000"/>
          <w:szCs w:val="22"/>
          <w:lang w:eastAsia="en-AU"/>
        </w:rPr>
      </w:pPr>
      <w:r w:rsidRPr="00277B9C">
        <w:rPr>
          <w:rFonts w:eastAsia="Times New Roman"/>
          <w:color w:val="000000"/>
          <w:szCs w:val="22"/>
          <w:lang w:eastAsia="en-AU"/>
        </w:rPr>
        <w:lastRenderedPageBreak/>
        <w:t>If you have asthma.</w:t>
      </w:r>
    </w:p>
    <w:p w14:paraId="7630D9CB" w14:textId="0C27D0BC" w:rsidR="00277B9C" w:rsidRPr="00277B9C" w:rsidRDefault="00277B9C" w:rsidP="00AB1FBD">
      <w:pPr>
        <w:shd w:val="clear" w:color="auto" w:fill="FFFFFF"/>
        <w:spacing w:before="240" w:after="240"/>
        <w:ind w:left="1440"/>
        <w:rPr>
          <w:rFonts w:eastAsia="Times New Roman"/>
          <w:color w:val="000000"/>
          <w:szCs w:val="22"/>
          <w:lang w:eastAsia="en-AU"/>
        </w:rPr>
      </w:pPr>
      <w:r w:rsidRPr="00277B9C">
        <w:rPr>
          <w:rFonts w:eastAsia="Times New Roman"/>
          <w:color w:val="000000"/>
          <w:szCs w:val="22"/>
          <w:lang w:eastAsia="en-AU"/>
        </w:rPr>
        <w:t>If you are pregnant. [This statement may be omitted in preparations used exclusively for the treatment of dysmenorrhoea.]</w:t>
      </w:r>
    </w:p>
    <w:p w14:paraId="6ADB6559" w14:textId="2A39E7FD" w:rsidR="00B326D8" w:rsidRDefault="00B326D8" w:rsidP="00B326D8">
      <w:pPr>
        <w:pStyle w:val="Heading4"/>
      </w:pPr>
      <w:bookmarkStart w:id="50" w:name="_Toc112833623"/>
      <w:r>
        <w:t>Proposed scheduling</w:t>
      </w:r>
      <w:bookmarkEnd w:id="50"/>
    </w:p>
    <w:p w14:paraId="7DCBEF8E" w14:textId="77777777" w:rsidR="00B326D8" w:rsidRDefault="00B326D8" w:rsidP="00277B9C">
      <w:pPr>
        <w:ind w:left="426"/>
        <w:rPr>
          <w:rFonts w:cstheme="minorHAnsi"/>
          <w:b/>
          <w:bCs/>
        </w:rPr>
      </w:pPr>
      <w:r>
        <w:rPr>
          <w:rFonts w:cstheme="minorHAnsi"/>
          <w:b/>
          <w:bCs/>
        </w:rPr>
        <w:t xml:space="preserve">Schedule 4 </w:t>
      </w:r>
    </w:p>
    <w:p w14:paraId="13B20DE7" w14:textId="77777777" w:rsidR="00B326D8" w:rsidRPr="00B9352D" w:rsidRDefault="00B326D8" w:rsidP="00F53485">
      <w:pPr>
        <w:shd w:val="clear" w:color="auto" w:fill="FFFFFF"/>
        <w:spacing w:before="240" w:after="240"/>
        <w:ind w:firstLine="720"/>
        <w:rPr>
          <w:rFonts w:eastAsia="Times New Roman"/>
          <w:color w:val="000000"/>
          <w:szCs w:val="22"/>
          <w:lang w:eastAsia="en-AU"/>
        </w:rPr>
      </w:pPr>
      <w:r w:rsidRPr="00B9352D">
        <w:rPr>
          <w:rFonts w:eastAsia="Times New Roman"/>
          <w:color w:val="000000"/>
          <w:szCs w:val="22"/>
          <w:lang w:eastAsia="en-AU"/>
        </w:rPr>
        <w:t>IBUPROFEN </w:t>
      </w:r>
      <w:r w:rsidRPr="00B9352D">
        <w:rPr>
          <w:rFonts w:eastAsia="Times New Roman"/>
          <w:b/>
          <w:bCs/>
          <w:color w:val="000000"/>
          <w:szCs w:val="22"/>
          <w:lang w:eastAsia="en-AU"/>
        </w:rPr>
        <w:t>except</w:t>
      </w:r>
      <w:r w:rsidRPr="00B9352D">
        <w:rPr>
          <w:rFonts w:eastAsia="Times New Roman"/>
          <w:color w:val="000000"/>
          <w:szCs w:val="22"/>
          <w:lang w:eastAsia="en-AU"/>
        </w:rPr>
        <w:t>:</w:t>
      </w:r>
    </w:p>
    <w:p w14:paraId="30CC1F60" w14:textId="40C1B311" w:rsidR="00B326D8" w:rsidRPr="00B9352D" w:rsidRDefault="00B326D8" w:rsidP="008E48A7">
      <w:pPr>
        <w:pStyle w:val="ListBulleta"/>
        <w:numPr>
          <w:ilvl w:val="0"/>
          <w:numId w:val="39"/>
        </w:numPr>
        <w:rPr>
          <w:lang w:eastAsia="en-AU"/>
        </w:rPr>
      </w:pPr>
      <w:r w:rsidRPr="00B9352D">
        <w:rPr>
          <w:lang w:eastAsia="en-AU"/>
        </w:rPr>
        <w:t>when included in or expressly excluded from Schedule 2 or 3; or</w:t>
      </w:r>
    </w:p>
    <w:p w14:paraId="21DC7227" w14:textId="6AA81982" w:rsidR="00B326D8" w:rsidRDefault="00B326D8" w:rsidP="00277B9C">
      <w:pPr>
        <w:pStyle w:val="ListBulleta"/>
        <w:rPr>
          <w:lang w:eastAsia="en-AU"/>
        </w:rPr>
      </w:pPr>
      <w:r w:rsidRPr="00B9352D">
        <w:rPr>
          <w:lang w:eastAsia="en-AU"/>
        </w:rPr>
        <w:t>in preparations for dermal use.</w:t>
      </w:r>
    </w:p>
    <w:p w14:paraId="1AFF105A" w14:textId="77777777" w:rsidR="00B326D8" w:rsidRPr="00B9352D" w:rsidRDefault="00B326D8" w:rsidP="00277B9C">
      <w:pPr>
        <w:ind w:left="426"/>
        <w:rPr>
          <w:rFonts w:cstheme="minorHAnsi"/>
          <w:b/>
          <w:bCs/>
        </w:rPr>
      </w:pPr>
      <w:r w:rsidRPr="00B9352D">
        <w:rPr>
          <w:rFonts w:cstheme="minorHAnsi"/>
          <w:b/>
          <w:bCs/>
        </w:rPr>
        <w:t>Schedule 3</w:t>
      </w:r>
    </w:p>
    <w:p w14:paraId="4622FD79" w14:textId="77777777" w:rsidR="00B326D8" w:rsidRPr="00B9352D" w:rsidRDefault="00B326D8" w:rsidP="00C065FF">
      <w:pPr>
        <w:shd w:val="clear" w:color="auto" w:fill="FFFFFF"/>
        <w:spacing w:before="240" w:after="240"/>
        <w:ind w:left="397" w:firstLine="323"/>
        <w:rPr>
          <w:rFonts w:eastAsia="Times New Roman"/>
          <w:color w:val="000000"/>
          <w:szCs w:val="22"/>
          <w:lang w:eastAsia="en-AU"/>
        </w:rPr>
      </w:pPr>
      <w:r w:rsidRPr="00B9352D">
        <w:rPr>
          <w:rFonts w:eastAsia="Times New Roman"/>
          <w:color w:val="000000"/>
          <w:szCs w:val="22"/>
          <w:lang w:eastAsia="en-AU"/>
        </w:rPr>
        <w:t>IBUPROFEN:</w:t>
      </w:r>
    </w:p>
    <w:p w14:paraId="0328951B" w14:textId="58112B30" w:rsidR="00277B9C" w:rsidRDefault="00B326D8" w:rsidP="008E48A7">
      <w:pPr>
        <w:pStyle w:val="ListBulleta"/>
        <w:numPr>
          <w:ilvl w:val="0"/>
          <w:numId w:val="41"/>
        </w:numPr>
        <w:rPr>
          <w:lang w:eastAsia="en-AU"/>
        </w:rPr>
      </w:pPr>
      <w:r w:rsidRPr="00B9352D">
        <w:rPr>
          <w:lang w:eastAsia="en-AU"/>
        </w:rPr>
        <w:t>in divided preparations, each containing 400 mg or less of ibuprofen in a primary pack containing not more than 50 dosage units, when labelled:</w:t>
      </w:r>
    </w:p>
    <w:p w14:paraId="07FBCD40" w14:textId="4173664E" w:rsidR="00277B9C" w:rsidRDefault="00B326D8" w:rsidP="008E48A7">
      <w:pPr>
        <w:pStyle w:val="ListBulleti"/>
        <w:numPr>
          <w:ilvl w:val="0"/>
          <w:numId w:val="40"/>
        </w:numPr>
        <w:rPr>
          <w:lang w:eastAsia="en-AU"/>
        </w:rPr>
      </w:pPr>
      <w:r w:rsidRPr="00B9352D">
        <w:rPr>
          <w:lang w:eastAsia="en-AU"/>
        </w:rPr>
        <w:t>with a recommended daily dose of 1200 mg or less of ibuprofen; and</w:t>
      </w:r>
    </w:p>
    <w:p w14:paraId="4A875529" w14:textId="46CED630" w:rsidR="00B326D8" w:rsidRPr="00B9352D" w:rsidRDefault="00B326D8" w:rsidP="00277B9C">
      <w:pPr>
        <w:pStyle w:val="ListBulleti"/>
        <w:rPr>
          <w:lang w:eastAsia="en-AU"/>
        </w:rPr>
      </w:pPr>
      <w:r w:rsidRPr="00277B9C">
        <w:rPr>
          <w:sz w:val="14"/>
          <w:szCs w:val="14"/>
          <w:lang w:eastAsia="en-AU"/>
        </w:rPr>
        <w:t> </w:t>
      </w:r>
      <w:r w:rsidRPr="00B9352D">
        <w:rPr>
          <w:lang w:eastAsia="en-AU"/>
        </w:rPr>
        <w:t>not for the treatment of children under 12 years of age; or</w:t>
      </w:r>
    </w:p>
    <w:p w14:paraId="44DADD56" w14:textId="0ED4BED4" w:rsidR="00B326D8" w:rsidRPr="00B9352D" w:rsidRDefault="00B326D8" w:rsidP="00277B9C">
      <w:pPr>
        <w:pStyle w:val="ListBulleta"/>
        <w:rPr>
          <w:lang w:eastAsia="en-AU"/>
        </w:rPr>
      </w:pPr>
      <w:r w:rsidRPr="00B9352D">
        <w:rPr>
          <w:lang w:val="en-GB" w:eastAsia="en-AU"/>
        </w:rPr>
        <w:t>in a modified release dosage form, each containing 600 mg of ibuprofen </w:t>
      </w:r>
      <w:r w:rsidRPr="00B9352D">
        <w:rPr>
          <w:lang w:eastAsia="en-AU"/>
        </w:rPr>
        <w:t>in a primary pack containing not more than 32 dosage units, when labelled:</w:t>
      </w:r>
    </w:p>
    <w:p w14:paraId="1B6A051C" w14:textId="0470CBDD" w:rsidR="00B326D8" w:rsidRPr="00B9352D" w:rsidRDefault="00B326D8" w:rsidP="008E48A7">
      <w:pPr>
        <w:pStyle w:val="ListBulleti"/>
        <w:numPr>
          <w:ilvl w:val="0"/>
          <w:numId w:val="42"/>
        </w:numPr>
        <w:rPr>
          <w:lang w:eastAsia="en-AU"/>
        </w:rPr>
      </w:pPr>
      <w:r w:rsidRPr="00B9352D">
        <w:rPr>
          <w:lang w:eastAsia="en-AU"/>
        </w:rPr>
        <w:t>with a recommended daily dose of 1200 mg or less of ibuprofen; and</w:t>
      </w:r>
    </w:p>
    <w:p w14:paraId="4D52C6FB" w14:textId="58FDEEF5" w:rsidR="00B326D8" w:rsidRPr="00B9352D" w:rsidRDefault="00B326D8" w:rsidP="00C065FF">
      <w:pPr>
        <w:pStyle w:val="ListBulleti"/>
        <w:rPr>
          <w:lang w:eastAsia="en-AU"/>
        </w:rPr>
      </w:pPr>
      <w:r w:rsidRPr="00B9352D">
        <w:rPr>
          <w:lang w:eastAsia="en-AU"/>
        </w:rPr>
        <w:t xml:space="preserve">not for the treatment of children under 12 years of </w:t>
      </w:r>
      <w:proofErr w:type="gramStart"/>
      <w:r w:rsidRPr="00B9352D">
        <w:rPr>
          <w:lang w:eastAsia="en-AU"/>
        </w:rPr>
        <w:t>age;</w:t>
      </w:r>
      <w:proofErr w:type="gramEnd"/>
    </w:p>
    <w:p w14:paraId="7BA873C8" w14:textId="06864051" w:rsidR="00B326D8" w:rsidRPr="00B9352D" w:rsidRDefault="00B326D8" w:rsidP="00C065FF">
      <w:pPr>
        <w:shd w:val="clear" w:color="auto" w:fill="FFFFFF"/>
        <w:spacing w:before="240" w:after="240"/>
        <w:ind w:firstLine="720"/>
        <w:rPr>
          <w:rFonts w:eastAsia="Times New Roman"/>
          <w:color w:val="000000"/>
          <w:szCs w:val="22"/>
          <w:lang w:eastAsia="en-AU"/>
        </w:rPr>
      </w:pPr>
      <w:r w:rsidRPr="00B9352D">
        <w:rPr>
          <w:rFonts w:eastAsia="Times New Roman"/>
          <w:b/>
          <w:bCs/>
          <w:color w:val="000000"/>
          <w:szCs w:val="22"/>
          <w:lang w:eastAsia="en-AU"/>
        </w:rPr>
        <w:t>except</w:t>
      </w:r>
      <w:r w:rsidRPr="00B9352D">
        <w:rPr>
          <w:rFonts w:eastAsia="Times New Roman"/>
          <w:color w:val="000000"/>
          <w:szCs w:val="22"/>
          <w:lang w:eastAsia="en-AU"/>
        </w:rPr>
        <w:t> when included in or expressly excluded from Schedule 2.</w:t>
      </w:r>
    </w:p>
    <w:p w14:paraId="086EAF61" w14:textId="77777777" w:rsidR="00B326D8" w:rsidRPr="00B9352D" w:rsidRDefault="00B326D8" w:rsidP="00C065FF">
      <w:pPr>
        <w:ind w:left="426"/>
        <w:rPr>
          <w:rFonts w:cstheme="minorHAnsi"/>
          <w:b/>
          <w:bCs/>
        </w:rPr>
      </w:pPr>
      <w:r w:rsidRPr="00B9352D">
        <w:rPr>
          <w:rFonts w:cstheme="minorHAnsi"/>
          <w:b/>
          <w:bCs/>
        </w:rPr>
        <w:t>Schedule 2</w:t>
      </w:r>
      <w:r>
        <w:rPr>
          <w:rFonts w:cstheme="minorHAnsi"/>
          <w:b/>
          <w:bCs/>
        </w:rPr>
        <w:t xml:space="preserve"> – Amend entry </w:t>
      </w:r>
    </w:p>
    <w:p w14:paraId="194AC91F" w14:textId="77777777" w:rsidR="00B326D8" w:rsidRPr="00B9352D" w:rsidRDefault="00B326D8" w:rsidP="00C065FF">
      <w:pPr>
        <w:shd w:val="clear" w:color="auto" w:fill="FFFFFF"/>
        <w:spacing w:before="240" w:after="240"/>
        <w:ind w:left="720"/>
        <w:rPr>
          <w:rFonts w:eastAsia="Times New Roman"/>
          <w:color w:val="000000"/>
          <w:szCs w:val="22"/>
          <w:lang w:eastAsia="en-AU"/>
        </w:rPr>
      </w:pPr>
      <w:r w:rsidRPr="00B9352D">
        <w:rPr>
          <w:rFonts w:eastAsia="Times New Roman"/>
          <w:color w:val="000000"/>
          <w:szCs w:val="22"/>
          <w:lang w:eastAsia="en-AU"/>
        </w:rPr>
        <w:t>IBUPROFEN in preparations for oral use when labelled with a recommended daily dose of 1200 mg or less of ibuprofen:</w:t>
      </w:r>
    </w:p>
    <w:p w14:paraId="65127C88" w14:textId="24E5CB80" w:rsidR="00B326D8" w:rsidRPr="00B9352D" w:rsidRDefault="00B326D8" w:rsidP="008E48A7">
      <w:pPr>
        <w:pStyle w:val="ListBulleta"/>
        <w:numPr>
          <w:ilvl w:val="0"/>
          <w:numId w:val="43"/>
        </w:numPr>
        <w:rPr>
          <w:lang w:eastAsia="en-AU"/>
        </w:rPr>
      </w:pPr>
      <w:r w:rsidRPr="00B9352D">
        <w:rPr>
          <w:lang w:eastAsia="en-AU"/>
        </w:rPr>
        <w:t xml:space="preserve">in liquid preparations when sold in the manufacturer’s original pack containing 8 g or less of </w:t>
      </w:r>
      <w:proofErr w:type="gramStart"/>
      <w:r w:rsidRPr="00B9352D">
        <w:rPr>
          <w:lang w:eastAsia="en-AU"/>
        </w:rPr>
        <w:t>ibuprofen;</w:t>
      </w:r>
      <w:proofErr w:type="gramEnd"/>
      <w:r w:rsidRPr="00B9352D">
        <w:rPr>
          <w:lang w:eastAsia="en-AU"/>
        </w:rPr>
        <w:t xml:space="preserve"> or</w:t>
      </w:r>
    </w:p>
    <w:p w14:paraId="1140582F" w14:textId="2FCFFBD2" w:rsidR="00B326D8" w:rsidRPr="00B9352D" w:rsidRDefault="00B326D8" w:rsidP="00C065FF">
      <w:pPr>
        <w:pStyle w:val="ListBulleta"/>
        <w:rPr>
          <w:lang w:eastAsia="en-AU"/>
        </w:rPr>
      </w:pPr>
      <w:r w:rsidRPr="00B9352D">
        <w:rPr>
          <w:lang w:eastAsia="en-AU"/>
        </w:rPr>
        <w:t>in divided preparations, each containing 200 mg or less of ibuprofen, in packs of not more than 100 dosage units </w:t>
      </w:r>
      <w:r w:rsidRPr="00B9352D">
        <w:rPr>
          <w:b/>
          <w:bCs/>
          <w:lang w:eastAsia="en-AU"/>
        </w:rPr>
        <w:t>except</w:t>
      </w:r>
      <w:r w:rsidRPr="00B9352D">
        <w:rPr>
          <w:lang w:eastAsia="en-AU"/>
        </w:rPr>
        <w:t> when:</w:t>
      </w:r>
    </w:p>
    <w:p w14:paraId="6C83B054" w14:textId="3CECC13F" w:rsidR="00B326D8" w:rsidRPr="00B9352D" w:rsidRDefault="00B326D8" w:rsidP="008E48A7">
      <w:pPr>
        <w:pStyle w:val="ListBulleti"/>
        <w:numPr>
          <w:ilvl w:val="0"/>
          <w:numId w:val="44"/>
        </w:numPr>
        <w:rPr>
          <w:lang w:eastAsia="en-AU"/>
        </w:rPr>
      </w:pPr>
      <w:r w:rsidRPr="00B9352D">
        <w:rPr>
          <w:lang w:eastAsia="en-AU"/>
        </w:rPr>
        <w:t>as the only therapeutically active constituent (other than phenylephrine or when combined with an effervescent agent</w:t>
      </w:r>
      <w:proofErr w:type="gramStart"/>
      <w:r w:rsidRPr="00B9352D">
        <w:rPr>
          <w:lang w:eastAsia="en-AU"/>
        </w:rPr>
        <w:t>);</w:t>
      </w:r>
      <w:proofErr w:type="gramEnd"/>
    </w:p>
    <w:p w14:paraId="13107BA2" w14:textId="623ADDCB" w:rsidR="00B326D8" w:rsidRPr="00B9352D" w:rsidRDefault="00B326D8" w:rsidP="00C065FF">
      <w:pPr>
        <w:pStyle w:val="ListBulleti"/>
        <w:rPr>
          <w:lang w:eastAsia="en-AU"/>
        </w:rPr>
      </w:pPr>
      <w:r w:rsidRPr="00B9352D">
        <w:rPr>
          <w:lang w:eastAsia="en-AU"/>
        </w:rPr>
        <w:t xml:space="preserve">packed in blister or strip packaging or in a container with a child-resistant </w:t>
      </w:r>
      <w:proofErr w:type="gramStart"/>
      <w:r w:rsidRPr="00B9352D">
        <w:rPr>
          <w:lang w:eastAsia="en-AU"/>
        </w:rPr>
        <w:t>closure;</w:t>
      </w:r>
      <w:proofErr w:type="gramEnd"/>
    </w:p>
    <w:p w14:paraId="7A63A5BA" w14:textId="2A090E3A" w:rsidR="00B326D8" w:rsidRPr="00B9352D" w:rsidRDefault="00B326D8" w:rsidP="00C065FF">
      <w:pPr>
        <w:pStyle w:val="ListBulleti"/>
        <w:rPr>
          <w:lang w:eastAsia="en-AU"/>
        </w:rPr>
      </w:pPr>
      <w:r w:rsidRPr="00B9352D">
        <w:rPr>
          <w:lang w:eastAsia="en-AU"/>
        </w:rPr>
        <w:t xml:space="preserve">in a primary pack containing not more than 25 dosage </w:t>
      </w:r>
      <w:proofErr w:type="gramStart"/>
      <w:r w:rsidRPr="00B9352D">
        <w:rPr>
          <w:lang w:eastAsia="en-AU"/>
        </w:rPr>
        <w:t>units;</w:t>
      </w:r>
      <w:proofErr w:type="gramEnd"/>
    </w:p>
    <w:p w14:paraId="5BD9D365" w14:textId="0E5D91C8" w:rsidR="00B326D8" w:rsidRPr="00B9352D" w:rsidRDefault="00B326D8" w:rsidP="00C065FF">
      <w:pPr>
        <w:pStyle w:val="ListBulleti"/>
        <w:rPr>
          <w:lang w:eastAsia="en-AU"/>
        </w:rPr>
      </w:pPr>
      <w:r w:rsidRPr="00B9352D">
        <w:rPr>
          <w:lang w:eastAsia="en-AU"/>
        </w:rPr>
        <w:t xml:space="preserve">compliant with the requirements of the Required Advisory Statements for Medicine </w:t>
      </w:r>
      <w:proofErr w:type="gramStart"/>
      <w:r w:rsidRPr="00B9352D">
        <w:rPr>
          <w:lang w:eastAsia="en-AU"/>
        </w:rPr>
        <w:t>Labels;</w:t>
      </w:r>
      <w:proofErr w:type="gramEnd"/>
    </w:p>
    <w:p w14:paraId="4E8FA939" w14:textId="2A8B5A97" w:rsidR="00B326D8" w:rsidRPr="00B9352D" w:rsidRDefault="00B326D8" w:rsidP="00C065FF">
      <w:pPr>
        <w:pStyle w:val="ListBulleti"/>
        <w:rPr>
          <w:lang w:eastAsia="en-AU"/>
        </w:rPr>
      </w:pPr>
      <w:r w:rsidRPr="00B9352D">
        <w:rPr>
          <w:lang w:eastAsia="en-AU"/>
        </w:rPr>
        <w:t>not labelled for the treatment of children 6 years of age or less; and</w:t>
      </w:r>
    </w:p>
    <w:p w14:paraId="785BE03F" w14:textId="5BE9185F" w:rsidR="00B326D8" w:rsidRPr="00B9352D" w:rsidRDefault="00B326D8" w:rsidP="00C065FF">
      <w:pPr>
        <w:pStyle w:val="ListBulleti"/>
        <w:rPr>
          <w:lang w:eastAsia="en-AU"/>
        </w:rPr>
      </w:pPr>
      <w:r w:rsidRPr="00B9352D">
        <w:rPr>
          <w:lang w:eastAsia="en-AU"/>
        </w:rPr>
        <w:lastRenderedPageBreak/>
        <w:t>not labelled for the treatment of children under 12 years of age when combined with phenylephrine; or</w:t>
      </w:r>
    </w:p>
    <w:p w14:paraId="3A7D7CBE" w14:textId="72ADC341" w:rsidR="00B326D8" w:rsidRPr="00CE116A" w:rsidRDefault="00B326D8" w:rsidP="00C065FF">
      <w:pPr>
        <w:pStyle w:val="ListBulleta"/>
        <w:rPr>
          <w:lang w:eastAsia="en-AU"/>
        </w:rPr>
      </w:pPr>
      <w:r w:rsidRPr="00B9352D">
        <w:rPr>
          <w:lang w:val="en" w:eastAsia="en-AU"/>
        </w:rPr>
        <w:t xml:space="preserve">in divided </w:t>
      </w:r>
      <w:r w:rsidRPr="00F82056">
        <w:rPr>
          <w:strike/>
          <w:color w:val="FF0000"/>
          <w:lang w:val="en" w:eastAsia="en-AU"/>
        </w:rPr>
        <w:t>immediate release</w:t>
      </w:r>
      <w:r w:rsidRPr="00F82056">
        <w:rPr>
          <w:color w:val="FF0000"/>
          <w:lang w:val="en" w:eastAsia="en-AU"/>
        </w:rPr>
        <w:t xml:space="preserve"> </w:t>
      </w:r>
      <w:r w:rsidRPr="00B9352D">
        <w:rPr>
          <w:lang w:val="en" w:eastAsia="en-AU"/>
        </w:rPr>
        <w:t>preparations, each containing 400 mg or less of ibuprofen in a primary pack containing not more than 12 dosage units, when labelled not for the treatment of children under 12 years of age.</w:t>
      </w:r>
    </w:p>
    <w:p w14:paraId="7B2758B7" w14:textId="77777777" w:rsidR="00B326D8" w:rsidRDefault="00B326D8" w:rsidP="00C065FF">
      <w:pPr>
        <w:ind w:left="426"/>
        <w:rPr>
          <w:b/>
        </w:rPr>
      </w:pPr>
      <w:r>
        <w:rPr>
          <w:b/>
        </w:rPr>
        <w:t>Index</w:t>
      </w:r>
    </w:p>
    <w:p w14:paraId="2F836090" w14:textId="77777777" w:rsidR="00B326D8" w:rsidRPr="00B9352D" w:rsidRDefault="00B326D8" w:rsidP="00C065FF">
      <w:pPr>
        <w:shd w:val="clear" w:color="auto" w:fill="FFFFFF"/>
        <w:spacing w:before="240" w:after="240"/>
        <w:ind w:left="720"/>
        <w:rPr>
          <w:rFonts w:eastAsia="Times New Roman"/>
          <w:color w:val="000000"/>
          <w:szCs w:val="22"/>
          <w:lang w:eastAsia="en-AU"/>
        </w:rPr>
      </w:pPr>
      <w:r w:rsidRPr="00C065FF">
        <w:rPr>
          <w:rFonts w:eastAsia="Times New Roman"/>
          <w:b/>
          <w:bCs/>
          <w:color w:val="000000"/>
          <w:szCs w:val="22"/>
          <w:lang w:eastAsia="en-AU"/>
        </w:rPr>
        <w:t>IBUPROFEN</w:t>
      </w:r>
      <w:r w:rsidRPr="00B9352D">
        <w:rPr>
          <w:rFonts w:eastAsia="Times New Roman"/>
          <w:b/>
          <w:bCs/>
          <w:color w:val="000000"/>
          <w:szCs w:val="22"/>
          <w:lang w:eastAsia="en-AU"/>
        </w:rPr>
        <w:br/>
      </w:r>
      <w:r w:rsidRPr="00B9352D">
        <w:rPr>
          <w:rFonts w:eastAsia="Times New Roman"/>
          <w:color w:val="000000"/>
          <w:szCs w:val="22"/>
          <w:lang w:eastAsia="en-AU"/>
        </w:rPr>
        <w:t>cross reference: PARACETAMOL</w:t>
      </w:r>
    </w:p>
    <w:p w14:paraId="5E1C465C" w14:textId="77777777" w:rsidR="00B326D8" w:rsidRDefault="00B326D8" w:rsidP="00C065FF">
      <w:pPr>
        <w:shd w:val="clear" w:color="auto" w:fill="FFFFFF"/>
        <w:spacing w:before="240" w:after="240"/>
        <w:ind w:left="720"/>
        <w:rPr>
          <w:rFonts w:eastAsia="Times New Roman"/>
          <w:color w:val="000000"/>
          <w:szCs w:val="22"/>
          <w:lang w:eastAsia="en-AU"/>
        </w:rPr>
      </w:pPr>
      <w:r w:rsidRPr="00B9352D">
        <w:rPr>
          <w:rFonts w:eastAsia="Times New Roman"/>
          <w:color w:val="000000"/>
          <w:szCs w:val="22"/>
          <w:lang w:eastAsia="en-AU"/>
        </w:rPr>
        <w:t>Schedule 4</w:t>
      </w:r>
      <w:r w:rsidRPr="00B9352D">
        <w:rPr>
          <w:rFonts w:eastAsia="Times New Roman"/>
          <w:color w:val="000000"/>
          <w:szCs w:val="22"/>
          <w:lang w:eastAsia="en-AU"/>
        </w:rPr>
        <w:br/>
        <w:t>Schedule 3</w:t>
      </w:r>
      <w:r w:rsidRPr="00B9352D">
        <w:rPr>
          <w:rFonts w:eastAsia="Times New Roman"/>
          <w:color w:val="000000"/>
          <w:szCs w:val="22"/>
          <w:lang w:eastAsia="en-AU"/>
        </w:rPr>
        <w:br/>
        <w:t>Schedule 2</w:t>
      </w:r>
      <w:r w:rsidRPr="00B9352D">
        <w:rPr>
          <w:rFonts w:eastAsia="Times New Roman"/>
          <w:color w:val="000000"/>
          <w:szCs w:val="22"/>
          <w:lang w:eastAsia="en-AU"/>
        </w:rPr>
        <w:br/>
        <w:t>Appendix F, Part 3</w:t>
      </w:r>
      <w:r w:rsidRPr="00B9352D">
        <w:rPr>
          <w:rFonts w:eastAsia="Times New Roman"/>
          <w:color w:val="000000"/>
          <w:szCs w:val="22"/>
          <w:lang w:eastAsia="en-AU"/>
        </w:rPr>
        <w:br/>
        <w:t>App</w:t>
      </w:r>
      <w:r>
        <w:rPr>
          <w:rFonts w:eastAsia="Times New Roman"/>
          <w:color w:val="000000"/>
          <w:szCs w:val="22"/>
          <w:lang w:eastAsia="en-AU"/>
        </w:rPr>
        <w:t>e</w:t>
      </w:r>
      <w:r w:rsidRPr="00B9352D">
        <w:rPr>
          <w:rFonts w:eastAsia="Times New Roman"/>
          <w:color w:val="000000"/>
          <w:szCs w:val="22"/>
          <w:lang w:eastAsia="en-AU"/>
        </w:rPr>
        <w:t>ndix H</w:t>
      </w:r>
    </w:p>
    <w:p w14:paraId="7DC40D49" w14:textId="7E2599CC" w:rsidR="00B326D8" w:rsidRPr="005133F7" w:rsidRDefault="00B326D8" w:rsidP="00B326D8">
      <w:pPr>
        <w:shd w:val="clear" w:color="auto" w:fill="FFFFFF"/>
        <w:spacing w:before="240" w:after="240"/>
        <w:rPr>
          <w:b/>
        </w:rPr>
      </w:pPr>
      <w:r>
        <w:rPr>
          <w:rFonts w:eastAsia="Times New Roman"/>
          <w:color w:val="000000"/>
          <w:szCs w:val="22"/>
          <w:lang w:eastAsia="en-AU"/>
        </w:rPr>
        <w:t>No changes are proposed to Appendix F</w:t>
      </w:r>
      <w:r w:rsidR="00C065FF">
        <w:rPr>
          <w:rFonts w:eastAsia="Times New Roman"/>
          <w:color w:val="000000"/>
          <w:szCs w:val="22"/>
          <w:lang w:eastAsia="en-AU"/>
        </w:rPr>
        <w:t>,</w:t>
      </w:r>
      <w:r>
        <w:rPr>
          <w:rFonts w:eastAsia="Times New Roman"/>
          <w:color w:val="000000"/>
          <w:szCs w:val="22"/>
          <w:lang w:eastAsia="en-AU"/>
        </w:rPr>
        <w:t xml:space="preserve"> </w:t>
      </w:r>
      <w:r w:rsidR="00C065FF">
        <w:rPr>
          <w:rFonts w:eastAsia="Times New Roman"/>
          <w:color w:val="000000"/>
          <w:szCs w:val="22"/>
          <w:lang w:eastAsia="en-AU"/>
        </w:rPr>
        <w:t>P</w:t>
      </w:r>
      <w:r>
        <w:rPr>
          <w:rFonts w:eastAsia="Times New Roman"/>
          <w:color w:val="000000"/>
          <w:szCs w:val="22"/>
          <w:lang w:eastAsia="en-AU"/>
        </w:rPr>
        <w:t xml:space="preserve">art </w:t>
      </w:r>
      <w:proofErr w:type="gramStart"/>
      <w:r>
        <w:rPr>
          <w:rFonts w:eastAsia="Times New Roman"/>
          <w:color w:val="000000"/>
          <w:szCs w:val="22"/>
          <w:lang w:eastAsia="en-AU"/>
        </w:rPr>
        <w:t>3</w:t>
      </w:r>
      <w:proofErr w:type="gramEnd"/>
      <w:r>
        <w:rPr>
          <w:rFonts w:eastAsia="Times New Roman"/>
          <w:color w:val="000000"/>
          <w:szCs w:val="22"/>
          <w:lang w:eastAsia="en-AU"/>
        </w:rPr>
        <w:t xml:space="preserve"> or Appendix H. </w:t>
      </w:r>
    </w:p>
    <w:p w14:paraId="653EAFDD" w14:textId="290F0F2B" w:rsidR="00B326D8" w:rsidRDefault="00B326D8" w:rsidP="00B326D8">
      <w:pPr>
        <w:pStyle w:val="Heading4"/>
      </w:pPr>
      <w:bookmarkStart w:id="51" w:name="_Toc112833624"/>
      <w:r>
        <w:t>Background</w:t>
      </w:r>
      <w:bookmarkEnd w:id="51"/>
    </w:p>
    <w:p w14:paraId="51322EBB" w14:textId="6557DDAE" w:rsidR="00B326D8" w:rsidRDefault="00B326D8" w:rsidP="00F93D73">
      <w:pPr>
        <w:pStyle w:val="ListBullet"/>
        <w:numPr>
          <w:ilvl w:val="0"/>
          <w:numId w:val="0"/>
        </w:numPr>
      </w:pPr>
      <w:r>
        <w:t xml:space="preserve">Ibuprofen is a non-steroidal anti-inflammatory drug (NSAID). It works by inhibiting the enzyme cyclooxygenase (COX), to reduce inflammation, relieve pain and reduce fever. </w:t>
      </w:r>
      <w:r w:rsidR="00D01FA9">
        <w:t>Modified release ibuprofen tablets provide a longer duration of pain relief than immediate release. Current modified release ibuprofen products that are registered on the ARTG are approved for relief for up to 12 hours duration.</w:t>
      </w:r>
    </w:p>
    <w:p w14:paraId="1FD4A813" w14:textId="77777777" w:rsidR="009964AA" w:rsidRDefault="00B326D8" w:rsidP="00F93D73">
      <w:pPr>
        <w:pStyle w:val="ListBullet"/>
        <w:numPr>
          <w:ilvl w:val="0"/>
          <w:numId w:val="0"/>
        </w:numPr>
      </w:pPr>
      <w:r>
        <w:t>At the 34th meeting of the A</w:t>
      </w:r>
      <w:r w:rsidR="00311B54">
        <w:t xml:space="preserve">dvisory </w:t>
      </w:r>
      <w:r>
        <w:t>C</w:t>
      </w:r>
      <w:r w:rsidR="00311B54">
        <w:t xml:space="preserve">ommittee on </w:t>
      </w:r>
      <w:r>
        <w:t>M</w:t>
      </w:r>
      <w:r w:rsidR="00311B54">
        <w:t xml:space="preserve">edicines </w:t>
      </w:r>
      <w:r>
        <w:t>S</w:t>
      </w:r>
      <w:r w:rsidR="00311B54">
        <w:t xml:space="preserve">cheduling </w:t>
      </w:r>
      <w:r w:rsidR="00246D10">
        <w:t xml:space="preserve">(ACMS) </w:t>
      </w:r>
      <w:r w:rsidR="00311B54">
        <w:t>in June 2021</w:t>
      </w:r>
      <w:r>
        <w:t xml:space="preserve">, an application was considered to </w:t>
      </w:r>
      <w:r w:rsidR="00311B54">
        <w:t xml:space="preserve">move </w:t>
      </w:r>
      <w:r>
        <w:t xml:space="preserve">modified release ibuprofen 600 mg in a primary pack containing not more than 16 dosage units </w:t>
      </w:r>
      <w:r w:rsidR="00311B54">
        <w:t xml:space="preserve">to </w:t>
      </w:r>
      <w:r>
        <w:t>Schedule 2. The</w:t>
      </w:r>
      <w:r w:rsidR="00F93D73">
        <w:t xml:space="preserve"> final</w:t>
      </w:r>
      <w:r>
        <w:t xml:space="preserve"> decision was to maintain the current scheduling </w:t>
      </w:r>
      <w:r w:rsidR="00311B54">
        <w:t>due to</w:t>
      </w:r>
      <w:r w:rsidR="009964AA">
        <w:t>:</w:t>
      </w:r>
    </w:p>
    <w:p w14:paraId="6B2DABE3" w14:textId="5B59CE5A" w:rsidR="009964AA" w:rsidRDefault="00B326D8" w:rsidP="009964AA">
      <w:pPr>
        <w:pStyle w:val="ListBullet2"/>
      </w:pPr>
      <w:r>
        <w:t>the risk posed by dosing errors</w:t>
      </w:r>
      <w:r w:rsidR="00311B54">
        <w:t xml:space="preserve">, </w:t>
      </w:r>
    </w:p>
    <w:p w14:paraId="693225C3" w14:textId="77777777" w:rsidR="009964AA" w:rsidRDefault="00B326D8" w:rsidP="009964AA">
      <w:pPr>
        <w:pStyle w:val="ListBullet2"/>
      </w:pPr>
      <w:r>
        <w:t>inconsisten</w:t>
      </w:r>
      <w:r w:rsidR="00311B54">
        <w:t>cies</w:t>
      </w:r>
      <w:r>
        <w:t xml:space="preserve"> with minor short term, self-diagnosable conditions that are </w:t>
      </w:r>
      <w:r w:rsidR="00311B54">
        <w:t xml:space="preserve">normally </w:t>
      </w:r>
      <w:r>
        <w:t>treated by Schedule 2 medicines</w:t>
      </w:r>
      <w:r w:rsidR="00311B54">
        <w:t>,</w:t>
      </w:r>
      <w:r>
        <w:t xml:space="preserve"> and </w:t>
      </w:r>
    </w:p>
    <w:p w14:paraId="7AC9E21D" w14:textId="4BD4A066" w:rsidR="00B326D8" w:rsidRDefault="00310371" w:rsidP="00FA7009">
      <w:pPr>
        <w:pStyle w:val="ListBullet2"/>
      </w:pPr>
      <w:r>
        <w:t xml:space="preserve">agreement </w:t>
      </w:r>
      <w:r w:rsidR="00B326D8">
        <w:t xml:space="preserve">that pharmacist oversight was </w:t>
      </w:r>
      <w:r w:rsidR="00311B54">
        <w:t xml:space="preserve">deemed </w:t>
      </w:r>
      <w:r w:rsidR="00B326D8">
        <w:t>necessary</w:t>
      </w:r>
      <w:r w:rsidR="00311B54">
        <w:t xml:space="preserve"> for safe use of these preparations</w:t>
      </w:r>
      <w:r w:rsidR="00B326D8">
        <w:t>.</w:t>
      </w:r>
    </w:p>
    <w:p w14:paraId="1597E8B3" w14:textId="1F4E414B" w:rsidR="00B326D8" w:rsidRDefault="007E1800" w:rsidP="00B326D8">
      <w:pPr>
        <w:pStyle w:val="Heading4"/>
      </w:pPr>
      <w:bookmarkStart w:id="52" w:name="_Toc112833625"/>
      <w:r w:rsidRPr="007E1800">
        <w:t>Summary of applicant’s reasons for the proposal</w:t>
      </w:r>
      <w:bookmarkEnd w:id="52"/>
    </w:p>
    <w:p w14:paraId="7FC6E368" w14:textId="471150C6" w:rsidR="00B326D8" w:rsidRDefault="00AE58F7" w:rsidP="00B326D8">
      <w:pPr>
        <w:pStyle w:val="ListBullet"/>
      </w:pPr>
      <w:r>
        <w:t xml:space="preserve">Ibuprofen has a wide therapeutic </w:t>
      </w:r>
      <w:proofErr w:type="gramStart"/>
      <w:r>
        <w:t>index</w:t>
      </w:r>
      <w:proofErr w:type="gramEnd"/>
      <w:r>
        <w:t xml:space="preserve"> and this has been demonstrated to also apply to 300 mg modified release preparations.</w:t>
      </w:r>
    </w:p>
    <w:p w14:paraId="7F184809" w14:textId="002C780C" w:rsidR="000168B8" w:rsidRDefault="000168B8" w:rsidP="00B326D8">
      <w:pPr>
        <w:pStyle w:val="ListBullet"/>
      </w:pPr>
      <w:r>
        <w:t xml:space="preserve">Commonly occurring </w:t>
      </w:r>
      <w:r w:rsidR="001F7B53">
        <w:t xml:space="preserve">short-term </w:t>
      </w:r>
      <w:r>
        <w:t>pain that persist</w:t>
      </w:r>
      <w:r w:rsidR="001F7B53">
        <w:t>s</w:t>
      </w:r>
      <w:r>
        <w:t xml:space="preserve"> for more than 6 hours can be appropriately managed with self-selected Schedule 2 medicines. </w:t>
      </w:r>
      <w:r w:rsidR="001F7B53">
        <w:t>However, m</w:t>
      </w:r>
      <w:r>
        <w:t xml:space="preserve">odified release ibuprofen is </w:t>
      </w:r>
      <w:r w:rsidR="001F7B53">
        <w:t xml:space="preserve">not </w:t>
      </w:r>
      <w:r>
        <w:t xml:space="preserve">for </w:t>
      </w:r>
      <w:r w:rsidR="001F7B53">
        <w:t xml:space="preserve">the treatment of chronic </w:t>
      </w:r>
      <w:r>
        <w:t>pain and this is made clear in the labelling as well as the indications it aims to relieve.</w:t>
      </w:r>
    </w:p>
    <w:p w14:paraId="55A3B163" w14:textId="549728C3" w:rsidR="000168B8" w:rsidRDefault="000168B8" w:rsidP="00B326D8">
      <w:pPr>
        <w:pStyle w:val="ListBullet"/>
      </w:pPr>
      <w:r>
        <w:t>There are multiple health benefits for managing persistent pain with modified release medications. These include:</w:t>
      </w:r>
    </w:p>
    <w:p w14:paraId="3B420414" w14:textId="21603261" w:rsidR="000168B8" w:rsidRDefault="000168B8" w:rsidP="000168B8">
      <w:pPr>
        <w:pStyle w:val="ListBullet2"/>
      </w:pPr>
      <w:r>
        <w:t>Longer duration of relief</w:t>
      </w:r>
      <w:r w:rsidR="00AE58F7">
        <w:t xml:space="preserve">, leading to more consistent pain control and the convenience of less frequent </w:t>
      </w:r>
      <w:proofErr w:type="gramStart"/>
      <w:r w:rsidR="00AE58F7">
        <w:t>dosing;</w:t>
      </w:r>
      <w:proofErr w:type="gramEnd"/>
    </w:p>
    <w:p w14:paraId="4DA170EA" w14:textId="046E5F95" w:rsidR="00AE58F7" w:rsidRDefault="00AE58F7" w:rsidP="000168B8">
      <w:pPr>
        <w:pStyle w:val="ListBullet2"/>
      </w:pPr>
      <w:r>
        <w:lastRenderedPageBreak/>
        <w:t xml:space="preserve">Less interference with sleep from night-time pain and decreased need for medicinal sleep aids, which are associated with adverse effects and the potential for </w:t>
      </w:r>
      <w:proofErr w:type="gramStart"/>
      <w:r>
        <w:t>misuse;</w:t>
      </w:r>
      <w:proofErr w:type="gramEnd"/>
    </w:p>
    <w:p w14:paraId="5D6573E5" w14:textId="25ADD7BB" w:rsidR="00AE58F7" w:rsidRDefault="00AE58F7" w:rsidP="00FA7009">
      <w:pPr>
        <w:pStyle w:val="ListBullet2"/>
      </w:pPr>
      <w:r>
        <w:t>Reduction in GP consultations for the management of acute pain conditions that can be managed by modified release ibuprofen, such as acute back pain.</w:t>
      </w:r>
    </w:p>
    <w:p w14:paraId="5F595AFB" w14:textId="006F8768" w:rsidR="00AE58F7" w:rsidRDefault="00AE58F7" w:rsidP="00B326D8">
      <w:pPr>
        <w:pStyle w:val="ListBullet"/>
      </w:pPr>
      <w:r>
        <w:t>It has been demonstrated that consumers can determine the likely duration of their pain, making modified release ibuprofen suitable for Schedule 2.</w:t>
      </w:r>
    </w:p>
    <w:p w14:paraId="6D4C252D" w14:textId="4CAFA7E3" w:rsidR="00B326D8" w:rsidRDefault="00B326D8" w:rsidP="00B326D8">
      <w:pPr>
        <w:pStyle w:val="ListBullet"/>
      </w:pPr>
      <w:r>
        <w:t>The safety profile of ibuprofen at doses of 1200 mg/day ha</w:t>
      </w:r>
      <w:r w:rsidR="00246D10">
        <w:t>s</w:t>
      </w:r>
      <w:r>
        <w:t xml:space="preserve"> been presented and evaluated in the previous scheduling applications for ibuprofen. Ibuprofen has an excellent safety profile that is at least equivalent to paracetamol and better than other NSAIDs including aspirin.</w:t>
      </w:r>
      <w:r w:rsidR="00D37B63">
        <w:t xml:space="preserve"> </w:t>
      </w:r>
      <w:r>
        <w:t xml:space="preserve">The NDPSC and ACMS have previously accepted </w:t>
      </w:r>
      <w:r w:rsidR="00EC0DF0">
        <w:t xml:space="preserve">and provided recommendations on the basis </w:t>
      </w:r>
      <w:r>
        <w:t xml:space="preserve">that ibuprofen has a lower risk of adverse events and serious effects after overdose than over-the-counter aspirin and paracetamol. </w:t>
      </w:r>
    </w:p>
    <w:p w14:paraId="09C88C3B" w14:textId="3C74D032" w:rsidR="00AE58F7" w:rsidRPr="008229D9" w:rsidRDefault="00AE58F7" w:rsidP="00B326D8">
      <w:pPr>
        <w:pStyle w:val="ListBullet"/>
      </w:pPr>
      <w:r>
        <w:t>Modified release 300 mg ibuprofen preparations are already available for sale in pharmacies in many international jurisdictions, including the United Kingdom</w:t>
      </w:r>
      <w:r w:rsidR="00E65779">
        <w:t>.</w:t>
      </w:r>
    </w:p>
    <w:p w14:paraId="1D3B0F55" w14:textId="1E3D53F0" w:rsidR="00B326D8" w:rsidRDefault="00B326D8" w:rsidP="00B326D8">
      <w:pPr>
        <w:pStyle w:val="Heading4"/>
      </w:pPr>
      <w:bookmarkStart w:id="53" w:name="_Toc112833626"/>
      <w:r>
        <w:t>Key uses / expected use</w:t>
      </w:r>
      <w:bookmarkEnd w:id="53"/>
    </w:p>
    <w:p w14:paraId="7DC7FD93" w14:textId="77777777" w:rsidR="00B326D8" w:rsidRPr="00771A9B" w:rsidRDefault="00B326D8" w:rsidP="00B326D8">
      <w:r>
        <w:t>Medicines</w:t>
      </w:r>
    </w:p>
    <w:p w14:paraId="7C57FE77" w14:textId="1F44D518" w:rsidR="00B326D8" w:rsidRDefault="00B326D8" w:rsidP="00B326D8">
      <w:pPr>
        <w:pStyle w:val="Heading4"/>
      </w:pPr>
      <w:bookmarkStart w:id="54" w:name="_Toc112833627"/>
      <w:r>
        <w:t>Australian regulations</w:t>
      </w:r>
      <w:bookmarkEnd w:id="54"/>
    </w:p>
    <w:p w14:paraId="56CA040E" w14:textId="77777777" w:rsidR="00B326D8" w:rsidRDefault="00B326D8" w:rsidP="00B326D8">
      <w:pPr>
        <w:pStyle w:val="ListBullet"/>
      </w:pPr>
      <w:r>
        <w:t xml:space="preserve">According to the </w:t>
      </w:r>
      <w:hyperlink r:id="rId64"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1"/>
      </w:r>
      <w:r>
        <w:t xml:space="preserve"> ibuprofen is:</w:t>
      </w:r>
    </w:p>
    <w:p w14:paraId="1F0A6B6C" w14:textId="2502CD5B" w:rsidR="00B326D8" w:rsidRDefault="00B326D8" w:rsidP="00F73276">
      <w:pPr>
        <w:pStyle w:val="ListBullet2"/>
      </w:pPr>
      <w:r>
        <w:t>Available for use as an Active Ingredient in Biologicals, Export Only, Over the Counter, Prescription Medicines</w:t>
      </w:r>
    </w:p>
    <w:p w14:paraId="6DC7DC02" w14:textId="2CC04AB7" w:rsidR="00B326D8" w:rsidRDefault="00B326D8" w:rsidP="00F73276">
      <w:pPr>
        <w:pStyle w:val="ListBullet2"/>
      </w:pPr>
      <w:r>
        <w:t>Available for use as an Excipient Ingredient in Biologicals, Devices, Prescription Medicines</w:t>
      </w:r>
    </w:p>
    <w:p w14:paraId="27502766" w14:textId="71333EBB" w:rsidR="00B326D8" w:rsidRDefault="00B326D8" w:rsidP="00F73276">
      <w:pPr>
        <w:pStyle w:val="ListBullet2"/>
      </w:pPr>
      <w:r>
        <w:t>Available for use as an Equivalent Ingredient in Biologicals, Export Only, Prescription Medicines</w:t>
      </w:r>
    </w:p>
    <w:p w14:paraId="49043278" w14:textId="44F4DE53" w:rsidR="00B326D8" w:rsidRDefault="00B326D8" w:rsidP="00B326D8">
      <w:pPr>
        <w:pStyle w:val="ListBullet"/>
      </w:pPr>
      <w:r>
        <w:t xml:space="preserve">As of </w:t>
      </w:r>
      <w:r w:rsidR="00C065FF">
        <w:t>August 2022,</w:t>
      </w:r>
      <w:r>
        <w:t xml:space="preserve"> t</w:t>
      </w:r>
      <w:r w:rsidRPr="00881DFE">
        <w:t xml:space="preserve">here </w:t>
      </w:r>
      <w:r>
        <w:t xml:space="preserve">were </w:t>
      </w:r>
      <w:r w:rsidRPr="00C065FF">
        <w:rPr>
          <w:rFonts w:asciiTheme="minorHAnsi" w:hAnsiTheme="minorHAnsi" w:cs="Noto Sans"/>
          <w:color w:val="000000"/>
          <w:szCs w:val="22"/>
          <w:shd w:val="clear" w:color="auto" w:fill="FFFFFF"/>
        </w:rPr>
        <w:t>2</w:t>
      </w:r>
      <w:r w:rsidR="0065410F">
        <w:rPr>
          <w:rFonts w:asciiTheme="minorHAnsi" w:hAnsiTheme="minorHAnsi" w:cs="Noto Sans"/>
          <w:color w:val="000000"/>
          <w:szCs w:val="22"/>
          <w:shd w:val="clear" w:color="auto" w:fill="FFFFFF"/>
        </w:rPr>
        <w:t>50</w:t>
      </w:r>
      <w:r w:rsidRPr="00C065FF">
        <w:rPr>
          <w:rFonts w:ascii="Noto Sans" w:hAnsi="Noto Sans" w:cs="Noto Sans"/>
          <w:color w:val="000000"/>
          <w:szCs w:val="22"/>
          <w:shd w:val="clear" w:color="auto" w:fill="FFFFFF"/>
        </w:rPr>
        <w:t xml:space="preserve"> </w:t>
      </w:r>
      <w:r>
        <w:t>medicine</w:t>
      </w:r>
      <w:r w:rsidRPr="00881DFE">
        <w:t xml:space="preserve">s currently active on the </w:t>
      </w:r>
      <w:hyperlink r:id="rId65" w:history="1">
        <w:r w:rsidRPr="00293CCA">
          <w:rPr>
            <w:rStyle w:val="Hyperlink"/>
          </w:rPr>
          <w:t>Australian Register of Therapeutic Goods (ARTG)</w:t>
        </w:r>
      </w:hyperlink>
      <w:r>
        <w:rPr>
          <w:rStyle w:val="FootnoteReference"/>
        </w:rPr>
        <w:footnoteReference w:id="42"/>
      </w:r>
      <w:r>
        <w:t xml:space="preserve"> that contain</w:t>
      </w:r>
      <w:r w:rsidRPr="00881DFE">
        <w:t xml:space="preserve"> </w:t>
      </w:r>
      <w:r>
        <w:t xml:space="preserve">ibuprofen </w:t>
      </w:r>
      <w:r w:rsidR="0065410F">
        <w:t xml:space="preserve">(as the base) </w:t>
      </w:r>
      <w:r>
        <w:t>as an active ingredient</w:t>
      </w:r>
      <w:r w:rsidRPr="00881DFE">
        <w:t>.</w:t>
      </w:r>
      <w:r>
        <w:t xml:space="preserve"> </w:t>
      </w:r>
      <w:r w:rsidR="0065410F">
        <w:t>This includes 230 non-prescription medicines, 15 prescription, 3 for export only and 2 in medical devices. Preparations include tablets, capsules, gels, suspensions, oral liquids, and solutions for injection.</w:t>
      </w:r>
    </w:p>
    <w:p w14:paraId="45E762B1" w14:textId="2A3EA899" w:rsidR="00B326D8" w:rsidRDefault="00B326D8" w:rsidP="00A55948">
      <w:pPr>
        <w:pStyle w:val="ListBullet"/>
      </w:pPr>
      <w:r>
        <w:t>Ibuprofen</w:t>
      </w:r>
      <w:r w:rsidRPr="009C55D5">
        <w:t xml:space="preserve"> is not permitted to be included in listed medicines </w:t>
      </w:r>
      <w:r>
        <w:t xml:space="preserve">as it is not included in the </w:t>
      </w:r>
      <w:hyperlink r:id="rId66" w:history="1">
        <w:r w:rsidRPr="00824CAC">
          <w:rPr>
            <w:rStyle w:val="Hyperlink"/>
          </w:rPr>
          <w:t>Therapeutic Goods (Permissible Ingredients) Determination</w:t>
        </w:r>
      </w:hyperlink>
      <w:r>
        <w:rPr>
          <w:rStyle w:val="FootnoteReference"/>
        </w:rPr>
        <w:footnoteReference w:id="43"/>
      </w:r>
      <w:r w:rsidRPr="009C55D5">
        <w:t xml:space="preserve"> No</w:t>
      </w:r>
      <w:r w:rsidRPr="00C065FF">
        <w:t>.4 of 2022</w:t>
      </w:r>
      <w:r w:rsidRPr="009C55D5">
        <w:t xml:space="preserve">. </w:t>
      </w:r>
    </w:p>
    <w:p w14:paraId="401E8A08" w14:textId="77777777" w:rsidR="00B326D8" w:rsidRDefault="00B326D8" w:rsidP="00B326D8">
      <w:pPr>
        <w:pStyle w:val="ListBullet"/>
        <w:keepNext/>
        <w:keepLines/>
      </w:pPr>
      <w:r>
        <w:lastRenderedPageBreak/>
        <w:t xml:space="preserve">The </w:t>
      </w:r>
      <w:hyperlink r:id="rId67"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44"/>
      </w:r>
      <w:r>
        <w:t xml:space="preserve"> classifies IBUPROFEN as: </w:t>
      </w:r>
    </w:p>
    <w:tbl>
      <w:tblPr>
        <w:tblStyle w:val="TableTGAblue"/>
        <w:tblW w:w="8670" w:type="dxa"/>
        <w:tblInd w:w="357" w:type="dxa"/>
        <w:tblLook w:val="04A0" w:firstRow="1" w:lastRow="0" w:firstColumn="1" w:lastColumn="0" w:noHBand="0" w:noVBand="1"/>
      </w:tblPr>
      <w:tblGrid>
        <w:gridCol w:w="1408"/>
        <w:gridCol w:w="1360"/>
        <w:gridCol w:w="2098"/>
        <w:gridCol w:w="1902"/>
        <w:gridCol w:w="1902"/>
      </w:tblGrid>
      <w:tr w:rsidR="00B326D8" w:rsidRPr="003346CF" w14:paraId="02567CC7" w14:textId="77777777" w:rsidTr="00762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EA23E54" w14:textId="77777777" w:rsidR="00B326D8" w:rsidRPr="003346CF" w:rsidRDefault="00B326D8" w:rsidP="00D37B63">
            <w:pPr>
              <w:keepLines/>
              <w:rPr>
                <w:sz w:val="20"/>
              </w:rPr>
            </w:pPr>
            <w:r>
              <w:rPr>
                <w:sz w:val="20"/>
              </w:rPr>
              <w:t>Drug name</w:t>
            </w:r>
          </w:p>
        </w:tc>
        <w:tc>
          <w:tcPr>
            <w:tcW w:w="0" w:type="dxa"/>
          </w:tcPr>
          <w:p w14:paraId="613E0C28" w14:textId="77777777" w:rsidR="00B326D8" w:rsidRPr="003346CF" w:rsidRDefault="00B326D8" w:rsidP="00D37B63">
            <w:pPr>
              <w:keepLines/>
              <w:cnfStyle w:val="100000000000" w:firstRow="1" w:lastRow="0" w:firstColumn="0" w:lastColumn="0" w:oddVBand="0" w:evenVBand="0" w:oddHBand="0" w:evenHBand="0" w:firstRowFirstColumn="0" w:firstRowLastColumn="0" w:lastRowFirstColumn="0" w:lastRowLastColumn="0"/>
              <w:rPr>
                <w:sz w:val="20"/>
              </w:rPr>
            </w:pPr>
            <w:r>
              <w:rPr>
                <w:sz w:val="20"/>
              </w:rPr>
              <w:t>Category</w:t>
            </w:r>
          </w:p>
        </w:tc>
        <w:tc>
          <w:tcPr>
            <w:tcW w:w="0" w:type="dxa"/>
          </w:tcPr>
          <w:p w14:paraId="24654D40" w14:textId="77777777" w:rsidR="00B326D8" w:rsidRPr="003346CF" w:rsidRDefault="00B326D8" w:rsidP="00D37B63">
            <w:pPr>
              <w:keepLines/>
              <w:cnfStyle w:val="100000000000" w:firstRow="1" w:lastRow="0" w:firstColumn="0" w:lastColumn="0" w:oddVBand="0" w:evenVBand="0" w:oddHBand="0" w:evenHBand="0" w:firstRowFirstColumn="0" w:firstRowLastColumn="0" w:lastRowFirstColumn="0" w:lastRowLastColumn="0"/>
              <w:rPr>
                <w:sz w:val="20"/>
              </w:rPr>
            </w:pPr>
            <w:r>
              <w:rPr>
                <w:sz w:val="20"/>
              </w:rPr>
              <w:t>Classification Level 1</w:t>
            </w:r>
          </w:p>
        </w:tc>
        <w:tc>
          <w:tcPr>
            <w:tcW w:w="0" w:type="dxa"/>
          </w:tcPr>
          <w:p w14:paraId="5D51473F" w14:textId="77777777" w:rsidR="00B326D8" w:rsidRPr="003346CF" w:rsidRDefault="00B326D8" w:rsidP="00D37B63">
            <w:pPr>
              <w:keepLines/>
              <w:cnfStyle w:val="100000000000" w:firstRow="1" w:lastRow="0" w:firstColumn="0" w:lastColumn="0" w:oddVBand="0" w:evenVBand="0" w:oddHBand="0" w:evenHBand="0" w:firstRowFirstColumn="0" w:firstRowLastColumn="0" w:lastRowFirstColumn="0" w:lastRowLastColumn="0"/>
              <w:rPr>
                <w:sz w:val="20"/>
              </w:rPr>
            </w:pPr>
            <w:r>
              <w:rPr>
                <w:sz w:val="20"/>
              </w:rPr>
              <w:t>Classification Level 2</w:t>
            </w:r>
          </w:p>
        </w:tc>
        <w:tc>
          <w:tcPr>
            <w:tcW w:w="0" w:type="dxa"/>
          </w:tcPr>
          <w:p w14:paraId="1227222B" w14:textId="77777777" w:rsidR="00B326D8" w:rsidRPr="003346CF" w:rsidRDefault="00B326D8" w:rsidP="00D37B63">
            <w:pPr>
              <w:keepLines/>
              <w:cnfStyle w:val="100000000000" w:firstRow="1" w:lastRow="0" w:firstColumn="0" w:lastColumn="0" w:oddVBand="0" w:evenVBand="0" w:oddHBand="0" w:evenHBand="0" w:firstRowFirstColumn="0" w:firstRowLastColumn="0" w:lastRowFirstColumn="0" w:lastRowLastColumn="0"/>
              <w:rPr>
                <w:sz w:val="20"/>
              </w:rPr>
            </w:pPr>
            <w:r>
              <w:rPr>
                <w:sz w:val="20"/>
              </w:rPr>
              <w:t>Classification Level 3</w:t>
            </w:r>
          </w:p>
        </w:tc>
      </w:tr>
      <w:tr w:rsidR="00B326D8" w:rsidRPr="003346CF" w14:paraId="2E8A8B05" w14:textId="77777777" w:rsidTr="007620B9">
        <w:tc>
          <w:tcPr>
            <w:cnfStyle w:val="001000000000" w:firstRow="0" w:lastRow="0" w:firstColumn="1" w:lastColumn="0" w:oddVBand="0" w:evenVBand="0" w:oddHBand="0" w:evenHBand="0" w:firstRowFirstColumn="0" w:firstRowLastColumn="0" w:lastRowFirstColumn="0" w:lastRowLastColumn="0"/>
            <w:tcW w:w="0" w:type="dxa"/>
          </w:tcPr>
          <w:p w14:paraId="4AFD97C3" w14:textId="77777777" w:rsidR="00B326D8" w:rsidRPr="00393641" w:rsidRDefault="00B326D8" w:rsidP="00D37B63">
            <w:pPr>
              <w:keepNext/>
              <w:keepLines/>
              <w:rPr>
                <w:sz w:val="20"/>
                <w:szCs w:val="20"/>
              </w:rPr>
            </w:pPr>
            <w:r w:rsidRPr="00393641">
              <w:rPr>
                <w:sz w:val="20"/>
                <w:szCs w:val="20"/>
              </w:rPr>
              <w:t>Ibuprofen</w:t>
            </w:r>
          </w:p>
        </w:tc>
        <w:tc>
          <w:tcPr>
            <w:tcW w:w="0" w:type="dxa"/>
          </w:tcPr>
          <w:p w14:paraId="7DB3F9E4" w14:textId="77777777" w:rsidR="00B326D8" w:rsidRPr="00393641" w:rsidRDefault="00B326D8" w:rsidP="00D37B63">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93641">
              <w:rPr>
                <w:sz w:val="20"/>
                <w:szCs w:val="20"/>
              </w:rPr>
              <w:t>C</w:t>
            </w:r>
          </w:p>
        </w:tc>
        <w:tc>
          <w:tcPr>
            <w:tcW w:w="0" w:type="dxa"/>
          </w:tcPr>
          <w:p w14:paraId="7C869FCD" w14:textId="77777777" w:rsidR="00B326D8" w:rsidRPr="00393641" w:rsidRDefault="00B326D8" w:rsidP="00D37B63">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93641">
              <w:rPr>
                <w:sz w:val="20"/>
                <w:szCs w:val="20"/>
              </w:rPr>
              <w:t>Musculoskeletal System</w:t>
            </w:r>
          </w:p>
        </w:tc>
        <w:tc>
          <w:tcPr>
            <w:tcW w:w="0" w:type="dxa"/>
          </w:tcPr>
          <w:p w14:paraId="53AD84F7" w14:textId="77777777" w:rsidR="00B326D8" w:rsidRPr="00393641" w:rsidRDefault="00B326D8" w:rsidP="00D37B63">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393641">
              <w:rPr>
                <w:sz w:val="20"/>
                <w:szCs w:val="20"/>
              </w:rPr>
              <w:t>Non-</w:t>
            </w:r>
            <w:proofErr w:type="spellStart"/>
            <w:r w:rsidRPr="00393641">
              <w:rPr>
                <w:sz w:val="20"/>
                <w:szCs w:val="20"/>
              </w:rPr>
              <w:t>steroidial</w:t>
            </w:r>
            <w:proofErr w:type="spellEnd"/>
            <w:r w:rsidRPr="00393641">
              <w:rPr>
                <w:sz w:val="20"/>
                <w:szCs w:val="20"/>
              </w:rPr>
              <w:t xml:space="preserve"> anti-inflammatory drugs (NSAIDS)</w:t>
            </w:r>
          </w:p>
        </w:tc>
        <w:tc>
          <w:tcPr>
            <w:tcW w:w="0" w:type="dxa"/>
          </w:tcPr>
          <w:p w14:paraId="42D2DD8F" w14:textId="77777777" w:rsidR="00B326D8" w:rsidRPr="00393641" w:rsidRDefault="00B326D8" w:rsidP="00D37B63">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B326D8" w:rsidRPr="003346CF" w14:paraId="7B0D83E4" w14:textId="77777777" w:rsidTr="007620B9">
        <w:tc>
          <w:tcPr>
            <w:cnfStyle w:val="001000000000" w:firstRow="0" w:lastRow="0" w:firstColumn="1" w:lastColumn="0" w:oddVBand="0" w:evenVBand="0" w:oddHBand="0" w:evenHBand="0" w:firstRowFirstColumn="0" w:firstRowLastColumn="0" w:lastRowFirstColumn="0" w:lastRowLastColumn="0"/>
            <w:tcW w:w="0" w:type="dxa"/>
            <w:gridSpan w:val="5"/>
          </w:tcPr>
          <w:p w14:paraId="14041104" w14:textId="77777777" w:rsidR="00B326D8" w:rsidRPr="003346CF" w:rsidRDefault="00B326D8" w:rsidP="00D37B63">
            <w:pPr>
              <w:keepNext/>
              <w:keepLines/>
              <w:rPr>
                <w:sz w:val="20"/>
              </w:rPr>
            </w:pPr>
            <w:r w:rsidRPr="003C7D97">
              <w:rPr>
                <w:b/>
                <w:sz w:val="16"/>
                <w:szCs w:val="16"/>
              </w:rPr>
              <w:t>Category C</w:t>
            </w:r>
            <w:r w:rsidRPr="003C7D97">
              <w:rPr>
                <w:sz w:val="16"/>
                <w:szCs w:val="16"/>
              </w:rPr>
              <w:t xml:space="preserve"> – Drugs which, owing to their pharmacological effects, have </w:t>
            </w:r>
            <w:proofErr w:type="gramStart"/>
            <w:r w:rsidRPr="003C7D97">
              <w:rPr>
                <w:sz w:val="16"/>
                <w:szCs w:val="16"/>
              </w:rPr>
              <w:t>caused</w:t>
            </w:r>
            <w:proofErr w:type="gramEnd"/>
            <w:r w:rsidRPr="003C7D97">
              <w:rPr>
                <w:sz w:val="16"/>
                <w:szCs w:val="16"/>
              </w:rPr>
              <w:t xml:space="preserve"> or may be suspected of causing, harmful effects on the human foetus or neonate without causing malformations. These effects may be reversible. Accompanying texts should be consulted for further details.</w:t>
            </w:r>
          </w:p>
        </w:tc>
      </w:tr>
    </w:tbl>
    <w:p w14:paraId="5089BFEF" w14:textId="55FA7CD9" w:rsidR="00B326D8" w:rsidRDefault="00B326D8" w:rsidP="00B326D8">
      <w:pPr>
        <w:pStyle w:val="ListBullet"/>
      </w:pPr>
      <w:r>
        <w:t>The</w:t>
      </w:r>
      <w:r w:rsidRPr="00AB7BF5">
        <w:t xml:space="preserve"> </w:t>
      </w:r>
      <w:hyperlink r:id="rId68" w:history="1">
        <w:r w:rsidRPr="00AB7BF5">
          <w:rPr>
            <w:rStyle w:val="Hyperlink"/>
          </w:rPr>
          <w:t>Therapeutic Goods (Medicines Advisory Statements) Specification 2019</w:t>
        </w:r>
      </w:hyperlink>
      <w:r>
        <w:rPr>
          <w:rStyle w:val="FootnoteReference"/>
        </w:rPr>
        <w:footnoteReference w:id="45"/>
      </w:r>
      <w:r>
        <w:t xml:space="preserve"> requires</w:t>
      </w:r>
      <w:r w:rsidRPr="00A30084">
        <w:t xml:space="preserve"> the following warning statements pertaining to </w:t>
      </w:r>
      <w:r w:rsidR="00D33B00">
        <w:t>i</w:t>
      </w:r>
      <w:r>
        <w:t>buprofen</w:t>
      </w:r>
      <w:r w:rsidRPr="00A30084">
        <w:t xml:space="preserve"> to be included on the labelling:</w:t>
      </w:r>
    </w:p>
    <w:tbl>
      <w:tblPr>
        <w:tblStyle w:val="TableTGAblue"/>
        <w:tblW w:w="0" w:type="auto"/>
        <w:tblInd w:w="360" w:type="dxa"/>
        <w:tblLook w:val="04A0" w:firstRow="1" w:lastRow="0" w:firstColumn="1" w:lastColumn="0" w:noHBand="0" w:noVBand="1"/>
      </w:tblPr>
      <w:tblGrid>
        <w:gridCol w:w="1473"/>
        <w:gridCol w:w="1985"/>
        <w:gridCol w:w="5232"/>
      </w:tblGrid>
      <w:tr w:rsidR="00B326D8" w:rsidRPr="005256D1" w14:paraId="1C91B11A" w14:textId="77777777" w:rsidTr="00A55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 w:type="dxa"/>
          </w:tcPr>
          <w:p w14:paraId="4F950246" w14:textId="77777777" w:rsidR="00B326D8" w:rsidRPr="005256D1" w:rsidRDefault="00B326D8" w:rsidP="00D37B63">
            <w:pPr>
              <w:pStyle w:val="ListBullet"/>
              <w:numPr>
                <w:ilvl w:val="0"/>
                <w:numId w:val="0"/>
              </w:numPr>
              <w:rPr>
                <w:sz w:val="20"/>
              </w:rPr>
            </w:pPr>
            <w:r w:rsidRPr="005256D1">
              <w:rPr>
                <w:sz w:val="20"/>
              </w:rPr>
              <w:t>Substance</w:t>
            </w:r>
          </w:p>
        </w:tc>
        <w:tc>
          <w:tcPr>
            <w:tcW w:w="1985" w:type="dxa"/>
          </w:tcPr>
          <w:p w14:paraId="22851817" w14:textId="77777777" w:rsidR="00B326D8" w:rsidRPr="005256D1" w:rsidRDefault="00B326D8" w:rsidP="00D37B6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 w:val="20"/>
              </w:rPr>
            </w:pPr>
            <w:r w:rsidRPr="005256D1">
              <w:rPr>
                <w:sz w:val="20"/>
              </w:rPr>
              <w:t xml:space="preserve">Conditions </w:t>
            </w:r>
          </w:p>
        </w:tc>
        <w:tc>
          <w:tcPr>
            <w:tcW w:w="5232" w:type="dxa"/>
          </w:tcPr>
          <w:p w14:paraId="66F9E9F8" w14:textId="77777777" w:rsidR="00B326D8" w:rsidRPr="005256D1" w:rsidRDefault="00B326D8" w:rsidP="00D37B6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 w:val="20"/>
              </w:rPr>
            </w:pPr>
            <w:r w:rsidRPr="005256D1">
              <w:rPr>
                <w:sz w:val="20"/>
              </w:rPr>
              <w:t xml:space="preserve">Required Statement(s) </w:t>
            </w:r>
          </w:p>
        </w:tc>
      </w:tr>
      <w:tr w:rsidR="00B326D8" w:rsidRPr="005256D1" w14:paraId="0FAFFB1D" w14:textId="77777777" w:rsidTr="00A55948">
        <w:tc>
          <w:tcPr>
            <w:cnfStyle w:val="001000000000" w:firstRow="0" w:lastRow="0" w:firstColumn="1" w:lastColumn="0" w:oddVBand="0" w:evenVBand="0" w:oddHBand="0" w:evenHBand="0" w:firstRowFirstColumn="0" w:firstRowLastColumn="0" w:lastRowFirstColumn="0" w:lastRowLastColumn="0"/>
            <w:tcW w:w="1473" w:type="dxa"/>
          </w:tcPr>
          <w:p w14:paraId="1C43FC67"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t>Ibuprofen</w:t>
            </w:r>
          </w:p>
          <w:p w14:paraId="7736B99B"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i/>
                <w:iCs/>
                <w:sz w:val="20"/>
              </w:rPr>
              <w:t>(Entry 1 of 6)</w:t>
            </w:r>
          </w:p>
          <w:p w14:paraId="097B6660" w14:textId="77777777" w:rsidR="00B326D8" w:rsidRPr="00F82056" w:rsidRDefault="00B326D8" w:rsidP="00D37B63">
            <w:pPr>
              <w:shd w:val="clear" w:color="auto" w:fill="FFFFFF"/>
              <w:spacing w:before="60" w:after="60" w:line="240" w:lineRule="auto"/>
              <w:rPr>
                <w:rFonts w:eastAsia="Times New Roman"/>
                <w:sz w:val="20"/>
              </w:rPr>
            </w:pPr>
          </w:p>
        </w:tc>
        <w:tc>
          <w:tcPr>
            <w:tcW w:w="1985" w:type="dxa"/>
          </w:tcPr>
          <w:p w14:paraId="5E13161D" w14:textId="77777777" w:rsidR="00B326D8" w:rsidRPr="005256D1" w:rsidRDefault="00B326D8" w:rsidP="007620B9">
            <w:pPr>
              <w:spacing w:before="60"/>
              <w:cnfStyle w:val="000000000000" w:firstRow="0" w:lastRow="0" w:firstColumn="0" w:lastColumn="0" w:oddVBand="0" w:evenVBand="0" w:oddHBand="0" w:evenHBand="0" w:firstRowFirstColumn="0" w:firstRowLastColumn="0" w:lastRowFirstColumn="0" w:lastRowLastColumn="0"/>
              <w:rPr>
                <w:sz w:val="20"/>
                <w:shd w:val="clear" w:color="auto" w:fill="FFFFFF"/>
              </w:rPr>
            </w:pPr>
            <w:proofErr w:type="gramStart"/>
            <w:r w:rsidRPr="005256D1">
              <w:rPr>
                <w:sz w:val="20"/>
                <w:shd w:val="clear" w:color="auto" w:fill="FFFFFF"/>
              </w:rPr>
              <w:t>For the purpose of</w:t>
            </w:r>
            <w:proofErr w:type="gramEnd"/>
            <w:r w:rsidRPr="005256D1">
              <w:rPr>
                <w:sz w:val="20"/>
                <w:shd w:val="clear" w:color="auto" w:fill="FFFFFF"/>
              </w:rPr>
              <w:t xml:space="preserve"> exclusion from the schedules to the SUSMP, when the preparation is for oral use in adults and children aged 12 years and over.</w:t>
            </w:r>
          </w:p>
        </w:tc>
        <w:tc>
          <w:tcPr>
            <w:tcW w:w="5232" w:type="dxa"/>
          </w:tcPr>
          <w:p w14:paraId="1D443AF1"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a stomach ulcer.</w:t>
            </w:r>
          </w:p>
          <w:p w14:paraId="5D95F24F"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impaired kidney function. </w:t>
            </w:r>
          </w:p>
          <w:p w14:paraId="5C7DBAD5"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heart failure.</w:t>
            </w:r>
          </w:p>
          <w:p w14:paraId="5E755A10"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are allergic to ibuprofen or other anti-inflammatory medicines. </w:t>
            </w:r>
          </w:p>
          <w:p w14:paraId="570D0C1A"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you get an allergic reaction, stop taking and see your doctor immediately.</w:t>
            </w:r>
          </w:p>
          <w:p w14:paraId="2A9617B0"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have asthma. </w:t>
            </w:r>
          </w:p>
          <w:p w14:paraId="5B179766"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Unless advised by your doctor or pharmacist, do not use with products containing ibuprofen, </w:t>
            </w:r>
            <w:proofErr w:type="gramStart"/>
            <w:r w:rsidRPr="00F82056">
              <w:rPr>
                <w:rFonts w:eastAsia="Times New Roman"/>
                <w:sz w:val="20"/>
              </w:rPr>
              <w:t>aspirin</w:t>
            </w:r>
            <w:proofErr w:type="gramEnd"/>
            <w:r w:rsidRPr="00F82056">
              <w:rPr>
                <w:rFonts w:eastAsia="Times New Roman"/>
                <w:sz w:val="20"/>
              </w:rPr>
              <w:t xml:space="preserve"> or other anti-inflammatory medicines or with medicines that you are taking regularly.</w:t>
            </w:r>
          </w:p>
          <w:p w14:paraId="33180371"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Do not use for more than a few days at a time unless a doctor has told you to. Do not exceed the recommended dose.  Excessive use can be harmful and increase the risk of heart attack, </w:t>
            </w:r>
            <w:proofErr w:type="gramStart"/>
            <w:r w:rsidRPr="00F82056">
              <w:rPr>
                <w:rFonts w:eastAsia="Times New Roman"/>
                <w:sz w:val="20"/>
              </w:rPr>
              <w:t>stroke</w:t>
            </w:r>
            <w:proofErr w:type="gramEnd"/>
            <w:r w:rsidRPr="00F82056">
              <w:rPr>
                <w:rFonts w:eastAsia="Times New Roman"/>
                <w:sz w:val="20"/>
              </w:rPr>
              <w:t xml:space="preserve"> or liver damage.</w:t>
            </w:r>
          </w:p>
          <w:p w14:paraId="3B48C24B"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trying to become pregnant, or during the first 6 months of pregnancy, except on doctor’s advice.  Do not use at all during the last 3 months of pregnancy.</w:t>
            </w:r>
          </w:p>
          <w:p w14:paraId="71529295"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are aged 65 years or over.</w:t>
            </w:r>
          </w:p>
          <w:p w14:paraId="07CE4815"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B326D8" w:rsidRPr="005256D1" w14:paraId="39C16D3C" w14:textId="77777777" w:rsidTr="00A55948">
        <w:tc>
          <w:tcPr>
            <w:cnfStyle w:val="001000000000" w:firstRow="0" w:lastRow="0" w:firstColumn="1" w:lastColumn="0" w:oddVBand="0" w:evenVBand="0" w:oddHBand="0" w:evenHBand="0" w:firstRowFirstColumn="0" w:firstRowLastColumn="0" w:lastRowFirstColumn="0" w:lastRowLastColumn="0"/>
            <w:tcW w:w="1473" w:type="dxa"/>
          </w:tcPr>
          <w:p w14:paraId="6D4144D3"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lastRenderedPageBreak/>
              <w:t>Ibuprofen</w:t>
            </w:r>
          </w:p>
          <w:p w14:paraId="7BFA42D1"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i/>
                <w:iCs/>
                <w:sz w:val="20"/>
              </w:rPr>
              <w:t>(Entry 2 of 6)</w:t>
            </w:r>
          </w:p>
          <w:p w14:paraId="4AE248FB" w14:textId="77777777" w:rsidR="00B326D8" w:rsidRPr="005256D1" w:rsidRDefault="00B326D8" w:rsidP="00D37B63">
            <w:pPr>
              <w:rPr>
                <w:sz w:val="20"/>
              </w:rPr>
            </w:pPr>
          </w:p>
        </w:tc>
        <w:tc>
          <w:tcPr>
            <w:tcW w:w="1985" w:type="dxa"/>
          </w:tcPr>
          <w:p w14:paraId="6616A52A" w14:textId="77777777" w:rsidR="00B326D8" w:rsidRPr="005256D1" w:rsidRDefault="00B326D8" w:rsidP="007620B9">
            <w:pPr>
              <w:spacing w:before="60"/>
              <w:cnfStyle w:val="000000000000" w:firstRow="0" w:lastRow="0" w:firstColumn="0" w:lastColumn="0" w:oddVBand="0" w:evenVBand="0" w:oddHBand="0" w:evenHBand="0" w:firstRowFirstColumn="0" w:firstRowLastColumn="0" w:lastRowFirstColumn="0" w:lastRowLastColumn="0"/>
              <w:rPr>
                <w:sz w:val="20"/>
              </w:rPr>
            </w:pPr>
            <w:r w:rsidRPr="005256D1">
              <w:rPr>
                <w:sz w:val="20"/>
                <w:shd w:val="clear" w:color="auto" w:fill="FFFFFF"/>
              </w:rPr>
              <w:t>When included in a schedule to the SUSMP for oral use in adults and children aged 12 years and over</w:t>
            </w:r>
          </w:p>
        </w:tc>
        <w:tc>
          <w:tcPr>
            <w:tcW w:w="5232" w:type="dxa"/>
          </w:tcPr>
          <w:p w14:paraId="0DCB3040"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a stomach ulcer.</w:t>
            </w:r>
          </w:p>
          <w:p w14:paraId="4706C19E"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impaired kidney function. </w:t>
            </w:r>
          </w:p>
          <w:p w14:paraId="693EB758"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heart failure.</w:t>
            </w:r>
          </w:p>
          <w:p w14:paraId="260C88DB"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are allergic to ibuprofen or other anti-inflammatory medicines. </w:t>
            </w:r>
          </w:p>
          <w:p w14:paraId="49EB03E3"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you get an allergic reaction, stop taking and see your doctor immediately.</w:t>
            </w:r>
          </w:p>
          <w:p w14:paraId="5800FC7F"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have asthma. </w:t>
            </w:r>
          </w:p>
          <w:p w14:paraId="38E37698"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Unless advised by your doctor or pharmacist, do not use with products containing ibuprofen, </w:t>
            </w:r>
            <w:proofErr w:type="gramStart"/>
            <w:r w:rsidRPr="00F82056">
              <w:rPr>
                <w:rFonts w:eastAsia="Times New Roman"/>
                <w:sz w:val="20"/>
              </w:rPr>
              <w:t>aspirin</w:t>
            </w:r>
            <w:proofErr w:type="gramEnd"/>
            <w:r w:rsidRPr="00F82056">
              <w:rPr>
                <w:rFonts w:eastAsia="Times New Roman"/>
                <w:sz w:val="20"/>
              </w:rPr>
              <w:t xml:space="preserve"> or other anti-inflammatory medicines or with medicines that you are taking regularly.</w:t>
            </w:r>
          </w:p>
          <w:p w14:paraId="094972A0"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Do not use for more than a few days at a time unless a doctor has told you to.  Do not exceed the recommended dose.  Excessive use can be harmful and increase the risk of heart attack, </w:t>
            </w:r>
            <w:proofErr w:type="gramStart"/>
            <w:r w:rsidRPr="00F82056">
              <w:rPr>
                <w:rFonts w:eastAsia="Times New Roman"/>
                <w:sz w:val="20"/>
              </w:rPr>
              <w:t>stroke</w:t>
            </w:r>
            <w:proofErr w:type="gramEnd"/>
            <w:r w:rsidRPr="00F82056">
              <w:rPr>
                <w:rFonts w:eastAsia="Times New Roman"/>
                <w:sz w:val="20"/>
              </w:rPr>
              <w:t xml:space="preserve"> or liver damage.</w:t>
            </w:r>
          </w:p>
          <w:p w14:paraId="61BF0996"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trying to become pregnant, or during the first 6 months of pregnancy, except on doctor’s advice.  Do not use at all during the last 3 months of pregnancy.</w:t>
            </w:r>
          </w:p>
          <w:p w14:paraId="78DFB8CC" w14:textId="77777777" w:rsidR="00B326D8" w:rsidRPr="005256D1" w:rsidRDefault="00B326D8" w:rsidP="00D37B63">
            <w:pPr>
              <w:cnfStyle w:val="000000000000" w:firstRow="0" w:lastRow="0" w:firstColumn="0" w:lastColumn="0" w:oddVBand="0" w:evenVBand="0" w:oddHBand="0" w:evenHBand="0" w:firstRowFirstColumn="0" w:firstRowLastColumn="0" w:lastRowFirstColumn="0" w:lastRowLastColumn="0"/>
              <w:rPr>
                <w:sz w:val="20"/>
              </w:rPr>
            </w:pPr>
          </w:p>
        </w:tc>
      </w:tr>
      <w:tr w:rsidR="00B326D8" w:rsidRPr="005256D1" w14:paraId="7B61E9DE" w14:textId="77777777" w:rsidTr="00A55948">
        <w:tc>
          <w:tcPr>
            <w:cnfStyle w:val="001000000000" w:firstRow="0" w:lastRow="0" w:firstColumn="1" w:lastColumn="0" w:oddVBand="0" w:evenVBand="0" w:oddHBand="0" w:evenHBand="0" w:firstRowFirstColumn="0" w:firstRowLastColumn="0" w:lastRowFirstColumn="0" w:lastRowLastColumn="0"/>
            <w:tcW w:w="1473" w:type="dxa"/>
          </w:tcPr>
          <w:p w14:paraId="4C886BD7"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t>Ibuprofen</w:t>
            </w:r>
          </w:p>
          <w:p w14:paraId="289DF72A"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i/>
                <w:iCs/>
                <w:sz w:val="20"/>
              </w:rPr>
              <w:t>(Entry 3 of 6)</w:t>
            </w:r>
          </w:p>
          <w:p w14:paraId="4F1FDADA" w14:textId="77777777" w:rsidR="00B326D8" w:rsidRPr="00F82056" w:rsidRDefault="00B326D8" w:rsidP="00D37B63">
            <w:pPr>
              <w:shd w:val="clear" w:color="auto" w:fill="FFFFFF"/>
              <w:spacing w:before="60" w:after="60" w:line="240" w:lineRule="auto"/>
              <w:rPr>
                <w:rFonts w:eastAsia="Times New Roman"/>
                <w:sz w:val="20"/>
              </w:rPr>
            </w:pPr>
          </w:p>
        </w:tc>
        <w:tc>
          <w:tcPr>
            <w:tcW w:w="1985" w:type="dxa"/>
          </w:tcPr>
          <w:p w14:paraId="141BB9CF" w14:textId="77777777" w:rsidR="00B326D8" w:rsidRPr="005256D1" w:rsidRDefault="00B326D8" w:rsidP="007620B9">
            <w:pPr>
              <w:spacing w:before="60"/>
              <w:cnfStyle w:val="000000000000" w:firstRow="0" w:lastRow="0" w:firstColumn="0" w:lastColumn="0" w:oddVBand="0" w:evenVBand="0" w:oddHBand="0" w:evenHBand="0" w:firstRowFirstColumn="0" w:firstRowLastColumn="0" w:lastRowFirstColumn="0" w:lastRowLastColumn="0"/>
              <w:rPr>
                <w:sz w:val="20"/>
                <w:shd w:val="clear" w:color="auto" w:fill="FFFFFF"/>
              </w:rPr>
            </w:pPr>
            <w:proofErr w:type="gramStart"/>
            <w:r w:rsidRPr="005256D1">
              <w:rPr>
                <w:sz w:val="20"/>
                <w:shd w:val="clear" w:color="auto" w:fill="FFFFFF"/>
              </w:rPr>
              <w:t>For the purpose of</w:t>
            </w:r>
            <w:proofErr w:type="gramEnd"/>
            <w:r w:rsidRPr="005256D1">
              <w:rPr>
                <w:sz w:val="20"/>
                <w:shd w:val="clear" w:color="auto" w:fill="FFFFFF"/>
              </w:rPr>
              <w:t xml:space="preserve"> exclusion from the schedules to the SUSMP, for oral use in children under 12 years of age</w:t>
            </w:r>
          </w:p>
        </w:tc>
        <w:tc>
          <w:tcPr>
            <w:tcW w:w="5232" w:type="dxa"/>
          </w:tcPr>
          <w:p w14:paraId="06B40129"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a stomach ulcer.</w:t>
            </w:r>
          </w:p>
          <w:p w14:paraId="429D35E5"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impaired kidney function. </w:t>
            </w:r>
          </w:p>
          <w:p w14:paraId="24296E48"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heart failure.</w:t>
            </w:r>
          </w:p>
          <w:p w14:paraId="64787CB2"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are allergic to ibuprofen or other anti-inflammatory medicines. </w:t>
            </w:r>
          </w:p>
          <w:p w14:paraId="7D54AFDF"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you get an allergic reaction, stop taking and see your doctor immediately.</w:t>
            </w:r>
          </w:p>
          <w:p w14:paraId="34EBFDD7"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have asthma. </w:t>
            </w:r>
          </w:p>
          <w:p w14:paraId="5C75F673"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Unless advised by your doctor or pharmacist, do not use with products containing ibuprofen, </w:t>
            </w:r>
            <w:proofErr w:type="gramStart"/>
            <w:r w:rsidRPr="00F82056">
              <w:rPr>
                <w:rFonts w:eastAsia="Times New Roman"/>
                <w:sz w:val="20"/>
              </w:rPr>
              <w:t>aspirin</w:t>
            </w:r>
            <w:proofErr w:type="gramEnd"/>
            <w:r w:rsidRPr="00F82056">
              <w:rPr>
                <w:rFonts w:eastAsia="Times New Roman"/>
                <w:sz w:val="20"/>
              </w:rPr>
              <w:t xml:space="preserve"> or other anti-inflammatory medicines or with medicines that you are taking regularly.</w:t>
            </w:r>
          </w:p>
          <w:p w14:paraId="347C6F59"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Do not use for more than a few days at a time unless a doctor has told you to.  Do not exceed the recommended dose.  Excessive use can be harmful and increase the risk of heart attack, </w:t>
            </w:r>
            <w:proofErr w:type="gramStart"/>
            <w:r w:rsidRPr="00F82056">
              <w:rPr>
                <w:rFonts w:eastAsia="Times New Roman"/>
                <w:sz w:val="20"/>
              </w:rPr>
              <w:t>stroke</w:t>
            </w:r>
            <w:proofErr w:type="gramEnd"/>
            <w:r w:rsidRPr="00F82056">
              <w:rPr>
                <w:rFonts w:eastAsia="Times New Roman"/>
                <w:sz w:val="20"/>
              </w:rPr>
              <w:t xml:space="preserve"> or liver damage.</w:t>
            </w:r>
          </w:p>
          <w:p w14:paraId="24C86D72" w14:textId="77777777" w:rsidR="00B326D8" w:rsidRPr="00F82056" w:rsidRDefault="00B326D8" w:rsidP="00D37B63">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trying to become pregnant, or during the first 6 months of pregnancy, except on doctor’s advice.  Do not use at all during the last 3 months of pregnancy.</w:t>
            </w:r>
          </w:p>
          <w:p w14:paraId="381B6629" w14:textId="77777777" w:rsidR="00B326D8" w:rsidRPr="00F82056" w:rsidRDefault="00B326D8" w:rsidP="00D37B63">
            <w:pPr>
              <w:shd w:val="clear" w:color="auto" w:fill="FFFFFF"/>
              <w:spacing w:before="0" w:after="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Ask your doctor or pharmacist before use of the medicine in children suffering from dehydration through diarrhoea and/or vomiting.</w:t>
            </w:r>
          </w:p>
          <w:p w14:paraId="0E2B1222" w14:textId="77777777" w:rsidR="00B326D8" w:rsidRPr="00F82056" w:rsidRDefault="00B326D8" w:rsidP="00D37B63">
            <w:pPr>
              <w:shd w:val="clear" w:color="auto" w:fill="FFFFFF"/>
              <w:spacing w:before="0" w:after="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are aged 65 years or over.</w:t>
            </w:r>
          </w:p>
          <w:p w14:paraId="256350A9" w14:textId="77777777" w:rsidR="00B326D8" w:rsidRPr="00F82056" w:rsidRDefault="00B326D8" w:rsidP="00D37B63">
            <w:pPr>
              <w:shd w:val="clear" w:color="auto" w:fill="FFFFFF"/>
              <w:spacing w:before="0" w:after="0" w:line="240" w:lineRule="auto"/>
              <w:ind w:left="298" w:hanging="284"/>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4"/>
                <w:szCs w:val="24"/>
              </w:rPr>
              <w:t>·</w:t>
            </w:r>
            <w:r w:rsidRPr="00F82056">
              <w:rPr>
                <w:rFonts w:eastAsia="Times New Roman"/>
                <w:sz w:val="14"/>
                <w:szCs w:val="14"/>
              </w:rPr>
              <w:t>      </w:t>
            </w:r>
            <w:r w:rsidRPr="00F82056">
              <w:rPr>
                <w:rFonts w:eastAsia="Times New Roman"/>
                <w:sz w:val="20"/>
              </w:rPr>
              <w:t>Unless a doctor has told you to, do not use in children 6 years of age or less.</w:t>
            </w:r>
          </w:p>
          <w:p w14:paraId="6E1A209C"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B326D8" w:rsidRPr="005256D1" w14:paraId="0D4F8B95" w14:textId="77777777" w:rsidTr="00A55948">
        <w:tc>
          <w:tcPr>
            <w:cnfStyle w:val="001000000000" w:firstRow="0" w:lastRow="0" w:firstColumn="1" w:lastColumn="0" w:oddVBand="0" w:evenVBand="0" w:oddHBand="0" w:evenHBand="0" w:firstRowFirstColumn="0" w:firstRowLastColumn="0" w:lastRowFirstColumn="0" w:lastRowLastColumn="0"/>
            <w:tcW w:w="1473" w:type="dxa"/>
          </w:tcPr>
          <w:p w14:paraId="7655EABF"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lastRenderedPageBreak/>
              <w:t>Ibuprofen</w:t>
            </w:r>
          </w:p>
          <w:p w14:paraId="591BA064"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i/>
                <w:iCs/>
                <w:sz w:val="20"/>
              </w:rPr>
              <w:t>(Entry 4 of 6)</w:t>
            </w:r>
          </w:p>
          <w:p w14:paraId="13E4F1AD"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t> </w:t>
            </w:r>
          </w:p>
          <w:p w14:paraId="5118290D" w14:textId="77777777" w:rsidR="00B326D8" w:rsidRPr="00F82056" w:rsidRDefault="00B326D8" w:rsidP="00D37B63">
            <w:pPr>
              <w:shd w:val="clear" w:color="auto" w:fill="FFFFFF"/>
              <w:spacing w:before="60" w:after="60" w:line="240" w:lineRule="auto"/>
              <w:rPr>
                <w:rFonts w:eastAsia="Times New Roman"/>
                <w:sz w:val="20"/>
              </w:rPr>
            </w:pPr>
          </w:p>
        </w:tc>
        <w:tc>
          <w:tcPr>
            <w:tcW w:w="1985" w:type="dxa"/>
          </w:tcPr>
          <w:p w14:paraId="26EBC233" w14:textId="77777777" w:rsidR="00B326D8" w:rsidRPr="005256D1" w:rsidRDefault="00B326D8" w:rsidP="007620B9">
            <w:pPr>
              <w:spacing w:before="60"/>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5256D1">
              <w:rPr>
                <w:sz w:val="20"/>
                <w:shd w:val="clear" w:color="auto" w:fill="FFFFFF"/>
              </w:rPr>
              <w:t>When included in a schedule to the SUSMP for oral use in children under 12 years of age</w:t>
            </w:r>
          </w:p>
        </w:tc>
        <w:tc>
          <w:tcPr>
            <w:tcW w:w="5232" w:type="dxa"/>
          </w:tcPr>
          <w:p w14:paraId="3D85D646"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a stomach ulcer.</w:t>
            </w:r>
          </w:p>
          <w:p w14:paraId="527A1AAA"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impaired kidney function. </w:t>
            </w:r>
          </w:p>
          <w:p w14:paraId="315DC06E"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heart failure.</w:t>
            </w:r>
          </w:p>
          <w:p w14:paraId="74ABF92D"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are allergic to ibuprofen or other anti-inflammatory medicines. </w:t>
            </w:r>
          </w:p>
          <w:p w14:paraId="04831C8D"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you get an allergic reaction, stop taking and see your doctor immediately.</w:t>
            </w:r>
          </w:p>
          <w:p w14:paraId="34EB0199"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have asthma. </w:t>
            </w:r>
          </w:p>
          <w:p w14:paraId="36A92326"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Unless advised by your doctor or pharmacist, do not use with products containing ibuprofen, </w:t>
            </w:r>
            <w:proofErr w:type="gramStart"/>
            <w:r w:rsidRPr="00F82056">
              <w:rPr>
                <w:rFonts w:eastAsia="Times New Roman"/>
                <w:sz w:val="20"/>
              </w:rPr>
              <w:t>aspirin</w:t>
            </w:r>
            <w:proofErr w:type="gramEnd"/>
            <w:r w:rsidRPr="00F82056">
              <w:rPr>
                <w:rFonts w:eastAsia="Times New Roman"/>
                <w:sz w:val="20"/>
              </w:rPr>
              <w:t xml:space="preserve"> or other anti-inflammatory medicines or with medicines that you are taking regularly.</w:t>
            </w:r>
          </w:p>
          <w:p w14:paraId="11B6371C"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Do not use for more than a few days at a time unless a doctor has told you to.  Do not exceed the recommended dose.  Excessive use can be harmful and increase the risk of heart attack, </w:t>
            </w:r>
            <w:proofErr w:type="gramStart"/>
            <w:r w:rsidRPr="00F82056">
              <w:rPr>
                <w:rFonts w:eastAsia="Times New Roman"/>
                <w:sz w:val="20"/>
              </w:rPr>
              <w:t>stroke</w:t>
            </w:r>
            <w:proofErr w:type="gramEnd"/>
            <w:r w:rsidRPr="00F82056">
              <w:rPr>
                <w:rFonts w:eastAsia="Times New Roman"/>
                <w:sz w:val="20"/>
              </w:rPr>
              <w:t xml:space="preserve"> or liver damage.</w:t>
            </w:r>
          </w:p>
          <w:p w14:paraId="166CD988"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trying to become pregnant, or during the first 6 months of pregnancy, except on doctor’s advice.  Do not use at all during the last 3 months of pregnancy.</w:t>
            </w:r>
          </w:p>
          <w:p w14:paraId="68E1FE43" w14:textId="77777777" w:rsidR="00B326D8" w:rsidRPr="00F82056" w:rsidRDefault="00B326D8" w:rsidP="00D37B63">
            <w:pPr>
              <w:shd w:val="clear" w:color="auto" w:fill="FFFFFF"/>
              <w:spacing w:before="0" w:after="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Ask your doctor or pharmacist before use of the medicine in children suffering from dehydration through diarrhoea and/or vomiting.</w:t>
            </w:r>
          </w:p>
          <w:p w14:paraId="40E43199"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B326D8" w:rsidRPr="005256D1" w14:paraId="7A5EDF06" w14:textId="77777777" w:rsidTr="00A55948">
        <w:tc>
          <w:tcPr>
            <w:cnfStyle w:val="001000000000" w:firstRow="0" w:lastRow="0" w:firstColumn="1" w:lastColumn="0" w:oddVBand="0" w:evenVBand="0" w:oddHBand="0" w:evenHBand="0" w:firstRowFirstColumn="0" w:firstRowLastColumn="0" w:lastRowFirstColumn="0" w:lastRowLastColumn="0"/>
            <w:tcW w:w="1473" w:type="dxa"/>
          </w:tcPr>
          <w:p w14:paraId="3FAA942B"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lastRenderedPageBreak/>
              <w:t>Ibuprofen</w:t>
            </w:r>
          </w:p>
          <w:p w14:paraId="0E030293"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i/>
                <w:iCs/>
                <w:sz w:val="20"/>
              </w:rPr>
              <w:t>(Entry 5 of 6)</w:t>
            </w:r>
          </w:p>
          <w:p w14:paraId="248689C9" w14:textId="77777777" w:rsidR="00B326D8" w:rsidRPr="00F82056" w:rsidRDefault="00B326D8" w:rsidP="00D37B63">
            <w:pPr>
              <w:shd w:val="clear" w:color="auto" w:fill="FFFFFF"/>
              <w:spacing w:before="60" w:after="60" w:line="240" w:lineRule="auto"/>
              <w:rPr>
                <w:rFonts w:eastAsia="Times New Roman"/>
                <w:sz w:val="20"/>
              </w:rPr>
            </w:pPr>
          </w:p>
        </w:tc>
        <w:tc>
          <w:tcPr>
            <w:tcW w:w="1985" w:type="dxa"/>
          </w:tcPr>
          <w:p w14:paraId="5860A954" w14:textId="77777777" w:rsidR="00B326D8" w:rsidRPr="005256D1" w:rsidRDefault="00B326D8" w:rsidP="007620B9">
            <w:pPr>
              <w:spacing w:before="60"/>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5256D1">
              <w:rPr>
                <w:sz w:val="20"/>
                <w:shd w:val="clear" w:color="auto" w:fill="FFFFFF"/>
              </w:rPr>
              <w:t>In combination with paracetamol, in medicines for oral use</w:t>
            </w:r>
          </w:p>
        </w:tc>
        <w:tc>
          <w:tcPr>
            <w:tcW w:w="5232" w:type="dxa"/>
          </w:tcPr>
          <w:p w14:paraId="0F4CD608"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give to children under 12 years of age.</w:t>
            </w:r>
          </w:p>
          <w:p w14:paraId="11BBB492"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Adults: Keep to the recommended dose. Do not take this medicine for longer than a few days at a time unless advised to by a doctor.</w:t>
            </w:r>
          </w:p>
          <w:p w14:paraId="690AF956"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Children and adolescents: Keep to the recommended dose. Do not give this medicine for longer than 48 hours at a time unless advised to by a doctor.</w:t>
            </w:r>
          </w:p>
          <w:p w14:paraId="650C5033"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Excessive use can be harmful and increase the risk of heart attack, </w:t>
            </w:r>
            <w:proofErr w:type="gramStart"/>
            <w:r w:rsidRPr="00F82056">
              <w:rPr>
                <w:rFonts w:eastAsia="Times New Roman"/>
                <w:sz w:val="20"/>
              </w:rPr>
              <w:t>stroke</w:t>
            </w:r>
            <w:proofErr w:type="gramEnd"/>
            <w:r w:rsidRPr="00F82056">
              <w:rPr>
                <w:rFonts w:eastAsia="Times New Roman"/>
                <w:sz w:val="20"/>
              </w:rPr>
              <w:t xml:space="preserve"> or liver damage.</w:t>
            </w:r>
          </w:p>
          <w:p w14:paraId="246DAD50"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pregnant or trying to become pregnant.</w:t>
            </w:r>
          </w:p>
          <w:p w14:paraId="1E9EA869"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a stomach ulcer.</w:t>
            </w:r>
          </w:p>
          <w:p w14:paraId="47AF8F86"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impaired kidney function. </w:t>
            </w:r>
          </w:p>
          <w:p w14:paraId="3521D72E"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have heart failure.</w:t>
            </w:r>
          </w:p>
          <w:p w14:paraId="6E48CED5"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if you are allergic to ibuprofen or other anti-inflammatory medicines. </w:t>
            </w:r>
          </w:p>
          <w:p w14:paraId="7A33BA63"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you get an allergic reaction, stop taking and see your doctor immediately.</w:t>
            </w:r>
          </w:p>
          <w:p w14:paraId="2D824F4B"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have asthma. </w:t>
            </w:r>
          </w:p>
          <w:p w14:paraId="7B28B64D"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has told you to, do not use if you are aged 65 years or over.</w:t>
            </w:r>
          </w:p>
          <w:p w14:paraId="63E6A1CE"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 xml:space="preserve">Do not take with other products containing paracetamol, ibuprofen, </w:t>
            </w:r>
            <w:proofErr w:type="gramStart"/>
            <w:r w:rsidRPr="00F82056">
              <w:rPr>
                <w:rFonts w:eastAsia="Times New Roman"/>
                <w:sz w:val="20"/>
              </w:rPr>
              <w:t>aspirin</w:t>
            </w:r>
            <w:proofErr w:type="gramEnd"/>
            <w:r w:rsidRPr="00F82056">
              <w:rPr>
                <w:rFonts w:eastAsia="Times New Roman"/>
                <w:sz w:val="20"/>
              </w:rPr>
              <w:t xml:space="preserve"> or other anti-inflammatory medicines or with medicines that you are taking regularly, unless advised to do so by a doctor or pharmacist.</w:t>
            </w:r>
          </w:p>
          <w:p w14:paraId="21DA432A"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an overdose is taken or suspected, ring the Poisons Information Centre (Australia 13 11 26, New Zealand 0800 764 766) or go to hospital straight away even if you feel well because of the risk of delayed, serious liver damage.</w:t>
            </w:r>
          </w:p>
          <w:p w14:paraId="4D4F683E"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 w:val="20"/>
              </w:rPr>
            </w:pPr>
          </w:p>
        </w:tc>
      </w:tr>
      <w:tr w:rsidR="00B326D8" w:rsidRPr="005256D1" w14:paraId="0F864F47" w14:textId="77777777" w:rsidTr="00A55948">
        <w:tc>
          <w:tcPr>
            <w:cnfStyle w:val="001000000000" w:firstRow="0" w:lastRow="0" w:firstColumn="1" w:lastColumn="0" w:oddVBand="0" w:evenVBand="0" w:oddHBand="0" w:evenHBand="0" w:firstRowFirstColumn="0" w:firstRowLastColumn="0" w:lastRowFirstColumn="0" w:lastRowLastColumn="0"/>
            <w:tcW w:w="1473" w:type="dxa"/>
          </w:tcPr>
          <w:p w14:paraId="249ED47B"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sz w:val="20"/>
              </w:rPr>
              <w:t>Ibuprofen</w:t>
            </w:r>
          </w:p>
          <w:p w14:paraId="7C4A2A5A" w14:textId="77777777" w:rsidR="00B326D8" w:rsidRPr="00F82056" w:rsidRDefault="00B326D8" w:rsidP="00D37B63">
            <w:pPr>
              <w:shd w:val="clear" w:color="auto" w:fill="FFFFFF"/>
              <w:spacing w:before="60" w:after="60" w:line="240" w:lineRule="auto"/>
              <w:rPr>
                <w:rFonts w:eastAsia="Times New Roman"/>
                <w:szCs w:val="22"/>
              </w:rPr>
            </w:pPr>
            <w:r w:rsidRPr="00F82056">
              <w:rPr>
                <w:rFonts w:eastAsia="Times New Roman"/>
                <w:i/>
                <w:iCs/>
                <w:sz w:val="20"/>
              </w:rPr>
              <w:t>(Entry 6 of 6)</w:t>
            </w:r>
          </w:p>
          <w:p w14:paraId="4447BD53" w14:textId="77777777" w:rsidR="00B326D8" w:rsidRPr="00F82056" w:rsidRDefault="00B326D8" w:rsidP="00D37B63">
            <w:pPr>
              <w:shd w:val="clear" w:color="auto" w:fill="FFFFFF"/>
              <w:spacing w:before="60" w:after="60" w:line="240" w:lineRule="auto"/>
              <w:rPr>
                <w:rFonts w:eastAsia="Times New Roman"/>
                <w:sz w:val="20"/>
              </w:rPr>
            </w:pPr>
          </w:p>
        </w:tc>
        <w:tc>
          <w:tcPr>
            <w:tcW w:w="1985" w:type="dxa"/>
          </w:tcPr>
          <w:p w14:paraId="0F36F218" w14:textId="77777777" w:rsidR="00B326D8" w:rsidRPr="005256D1" w:rsidRDefault="00B326D8" w:rsidP="007620B9">
            <w:pPr>
              <w:spacing w:before="60"/>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5256D1">
              <w:rPr>
                <w:sz w:val="20"/>
                <w:shd w:val="clear" w:color="auto" w:fill="FFFFFF"/>
              </w:rPr>
              <w:t>In preparations for dermal use</w:t>
            </w:r>
          </w:p>
        </w:tc>
        <w:tc>
          <w:tcPr>
            <w:tcW w:w="5232" w:type="dxa"/>
          </w:tcPr>
          <w:p w14:paraId="49F24D7F"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Do not use [this product</w:t>
            </w:r>
            <w:r w:rsidRPr="00F82056">
              <w:rPr>
                <w:rFonts w:eastAsia="Times New Roman"/>
                <w:i/>
                <w:iCs/>
                <w:sz w:val="20"/>
              </w:rPr>
              <w:t>/insert name of product</w:t>
            </w:r>
            <w:r w:rsidRPr="00F82056">
              <w:rPr>
                <w:rFonts w:eastAsia="Times New Roman"/>
                <w:sz w:val="20"/>
              </w:rPr>
              <w:t>] if you are allergic to ibuprofen or other anti-inflammatory medicines.  </w:t>
            </w:r>
          </w:p>
          <w:p w14:paraId="6F93E59D"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If you get an allergic reaction, stop taking and see your doctor immediately.  </w:t>
            </w:r>
          </w:p>
          <w:p w14:paraId="17DCA821"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82056">
              <w:rPr>
                <w:rFonts w:eastAsia="Times New Roman" w:hint="eastAsia"/>
                <w:sz w:val="20"/>
              </w:rPr>
              <w:t>·</w:t>
            </w:r>
            <w:r w:rsidRPr="00F82056">
              <w:rPr>
                <w:rFonts w:eastAsia="Times New Roman"/>
                <w:sz w:val="14"/>
                <w:szCs w:val="14"/>
              </w:rPr>
              <w:t>   </w:t>
            </w:r>
            <w:r w:rsidRPr="00F82056">
              <w:rPr>
                <w:rFonts w:eastAsia="Times New Roman"/>
                <w:sz w:val="20"/>
              </w:rPr>
              <w:t>Unless a doctor or pharmacist has told you to, do not use [this product</w:t>
            </w:r>
            <w:r w:rsidRPr="00F82056">
              <w:rPr>
                <w:rFonts w:eastAsia="Times New Roman"/>
                <w:i/>
                <w:iCs/>
                <w:sz w:val="20"/>
              </w:rPr>
              <w:t>/insert name of product</w:t>
            </w:r>
            <w:r w:rsidRPr="00F82056">
              <w:rPr>
                <w:rFonts w:eastAsia="Times New Roman"/>
                <w:sz w:val="20"/>
              </w:rPr>
              <w:t>] with other medicines that you are taking regularly.</w:t>
            </w:r>
          </w:p>
          <w:p w14:paraId="072AC9A4" w14:textId="77777777" w:rsidR="00B326D8" w:rsidRPr="00F82056" w:rsidRDefault="00B326D8" w:rsidP="00D37B63">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eastAsia="Times New Roman"/>
                <w:sz w:val="20"/>
              </w:rPr>
            </w:pPr>
          </w:p>
        </w:tc>
      </w:tr>
    </w:tbl>
    <w:p w14:paraId="0020CEB2" w14:textId="4B14204A" w:rsidR="00B326D8" w:rsidRPr="009C55D5" w:rsidRDefault="00CB4B53" w:rsidP="00407BF9">
      <w:pPr>
        <w:pStyle w:val="ListBullet"/>
      </w:pPr>
      <w:r>
        <w:t>Since January</w:t>
      </w:r>
      <w:r w:rsidR="00A55948">
        <w:t xml:space="preserve"> 20</w:t>
      </w:r>
      <w:r>
        <w:t>1</w:t>
      </w:r>
      <w:r w:rsidR="00A55948">
        <w:t>2,</w:t>
      </w:r>
      <w:r w:rsidR="00B326D8">
        <w:t xml:space="preserve"> there </w:t>
      </w:r>
      <w:r>
        <w:t xml:space="preserve">have been 701 </w:t>
      </w:r>
      <w:r w:rsidR="00B326D8" w:rsidRPr="009C55D5">
        <w:t xml:space="preserve">reports of adverse events for products containing </w:t>
      </w:r>
      <w:r w:rsidR="00B326D8">
        <w:t xml:space="preserve">ibuprofen </w:t>
      </w:r>
      <w:r w:rsidR="00B326D8" w:rsidRPr="009C55D5">
        <w:t>as an active ingredient</w:t>
      </w:r>
      <w:r w:rsidR="00B326D8">
        <w:t xml:space="preserve"> </w:t>
      </w:r>
      <w:r>
        <w:t xml:space="preserve">(including </w:t>
      </w:r>
      <w:proofErr w:type="spellStart"/>
      <w:r>
        <w:t>multiactive</w:t>
      </w:r>
      <w:proofErr w:type="spellEnd"/>
      <w:r>
        <w:t xml:space="preserve"> preparations) </w:t>
      </w:r>
      <w:r w:rsidR="00B326D8">
        <w:t xml:space="preserve">on the </w:t>
      </w:r>
      <w:hyperlink r:id="rId69" w:history="1">
        <w:r w:rsidR="00B326D8" w:rsidRPr="00F0449C">
          <w:rPr>
            <w:rStyle w:val="Hyperlink"/>
          </w:rPr>
          <w:t>Database of Adverse Event Notifications (DAEN)</w:t>
        </w:r>
      </w:hyperlink>
      <w:r w:rsidR="00B326D8" w:rsidRPr="00254E0B">
        <w:t>,</w:t>
      </w:r>
      <w:r w:rsidR="00B326D8" w:rsidRPr="00F0449C">
        <w:rPr>
          <w:rStyle w:val="FootnoteReference"/>
        </w:rPr>
        <w:footnoteReference w:id="46"/>
      </w:r>
      <w:r w:rsidR="00B326D8" w:rsidRPr="009C55D5">
        <w:t xml:space="preserve"> with </w:t>
      </w:r>
      <w:r w:rsidR="00B326D8">
        <w:t>4</w:t>
      </w:r>
      <w:r>
        <w:t>36</w:t>
      </w:r>
      <w:r w:rsidR="00B326D8">
        <w:t xml:space="preserve"> </w:t>
      </w:r>
      <w:r w:rsidR="00B326D8" w:rsidRPr="009C55D5">
        <w:t xml:space="preserve">reports where </w:t>
      </w:r>
      <w:r w:rsidR="00B326D8">
        <w:t xml:space="preserve">ibuprofen </w:t>
      </w:r>
      <w:r w:rsidR="00B326D8" w:rsidRPr="009C55D5">
        <w:t xml:space="preserve">was the single suspected medicine. </w:t>
      </w:r>
      <w:r w:rsidR="00B326D8">
        <w:t xml:space="preserve">The most common adverse effects reported </w:t>
      </w:r>
      <w:r w:rsidR="00DD5F26">
        <w:t xml:space="preserve">pertained to </w:t>
      </w:r>
      <w:r w:rsidR="00407BF9">
        <w:t>s</w:t>
      </w:r>
      <w:r w:rsidR="00B326D8">
        <w:t xml:space="preserve">kin and subcutaneous tissue </w:t>
      </w:r>
      <w:r w:rsidR="00407BF9">
        <w:t>reactions</w:t>
      </w:r>
      <w:r w:rsidR="00DD5F26">
        <w:t xml:space="preserve"> and </w:t>
      </w:r>
      <w:r w:rsidR="00407BF9">
        <w:t>g</w:t>
      </w:r>
      <w:r w:rsidR="00B326D8">
        <w:t xml:space="preserve">astrointestinal </w:t>
      </w:r>
      <w:r w:rsidR="00DD5F26">
        <w:t>disorders</w:t>
      </w:r>
      <w:r w:rsidR="00407BF9">
        <w:t>.</w:t>
      </w:r>
    </w:p>
    <w:p w14:paraId="05A63FA9" w14:textId="37004531" w:rsidR="00B326D8" w:rsidRDefault="00B326D8" w:rsidP="00B326D8">
      <w:pPr>
        <w:pStyle w:val="ListBullet"/>
      </w:pPr>
      <w:r>
        <w:lastRenderedPageBreak/>
        <w:t>As of August 2022</w:t>
      </w:r>
      <w:r w:rsidR="00BF6E5A">
        <w:t>,</w:t>
      </w:r>
      <w:r>
        <w:t xml:space="preserve"> t</w:t>
      </w:r>
      <w:r w:rsidRPr="00F0449C">
        <w:t xml:space="preserve">here </w:t>
      </w:r>
      <w:r>
        <w:t xml:space="preserve">were no </w:t>
      </w:r>
      <w:r w:rsidRPr="00F0449C">
        <w:t xml:space="preserve">products containing </w:t>
      </w:r>
      <w:r>
        <w:t xml:space="preserve">ibuprofen as an active ingredient/constituent or scheduled substance </w:t>
      </w:r>
      <w:r w:rsidRPr="00F0449C">
        <w:t xml:space="preserve">listed on the </w:t>
      </w:r>
      <w:hyperlink r:id="rId70"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47"/>
      </w:r>
      <w:r>
        <w:t xml:space="preserve"> </w:t>
      </w:r>
    </w:p>
    <w:p w14:paraId="55E4E453" w14:textId="29680AD1" w:rsidR="00B326D8" w:rsidRPr="00CB687C" w:rsidRDefault="00B326D8" w:rsidP="00B326D8">
      <w:pPr>
        <w:pStyle w:val="Heading4"/>
      </w:pPr>
      <w:bookmarkStart w:id="55" w:name="_Toc112833628"/>
      <w:r>
        <w:t>International regulations</w:t>
      </w:r>
      <w:bookmarkEnd w:id="55"/>
    </w:p>
    <w:p w14:paraId="56904667" w14:textId="51B6007A" w:rsidR="00BF6E5A" w:rsidRPr="007620B9" w:rsidRDefault="00BF6E5A" w:rsidP="008E48A7">
      <w:pPr>
        <w:pStyle w:val="ListParagraph"/>
        <w:numPr>
          <w:ilvl w:val="0"/>
          <w:numId w:val="29"/>
        </w:numPr>
        <w:spacing w:line="240" w:lineRule="auto"/>
        <w:ind w:left="360"/>
      </w:pPr>
      <w:r>
        <w:t>Ibuprofen</w:t>
      </w:r>
      <w:r w:rsidRPr="00BF6E5A">
        <w:t xml:space="preserve"> is listed on the </w:t>
      </w:r>
      <w:hyperlink r:id="rId71" w:history="1">
        <w:r w:rsidR="008C0C23" w:rsidRPr="008C0C23">
          <w:rPr>
            <w:rStyle w:val="Hyperlink"/>
          </w:rPr>
          <w:t>Food and Drugs Administration Approved Drugs Database</w:t>
        </w:r>
      </w:hyperlink>
      <w:r w:rsidRPr="00BF6E5A">
        <w:t xml:space="preserve"> </w:t>
      </w:r>
      <w:r>
        <w:t xml:space="preserve">as a </w:t>
      </w:r>
      <w:r w:rsidRPr="008C0C23">
        <w:t xml:space="preserve">prescription-only </w:t>
      </w:r>
      <w:r>
        <w:t xml:space="preserve">and OTC </w:t>
      </w:r>
      <w:r w:rsidRPr="008C0C23">
        <w:t>medicine</w:t>
      </w:r>
      <w:r>
        <w:t xml:space="preserve"> in several different dosage forms</w:t>
      </w:r>
      <w:r w:rsidRPr="008C0C23">
        <w:t>.</w:t>
      </w:r>
    </w:p>
    <w:p w14:paraId="77E9BEBF" w14:textId="093132D2" w:rsidR="00BF6E5A" w:rsidRPr="007620B9" w:rsidRDefault="001C5F86" w:rsidP="007620B9">
      <w:pPr>
        <w:pStyle w:val="ListBullet"/>
      </w:pPr>
      <w:hyperlink r:id="rId72" w:history="1">
        <w:r w:rsidR="008C0C23" w:rsidRPr="008C0C23">
          <w:rPr>
            <w:rStyle w:val="Hyperlink"/>
          </w:rPr>
          <w:t>T</w:t>
        </w:r>
        <w:r w:rsidR="008C0C23" w:rsidRPr="00DF5E0C">
          <w:rPr>
            <w:rStyle w:val="Hyperlink"/>
          </w:rPr>
          <w:t>he Health Canada Drug Product Database</w:t>
        </w:r>
      </w:hyperlink>
      <w:r w:rsidR="00BF6E5A" w:rsidRPr="00BF6E5A">
        <w:t xml:space="preserve"> list</w:t>
      </w:r>
      <w:r w:rsidR="00BF6E5A">
        <w:t>s</w:t>
      </w:r>
      <w:r w:rsidR="00BF6E5A" w:rsidRPr="00BF6E5A">
        <w:t xml:space="preserve"> </w:t>
      </w:r>
      <w:r w:rsidR="00BF6E5A">
        <w:t>ibuprofen</w:t>
      </w:r>
      <w:r w:rsidR="00BF6E5A" w:rsidRPr="00BF6E5A">
        <w:t xml:space="preserve"> as </w:t>
      </w:r>
      <w:r w:rsidR="008C0C23">
        <w:t xml:space="preserve">a </w:t>
      </w:r>
      <w:r w:rsidR="00BF6E5A" w:rsidRPr="008C0C23">
        <w:t xml:space="preserve">prescription-only </w:t>
      </w:r>
      <w:r w:rsidR="008C0C23">
        <w:t xml:space="preserve">and OTC </w:t>
      </w:r>
      <w:r w:rsidR="00BF6E5A" w:rsidRPr="008C0C23">
        <w:t xml:space="preserve">medicine. </w:t>
      </w:r>
    </w:p>
    <w:p w14:paraId="5D47A3B7" w14:textId="322ACF92" w:rsidR="00BF6E5A" w:rsidRPr="007620B9" w:rsidRDefault="00BF6E5A" w:rsidP="007620B9">
      <w:pPr>
        <w:pStyle w:val="ListBullet"/>
      </w:pPr>
      <w:r w:rsidRPr="00BF6E5A">
        <w:t xml:space="preserve">The UK’s </w:t>
      </w:r>
      <w:hyperlink r:id="rId73" w:history="1">
        <w:r w:rsidR="008C0C23" w:rsidRPr="008C0C23">
          <w:rPr>
            <w:rStyle w:val="Hyperlink"/>
          </w:rPr>
          <w:t>electronic medicines compendium</w:t>
        </w:r>
      </w:hyperlink>
      <w:r w:rsidRPr="00BF6E5A">
        <w:t xml:space="preserve"> lists </w:t>
      </w:r>
      <w:r w:rsidR="008C0C23">
        <w:t xml:space="preserve">ibuprofen as </w:t>
      </w:r>
      <w:r w:rsidRPr="008C0C23">
        <w:t>a prescription</w:t>
      </w:r>
      <w:r w:rsidR="008C0C23">
        <w:t>-</w:t>
      </w:r>
      <w:r w:rsidRPr="008C0C23">
        <w:t xml:space="preserve">only </w:t>
      </w:r>
      <w:r w:rsidR="008C0C23">
        <w:t xml:space="preserve">and OTC </w:t>
      </w:r>
      <w:r w:rsidRPr="008C0C23">
        <w:t xml:space="preserve">medicine. </w:t>
      </w:r>
    </w:p>
    <w:p w14:paraId="5013E362" w14:textId="47FA3F31" w:rsidR="00B326D8" w:rsidRDefault="00BF6E5A" w:rsidP="007620B9">
      <w:pPr>
        <w:pStyle w:val="ListBullet"/>
      </w:pPr>
      <w:r w:rsidRPr="008C0C23">
        <w:rPr>
          <w:rStyle w:val="Hyperlink"/>
          <w:color w:val="auto"/>
          <w:u w:val="none"/>
        </w:rPr>
        <w:t xml:space="preserve">The </w:t>
      </w:r>
      <w:hyperlink r:id="rId74" w:history="1">
        <w:r w:rsidR="008C0C23" w:rsidRPr="008C0C23">
          <w:rPr>
            <w:rStyle w:val="Hyperlink"/>
          </w:rPr>
          <w:t>Health Products Regulatory Authority of Ireland</w:t>
        </w:r>
      </w:hyperlink>
      <w:r w:rsidRPr="008C0C23">
        <w:rPr>
          <w:rStyle w:val="Hyperlink"/>
          <w:color w:val="auto"/>
          <w:u w:val="none"/>
        </w:rPr>
        <w:t xml:space="preserve"> regulates </w:t>
      </w:r>
      <w:r w:rsidR="008C0C23" w:rsidRPr="00DF5E0C">
        <w:rPr>
          <w:rStyle w:val="Hyperlink"/>
          <w:color w:val="auto"/>
          <w:u w:val="none"/>
        </w:rPr>
        <w:t>ibuprofen</w:t>
      </w:r>
      <w:r w:rsidRPr="00DF5E0C">
        <w:rPr>
          <w:rStyle w:val="Hyperlink"/>
          <w:color w:val="auto"/>
          <w:u w:val="none"/>
        </w:rPr>
        <w:t xml:space="preserve"> as a prescription-</w:t>
      </w:r>
      <w:r w:rsidRPr="00A435F3">
        <w:rPr>
          <w:rStyle w:val="Hyperlink"/>
          <w:color w:val="auto"/>
          <w:u w:val="none"/>
        </w:rPr>
        <w:t xml:space="preserve">only </w:t>
      </w:r>
      <w:r w:rsidR="008C0C23" w:rsidRPr="00A435F3">
        <w:rPr>
          <w:rStyle w:val="Hyperlink"/>
          <w:color w:val="auto"/>
          <w:u w:val="none"/>
        </w:rPr>
        <w:t xml:space="preserve">and OTC </w:t>
      </w:r>
      <w:r w:rsidRPr="00A435F3">
        <w:rPr>
          <w:rStyle w:val="Hyperlink"/>
          <w:color w:val="auto"/>
          <w:u w:val="none"/>
        </w:rPr>
        <w:t>medicine.</w:t>
      </w:r>
    </w:p>
    <w:p w14:paraId="26070829" w14:textId="5AFA12C4" w:rsidR="00B326D8" w:rsidRPr="00FA6A03" w:rsidRDefault="00BF6E5A" w:rsidP="008E48A7">
      <w:pPr>
        <w:pStyle w:val="ListParagraph"/>
        <w:numPr>
          <w:ilvl w:val="0"/>
          <w:numId w:val="30"/>
        </w:numPr>
        <w:spacing w:line="240" w:lineRule="auto"/>
      </w:pPr>
      <w:r>
        <w:t>Ibuprofen</w:t>
      </w:r>
      <w:r w:rsidR="00B326D8">
        <w:t xml:space="preserve"> is currently listed in</w:t>
      </w:r>
      <w:r w:rsidR="00407BF9">
        <w:t xml:space="preserve"> the</w:t>
      </w:r>
      <w:r w:rsidR="00B326D8">
        <w:t xml:space="preserve"> </w:t>
      </w:r>
      <w:hyperlink r:id="rId75" w:history="1">
        <w:r w:rsidR="00B326D8" w:rsidRPr="000B75D5">
          <w:rPr>
            <w:rStyle w:val="Hyperlink"/>
          </w:rPr>
          <w:t>New Zealand</w:t>
        </w:r>
        <w:r w:rsidR="00B326D8">
          <w:rPr>
            <w:rStyle w:val="Hyperlink"/>
          </w:rPr>
          <w:t xml:space="preserve"> Medicines and Medical Devices Safety Authority</w:t>
        </w:r>
        <w:r w:rsidR="00B326D8" w:rsidRPr="000B75D5">
          <w:rPr>
            <w:rStyle w:val="Hyperlink"/>
          </w:rPr>
          <w:t xml:space="preserve"> </w:t>
        </w:r>
        <w:r w:rsidR="00B326D8">
          <w:rPr>
            <w:rStyle w:val="Hyperlink"/>
          </w:rPr>
          <w:t>(</w:t>
        </w:r>
        <w:proofErr w:type="spellStart"/>
        <w:r w:rsidR="00B326D8" w:rsidRPr="000B75D5">
          <w:rPr>
            <w:rStyle w:val="Hyperlink"/>
          </w:rPr>
          <w:t>MedSafe</w:t>
        </w:r>
        <w:proofErr w:type="spellEnd"/>
      </w:hyperlink>
      <w:r w:rsidR="00B326D8">
        <w:rPr>
          <w:rStyle w:val="Hyperlink"/>
        </w:rPr>
        <w:t>)</w:t>
      </w:r>
      <w:r w:rsidR="00454E20">
        <w:rPr>
          <w:rStyle w:val="Hyperlink"/>
        </w:rPr>
        <w:t xml:space="preserve"> </w:t>
      </w:r>
      <w:r w:rsidR="00454E20" w:rsidRPr="00454E20">
        <w:rPr>
          <w:rStyle w:val="Hyperlink"/>
          <w:color w:val="auto"/>
          <w:u w:val="none"/>
        </w:rPr>
        <w:t>with the specifications below</w:t>
      </w:r>
      <w:r w:rsidR="00B326D8" w:rsidRPr="00454E20">
        <w:rPr>
          <w:rStyle w:val="Hyperlink"/>
          <w:color w:val="auto"/>
          <w:u w:val="none"/>
        </w:rPr>
        <w:t>:</w:t>
      </w:r>
      <w:r w:rsidR="00B326D8" w:rsidRPr="00454E20">
        <w:rPr>
          <w:rStyle w:val="Hyperlink"/>
          <w:color w:val="auto"/>
        </w:rPr>
        <w:t xml:space="preserve"> </w:t>
      </w:r>
    </w:p>
    <w:tbl>
      <w:tblPr>
        <w:tblStyle w:val="TableTGAblue"/>
        <w:tblW w:w="0" w:type="auto"/>
        <w:tblInd w:w="357" w:type="dxa"/>
        <w:tblLook w:val="04A0" w:firstRow="1" w:lastRow="0" w:firstColumn="1" w:lastColumn="0" w:noHBand="0" w:noVBand="1"/>
      </w:tblPr>
      <w:tblGrid>
        <w:gridCol w:w="1289"/>
        <w:gridCol w:w="5824"/>
        <w:gridCol w:w="1580"/>
      </w:tblGrid>
      <w:tr w:rsidR="00407BF9" w:rsidRPr="00FA6A03" w14:paraId="70645FA5" w14:textId="77777777" w:rsidTr="00762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3E5AD0D" w14:textId="17645B21" w:rsidR="00407BF9" w:rsidRPr="00B9352D" w:rsidRDefault="00407BF9" w:rsidP="00407BF9">
            <w:pPr>
              <w:spacing w:line="240" w:lineRule="auto"/>
              <w:rPr>
                <w:rFonts w:eastAsia="Times New Roman" w:cstheme="minorHAnsi"/>
                <w:szCs w:val="22"/>
                <w:lang w:eastAsia="en-AU"/>
              </w:rPr>
            </w:pPr>
            <w:r>
              <w:rPr>
                <w:rFonts w:eastAsia="Times New Roman" w:cstheme="minorHAnsi"/>
                <w:szCs w:val="22"/>
                <w:lang w:eastAsia="en-AU"/>
              </w:rPr>
              <w:t>Ingredient</w:t>
            </w:r>
          </w:p>
        </w:tc>
        <w:tc>
          <w:tcPr>
            <w:tcW w:w="0" w:type="auto"/>
            <w:tcBorders>
              <w:left w:val="single" w:sz="4" w:space="0" w:color="auto"/>
              <w:right w:val="single" w:sz="4" w:space="0" w:color="auto"/>
            </w:tcBorders>
          </w:tcPr>
          <w:p w14:paraId="5D2C94A0" w14:textId="1F6A8672" w:rsidR="00407BF9" w:rsidRPr="00407BF9" w:rsidRDefault="00407BF9" w:rsidP="00407BF9">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Cs/>
                <w:szCs w:val="22"/>
                <w:lang w:eastAsia="en-AU"/>
              </w:rPr>
            </w:pPr>
            <w:r w:rsidRPr="00407BF9">
              <w:rPr>
                <w:rFonts w:eastAsia="Times New Roman" w:cstheme="minorHAnsi"/>
                <w:bCs/>
                <w:szCs w:val="22"/>
                <w:lang w:eastAsia="en-AU"/>
              </w:rPr>
              <w:t>Conditions (if any)</w:t>
            </w:r>
          </w:p>
        </w:tc>
        <w:tc>
          <w:tcPr>
            <w:tcW w:w="0" w:type="auto"/>
            <w:tcBorders>
              <w:left w:val="single" w:sz="4" w:space="0" w:color="auto"/>
            </w:tcBorders>
          </w:tcPr>
          <w:p w14:paraId="124EB437" w14:textId="7639ACB2" w:rsidR="00407BF9" w:rsidRPr="00B9352D" w:rsidRDefault="00407BF9" w:rsidP="00407BF9">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Cs w:val="22"/>
                <w:lang w:eastAsia="en-AU"/>
              </w:rPr>
            </w:pPr>
            <w:r>
              <w:rPr>
                <w:rFonts w:eastAsia="Times New Roman" w:cstheme="minorHAnsi"/>
                <w:szCs w:val="22"/>
                <w:lang w:eastAsia="en-AU"/>
              </w:rPr>
              <w:t>Classification</w:t>
            </w:r>
          </w:p>
        </w:tc>
      </w:tr>
      <w:tr w:rsidR="00B326D8" w:rsidRPr="00FA6A03" w14:paraId="068FC8F6" w14:textId="77777777" w:rsidTr="007620B9">
        <w:tc>
          <w:tcPr>
            <w:cnfStyle w:val="001000000000" w:firstRow="0" w:lastRow="0" w:firstColumn="1" w:lastColumn="0" w:oddVBand="0" w:evenVBand="0" w:oddHBand="0" w:evenHBand="0" w:firstRowFirstColumn="0" w:firstRowLastColumn="0" w:lastRowFirstColumn="0" w:lastRowLastColumn="0"/>
            <w:tcW w:w="0" w:type="auto"/>
            <w:hideMark/>
          </w:tcPr>
          <w:p w14:paraId="76D0D366" w14:textId="77777777" w:rsidR="00B326D8" w:rsidRPr="00B9352D" w:rsidRDefault="00B326D8" w:rsidP="00407BF9">
            <w:pPr>
              <w:spacing w:line="240" w:lineRule="auto"/>
              <w:rPr>
                <w:rFonts w:eastAsia="Times New Roman" w:cstheme="minorHAnsi"/>
                <w:szCs w:val="22"/>
                <w:lang w:eastAsia="en-AU"/>
              </w:rPr>
            </w:pPr>
            <w:r w:rsidRPr="00B9352D">
              <w:rPr>
                <w:rFonts w:eastAsia="Times New Roman" w:cstheme="minorHAnsi"/>
                <w:szCs w:val="22"/>
                <w:lang w:eastAsia="en-AU"/>
              </w:rPr>
              <w:t>Ibuprofen</w:t>
            </w:r>
          </w:p>
        </w:tc>
        <w:tc>
          <w:tcPr>
            <w:tcW w:w="0" w:type="auto"/>
            <w:hideMark/>
          </w:tcPr>
          <w:p w14:paraId="444AED56" w14:textId="77777777" w:rsidR="00B326D8" w:rsidRPr="00B9352D"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B9352D">
              <w:rPr>
                <w:rFonts w:eastAsia="Times New Roman" w:cstheme="minorHAnsi"/>
                <w:b/>
                <w:szCs w:val="22"/>
                <w:lang w:eastAsia="en-AU"/>
              </w:rPr>
              <w:t>except</w:t>
            </w:r>
            <w:r w:rsidRPr="00B9352D">
              <w:rPr>
                <w:rFonts w:eastAsia="Times New Roman" w:cstheme="minorHAnsi"/>
                <w:szCs w:val="22"/>
                <w:lang w:eastAsia="en-AU"/>
              </w:rPr>
              <w:t> when specified elsewhere in this schedule</w:t>
            </w:r>
          </w:p>
        </w:tc>
        <w:tc>
          <w:tcPr>
            <w:tcW w:w="0" w:type="auto"/>
            <w:hideMark/>
          </w:tcPr>
          <w:p w14:paraId="097FCAB2" w14:textId="77777777" w:rsidR="00B326D8" w:rsidRPr="00B9352D"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B9352D">
              <w:rPr>
                <w:rFonts w:eastAsia="Times New Roman" w:cstheme="minorHAnsi"/>
                <w:szCs w:val="22"/>
                <w:lang w:eastAsia="en-AU"/>
              </w:rPr>
              <w:t>Prescription</w:t>
            </w:r>
          </w:p>
        </w:tc>
      </w:tr>
      <w:tr w:rsidR="00B326D8" w:rsidRPr="00FA6A03" w14:paraId="647AD8AA" w14:textId="77777777" w:rsidTr="007620B9">
        <w:tc>
          <w:tcPr>
            <w:cnfStyle w:val="001000000000" w:firstRow="0" w:lastRow="0" w:firstColumn="1" w:lastColumn="0" w:oddVBand="0" w:evenVBand="0" w:oddHBand="0" w:evenHBand="0" w:firstRowFirstColumn="0" w:firstRowLastColumn="0" w:lastRowFirstColumn="0" w:lastRowLastColumn="0"/>
            <w:tcW w:w="0" w:type="auto"/>
            <w:hideMark/>
          </w:tcPr>
          <w:p w14:paraId="551D44FB" w14:textId="77777777" w:rsidR="00B326D8" w:rsidRPr="00407BF9" w:rsidRDefault="00B326D8" w:rsidP="00407BF9">
            <w:pPr>
              <w:spacing w:line="240" w:lineRule="auto"/>
              <w:rPr>
                <w:rFonts w:eastAsia="Times New Roman" w:cstheme="minorHAnsi"/>
                <w:szCs w:val="22"/>
                <w:lang w:eastAsia="en-AU"/>
              </w:rPr>
            </w:pPr>
            <w:r w:rsidRPr="00407BF9">
              <w:rPr>
                <w:rFonts w:eastAsia="Times New Roman" w:cstheme="minorHAnsi"/>
                <w:szCs w:val="22"/>
                <w:lang w:eastAsia="en-AU"/>
              </w:rPr>
              <w:t>Ibuprofen</w:t>
            </w:r>
          </w:p>
        </w:tc>
        <w:tc>
          <w:tcPr>
            <w:tcW w:w="0" w:type="auto"/>
            <w:hideMark/>
          </w:tcPr>
          <w:p w14:paraId="5EEC3330" w14:textId="77777777" w:rsidR="00B326D8" w:rsidRPr="00407BF9"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407BF9">
              <w:rPr>
                <w:rFonts w:eastAsia="Times New Roman" w:cstheme="minorHAnsi"/>
                <w:szCs w:val="22"/>
                <w:lang w:eastAsia="en-AU"/>
              </w:rPr>
              <w:t>for oral use in tablets or capsules containing up to 400 milligrams per dose form and in packs containing not more than 50 dose units and that have received the consent of the Minister or the Director-General to their distribution as restricted medicines and that are sold in the manufacturer's original pack labelled for use by adults and children over 12 years of age</w:t>
            </w:r>
          </w:p>
        </w:tc>
        <w:tc>
          <w:tcPr>
            <w:tcW w:w="0" w:type="auto"/>
            <w:hideMark/>
          </w:tcPr>
          <w:p w14:paraId="2674A8C2" w14:textId="77777777" w:rsidR="00B326D8" w:rsidRPr="00407BF9"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407BF9">
              <w:rPr>
                <w:rFonts w:eastAsia="Times New Roman" w:cstheme="minorHAnsi"/>
                <w:szCs w:val="22"/>
                <w:lang w:eastAsia="en-AU"/>
              </w:rPr>
              <w:t>Restricted</w:t>
            </w:r>
          </w:p>
        </w:tc>
      </w:tr>
      <w:tr w:rsidR="00B326D8" w:rsidRPr="00FA6A03" w14:paraId="5DCBECAA" w14:textId="77777777" w:rsidTr="007620B9">
        <w:tc>
          <w:tcPr>
            <w:cnfStyle w:val="001000000000" w:firstRow="0" w:lastRow="0" w:firstColumn="1" w:lastColumn="0" w:oddVBand="0" w:evenVBand="0" w:oddHBand="0" w:evenHBand="0" w:firstRowFirstColumn="0" w:firstRowLastColumn="0" w:lastRowFirstColumn="0" w:lastRowLastColumn="0"/>
            <w:tcW w:w="0" w:type="auto"/>
            <w:hideMark/>
          </w:tcPr>
          <w:p w14:paraId="57D6E8D1" w14:textId="77777777" w:rsidR="00B326D8" w:rsidRPr="00407BF9" w:rsidRDefault="00B326D8" w:rsidP="00407BF9">
            <w:pPr>
              <w:spacing w:line="240" w:lineRule="auto"/>
              <w:rPr>
                <w:rFonts w:eastAsia="Times New Roman" w:cstheme="minorHAnsi"/>
                <w:szCs w:val="22"/>
                <w:lang w:eastAsia="en-AU"/>
              </w:rPr>
            </w:pPr>
            <w:r w:rsidRPr="00407BF9">
              <w:rPr>
                <w:rFonts w:eastAsia="Times New Roman" w:cstheme="minorHAnsi"/>
                <w:szCs w:val="22"/>
                <w:lang w:eastAsia="en-AU"/>
              </w:rPr>
              <w:t>Ibuprofen</w:t>
            </w:r>
          </w:p>
        </w:tc>
        <w:tc>
          <w:tcPr>
            <w:tcW w:w="0" w:type="auto"/>
            <w:hideMark/>
          </w:tcPr>
          <w:p w14:paraId="6AAE8BD1" w14:textId="77777777" w:rsidR="00B326D8" w:rsidRPr="00407BF9"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407BF9">
              <w:rPr>
                <w:rFonts w:eastAsia="Times New Roman" w:cstheme="minorHAnsi"/>
                <w:szCs w:val="22"/>
                <w:lang w:eastAsia="en-AU"/>
              </w:rPr>
              <w:t>for oral use in liquid form with a recommended daily dose of not more than 1.2 grams for the relief of pain and reduction of fever or inflammation when sold in the manufacturer's original pack containing not more than 8 grams;</w:t>
            </w:r>
            <w:r w:rsidRPr="00407BF9">
              <w:rPr>
                <w:rFonts w:eastAsia="Times New Roman" w:cstheme="minorHAnsi"/>
                <w:szCs w:val="22"/>
                <w:lang w:eastAsia="en-AU"/>
              </w:rPr>
              <w:br/>
              <w:t>for oral use in solid dose form containing not more than 200 milligrams per dose form and with a recommended daily dose of not more than 1.2 grams when sold in the manufacturer's original pack containing not more than 100 dose units;</w:t>
            </w:r>
            <w:r w:rsidRPr="00407BF9">
              <w:rPr>
                <w:rFonts w:eastAsia="Times New Roman" w:cstheme="minorHAnsi"/>
                <w:szCs w:val="22"/>
                <w:lang w:eastAsia="en-AU"/>
              </w:rPr>
              <w:br/>
            </w:r>
            <w:r w:rsidRPr="00407BF9">
              <w:rPr>
                <w:rFonts w:eastAsia="Times New Roman" w:cstheme="minorHAnsi"/>
                <w:b/>
                <w:bCs/>
                <w:szCs w:val="22"/>
                <w:lang w:eastAsia="en-AU"/>
              </w:rPr>
              <w:t>except</w:t>
            </w:r>
            <w:r w:rsidRPr="00407BF9">
              <w:rPr>
                <w:rFonts w:eastAsia="Times New Roman" w:cstheme="minorHAnsi"/>
                <w:szCs w:val="22"/>
                <w:lang w:eastAsia="en-AU"/>
              </w:rPr>
              <w:t> in divided solid dosage forms for oral use containing 200 milligrams or less per dose form with a recommended daily dose of not more than 1.2 grams and when sold in the manufacturer's original pack containing not more than 25 dose units</w:t>
            </w:r>
          </w:p>
        </w:tc>
        <w:tc>
          <w:tcPr>
            <w:tcW w:w="0" w:type="auto"/>
            <w:hideMark/>
          </w:tcPr>
          <w:p w14:paraId="4536AE5D" w14:textId="77777777" w:rsidR="00B326D8" w:rsidRPr="00407BF9"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407BF9">
              <w:rPr>
                <w:rFonts w:eastAsia="Times New Roman" w:cstheme="minorHAnsi"/>
                <w:szCs w:val="22"/>
                <w:lang w:eastAsia="en-AU"/>
              </w:rPr>
              <w:t>Pharmacy Only</w:t>
            </w:r>
          </w:p>
        </w:tc>
      </w:tr>
      <w:tr w:rsidR="00B326D8" w:rsidRPr="00FA6A03" w14:paraId="7EC4880A" w14:textId="77777777" w:rsidTr="007620B9">
        <w:tc>
          <w:tcPr>
            <w:cnfStyle w:val="001000000000" w:firstRow="0" w:lastRow="0" w:firstColumn="1" w:lastColumn="0" w:oddVBand="0" w:evenVBand="0" w:oddHBand="0" w:evenHBand="0" w:firstRowFirstColumn="0" w:firstRowLastColumn="0" w:lastRowFirstColumn="0" w:lastRowLastColumn="0"/>
            <w:tcW w:w="0" w:type="auto"/>
            <w:hideMark/>
          </w:tcPr>
          <w:p w14:paraId="73432F83" w14:textId="77777777" w:rsidR="00B326D8" w:rsidRPr="00407BF9" w:rsidRDefault="00B326D8" w:rsidP="00407BF9">
            <w:pPr>
              <w:spacing w:line="240" w:lineRule="auto"/>
              <w:rPr>
                <w:rFonts w:eastAsia="Times New Roman" w:cstheme="minorHAnsi"/>
                <w:szCs w:val="22"/>
                <w:lang w:eastAsia="en-AU"/>
              </w:rPr>
            </w:pPr>
            <w:r w:rsidRPr="00407BF9">
              <w:rPr>
                <w:rFonts w:eastAsia="Times New Roman" w:cstheme="minorHAnsi"/>
                <w:szCs w:val="22"/>
                <w:lang w:eastAsia="en-AU"/>
              </w:rPr>
              <w:lastRenderedPageBreak/>
              <w:t>Ibuprofen</w:t>
            </w:r>
          </w:p>
        </w:tc>
        <w:tc>
          <w:tcPr>
            <w:tcW w:w="0" w:type="auto"/>
            <w:hideMark/>
          </w:tcPr>
          <w:p w14:paraId="7382BB29" w14:textId="77777777" w:rsidR="00B326D8" w:rsidRPr="00407BF9"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407BF9">
              <w:rPr>
                <w:rFonts w:eastAsia="Times New Roman" w:cstheme="minorHAnsi"/>
                <w:szCs w:val="22"/>
                <w:lang w:eastAsia="en-AU"/>
              </w:rPr>
              <w:t xml:space="preserve">for external </w:t>
            </w:r>
            <w:proofErr w:type="gramStart"/>
            <w:r w:rsidRPr="00407BF9">
              <w:rPr>
                <w:rFonts w:eastAsia="Times New Roman" w:cstheme="minorHAnsi"/>
                <w:szCs w:val="22"/>
                <w:lang w:eastAsia="en-AU"/>
              </w:rPr>
              <w:t>use;</w:t>
            </w:r>
            <w:proofErr w:type="gramEnd"/>
            <w:r w:rsidRPr="00407BF9">
              <w:rPr>
                <w:rFonts w:eastAsia="Times New Roman" w:cstheme="minorHAnsi"/>
                <w:szCs w:val="22"/>
                <w:lang w:eastAsia="en-AU"/>
              </w:rPr>
              <w:br/>
              <w:t>in divided solid dosage forms for oral use containing 200 milligrams or less per dose form with a recommended daily dose of not more than 1.2 grams and when sold in the manufacturer's original pack containing not more than 25 dose units per pack</w:t>
            </w:r>
          </w:p>
        </w:tc>
        <w:tc>
          <w:tcPr>
            <w:tcW w:w="0" w:type="auto"/>
            <w:hideMark/>
          </w:tcPr>
          <w:p w14:paraId="7952F66C" w14:textId="77777777" w:rsidR="00B326D8" w:rsidRPr="00407BF9" w:rsidRDefault="00B326D8" w:rsidP="00407BF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AU"/>
              </w:rPr>
            </w:pPr>
            <w:r w:rsidRPr="00407BF9">
              <w:rPr>
                <w:rFonts w:eastAsia="Times New Roman" w:cstheme="minorHAnsi"/>
                <w:szCs w:val="22"/>
                <w:lang w:eastAsia="en-AU"/>
              </w:rPr>
              <w:t>General Sale</w:t>
            </w:r>
          </w:p>
        </w:tc>
      </w:tr>
    </w:tbl>
    <w:p w14:paraId="597BF1FC" w14:textId="489A4EE3" w:rsidR="006175AA" w:rsidRPr="00F261BD" w:rsidRDefault="006175AA" w:rsidP="00F4649D">
      <w:pPr>
        <w:pStyle w:val="Heading3"/>
        <w:numPr>
          <w:ilvl w:val="0"/>
          <w:numId w:val="0"/>
        </w:numPr>
        <w:ind w:left="576" w:hanging="576"/>
      </w:pPr>
      <w:bookmarkStart w:id="56" w:name="_Toc112833629"/>
      <w:r>
        <w:t>Melatonin</w:t>
      </w:r>
      <w:bookmarkEnd w:id="56"/>
    </w:p>
    <w:p w14:paraId="02FF3435" w14:textId="49FA1373" w:rsidR="006175AA" w:rsidRDefault="006175AA" w:rsidP="006175AA">
      <w:pPr>
        <w:pStyle w:val="Heading4"/>
      </w:pPr>
      <w:bookmarkStart w:id="57" w:name="_Toc112833630"/>
      <w:r>
        <w:t>Proposal</w:t>
      </w:r>
      <w:bookmarkEnd w:id="57"/>
    </w:p>
    <w:p w14:paraId="138278B3" w14:textId="184A1E9D" w:rsidR="006175AA" w:rsidRPr="00D75206" w:rsidRDefault="00DF5E0C" w:rsidP="006175AA">
      <w:r>
        <w:t>The a</w:t>
      </w:r>
      <w:r w:rsidR="001879E9">
        <w:t xml:space="preserve">pplicant </w:t>
      </w:r>
      <w:r>
        <w:t>has</w:t>
      </w:r>
      <w:r w:rsidR="001879E9">
        <w:t xml:space="preserve"> propos</w:t>
      </w:r>
      <w:r>
        <w:t>ed</w:t>
      </w:r>
      <w:r w:rsidR="001879E9">
        <w:t xml:space="preserve"> </w:t>
      </w:r>
      <w:r w:rsidR="00936C36">
        <w:t>the rescheduling of</w:t>
      </w:r>
      <w:r w:rsidR="001879E9">
        <w:t xml:space="preserve"> immediate release melatonin </w:t>
      </w:r>
      <w:r w:rsidR="00E65779">
        <w:t>from Schedule 4 to Schedule 3</w:t>
      </w:r>
      <w:r w:rsidR="006519CE">
        <w:t xml:space="preserve"> for the treatment of jetlag. The rescheduling would apply to </w:t>
      </w:r>
      <w:r w:rsidR="001879E9">
        <w:t>divided preparations containing 5</w:t>
      </w:r>
      <w:r w:rsidR="00936C36">
        <w:t xml:space="preserve"> </w:t>
      </w:r>
      <w:r w:rsidR="001879E9">
        <w:t>mg or less</w:t>
      </w:r>
      <w:r w:rsidR="006519CE">
        <w:t xml:space="preserve"> of melatonin</w:t>
      </w:r>
      <w:r w:rsidR="00C953D2">
        <w:t xml:space="preserve">, </w:t>
      </w:r>
      <w:r w:rsidR="006519CE">
        <w:t xml:space="preserve">in packs </w:t>
      </w:r>
      <w:r w:rsidR="006238B1">
        <w:t>of</w:t>
      </w:r>
      <w:r w:rsidR="001879E9">
        <w:t xml:space="preserve"> no more than 10 dosage units</w:t>
      </w:r>
      <w:r w:rsidR="006519CE">
        <w:t>,</w:t>
      </w:r>
      <w:r w:rsidR="001879E9">
        <w:t xml:space="preserve"> </w:t>
      </w:r>
      <w:r w:rsidR="006519CE">
        <w:t>for</w:t>
      </w:r>
      <w:r w:rsidR="001879E9">
        <w:t xml:space="preserve"> adults aged 18 and over.</w:t>
      </w:r>
      <w:r w:rsidR="00A435F3">
        <w:t xml:space="preserve"> This will allow access to melatonin for this indication</w:t>
      </w:r>
      <w:r w:rsidR="00310371">
        <w:t>,</w:t>
      </w:r>
      <w:r w:rsidR="00A435F3">
        <w:t xml:space="preserve"> without a prescription, after consulting with a pharmacist.</w:t>
      </w:r>
      <w:r w:rsidR="001879E9">
        <w:t xml:space="preserve"> </w:t>
      </w:r>
    </w:p>
    <w:p w14:paraId="0F5D1B49" w14:textId="53AC38CE" w:rsidR="006175AA" w:rsidRDefault="006175AA" w:rsidP="006175AA">
      <w:pPr>
        <w:pStyle w:val="Heading4"/>
      </w:pPr>
      <w:bookmarkStart w:id="58" w:name="_Toc112833631"/>
      <w:r>
        <w:t>CAS number</w:t>
      </w:r>
      <w:bookmarkEnd w:id="58"/>
    </w:p>
    <w:p w14:paraId="01EC891A" w14:textId="040ED415" w:rsidR="006175AA" w:rsidRDefault="006238B1" w:rsidP="006175AA">
      <w:r w:rsidRPr="006238B1">
        <w:t>73-31-4</w:t>
      </w:r>
    </w:p>
    <w:p w14:paraId="6A546C28" w14:textId="36EE47B4" w:rsidR="006175AA" w:rsidRDefault="006175AA" w:rsidP="006175AA">
      <w:pPr>
        <w:pStyle w:val="Heading4"/>
      </w:pPr>
      <w:bookmarkStart w:id="59" w:name="_Toc112833632"/>
      <w:r>
        <w:t>Alternative names</w:t>
      </w:r>
      <w:bookmarkEnd w:id="59"/>
    </w:p>
    <w:p w14:paraId="43C61FD6" w14:textId="301B706C" w:rsidR="006175AA" w:rsidRDefault="006238B1" w:rsidP="006175AA">
      <w:r w:rsidRPr="006238B1">
        <w:t>N-acetyl-5-methoxytryptamine</w:t>
      </w:r>
      <w:r>
        <w:t xml:space="preserve"> </w:t>
      </w:r>
    </w:p>
    <w:p w14:paraId="27B4B1A8" w14:textId="72CFA106" w:rsidR="006238B1" w:rsidRPr="002C1070" w:rsidRDefault="006238B1" w:rsidP="006175AA">
      <w:r w:rsidRPr="006238B1">
        <w:t>N-[2-(5-Methoxy-1H-indol-3-</w:t>
      </w:r>
      <w:proofErr w:type="gramStart"/>
      <w:r w:rsidRPr="006238B1">
        <w:t>yl)ethyl</w:t>
      </w:r>
      <w:proofErr w:type="gramEnd"/>
      <w:r w:rsidRPr="006238B1">
        <w:t>]acetamide</w:t>
      </w:r>
    </w:p>
    <w:p w14:paraId="22C03567" w14:textId="11063E04" w:rsidR="006175AA" w:rsidRPr="002C1070" w:rsidRDefault="006175AA" w:rsidP="006175AA">
      <w:pPr>
        <w:pStyle w:val="Heading4"/>
      </w:pPr>
      <w:bookmarkStart w:id="60" w:name="_Toc112833633"/>
      <w:r>
        <w:t>Applicant</w:t>
      </w:r>
      <w:bookmarkEnd w:id="60"/>
    </w:p>
    <w:p w14:paraId="42CD7008" w14:textId="3FE60B66" w:rsidR="006175AA" w:rsidRPr="003639D9" w:rsidRDefault="006175AA" w:rsidP="006175AA">
      <w:r w:rsidRPr="00DA6C27">
        <w:t>Private applicant</w:t>
      </w:r>
    </w:p>
    <w:p w14:paraId="1AE215FC" w14:textId="77CC41D9" w:rsidR="006238B1" w:rsidRPr="006238B1" w:rsidRDefault="006175AA" w:rsidP="006238B1">
      <w:pPr>
        <w:pStyle w:val="Heading4"/>
      </w:pPr>
      <w:bookmarkStart w:id="61" w:name="_Toc112833634"/>
      <w:r>
        <w:t>Current scheduling</w:t>
      </w:r>
      <w:bookmarkEnd w:id="61"/>
    </w:p>
    <w:p w14:paraId="661C496E" w14:textId="24428452" w:rsidR="006175AA" w:rsidRDefault="006238B1" w:rsidP="006175AA">
      <w:pPr>
        <w:rPr>
          <w:rFonts w:asciiTheme="minorHAnsi" w:hAnsiTheme="minorHAnsi" w:cstheme="minorHAnsi"/>
        </w:rPr>
      </w:pPr>
      <w:r>
        <w:rPr>
          <w:rFonts w:asciiTheme="minorHAnsi" w:hAnsiTheme="minorHAnsi" w:cstheme="minorHAnsi"/>
        </w:rPr>
        <w:t>MELATONIN</w:t>
      </w:r>
      <w:r w:rsidR="006175AA" w:rsidRPr="00AF12F6">
        <w:rPr>
          <w:rFonts w:asciiTheme="minorHAnsi" w:hAnsiTheme="minorHAnsi" w:cstheme="minorHAnsi"/>
        </w:rPr>
        <w:t xml:space="preserve"> is currently listed in Schedules </w:t>
      </w:r>
      <w:r>
        <w:rPr>
          <w:rFonts w:asciiTheme="minorHAnsi" w:hAnsiTheme="minorHAnsi" w:cstheme="minorHAnsi"/>
        </w:rPr>
        <w:t>3 and 4</w:t>
      </w:r>
      <w:r w:rsidR="006175AA">
        <w:rPr>
          <w:rFonts w:asciiTheme="minorHAnsi" w:hAnsiTheme="minorHAnsi" w:cstheme="minorHAnsi"/>
        </w:rPr>
        <w:t xml:space="preserve"> of the Poisons Standard as follows:</w:t>
      </w:r>
    </w:p>
    <w:p w14:paraId="6639F2DA" w14:textId="636A0970" w:rsidR="006175AA" w:rsidRDefault="006175AA" w:rsidP="006175AA">
      <w:pPr>
        <w:ind w:left="426"/>
        <w:rPr>
          <w:b/>
        </w:rPr>
      </w:pPr>
      <w:r w:rsidRPr="006D5C84">
        <w:rPr>
          <w:b/>
        </w:rPr>
        <w:t xml:space="preserve">Schedule </w:t>
      </w:r>
      <w:r w:rsidR="006238B1">
        <w:rPr>
          <w:b/>
        </w:rPr>
        <w:t>4</w:t>
      </w:r>
    </w:p>
    <w:p w14:paraId="75F8F529" w14:textId="0B5E18ED" w:rsidR="006238B1" w:rsidRPr="00DA6C27" w:rsidRDefault="006238B1" w:rsidP="00895432">
      <w:pPr>
        <w:ind w:left="426" w:firstLine="294"/>
        <w:rPr>
          <w:rFonts w:asciiTheme="minorHAnsi" w:hAnsiTheme="minorHAnsi" w:cstheme="minorHAnsi"/>
        </w:rPr>
      </w:pPr>
      <w:r>
        <w:rPr>
          <w:color w:val="000000"/>
          <w:szCs w:val="22"/>
          <w:shd w:val="clear" w:color="auto" w:fill="FFFFFF"/>
        </w:rPr>
        <w:t>MELATONIN for human use </w:t>
      </w:r>
      <w:r>
        <w:rPr>
          <w:b/>
          <w:bCs/>
          <w:color w:val="000000"/>
          <w:szCs w:val="22"/>
          <w:shd w:val="clear" w:color="auto" w:fill="FFFFFF"/>
        </w:rPr>
        <w:t>except</w:t>
      </w:r>
      <w:r>
        <w:rPr>
          <w:color w:val="000000"/>
          <w:szCs w:val="22"/>
          <w:shd w:val="clear" w:color="auto" w:fill="FFFFFF"/>
        </w:rPr>
        <w:t> when included in Schedule 3.</w:t>
      </w:r>
    </w:p>
    <w:p w14:paraId="1434B32C" w14:textId="05A09E06" w:rsidR="006238B1" w:rsidRPr="006D5C84" w:rsidRDefault="006238B1" w:rsidP="006175AA">
      <w:pPr>
        <w:ind w:left="426"/>
        <w:rPr>
          <w:b/>
        </w:rPr>
      </w:pPr>
      <w:r>
        <w:rPr>
          <w:b/>
        </w:rPr>
        <w:t>Schedule 3</w:t>
      </w:r>
    </w:p>
    <w:p w14:paraId="6F9215C5" w14:textId="65EC1FB1" w:rsidR="00DA6C27" w:rsidRPr="00454E20" w:rsidRDefault="006238B1" w:rsidP="00895432">
      <w:pPr>
        <w:ind w:left="720"/>
        <w:rPr>
          <w:color w:val="000000"/>
          <w:szCs w:val="22"/>
          <w:shd w:val="clear" w:color="auto" w:fill="FFFFFF"/>
        </w:rPr>
      </w:pPr>
      <w:r>
        <w:rPr>
          <w:color w:val="000000"/>
          <w:szCs w:val="22"/>
          <w:shd w:val="clear" w:color="auto" w:fill="FFFFFF"/>
        </w:rPr>
        <w:t>MELATONIN in modified release tablets containing 2 mg or less of melatonin for monotherapy for the short</w:t>
      </w:r>
      <w:r w:rsidR="00E76FF3">
        <w:rPr>
          <w:color w:val="000000"/>
          <w:szCs w:val="22"/>
          <w:shd w:val="clear" w:color="auto" w:fill="FFFFFF"/>
        </w:rPr>
        <w:t>-</w:t>
      </w:r>
      <w:r>
        <w:rPr>
          <w:color w:val="000000"/>
          <w:szCs w:val="22"/>
          <w:shd w:val="clear" w:color="auto" w:fill="FFFFFF"/>
        </w:rPr>
        <w:t>term treatment of primary insomnia characterised by poor quality of sleep for adults aged 55 or over, in packs containing not more than 30 tablets.</w:t>
      </w:r>
    </w:p>
    <w:p w14:paraId="560877BC" w14:textId="77777777" w:rsidR="006175AA" w:rsidRPr="005133F7" w:rsidRDefault="006175AA" w:rsidP="006175AA">
      <w:pPr>
        <w:ind w:left="426"/>
        <w:rPr>
          <w:b/>
        </w:rPr>
      </w:pPr>
      <w:r>
        <w:rPr>
          <w:b/>
        </w:rPr>
        <w:t>Index</w:t>
      </w:r>
    </w:p>
    <w:p w14:paraId="24667883" w14:textId="39AD3C96" w:rsidR="006175AA" w:rsidRDefault="006238B1" w:rsidP="00895432">
      <w:pPr>
        <w:ind w:left="720"/>
        <w:rPr>
          <w:rFonts w:asciiTheme="minorHAnsi" w:hAnsiTheme="minorHAnsi" w:cstheme="minorHAnsi"/>
        </w:rPr>
      </w:pPr>
      <w:r w:rsidRPr="006238B1">
        <w:rPr>
          <w:rFonts w:asciiTheme="minorHAnsi" w:hAnsiTheme="minorHAnsi" w:cstheme="minorHAnsi"/>
        </w:rPr>
        <w:t>MELATONI</w:t>
      </w:r>
      <w:r w:rsidR="00DA6C27">
        <w:rPr>
          <w:rFonts w:asciiTheme="minorHAnsi" w:hAnsiTheme="minorHAnsi" w:cstheme="minorHAnsi"/>
        </w:rPr>
        <w:t>N</w:t>
      </w:r>
      <w:r w:rsidR="00DA6C27">
        <w:rPr>
          <w:rFonts w:asciiTheme="minorHAnsi" w:hAnsiTheme="minorHAnsi" w:cstheme="minorHAnsi"/>
        </w:rPr>
        <w:br/>
      </w:r>
      <w:r w:rsidRPr="006238B1">
        <w:rPr>
          <w:rFonts w:asciiTheme="minorHAnsi" w:hAnsiTheme="minorHAnsi" w:cstheme="minorHAnsi"/>
        </w:rPr>
        <w:t>Schedule 4</w:t>
      </w:r>
      <w:r w:rsidR="00DA6C27">
        <w:rPr>
          <w:rFonts w:asciiTheme="minorHAnsi" w:hAnsiTheme="minorHAnsi" w:cstheme="minorHAnsi"/>
        </w:rPr>
        <w:br/>
      </w:r>
      <w:r w:rsidRPr="006238B1">
        <w:rPr>
          <w:rFonts w:asciiTheme="minorHAnsi" w:hAnsiTheme="minorHAnsi" w:cstheme="minorHAnsi"/>
        </w:rPr>
        <w:t>Schedule 3</w:t>
      </w:r>
      <w:r w:rsidR="00DA6C27">
        <w:rPr>
          <w:rFonts w:asciiTheme="minorHAnsi" w:hAnsiTheme="minorHAnsi" w:cstheme="minorHAnsi"/>
        </w:rPr>
        <w:br/>
      </w:r>
      <w:r w:rsidRPr="006238B1">
        <w:rPr>
          <w:rFonts w:asciiTheme="minorHAnsi" w:hAnsiTheme="minorHAnsi" w:cstheme="minorHAnsi"/>
        </w:rPr>
        <w:t>Appendix H</w:t>
      </w:r>
    </w:p>
    <w:p w14:paraId="6CFF5338" w14:textId="30DB9C1A" w:rsidR="00E76FF3" w:rsidRPr="00E76FF3" w:rsidRDefault="006175AA" w:rsidP="00E76FF3">
      <w:pPr>
        <w:pStyle w:val="Heading4"/>
      </w:pPr>
      <w:bookmarkStart w:id="62" w:name="_Toc112833635"/>
      <w:r>
        <w:lastRenderedPageBreak/>
        <w:t>Proposed scheduling</w:t>
      </w:r>
      <w:bookmarkEnd w:id="62"/>
    </w:p>
    <w:p w14:paraId="3AFC7897" w14:textId="77777777" w:rsidR="00E76FF3" w:rsidRDefault="00E76FF3" w:rsidP="00E76FF3">
      <w:pPr>
        <w:ind w:left="426"/>
        <w:rPr>
          <w:b/>
        </w:rPr>
      </w:pPr>
      <w:r w:rsidRPr="006D5C84">
        <w:rPr>
          <w:b/>
        </w:rPr>
        <w:t xml:space="preserve">Schedule </w:t>
      </w:r>
      <w:r>
        <w:rPr>
          <w:b/>
        </w:rPr>
        <w:t>4</w:t>
      </w:r>
    </w:p>
    <w:p w14:paraId="522044CE" w14:textId="75280EE5" w:rsidR="00E76FF3" w:rsidRPr="00E76FF3" w:rsidRDefault="00E76FF3" w:rsidP="00895432">
      <w:pPr>
        <w:ind w:left="426" w:firstLine="294"/>
      </w:pPr>
      <w:r>
        <w:rPr>
          <w:color w:val="000000"/>
          <w:szCs w:val="22"/>
          <w:shd w:val="clear" w:color="auto" w:fill="FFFFFF"/>
        </w:rPr>
        <w:t>MELATONIN for human use </w:t>
      </w:r>
      <w:r>
        <w:rPr>
          <w:b/>
          <w:bCs/>
          <w:color w:val="000000"/>
          <w:szCs w:val="22"/>
          <w:shd w:val="clear" w:color="auto" w:fill="FFFFFF"/>
        </w:rPr>
        <w:t>except</w:t>
      </w:r>
      <w:r>
        <w:rPr>
          <w:color w:val="000000"/>
          <w:szCs w:val="22"/>
          <w:shd w:val="clear" w:color="auto" w:fill="FFFFFF"/>
        </w:rPr>
        <w:t> when included in Schedule 3</w:t>
      </w:r>
    </w:p>
    <w:p w14:paraId="150DAC7F" w14:textId="6C5E1502" w:rsidR="006175AA" w:rsidRPr="00CD40FB" w:rsidRDefault="006175AA" w:rsidP="006175AA">
      <w:pPr>
        <w:ind w:left="426"/>
        <w:rPr>
          <w:b/>
        </w:rPr>
      </w:pPr>
      <w:r w:rsidRPr="00CD40FB">
        <w:rPr>
          <w:b/>
        </w:rPr>
        <w:t xml:space="preserve">Schedule </w:t>
      </w:r>
      <w:r w:rsidR="00345AA4" w:rsidRPr="008A5566">
        <w:rPr>
          <w:b/>
        </w:rPr>
        <w:t>3</w:t>
      </w:r>
      <w:r w:rsidRPr="008A5566">
        <w:rPr>
          <w:b/>
        </w:rPr>
        <w:t xml:space="preserve"> – </w:t>
      </w:r>
      <w:r w:rsidR="00345AA4" w:rsidRPr="008A5566">
        <w:rPr>
          <w:b/>
        </w:rPr>
        <w:t>Amend</w:t>
      </w:r>
      <w:r w:rsidRPr="008A5566">
        <w:rPr>
          <w:b/>
        </w:rPr>
        <w:t xml:space="preserve"> Entry</w:t>
      </w:r>
    </w:p>
    <w:p w14:paraId="77CA3B4E" w14:textId="7058D98C" w:rsidR="00345AA4" w:rsidRDefault="00345AA4" w:rsidP="00895432">
      <w:pPr>
        <w:ind w:left="426" w:firstLine="294"/>
        <w:rPr>
          <w:color w:val="000000"/>
          <w:szCs w:val="22"/>
          <w:shd w:val="clear" w:color="auto" w:fill="FFFFFF"/>
        </w:rPr>
      </w:pPr>
      <w:r>
        <w:rPr>
          <w:color w:val="000000"/>
          <w:szCs w:val="22"/>
          <w:shd w:val="clear" w:color="auto" w:fill="FFFFFF"/>
        </w:rPr>
        <w:t xml:space="preserve">MELATONIN in: </w:t>
      </w:r>
    </w:p>
    <w:p w14:paraId="26C32461" w14:textId="77777777" w:rsidR="00183C06" w:rsidRPr="00183C06" w:rsidRDefault="00345AA4" w:rsidP="008E48A7">
      <w:pPr>
        <w:pStyle w:val="ListBulleta"/>
        <w:numPr>
          <w:ilvl w:val="0"/>
          <w:numId w:val="45"/>
        </w:numPr>
        <w:rPr>
          <w:color w:val="00B050"/>
          <w:shd w:val="clear" w:color="auto" w:fill="FFFFFF"/>
        </w:rPr>
      </w:pPr>
      <w:r w:rsidRPr="00183C06">
        <w:t>modified</w:t>
      </w:r>
      <w:r w:rsidRPr="00183C06">
        <w:rPr>
          <w:shd w:val="clear" w:color="auto" w:fill="FFFFFF"/>
        </w:rPr>
        <w:t xml:space="preserve"> release tablets containing 2 mg or less of melatonin for monotherapy for the short</w:t>
      </w:r>
      <w:r w:rsidR="00E76FF3" w:rsidRPr="00183C06">
        <w:rPr>
          <w:shd w:val="clear" w:color="auto" w:fill="FFFFFF"/>
        </w:rPr>
        <w:t>-</w:t>
      </w:r>
      <w:r w:rsidRPr="00183C06">
        <w:rPr>
          <w:shd w:val="clear" w:color="auto" w:fill="FFFFFF"/>
        </w:rPr>
        <w:t xml:space="preserve">term treatment of primary insomnia characterised by poor quality of sleep for adults aged 55 or over, in packs containing not more than 30 </w:t>
      </w:r>
      <w:proofErr w:type="gramStart"/>
      <w:r w:rsidR="007570D2" w:rsidRPr="00183C06">
        <w:rPr>
          <w:shd w:val="clear" w:color="auto" w:fill="FFFFFF"/>
        </w:rPr>
        <w:t>tablets</w:t>
      </w:r>
      <w:r w:rsidR="007570D2" w:rsidRPr="00183C06">
        <w:rPr>
          <w:color w:val="00B050"/>
          <w:shd w:val="clear" w:color="auto" w:fill="FFFFFF"/>
        </w:rPr>
        <w:t>;</w:t>
      </w:r>
      <w:proofErr w:type="gramEnd"/>
      <w:r w:rsidRPr="00183C06">
        <w:rPr>
          <w:shd w:val="clear" w:color="auto" w:fill="FFFFFF"/>
        </w:rPr>
        <w:t xml:space="preserve"> </w:t>
      </w:r>
      <w:r w:rsidR="007570D2" w:rsidRPr="00183C06">
        <w:rPr>
          <w:color w:val="00B050"/>
          <w:shd w:val="clear" w:color="auto" w:fill="FFFFFF"/>
        </w:rPr>
        <w:t xml:space="preserve">or </w:t>
      </w:r>
    </w:p>
    <w:p w14:paraId="41C01F33" w14:textId="4D508428" w:rsidR="00345AA4" w:rsidRPr="00183C06" w:rsidRDefault="00345AA4" w:rsidP="00183C06">
      <w:pPr>
        <w:pStyle w:val="ListBulleta"/>
        <w:rPr>
          <w:szCs w:val="22"/>
          <w:shd w:val="clear" w:color="auto" w:fill="FFFFFF"/>
        </w:rPr>
      </w:pPr>
      <w:r w:rsidRPr="00183C06">
        <w:rPr>
          <w:color w:val="00B050"/>
          <w:lang w:eastAsia="en-AU"/>
        </w:rPr>
        <w:t xml:space="preserve">immediate </w:t>
      </w:r>
      <w:r w:rsidRPr="00183C06">
        <w:rPr>
          <w:color w:val="00B050"/>
        </w:rPr>
        <w:t>release</w:t>
      </w:r>
      <w:r w:rsidRPr="00183C06">
        <w:rPr>
          <w:color w:val="00B050"/>
          <w:lang w:eastAsia="en-AU"/>
        </w:rPr>
        <w:t xml:space="preserve"> preparations containing 5 mg of less of melatonin for the treatment of jet lag in adults aged 18 or over, in a primary pack containing no more than 10 dosage units</w:t>
      </w:r>
      <w:r w:rsidR="00183C06">
        <w:rPr>
          <w:lang w:eastAsia="en-AU"/>
        </w:rPr>
        <w:t>.</w:t>
      </w:r>
    </w:p>
    <w:p w14:paraId="337494C1" w14:textId="77777777" w:rsidR="00345AA4" w:rsidRPr="005133F7" w:rsidRDefault="00345AA4" w:rsidP="00345AA4">
      <w:pPr>
        <w:ind w:left="426"/>
        <w:rPr>
          <w:b/>
        </w:rPr>
      </w:pPr>
      <w:r>
        <w:rPr>
          <w:b/>
        </w:rPr>
        <w:t>Index</w:t>
      </w:r>
    </w:p>
    <w:p w14:paraId="5B3C3C42" w14:textId="02A27970" w:rsidR="00345AA4" w:rsidRDefault="00345AA4" w:rsidP="00183C06">
      <w:pPr>
        <w:ind w:left="720"/>
        <w:rPr>
          <w:rFonts w:asciiTheme="minorHAnsi" w:hAnsiTheme="minorHAnsi" w:cstheme="minorHAnsi"/>
        </w:rPr>
      </w:pPr>
      <w:r w:rsidRPr="006238B1">
        <w:rPr>
          <w:rFonts w:asciiTheme="minorHAnsi" w:hAnsiTheme="minorHAnsi" w:cstheme="minorHAnsi"/>
        </w:rPr>
        <w:t>MELATONIN</w:t>
      </w:r>
      <w:r w:rsidR="00DA6C27">
        <w:rPr>
          <w:rFonts w:asciiTheme="minorHAnsi" w:hAnsiTheme="minorHAnsi" w:cstheme="minorHAnsi"/>
        </w:rPr>
        <w:br/>
      </w:r>
      <w:r w:rsidRPr="006238B1">
        <w:rPr>
          <w:rFonts w:asciiTheme="minorHAnsi" w:hAnsiTheme="minorHAnsi" w:cstheme="minorHAnsi"/>
        </w:rPr>
        <w:t>Schedule 4</w:t>
      </w:r>
      <w:r>
        <w:rPr>
          <w:rFonts w:asciiTheme="minorHAnsi" w:hAnsiTheme="minorHAnsi" w:cstheme="minorHAnsi"/>
        </w:rPr>
        <w:br/>
      </w:r>
      <w:r w:rsidRPr="006238B1">
        <w:rPr>
          <w:rFonts w:asciiTheme="minorHAnsi" w:hAnsiTheme="minorHAnsi" w:cstheme="minorHAnsi"/>
        </w:rPr>
        <w:t>Schedule 3</w:t>
      </w:r>
      <w:r>
        <w:rPr>
          <w:rFonts w:asciiTheme="minorHAnsi" w:hAnsiTheme="minorHAnsi" w:cstheme="minorHAnsi"/>
        </w:rPr>
        <w:br/>
      </w:r>
      <w:r w:rsidRPr="006238B1">
        <w:rPr>
          <w:rFonts w:asciiTheme="minorHAnsi" w:hAnsiTheme="minorHAnsi" w:cstheme="minorHAnsi"/>
        </w:rPr>
        <w:t>Appendix H</w:t>
      </w:r>
    </w:p>
    <w:p w14:paraId="30638C4D" w14:textId="6A935790" w:rsidR="006175AA" w:rsidRDefault="006175AA" w:rsidP="006175AA">
      <w:pPr>
        <w:pStyle w:val="Heading4"/>
      </w:pPr>
      <w:bookmarkStart w:id="63" w:name="_Toc112833636"/>
      <w:r>
        <w:t>Background</w:t>
      </w:r>
      <w:bookmarkEnd w:id="63"/>
    </w:p>
    <w:p w14:paraId="0734BCBF" w14:textId="2278291E" w:rsidR="00F22FA9" w:rsidRDefault="00E76FF3" w:rsidP="006175AA">
      <w:r>
        <w:t>Melatonin is produced naturally by the body in the pineal gland. The hormone plays a part in regulating the circadian rhythm or</w:t>
      </w:r>
      <w:r w:rsidR="006B580C">
        <w:t xml:space="preserve"> the body’s natural</w:t>
      </w:r>
      <w:r>
        <w:t xml:space="preserve"> sleep cycles</w:t>
      </w:r>
      <w:r w:rsidR="00126D46">
        <w:t xml:space="preserve"> </w:t>
      </w:r>
      <w:r w:rsidR="00126D46" w:rsidRPr="00AA2986">
        <w:t>throug</w:t>
      </w:r>
      <w:r w:rsidR="00AA2986">
        <w:t>h the release of the hormone from the suprachiasmatic nucleus of the hypothalamus when exposed to a dim or dark environment.</w:t>
      </w:r>
      <w:r>
        <w:t xml:space="preserve"> Melatonin products are used to </w:t>
      </w:r>
      <w:r w:rsidR="00F22FA9">
        <w:t xml:space="preserve">stimulate production when the sleep cycle has been disrupted. Melatonin has the potential to be used as an effective treatment for jet lag due to its ability to reset the ‘body clock’. </w:t>
      </w:r>
    </w:p>
    <w:p w14:paraId="7E22CF90" w14:textId="6E853E41" w:rsidR="006175AA" w:rsidRDefault="002D4245" w:rsidP="006175AA">
      <w:pPr>
        <w:pStyle w:val="Heading4"/>
      </w:pPr>
      <w:bookmarkStart w:id="64" w:name="_Toc112833637"/>
      <w:r w:rsidRPr="002D4245">
        <w:t>Summary of applicant’s reasons for the proposal</w:t>
      </w:r>
      <w:bookmarkEnd w:id="64"/>
    </w:p>
    <w:p w14:paraId="54E30CD2" w14:textId="3E26D00E" w:rsidR="00AA2986" w:rsidRPr="00926BB8" w:rsidRDefault="00AA2986" w:rsidP="008E48A7">
      <w:pPr>
        <w:pStyle w:val="ListBullet"/>
        <w:numPr>
          <w:ilvl w:val="0"/>
          <w:numId w:val="26"/>
        </w:numPr>
        <w:spacing w:before="180"/>
      </w:pPr>
      <w:r w:rsidRPr="00926BB8">
        <w:t xml:space="preserve">Previous applications for the </w:t>
      </w:r>
      <w:r w:rsidR="006519CE">
        <w:t>re</w:t>
      </w:r>
      <w:r w:rsidRPr="00926BB8">
        <w:t xml:space="preserve">scheduling of melatonin have established that </w:t>
      </w:r>
      <w:r w:rsidR="009C4B1B">
        <w:t>the substance</w:t>
      </w:r>
      <w:r w:rsidRPr="00926BB8">
        <w:t xml:space="preserve"> has a</w:t>
      </w:r>
      <w:r w:rsidR="00794D58">
        <w:t xml:space="preserve"> good </w:t>
      </w:r>
      <w:r w:rsidRPr="00926BB8">
        <w:t xml:space="preserve">safety </w:t>
      </w:r>
      <w:proofErr w:type="gramStart"/>
      <w:r w:rsidRPr="00926BB8">
        <w:t>profile</w:t>
      </w:r>
      <w:r w:rsidR="009C4B1B">
        <w:t>,</w:t>
      </w:r>
      <w:r w:rsidRPr="00926BB8">
        <w:t xml:space="preserve"> and</w:t>
      </w:r>
      <w:proofErr w:type="gramEnd"/>
      <w:r w:rsidRPr="00926BB8">
        <w:t xml:space="preserve"> noted that the risk of toxicity in acute use of the substance is low. There is no new evidence to show that the toxicity risks have changed. The substance is well absorbed with the rate of adverse events reported in clinical trials being lower in the melatonin group than the placebo group. </w:t>
      </w:r>
    </w:p>
    <w:p w14:paraId="4693FE54" w14:textId="58DAF409" w:rsidR="00AA2986" w:rsidRPr="00926BB8" w:rsidRDefault="006519CE" w:rsidP="008E48A7">
      <w:pPr>
        <w:pStyle w:val="ListBullet2"/>
        <w:numPr>
          <w:ilvl w:val="0"/>
          <w:numId w:val="26"/>
        </w:numPr>
      </w:pPr>
      <w:r>
        <w:t>N</w:t>
      </w:r>
      <w:r w:rsidR="00AA2986" w:rsidRPr="00926BB8">
        <w:t xml:space="preserve">o immediate release products containing melatonin as the active ingredient are approved or registered for use in Australia. The access pathways for these products </w:t>
      </w:r>
      <w:r>
        <w:t xml:space="preserve">currently </w:t>
      </w:r>
      <w:r w:rsidR="00AA2986" w:rsidRPr="00926BB8">
        <w:t xml:space="preserve">consist of homeopathic </w:t>
      </w:r>
      <w:r w:rsidR="00926BB8" w:rsidRPr="00926BB8">
        <w:t xml:space="preserve">formulations </w:t>
      </w:r>
      <w:r w:rsidR="00926BB8">
        <w:t>or</w:t>
      </w:r>
      <w:r w:rsidR="00926BB8" w:rsidRPr="00926BB8">
        <w:t xml:space="preserve"> through the Special Access Scheme (SAS).</w:t>
      </w:r>
      <w:r w:rsidR="00926BB8">
        <w:t xml:space="preserve"> Homeopathic formulations are </w:t>
      </w:r>
      <w:r w:rsidR="00101845">
        <w:t xml:space="preserve">largely ineffective and </w:t>
      </w:r>
      <w:r w:rsidR="00926BB8">
        <w:t>not recommended by Australian guidelines</w:t>
      </w:r>
      <w:r>
        <w:t xml:space="preserve">, and the SAS places undue burden on doctors, </w:t>
      </w:r>
      <w:proofErr w:type="gramStart"/>
      <w:r>
        <w:t>patients</w:t>
      </w:r>
      <w:proofErr w:type="gramEnd"/>
      <w:r>
        <w:t xml:space="preserve"> and regulators to access a safe and effective medication</w:t>
      </w:r>
      <w:r w:rsidR="00A174C9">
        <w:t xml:space="preserve"> for treatment of a short-term condition</w:t>
      </w:r>
      <w:r>
        <w:t>.</w:t>
      </w:r>
      <w:r w:rsidR="00926BB8">
        <w:t xml:space="preserve">  </w:t>
      </w:r>
      <w:r w:rsidR="00926BB8" w:rsidRPr="00926BB8">
        <w:t xml:space="preserve">  </w:t>
      </w:r>
    </w:p>
    <w:p w14:paraId="6D0A1806" w14:textId="66B48CA9" w:rsidR="00BF4AAE" w:rsidRDefault="00926BB8" w:rsidP="008E48A7">
      <w:pPr>
        <w:pStyle w:val="ListBullet2"/>
        <w:numPr>
          <w:ilvl w:val="0"/>
          <w:numId w:val="26"/>
        </w:numPr>
      </w:pPr>
      <w:r w:rsidRPr="00926BB8">
        <w:lastRenderedPageBreak/>
        <w:t xml:space="preserve">Information taken from the </w:t>
      </w:r>
      <w:hyperlink r:id="rId76" w:anchor="toc_d1e69" w:history="1">
        <w:r w:rsidRPr="002237FA">
          <w:rPr>
            <w:rStyle w:val="Hyperlink"/>
          </w:rPr>
          <w:t>Australian Therapeutic Guidelines</w:t>
        </w:r>
      </w:hyperlink>
      <w:r w:rsidR="002237FA">
        <w:rPr>
          <w:rStyle w:val="FootnoteReference"/>
        </w:rPr>
        <w:footnoteReference w:id="48"/>
      </w:r>
      <w:r w:rsidRPr="00926BB8">
        <w:t xml:space="preserve"> stipulates that immediate release melatonin at 0.5-5 mg dosage </w:t>
      </w:r>
      <w:r w:rsidR="002237FA">
        <w:t xml:space="preserve">has evidence of benefit to </w:t>
      </w:r>
      <w:r w:rsidRPr="00926BB8">
        <w:t xml:space="preserve">prevent or reduce the effects of jet lag in adults. </w:t>
      </w:r>
    </w:p>
    <w:p w14:paraId="46D312B4" w14:textId="77777777" w:rsidR="00101845" w:rsidRDefault="00BF4AAE" w:rsidP="008E48A7">
      <w:pPr>
        <w:pStyle w:val="ListBullet2"/>
        <w:numPr>
          <w:ilvl w:val="0"/>
          <w:numId w:val="26"/>
        </w:numPr>
      </w:pPr>
      <w:r>
        <w:t>The symptoms of jet lag are transient (4-6 days), and it is expected that treatment using melatonin would therefore be short-term. This is consistent with the proposed pack size (10 units) for a Schedule 3 melatonin product. Jet lag is therefore a condition suitable for self-management and treatment with melatonin as proposed.</w:t>
      </w:r>
    </w:p>
    <w:p w14:paraId="2160071C" w14:textId="21385F39" w:rsidR="00926BB8" w:rsidRPr="00926BB8" w:rsidRDefault="00101845" w:rsidP="008E48A7">
      <w:pPr>
        <w:pStyle w:val="ListBullet2"/>
        <w:numPr>
          <w:ilvl w:val="0"/>
          <w:numId w:val="26"/>
        </w:numPr>
      </w:pPr>
      <w:r w:rsidRPr="00101845">
        <w:t>A Schedule 3 listing provides consumers with the benefits of</w:t>
      </w:r>
      <w:r>
        <w:t xml:space="preserve"> </w:t>
      </w:r>
      <w:r w:rsidRPr="00101845">
        <w:t>increased access to this therapy</w:t>
      </w:r>
      <w:r>
        <w:t>. However</w:t>
      </w:r>
      <w:r w:rsidR="00310371">
        <w:t>,</w:t>
      </w:r>
      <w:r>
        <w:t xml:space="preserve"> it also provides t</w:t>
      </w:r>
      <w:r w:rsidRPr="00101845">
        <w:t>he safeguards of pharmacist oversight until</w:t>
      </w:r>
      <w:r>
        <w:t xml:space="preserve"> </w:t>
      </w:r>
      <w:r w:rsidRPr="00101845">
        <w:t>sufficient local experience is obtained with immediate release melatonin for the</w:t>
      </w:r>
      <w:r>
        <w:t xml:space="preserve"> </w:t>
      </w:r>
      <w:r w:rsidRPr="00101845">
        <w:t>management of jet lag in adults</w:t>
      </w:r>
      <w:r>
        <w:t>. I</w:t>
      </w:r>
      <w:r w:rsidRPr="00101845">
        <w:t>n combination with appropriate labelling, the risk of this medication being used for other indications or in children</w:t>
      </w:r>
      <w:r>
        <w:t xml:space="preserve"> is sufficiently mitigated</w:t>
      </w:r>
      <w:r w:rsidRPr="00101845">
        <w:t>.</w:t>
      </w:r>
      <w:r w:rsidR="00926BB8" w:rsidRPr="00926BB8">
        <w:t xml:space="preserve">   </w:t>
      </w:r>
    </w:p>
    <w:p w14:paraId="47288AB3" w14:textId="5AEDD8C8" w:rsidR="006175AA" w:rsidRDefault="006175AA" w:rsidP="006175AA">
      <w:pPr>
        <w:pStyle w:val="Heading4"/>
      </w:pPr>
      <w:bookmarkStart w:id="65" w:name="_Toc112833638"/>
      <w:r>
        <w:t>Key uses / expected use</w:t>
      </w:r>
      <w:bookmarkEnd w:id="65"/>
    </w:p>
    <w:p w14:paraId="795DDB3A" w14:textId="0F175C1D" w:rsidR="006175AA" w:rsidRDefault="002237FA" w:rsidP="006175AA">
      <w:r>
        <w:t>M</w:t>
      </w:r>
      <w:r w:rsidR="00926BB8">
        <w:t>edicines</w:t>
      </w:r>
      <w:r w:rsidR="009F221C">
        <w:t xml:space="preserve"> </w:t>
      </w:r>
    </w:p>
    <w:p w14:paraId="233A1F37" w14:textId="6AA6B064" w:rsidR="006175AA" w:rsidRPr="00182A95" w:rsidRDefault="006175AA" w:rsidP="00182A95">
      <w:pPr>
        <w:pStyle w:val="Heading4"/>
      </w:pPr>
      <w:bookmarkStart w:id="66" w:name="_Toc112833639"/>
      <w:r>
        <w:t>Australian regulations</w:t>
      </w:r>
      <w:bookmarkEnd w:id="66"/>
    </w:p>
    <w:p w14:paraId="07CC4744" w14:textId="291CB860" w:rsidR="006175AA" w:rsidRDefault="006175AA" w:rsidP="008E48A7">
      <w:pPr>
        <w:pStyle w:val="ListBullet"/>
        <w:numPr>
          <w:ilvl w:val="0"/>
          <w:numId w:val="26"/>
        </w:numPr>
      </w:pPr>
      <w:r>
        <w:t xml:space="preserve">According to the </w:t>
      </w:r>
      <w:hyperlink r:id="rId77"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9"/>
      </w:r>
      <w:r>
        <w:t xml:space="preserve"> </w:t>
      </w:r>
      <w:r w:rsidR="00182A95">
        <w:t>melatonin</w:t>
      </w:r>
      <w:r>
        <w:t xml:space="preserve"> is:</w:t>
      </w:r>
    </w:p>
    <w:p w14:paraId="4DDA0B1F" w14:textId="0E358A12" w:rsidR="00182A95" w:rsidRDefault="00182A95" w:rsidP="00911517">
      <w:pPr>
        <w:pStyle w:val="ListBullet2"/>
      </w:pPr>
      <w:r>
        <w:t>Available for use as an Active Ingredient in Biologicals, Export Only, Over the Counter, Prescription Medicines</w:t>
      </w:r>
    </w:p>
    <w:p w14:paraId="4AA3B5C5" w14:textId="36FE9D98" w:rsidR="00182A95" w:rsidRDefault="00182A95" w:rsidP="00911517">
      <w:pPr>
        <w:pStyle w:val="ListBullet2"/>
      </w:pPr>
      <w:r>
        <w:t>Available for use as an Excipient Ingredient in Biologicals, Devices, Prescription Medicines</w:t>
      </w:r>
    </w:p>
    <w:p w14:paraId="6E4BF57B" w14:textId="0BB449E5" w:rsidR="006175AA" w:rsidRPr="00182A95" w:rsidRDefault="00182A95" w:rsidP="00911517">
      <w:pPr>
        <w:pStyle w:val="ListBullet2"/>
      </w:pPr>
      <w:r>
        <w:t>Not available as an Equivalent Ingredient in any application</w:t>
      </w:r>
    </w:p>
    <w:p w14:paraId="731569AA" w14:textId="448F3E13" w:rsidR="006175AA" w:rsidRDefault="006175AA" w:rsidP="008E48A7">
      <w:pPr>
        <w:pStyle w:val="ListBullet"/>
        <w:numPr>
          <w:ilvl w:val="0"/>
          <w:numId w:val="26"/>
        </w:numPr>
      </w:pPr>
      <w:r>
        <w:t xml:space="preserve">As of </w:t>
      </w:r>
      <w:r w:rsidR="00182A95">
        <w:t>August 2022</w:t>
      </w:r>
      <w:r>
        <w:t>, t</w:t>
      </w:r>
      <w:r w:rsidRPr="00881DFE">
        <w:t xml:space="preserve">here </w:t>
      </w:r>
      <w:r>
        <w:t>were</w:t>
      </w:r>
      <w:r w:rsidRPr="00881DFE">
        <w:t xml:space="preserve"> </w:t>
      </w:r>
      <w:r w:rsidR="002237FA">
        <w:t>2</w:t>
      </w:r>
      <w:r w:rsidR="00685F7B">
        <w:t>1</w:t>
      </w:r>
      <w:r w:rsidR="00182A95">
        <w:t xml:space="preserve"> </w:t>
      </w:r>
      <w:r>
        <w:t>medicine</w:t>
      </w:r>
      <w:r w:rsidRPr="00881DFE">
        <w:t xml:space="preserve">s currently active on the </w:t>
      </w:r>
      <w:hyperlink r:id="rId78" w:history="1">
        <w:r w:rsidRPr="00293CCA">
          <w:rPr>
            <w:rStyle w:val="Hyperlink"/>
          </w:rPr>
          <w:t>Australian Register of Therapeutic Goods (ARTG)</w:t>
        </w:r>
      </w:hyperlink>
      <w:r>
        <w:rPr>
          <w:rStyle w:val="FootnoteReference"/>
        </w:rPr>
        <w:footnoteReference w:id="50"/>
      </w:r>
      <w:r>
        <w:t xml:space="preserve"> that contain</w:t>
      </w:r>
      <w:r w:rsidRPr="00881DFE">
        <w:t xml:space="preserve"> </w:t>
      </w:r>
      <w:r w:rsidR="00182A95">
        <w:t>melatonin</w:t>
      </w:r>
      <w:r>
        <w:t xml:space="preserve"> as an active ingredient</w:t>
      </w:r>
      <w:r w:rsidRPr="00881DFE">
        <w:t>.</w:t>
      </w:r>
      <w:r>
        <w:t xml:space="preserve"> These include </w:t>
      </w:r>
      <w:r w:rsidR="00685F7B">
        <w:t>10</w:t>
      </w:r>
      <w:r w:rsidR="00182A95">
        <w:t xml:space="preserve"> </w:t>
      </w:r>
      <w:r>
        <w:t>prescription</w:t>
      </w:r>
      <w:r w:rsidR="002237FA">
        <w:t>,</w:t>
      </w:r>
      <w:r>
        <w:t xml:space="preserve"> </w:t>
      </w:r>
      <w:r w:rsidR="00685F7B">
        <w:t>6</w:t>
      </w:r>
      <w:r>
        <w:t xml:space="preserve"> non-prescription medicines</w:t>
      </w:r>
      <w:r w:rsidR="002237FA">
        <w:t xml:space="preserve"> and 5 medicines for export only</w:t>
      </w:r>
      <w:r>
        <w:t>.</w:t>
      </w:r>
      <w:r w:rsidR="002237FA">
        <w:t xml:space="preserve"> All registered melatonin products available in Australia are modified or prolonged release preparations.</w:t>
      </w:r>
    </w:p>
    <w:p w14:paraId="2E57F7B5" w14:textId="60E4128C" w:rsidR="006175AA" w:rsidRDefault="005F6B67" w:rsidP="008E48A7">
      <w:pPr>
        <w:pStyle w:val="ListBullet"/>
        <w:numPr>
          <w:ilvl w:val="0"/>
          <w:numId w:val="26"/>
        </w:numPr>
      </w:pPr>
      <w:r>
        <w:t xml:space="preserve">Melatonin </w:t>
      </w:r>
      <w:r w:rsidR="006175AA" w:rsidRPr="009C55D5">
        <w:t xml:space="preserve">is not permitted to be included in listed medicines </w:t>
      </w:r>
      <w:r w:rsidR="006175AA">
        <w:t xml:space="preserve">as it is not included in the </w:t>
      </w:r>
      <w:hyperlink r:id="rId79" w:history="1">
        <w:r w:rsidR="006175AA" w:rsidRPr="00824CAC">
          <w:rPr>
            <w:rStyle w:val="Hyperlink"/>
          </w:rPr>
          <w:t>Therapeutic Goods (Permissible Ingredients) Determination</w:t>
        </w:r>
      </w:hyperlink>
      <w:r w:rsidR="006175AA">
        <w:rPr>
          <w:rStyle w:val="FootnoteReference"/>
        </w:rPr>
        <w:footnoteReference w:id="51"/>
      </w:r>
      <w:r w:rsidR="006175AA" w:rsidRPr="009C55D5">
        <w:t xml:space="preserve"> No.</w:t>
      </w:r>
      <w:r>
        <w:t>4</w:t>
      </w:r>
      <w:r w:rsidR="006175AA" w:rsidRPr="009C55D5">
        <w:t xml:space="preserve"> of 20</w:t>
      </w:r>
      <w:r>
        <w:t>22</w:t>
      </w:r>
      <w:r w:rsidR="006175AA" w:rsidRPr="009C55D5">
        <w:t xml:space="preserve">. </w:t>
      </w:r>
    </w:p>
    <w:p w14:paraId="44E884CB" w14:textId="3807F7AB" w:rsidR="006175AA" w:rsidRDefault="005F6B67" w:rsidP="008E48A7">
      <w:pPr>
        <w:pStyle w:val="ListBullet"/>
        <w:keepNext/>
        <w:keepLines/>
        <w:numPr>
          <w:ilvl w:val="0"/>
          <w:numId w:val="26"/>
        </w:numPr>
      </w:pPr>
      <w:r>
        <w:lastRenderedPageBreak/>
        <w:t>T</w:t>
      </w:r>
      <w:r w:rsidR="006175AA">
        <w:t xml:space="preserve">he </w:t>
      </w:r>
      <w:hyperlink r:id="rId80" w:history="1">
        <w:r w:rsidR="006175AA" w:rsidRPr="00C81411">
          <w:rPr>
            <w:rStyle w:val="Hyperlink"/>
          </w:rPr>
          <w:t xml:space="preserve">TGA </w:t>
        </w:r>
        <w:r w:rsidR="006175AA">
          <w:rPr>
            <w:rStyle w:val="Hyperlink"/>
          </w:rPr>
          <w:t>p</w:t>
        </w:r>
        <w:r w:rsidR="006175AA" w:rsidRPr="00C81411">
          <w:rPr>
            <w:rStyle w:val="Hyperlink"/>
          </w:rPr>
          <w:t>rescribing medicines in pregnancy database</w:t>
        </w:r>
      </w:hyperlink>
      <w:r w:rsidR="006175AA">
        <w:rPr>
          <w:rStyle w:val="FootnoteReference"/>
        </w:rPr>
        <w:footnoteReference w:id="52"/>
      </w:r>
      <w:r w:rsidR="006175AA">
        <w:t xml:space="preserve"> classifies </w:t>
      </w:r>
      <w:r w:rsidR="00AD69A8">
        <w:t>melatonin</w:t>
      </w:r>
      <w:r w:rsidR="006175AA">
        <w:t xml:space="preserve"> as:</w:t>
      </w:r>
    </w:p>
    <w:tbl>
      <w:tblPr>
        <w:tblStyle w:val="TableTGAblue"/>
        <w:tblW w:w="8684" w:type="dxa"/>
        <w:tblInd w:w="357" w:type="dxa"/>
        <w:tblLook w:val="04A0" w:firstRow="1" w:lastRow="0" w:firstColumn="1" w:lastColumn="0" w:noHBand="0" w:noVBand="1"/>
      </w:tblPr>
      <w:tblGrid>
        <w:gridCol w:w="1455"/>
        <w:gridCol w:w="1391"/>
        <w:gridCol w:w="1946"/>
        <w:gridCol w:w="1946"/>
        <w:gridCol w:w="1946"/>
      </w:tblGrid>
      <w:tr w:rsidR="006175AA" w:rsidRPr="003346CF" w14:paraId="25B41ACB" w14:textId="77777777" w:rsidTr="00911517">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0" w:type="dxa"/>
          </w:tcPr>
          <w:p w14:paraId="273B4B45" w14:textId="77777777" w:rsidR="006175AA" w:rsidRPr="003346CF" w:rsidRDefault="006175AA" w:rsidP="000135AA">
            <w:pPr>
              <w:keepLines/>
              <w:rPr>
                <w:sz w:val="20"/>
                <w:szCs w:val="20"/>
              </w:rPr>
            </w:pPr>
            <w:r>
              <w:rPr>
                <w:sz w:val="20"/>
                <w:szCs w:val="20"/>
              </w:rPr>
              <w:t>Drug name</w:t>
            </w:r>
          </w:p>
        </w:tc>
        <w:tc>
          <w:tcPr>
            <w:tcW w:w="0" w:type="dxa"/>
          </w:tcPr>
          <w:p w14:paraId="28C362A5" w14:textId="77777777" w:rsidR="006175AA" w:rsidRPr="003346CF" w:rsidRDefault="006175AA" w:rsidP="000135A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0" w:type="dxa"/>
          </w:tcPr>
          <w:p w14:paraId="6AAC1FD7" w14:textId="77777777" w:rsidR="006175AA" w:rsidRPr="003346CF" w:rsidRDefault="006175AA" w:rsidP="000135A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0" w:type="dxa"/>
          </w:tcPr>
          <w:p w14:paraId="684E7B61" w14:textId="77777777" w:rsidR="006175AA" w:rsidRPr="003346CF" w:rsidRDefault="006175AA" w:rsidP="000135A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0" w:type="dxa"/>
          </w:tcPr>
          <w:p w14:paraId="25E0373E" w14:textId="77777777" w:rsidR="006175AA" w:rsidRPr="003346CF" w:rsidRDefault="006175AA" w:rsidP="000135A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6175AA" w:rsidRPr="003346CF" w14:paraId="4744DEE8" w14:textId="77777777" w:rsidTr="00911517">
        <w:trPr>
          <w:trHeight w:val="852"/>
        </w:trPr>
        <w:tc>
          <w:tcPr>
            <w:cnfStyle w:val="001000000000" w:firstRow="0" w:lastRow="0" w:firstColumn="1" w:lastColumn="0" w:oddVBand="0" w:evenVBand="0" w:oddHBand="0" w:evenHBand="0" w:firstRowFirstColumn="0" w:firstRowLastColumn="0" w:lastRowFirstColumn="0" w:lastRowLastColumn="0"/>
            <w:tcW w:w="0" w:type="dxa"/>
          </w:tcPr>
          <w:p w14:paraId="0974AC59" w14:textId="66EDDA67" w:rsidR="006175AA" w:rsidRPr="003346CF" w:rsidRDefault="005F6B67" w:rsidP="000135AA">
            <w:pPr>
              <w:keepNext/>
              <w:keepLines/>
              <w:rPr>
                <w:sz w:val="20"/>
                <w:szCs w:val="20"/>
              </w:rPr>
            </w:pPr>
            <w:r>
              <w:rPr>
                <w:sz w:val="20"/>
                <w:szCs w:val="20"/>
              </w:rPr>
              <w:t>Melatonin</w:t>
            </w:r>
          </w:p>
        </w:tc>
        <w:tc>
          <w:tcPr>
            <w:tcW w:w="0" w:type="dxa"/>
          </w:tcPr>
          <w:p w14:paraId="5C049A90" w14:textId="467E7D65" w:rsidR="006175AA" w:rsidRPr="003346CF" w:rsidRDefault="005F6B67" w:rsidP="000135AA">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B3</w:t>
            </w:r>
          </w:p>
        </w:tc>
        <w:tc>
          <w:tcPr>
            <w:tcW w:w="0" w:type="dxa"/>
          </w:tcPr>
          <w:p w14:paraId="37AA640C" w14:textId="3C0590FE" w:rsidR="006175AA" w:rsidRPr="003346CF" w:rsidRDefault="005F6B67" w:rsidP="000135AA">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Central nervous system</w:t>
            </w:r>
          </w:p>
        </w:tc>
        <w:tc>
          <w:tcPr>
            <w:tcW w:w="0" w:type="dxa"/>
          </w:tcPr>
          <w:p w14:paraId="1ECD031E" w14:textId="653EE9C7" w:rsidR="006175AA" w:rsidRPr="003346CF" w:rsidRDefault="00B75CE0" w:rsidP="000135AA">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Hypnotics and sedatives</w:t>
            </w:r>
          </w:p>
        </w:tc>
        <w:tc>
          <w:tcPr>
            <w:tcW w:w="0" w:type="dxa"/>
          </w:tcPr>
          <w:p w14:paraId="39FD58CF" w14:textId="77777777" w:rsidR="006175AA" w:rsidRPr="003346CF" w:rsidRDefault="006175AA" w:rsidP="000135AA">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6175AA" w:rsidRPr="003346CF" w14:paraId="7DD74D07" w14:textId="77777777" w:rsidTr="00911517">
        <w:trPr>
          <w:trHeight w:val="1544"/>
        </w:trPr>
        <w:tc>
          <w:tcPr>
            <w:cnfStyle w:val="001000000000" w:firstRow="0" w:lastRow="0" w:firstColumn="1" w:lastColumn="0" w:oddVBand="0" w:evenVBand="0" w:oddHBand="0" w:evenHBand="0" w:firstRowFirstColumn="0" w:firstRowLastColumn="0" w:lastRowFirstColumn="0" w:lastRowLastColumn="0"/>
            <w:tcW w:w="0" w:type="dxa"/>
            <w:gridSpan w:val="5"/>
          </w:tcPr>
          <w:p w14:paraId="2A3F6255" w14:textId="77777777" w:rsidR="006175AA" w:rsidRPr="003C7D97" w:rsidRDefault="006175AA" w:rsidP="000135AA">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53123DBD" w14:textId="101987F2" w:rsidR="006175AA" w:rsidRPr="00B75CE0" w:rsidRDefault="006175AA" w:rsidP="000135AA">
            <w:pPr>
              <w:keepNext/>
              <w:keepLines/>
              <w:rPr>
                <w:sz w:val="16"/>
                <w:szCs w:val="16"/>
              </w:rPr>
            </w:pPr>
            <w:r w:rsidRPr="003C7D97">
              <w:rPr>
                <w:sz w:val="16"/>
                <w:szCs w:val="16"/>
              </w:rPr>
              <w:t>Studies in animals have shown evidence of an increased occurrence of foetal damage, the significance of which is considered uncertain in humans.</w:t>
            </w:r>
          </w:p>
        </w:tc>
      </w:tr>
    </w:tbl>
    <w:p w14:paraId="01F15340" w14:textId="3BCBE83E" w:rsidR="006175AA" w:rsidRDefault="006175AA" w:rsidP="008E48A7">
      <w:pPr>
        <w:pStyle w:val="ListBullet"/>
        <w:numPr>
          <w:ilvl w:val="0"/>
          <w:numId w:val="26"/>
        </w:numPr>
      </w:pPr>
      <w:r>
        <w:t xml:space="preserve">There are no </w:t>
      </w:r>
      <w:r w:rsidRPr="00A30084">
        <w:t xml:space="preserve">warning statements pertaining </w:t>
      </w:r>
      <w:r>
        <w:t xml:space="preserve">to </w:t>
      </w:r>
      <w:r w:rsidR="00B75CE0">
        <w:t>melatonin</w:t>
      </w:r>
      <w:r>
        <w:t xml:space="preserve"> in the </w:t>
      </w:r>
      <w:hyperlink r:id="rId81" w:history="1">
        <w:r w:rsidRPr="00AB7BF5">
          <w:rPr>
            <w:rStyle w:val="Hyperlink"/>
          </w:rPr>
          <w:t>Therapeutic Goods (Medicines Advisory Statements) Specification 2019</w:t>
        </w:r>
      </w:hyperlink>
      <w:r w:rsidR="00047FAA">
        <w:rPr>
          <w:rStyle w:val="Hyperlink"/>
        </w:rPr>
        <w:t>.</w:t>
      </w:r>
      <w:r>
        <w:rPr>
          <w:rStyle w:val="FootnoteReference"/>
        </w:rPr>
        <w:footnoteReference w:id="53"/>
      </w:r>
    </w:p>
    <w:p w14:paraId="22136DE8" w14:textId="464D403C" w:rsidR="006175AA" w:rsidRPr="009C55D5" w:rsidRDefault="006175AA" w:rsidP="008E48A7">
      <w:pPr>
        <w:pStyle w:val="ListBullet"/>
        <w:numPr>
          <w:ilvl w:val="0"/>
          <w:numId w:val="26"/>
        </w:numPr>
      </w:pPr>
      <w:r>
        <w:t xml:space="preserve">As of </w:t>
      </w:r>
      <w:r w:rsidR="00896BC4">
        <w:t>August</w:t>
      </w:r>
      <w:r w:rsidR="00B75CE0">
        <w:t xml:space="preserve"> 2022</w:t>
      </w:r>
      <w:r>
        <w:t>, there were</w:t>
      </w:r>
      <w:r w:rsidRPr="009C55D5">
        <w:t xml:space="preserve"> </w:t>
      </w:r>
      <w:r w:rsidR="00B75CE0">
        <w:t>11</w:t>
      </w:r>
      <w:r w:rsidR="002237FA">
        <w:t>9</w:t>
      </w:r>
      <w:r w:rsidRPr="009C55D5">
        <w:t xml:space="preserve"> reports of adverse events for products containing </w:t>
      </w:r>
      <w:r w:rsidR="00B75CE0">
        <w:t>melatonin</w:t>
      </w:r>
      <w:r w:rsidRPr="009C55D5">
        <w:t xml:space="preserve"> as an active ingredient</w:t>
      </w:r>
      <w:r>
        <w:t xml:space="preserve"> on the </w:t>
      </w:r>
      <w:hyperlink r:id="rId82" w:history="1">
        <w:r w:rsidRPr="00F0449C">
          <w:rPr>
            <w:rStyle w:val="Hyperlink"/>
          </w:rPr>
          <w:t>Database of Adverse Event Notifications (DAEN)</w:t>
        </w:r>
      </w:hyperlink>
      <w:r w:rsidRPr="00254E0B">
        <w:t>,</w:t>
      </w:r>
      <w:r w:rsidRPr="00F0449C">
        <w:rPr>
          <w:rStyle w:val="FootnoteReference"/>
        </w:rPr>
        <w:footnoteReference w:id="54"/>
      </w:r>
      <w:r w:rsidRPr="009C55D5">
        <w:t xml:space="preserve"> with </w:t>
      </w:r>
      <w:r w:rsidR="00B75CE0">
        <w:t>8</w:t>
      </w:r>
      <w:r w:rsidR="00454E20">
        <w:t>7</w:t>
      </w:r>
      <w:r w:rsidR="00B75CE0">
        <w:t xml:space="preserve"> </w:t>
      </w:r>
      <w:r w:rsidRPr="009C55D5">
        <w:t xml:space="preserve">reports where </w:t>
      </w:r>
      <w:r w:rsidR="00B75CE0">
        <w:t>melatonin</w:t>
      </w:r>
      <w:r w:rsidRPr="009C55D5">
        <w:t xml:space="preserve"> was the single suspected medicine</w:t>
      </w:r>
      <w:r w:rsidR="00454E20">
        <w:t xml:space="preserve">. The </w:t>
      </w:r>
      <w:proofErr w:type="gramStart"/>
      <w:r w:rsidR="00454E20">
        <w:t>most commonly reported</w:t>
      </w:r>
      <w:proofErr w:type="gramEnd"/>
      <w:r w:rsidR="00454E20">
        <w:t xml:space="preserve"> adverse events were dizziness and insomnia.</w:t>
      </w:r>
      <w:r w:rsidRPr="009C55D5">
        <w:t xml:space="preserve"> </w:t>
      </w:r>
    </w:p>
    <w:p w14:paraId="07824D48" w14:textId="1CA615C4" w:rsidR="006175AA" w:rsidRDefault="006175AA" w:rsidP="008E48A7">
      <w:pPr>
        <w:pStyle w:val="ListBullet"/>
        <w:numPr>
          <w:ilvl w:val="0"/>
          <w:numId w:val="26"/>
        </w:numPr>
      </w:pPr>
      <w:r>
        <w:t>As of</w:t>
      </w:r>
      <w:r w:rsidR="00896BC4">
        <w:t xml:space="preserve"> </w:t>
      </w:r>
      <w:r w:rsidR="00B75CE0">
        <w:t>August 2022</w:t>
      </w:r>
      <w:r>
        <w:t>, t</w:t>
      </w:r>
      <w:r w:rsidRPr="00F0449C">
        <w:t xml:space="preserve">here </w:t>
      </w:r>
      <w:r w:rsidR="00863DA6">
        <w:t xml:space="preserve">was </w:t>
      </w:r>
      <w:r w:rsidR="00183C06">
        <w:t>one</w:t>
      </w:r>
      <w:r w:rsidRPr="00F0449C">
        <w:t xml:space="preserve"> </w:t>
      </w:r>
      <w:r w:rsidR="00896BC4" w:rsidRPr="00F0449C">
        <w:t>product</w:t>
      </w:r>
      <w:r w:rsidRPr="00F0449C">
        <w:t xml:space="preserve"> containing </w:t>
      </w:r>
      <w:r w:rsidR="00863DA6">
        <w:t>melatonin</w:t>
      </w:r>
      <w:r w:rsidRPr="00F0449C">
        <w:t xml:space="preserve"> </w:t>
      </w:r>
      <w:r>
        <w:t xml:space="preserve">as an active ingredient/constituent or scheduled substance </w:t>
      </w:r>
      <w:r w:rsidRPr="00F0449C">
        <w:t xml:space="preserve">listed on the </w:t>
      </w:r>
      <w:hyperlink r:id="rId83"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00A14759">
        <w:t>,</w:t>
      </w:r>
      <w:r>
        <w:rPr>
          <w:rStyle w:val="FootnoteReference"/>
        </w:rPr>
        <w:footnoteReference w:id="55"/>
      </w:r>
      <w:r w:rsidR="00A14759">
        <w:t xml:space="preserve"> a parenteral implant for sheep and goats.</w:t>
      </w:r>
      <w:r>
        <w:t xml:space="preserve"> </w:t>
      </w:r>
    </w:p>
    <w:p w14:paraId="74141B8D" w14:textId="006D1B98" w:rsidR="006175AA" w:rsidRDefault="006175AA" w:rsidP="008E48A7">
      <w:pPr>
        <w:pStyle w:val="ListBullet"/>
        <w:numPr>
          <w:ilvl w:val="0"/>
          <w:numId w:val="26"/>
        </w:numPr>
      </w:pPr>
      <w:r>
        <w:t>In 20</w:t>
      </w:r>
      <w:r w:rsidR="00A14759">
        <w:t>12</w:t>
      </w:r>
      <w:r>
        <w:t>-20</w:t>
      </w:r>
      <w:r w:rsidR="00A14759">
        <w:t>22</w:t>
      </w:r>
      <w:r w:rsidR="00863DA6">
        <w:t xml:space="preserve"> no a</w:t>
      </w:r>
      <w:r>
        <w:t xml:space="preserve">dverse experiences were recorded for </w:t>
      </w:r>
      <w:r w:rsidR="008A5566">
        <w:t>melatonin</w:t>
      </w:r>
      <w:r>
        <w:t xml:space="preserve"> in the </w:t>
      </w:r>
      <w:hyperlink r:id="rId84"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sidR="00183C06" w:rsidRPr="00183C06">
        <w:rPr>
          <w:rStyle w:val="Hyperlink"/>
          <w:u w:val="none"/>
        </w:rPr>
        <w:t>.</w:t>
      </w:r>
      <w:r>
        <w:rPr>
          <w:rStyle w:val="FootnoteReference"/>
        </w:rPr>
        <w:footnoteReference w:id="56"/>
      </w:r>
    </w:p>
    <w:p w14:paraId="241685E7" w14:textId="41F43A1A" w:rsidR="006175AA" w:rsidRPr="00CB687C" w:rsidRDefault="006175AA" w:rsidP="006175AA">
      <w:pPr>
        <w:pStyle w:val="Heading4"/>
      </w:pPr>
      <w:bookmarkStart w:id="67" w:name="_Toc112833640"/>
      <w:r>
        <w:t>International regulations</w:t>
      </w:r>
      <w:bookmarkEnd w:id="67"/>
    </w:p>
    <w:p w14:paraId="5CDCDBC1" w14:textId="45D7DE36" w:rsidR="00AD69A8" w:rsidRDefault="001C5F86" w:rsidP="008E48A7">
      <w:pPr>
        <w:pStyle w:val="ListBullet"/>
        <w:numPr>
          <w:ilvl w:val="0"/>
          <w:numId w:val="26"/>
        </w:numPr>
        <w:rPr>
          <w:rStyle w:val="Hyperlink"/>
        </w:rPr>
      </w:pPr>
      <w:hyperlink r:id="rId85" w:history="1">
        <w:r w:rsidR="00AD69A8" w:rsidRPr="00C81411">
          <w:rPr>
            <w:rStyle w:val="Hyperlink"/>
          </w:rPr>
          <w:t>European Commission database</w:t>
        </w:r>
      </w:hyperlink>
      <w:r w:rsidR="009F221C">
        <w:rPr>
          <w:rStyle w:val="Hyperlink"/>
        </w:rPr>
        <w:t xml:space="preserve"> (cosmetics and ingredients)</w:t>
      </w:r>
      <w:r w:rsidR="00AD69A8" w:rsidRPr="00417519">
        <w:rPr>
          <w:rStyle w:val="FootnoteReference"/>
        </w:rPr>
        <w:footnoteReference w:id="57"/>
      </w:r>
      <w:r w:rsidR="00AD69A8" w:rsidRPr="00183C06">
        <w:rPr>
          <w:rStyle w:val="Hyperlink"/>
          <w:u w:val="none"/>
        </w:rPr>
        <w:t xml:space="preserve"> </w:t>
      </w:r>
      <w:r w:rsidR="009F221C" w:rsidRPr="009F221C">
        <w:rPr>
          <w:rStyle w:val="Hyperlink"/>
          <w:color w:val="auto"/>
          <w:u w:val="none"/>
        </w:rPr>
        <w:t>lists melatonin with its function as an antioxidant</w:t>
      </w:r>
      <w:r w:rsidR="009F221C" w:rsidRPr="00183C06">
        <w:rPr>
          <w:rStyle w:val="Hyperlink"/>
          <w:color w:val="auto"/>
          <w:u w:val="none"/>
        </w:rPr>
        <w:t>.</w:t>
      </w:r>
    </w:p>
    <w:p w14:paraId="753403CE" w14:textId="07F17BAC" w:rsidR="00AD69A8" w:rsidRDefault="001C5F86" w:rsidP="008E48A7">
      <w:pPr>
        <w:pStyle w:val="ListBullet"/>
        <w:numPr>
          <w:ilvl w:val="0"/>
          <w:numId w:val="26"/>
        </w:numPr>
        <w:rPr>
          <w:rStyle w:val="Hyperlink"/>
        </w:rPr>
      </w:pPr>
      <w:hyperlink r:id="rId86" w:history="1">
        <w:r w:rsidR="00AD69A8" w:rsidRPr="009F221C">
          <w:rPr>
            <w:rStyle w:val="Hyperlink"/>
          </w:rPr>
          <w:t xml:space="preserve">European </w:t>
        </w:r>
        <w:r w:rsidR="009F221C" w:rsidRPr="009F221C">
          <w:rPr>
            <w:rStyle w:val="Hyperlink"/>
          </w:rPr>
          <w:t>Medicines Agency</w:t>
        </w:r>
      </w:hyperlink>
      <w:r w:rsidR="00AD69A8">
        <w:rPr>
          <w:rStyle w:val="FootnoteReference"/>
        </w:rPr>
        <w:footnoteReference w:id="58"/>
      </w:r>
      <w:r w:rsidR="00AD69A8" w:rsidRPr="00183C06">
        <w:rPr>
          <w:rStyle w:val="Hyperlink"/>
          <w:u w:val="none"/>
        </w:rPr>
        <w:t xml:space="preserve"> </w:t>
      </w:r>
      <w:r w:rsidR="009F221C" w:rsidRPr="009F221C">
        <w:rPr>
          <w:rStyle w:val="Hyperlink"/>
          <w:color w:val="auto"/>
          <w:u w:val="none"/>
        </w:rPr>
        <w:t xml:space="preserve">lists </w:t>
      </w:r>
      <w:r w:rsidR="00E062F8">
        <w:rPr>
          <w:rStyle w:val="Hyperlink"/>
          <w:color w:val="auto"/>
          <w:u w:val="none"/>
        </w:rPr>
        <w:t>prolonged-release</w:t>
      </w:r>
      <w:r w:rsidR="003A512B">
        <w:rPr>
          <w:rStyle w:val="Hyperlink"/>
          <w:color w:val="auto"/>
          <w:u w:val="none"/>
        </w:rPr>
        <w:t xml:space="preserve"> </w:t>
      </w:r>
      <w:r w:rsidR="009F221C" w:rsidRPr="009F221C">
        <w:rPr>
          <w:rStyle w:val="Hyperlink"/>
          <w:color w:val="auto"/>
          <w:u w:val="none"/>
        </w:rPr>
        <w:t>melatonin</w:t>
      </w:r>
      <w:r w:rsidR="00E062F8">
        <w:rPr>
          <w:rStyle w:val="Hyperlink"/>
          <w:color w:val="auto"/>
          <w:u w:val="none"/>
        </w:rPr>
        <w:t>, for the short-term treatment of primary insomnia in patients aged 55 and over,</w:t>
      </w:r>
      <w:r w:rsidR="009F221C" w:rsidRPr="009F221C">
        <w:rPr>
          <w:rStyle w:val="Hyperlink"/>
          <w:color w:val="auto"/>
          <w:u w:val="none"/>
        </w:rPr>
        <w:t xml:space="preserve"> </w:t>
      </w:r>
      <w:r w:rsidR="00E062F8">
        <w:rPr>
          <w:rStyle w:val="Hyperlink"/>
          <w:color w:val="auto"/>
          <w:u w:val="none"/>
        </w:rPr>
        <w:t>as</w:t>
      </w:r>
      <w:r w:rsidR="009F221C">
        <w:rPr>
          <w:rStyle w:val="Hyperlink"/>
          <w:color w:val="auto"/>
          <w:u w:val="none"/>
        </w:rPr>
        <w:t xml:space="preserve"> a </w:t>
      </w:r>
      <w:r w:rsidR="009F221C" w:rsidRPr="009F221C">
        <w:rPr>
          <w:rStyle w:val="Hyperlink"/>
          <w:color w:val="auto"/>
          <w:u w:val="none"/>
        </w:rPr>
        <w:t>prescription</w:t>
      </w:r>
      <w:r w:rsidR="00E062F8">
        <w:rPr>
          <w:rStyle w:val="Hyperlink"/>
          <w:color w:val="auto"/>
          <w:u w:val="none"/>
        </w:rPr>
        <w:t>-only medicine</w:t>
      </w:r>
      <w:r w:rsidR="009F221C">
        <w:rPr>
          <w:rStyle w:val="Hyperlink"/>
          <w:color w:val="auto"/>
          <w:u w:val="none"/>
        </w:rPr>
        <w:t>.</w:t>
      </w:r>
      <w:r w:rsidR="009F221C" w:rsidRPr="009F221C">
        <w:rPr>
          <w:rStyle w:val="Hyperlink"/>
          <w:color w:val="auto"/>
        </w:rPr>
        <w:t xml:space="preserve"> </w:t>
      </w:r>
    </w:p>
    <w:p w14:paraId="26D6CEB9" w14:textId="07BDD9BF" w:rsidR="00AD69A8" w:rsidRPr="00183C06" w:rsidRDefault="001C5F86" w:rsidP="008E48A7">
      <w:pPr>
        <w:pStyle w:val="ListBullet"/>
        <w:numPr>
          <w:ilvl w:val="0"/>
          <w:numId w:val="26"/>
        </w:numPr>
        <w:rPr>
          <w:color w:val="0000FF"/>
          <w:u w:val="single"/>
        </w:rPr>
      </w:pPr>
      <w:hyperlink r:id="rId87" w:history="1">
        <w:r w:rsidR="00AD69A8" w:rsidRPr="000B75D5">
          <w:rPr>
            <w:rStyle w:val="Hyperlink"/>
          </w:rPr>
          <w:t>New Zealand</w:t>
        </w:r>
        <w:r w:rsidR="00AD69A8">
          <w:rPr>
            <w:rStyle w:val="Hyperlink"/>
          </w:rPr>
          <w:t xml:space="preserve"> Medicines and Medical Devices Safety Authority</w:t>
        </w:r>
        <w:r w:rsidR="00AD69A8" w:rsidRPr="000B75D5">
          <w:rPr>
            <w:rStyle w:val="Hyperlink"/>
          </w:rPr>
          <w:t xml:space="preserve"> </w:t>
        </w:r>
        <w:r w:rsidR="00AD69A8">
          <w:rPr>
            <w:rStyle w:val="Hyperlink"/>
          </w:rPr>
          <w:t>(</w:t>
        </w:r>
        <w:proofErr w:type="spellStart"/>
        <w:r w:rsidR="00AD69A8" w:rsidRPr="000B75D5">
          <w:rPr>
            <w:rStyle w:val="Hyperlink"/>
          </w:rPr>
          <w:t>MedSafe</w:t>
        </w:r>
        <w:proofErr w:type="spellEnd"/>
      </w:hyperlink>
      <w:r w:rsidR="00AD69A8">
        <w:t>)</w:t>
      </w:r>
      <w:r w:rsidR="00AD69A8">
        <w:rPr>
          <w:rStyle w:val="FootnoteReference"/>
        </w:rPr>
        <w:footnoteReference w:id="59"/>
      </w:r>
      <w:r w:rsidR="00AD69A8">
        <w:t xml:space="preserve"> regulates melatonin with the below conditions: </w:t>
      </w:r>
    </w:p>
    <w:p w14:paraId="195725C4" w14:textId="3F509E94" w:rsidR="00183C06" w:rsidRDefault="00183C06" w:rsidP="00183C06">
      <w:pPr>
        <w:pStyle w:val="ListBullet"/>
        <w:numPr>
          <w:ilvl w:val="0"/>
          <w:numId w:val="0"/>
        </w:numPr>
        <w:ind w:left="360" w:hanging="360"/>
        <w:rPr>
          <w:rStyle w:val="Hyperlink"/>
        </w:rPr>
      </w:pPr>
    </w:p>
    <w:p w14:paraId="12E06D75" w14:textId="77777777" w:rsidR="00183C06" w:rsidRDefault="00183C06" w:rsidP="00183C06">
      <w:pPr>
        <w:pStyle w:val="ListBullet"/>
        <w:numPr>
          <w:ilvl w:val="0"/>
          <w:numId w:val="0"/>
        </w:numPr>
        <w:ind w:left="360" w:hanging="360"/>
        <w:rPr>
          <w:rStyle w:val="Hyperlink"/>
        </w:rPr>
      </w:pPr>
    </w:p>
    <w:tbl>
      <w:tblPr>
        <w:tblStyle w:val="TableTGAblue"/>
        <w:tblW w:w="8721" w:type="dxa"/>
        <w:tblInd w:w="357" w:type="dxa"/>
        <w:tblLook w:val="04A0" w:firstRow="1" w:lastRow="0" w:firstColumn="1" w:lastColumn="0" w:noHBand="0" w:noVBand="1"/>
      </w:tblPr>
      <w:tblGrid>
        <w:gridCol w:w="1310"/>
        <w:gridCol w:w="5386"/>
        <w:gridCol w:w="2025"/>
      </w:tblGrid>
      <w:tr w:rsidR="00AD69A8" w:rsidRPr="00183C06" w14:paraId="19AB0E5A" w14:textId="77777777" w:rsidTr="0091151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10" w:type="dxa"/>
            <w:tcBorders>
              <w:right w:val="single" w:sz="4" w:space="0" w:color="auto"/>
            </w:tcBorders>
            <w:hideMark/>
          </w:tcPr>
          <w:p w14:paraId="2D9E6979" w14:textId="77777777" w:rsidR="00AD69A8" w:rsidRPr="00183C06" w:rsidRDefault="00AD69A8" w:rsidP="00183C06">
            <w:pPr>
              <w:spacing w:line="240" w:lineRule="auto"/>
              <w:rPr>
                <w:rFonts w:asciiTheme="minorHAnsi" w:eastAsia="Times New Roman" w:hAnsiTheme="minorHAnsi" w:cs="Segoe UI"/>
                <w:bCs/>
                <w:szCs w:val="22"/>
                <w:lang w:eastAsia="en-AU"/>
              </w:rPr>
            </w:pPr>
            <w:r w:rsidRPr="00183C06">
              <w:rPr>
                <w:rFonts w:asciiTheme="minorHAnsi" w:eastAsia="Times New Roman" w:hAnsiTheme="minorHAnsi" w:cs="Segoe UI"/>
                <w:bCs/>
                <w:szCs w:val="22"/>
                <w:lang w:eastAsia="en-AU"/>
              </w:rPr>
              <w:t>Ingredient</w:t>
            </w:r>
          </w:p>
        </w:tc>
        <w:tc>
          <w:tcPr>
            <w:tcW w:w="5386" w:type="dxa"/>
            <w:tcBorders>
              <w:left w:val="single" w:sz="4" w:space="0" w:color="auto"/>
              <w:right w:val="single" w:sz="4" w:space="0" w:color="auto"/>
            </w:tcBorders>
            <w:hideMark/>
          </w:tcPr>
          <w:p w14:paraId="31410CB7" w14:textId="77777777" w:rsidR="00AD69A8" w:rsidRPr="00183C06" w:rsidRDefault="00AD69A8" w:rsidP="00183C06">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Segoe UI"/>
                <w:bCs/>
                <w:szCs w:val="22"/>
                <w:lang w:eastAsia="en-AU"/>
              </w:rPr>
            </w:pPr>
            <w:r w:rsidRPr="00183C06">
              <w:rPr>
                <w:rFonts w:asciiTheme="minorHAnsi" w:eastAsia="Times New Roman" w:hAnsiTheme="minorHAnsi" w:cs="Segoe UI"/>
                <w:bCs/>
                <w:szCs w:val="22"/>
                <w:lang w:eastAsia="en-AU"/>
              </w:rPr>
              <w:t>Conditions (if any)</w:t>
            </w:r>
          </w:p>
        </w:tc>
        <w:tc>
          <w:tcPr>
            <w:tcW w:w="2025" w:type="dxa"/>
            <w:tcBorders>
              <w:left w:val="single" w:sz="4" w:space="0" w:color="auto"/>
            </w:tcBorders>
            <w:hideMark/>
          </w:tcPr>
          <w:p w14:paraId="2791A671" w14:textId="77777777" w:rsidR="00AD69A8" w:rsidRPr="00183C06" w:rsidRDefault="00AD69A8" w:rsidP="00183C06">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Segoe UI"/>
                <w:bCs/>
                <w:szCs w:val="22"/>
                <w:lang w:eastAsia="en-AU"/>
              </w:rPr>
            </w:pPr>
            <w:r w:rsidRPr="00183C06">
              <w:rPr>
                <w:rFonts w:asciiTheme="minorHAnsi" w:eastAsia="Times New Roman" w:hAnsiTheme="minorHAnsi" w:cs="Segoe UI"/>
                <w:bCs/>
                <w:szCs w:val="22"/>
                <w:lang w:eastAsia="en-AU"/>
              </w:rPr>
              <w:t>Classification</w:t>
            </w:r>
          </w:p>
        </w:tc>
      </w:tr>
      <w:tr w:rsidR="00183C06" w:rsidRPr="00183C06" w14:paraId="4783E086" w14:textId="77777777" w:rsidTr="00911517">
        <w:trPr>
          <w:trHeight w:val="2138"/>
        </w:trPr>
        <w:tc>
          <w:tcPr>
            <w:cnfStyle w:val="001000000000" w:firstRow="0" w:lastRow="0" w:firstColumn="1" w:lastColumn="0" w:oddVBand="0" w:evenVBand="0" w:oddHBand="0" w:evenHBand="0" w:firstRowFirstColumn="0" w:firstRowLastColumn="0" w:lastRowFirstColumn="0" w:lastRowLastColumn="0"/>
            <w:tcW w:w="1310" w:type="dxa"/>
            <w:tcBorders>
              <w:right w:val="single" w:sz="4" w:space="0" w:color="auto"/>
            </w:tcBorders>
          </w:tcPr>
          <w:p w14:paraId="1AB58B46" w14:textId="27C95255" w:rsidR="00183C06" w:rsidRPr="00183C06" w:rsidRDefault="00183C06" w:rsidP="00183C06">
            <w:pPr>
              <w:spacing w:line="240" w:lineRule="auto"/>
              <w:rPr>
                <w:rFonts w:asciiTheme="minorHAnsi" w:eastAsia="Times New Roman" w:hAnsiTheme="minorHAnsi" w:cs="Segoe UI"/>
                <w:bCs/>
                <w:szCs w:val="22"/>
                <w:lang w:eastAsia="en-AU"/>
              </w:rPr>
            </w:pPr>
            <w:r>
              <w:rPr>
                <w:rFonts w:asciiTheme="minorHAnsi" w:eastAsia="Times New Roman" w:hAnsiTheme="minorHAnsi" w:cs="Segoe UI"/>
                <w:bCs/>
                <w:szCs w:val="22"/>
                <w:lang w:eastAsia="en-AU"/>
              </w:rPr>
              <w:t>Melatonin</w:t>
            </w:r>
          </w:p>
        </w:tc>
        <w:tc>
          <w:tcPr>
            <w:tcW w:w="5386" w:type="dxa"/>
            <w:tcBorders>
              <w:left w:val="single" w:sz="4" w:space="0" w:color="auto"/>
              <w:right w:val="single" w:sz="4" w:space="0" w:color="auto"/>
            </w:tcBorders>
          </w:tcPr>
          <w:p w14:paraId="41ACC004" w14:textId="294946BA" w:rsidR="00183C06" w:rsidRPr="00183C06" w:rsidRDefault="00183C06" w:rsidP="00183C0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bCs/>
                <w:szCs w:val="22"/>
                <w:lang w:eastAsia="en-AU"/>
              </w:rPr>
            </w:pPr>
            <w:r w:rsidRPr="00183C06">
              <w:rPr>
                <w:rFonts w:asciiTheme="minorHAnsi" w:eastAsia="Times New Roman" w:hAnsiTheme="minorHAnsi" w:cs="Segoe UI"/>
                <w:b/>
                <w:bCs/>
                <w:szCs w:val="22"/>
                <w:lang w:eastAsia="en-AU"/>
              </w:rPr>
              <w:t>except</w:t>
            </w:r>
            <w:r w:rsidRPr="00183C06">
              <w:rPr>
                <w:rFonts w:asciiTheme="minorHAnsi" w:eastAsia="Times New Roman" w:hAnsiTheme="minorHAnsi" w:cs="Segoe UI"/>
                <w:szCs w:val="22"/>
                <w:lang w:eastAsia="en-AU"/>
              </w:rPr>
              <w:t> when supplied in medicines for oral use containing 3mg or less per immediate release dose unit, or 2mg or less per modified release dose unit, when sold in the manufacturers original pack that has received consent from the Minister of Health or the Director General for the treatment of primary insomnia for adults aged 55 years or older for up to 13 weeks by a registered pharmacist.</w:t>
            </w:r>
          </w:p>
        </w:tc>
        <w:tc>
          <w:tcPr>
            <w:tcW w:w="2025" w:type="dxa"/>
            <w:tcBorders>
              <w:left w:val="single" w:sz="4" w:space="0" w:color="auto"/>
            </w:tcBorders>
          </w:tcPr>
          <w:p w14:paraId="1B4F2D27" w14:textId="6A3AA802" w:rsidR="00183C06" w:rsidRPr="00183C06" w:rsidRDefault="00183C06" w:rsidP="00183C0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Segoe UI"/>
                <w:bCs/>
                <w:szCs w:val="22"/>
                <w:lang w:eastAsia="en-AU"/>
              </w:rPr>
            </w:pPr>
            <w:r>
              <w:rPr>
                <w:rFonts w:asciiTheme="minorHAnsi" w:eastAsia="Times New Roman" w:hAnsiTheme="minorHAnsi" w:cs="Segoe UI"/>
                <w:bCs/>
                <w:szCs w:val="22"/>
                <w:lang w:eastAsia="en-AU"/>
              </w:rPr>
              <w:t>Prescription</w:t>
            </w:r>
          </w:p>
        </w:tc>
      </w:tr>
    </w:tbl>
    <w:p w14:paraId="45F1961A" w14:textId="744268E3" w:rsidR="00AD69A8" w:rsidRDefault="001C5F86" w:rsidP="00183C06">
      <w:pPr>
        <w:pStyle w:val="ListBullet"/>
        <w:rPr>
          <w:rStyle w:val="Hyperlink"/>
          <w:color w:val="auto"/>
          <w:u w:val="none"/>
        </w:rPr>
      </w:pPr>
      <w:hyperlink r:id="rId88" w:history="1">
        <w:r w:rsidR="00936FD2" w:rsidRPr="00936FD2">
          <w:rPr>
            <w:rStyle w:val="Hyperlink"/>
          </w:rPr>
          <w:t>The Health Products Regulation Agency of Ireland</w:t>
        </w:r>
      </w:hyperlink>
      <w:r w:rsidR="00936FD2">
        <w:rPr>
          <w:rStyle w:val="FootnoteReference"/>
        </w:rPr>
        <w:footnoteReference w:id="60"/>
      </w:r>
      <w:r w:rsidR="00AD69A8" w:rsidRPr="00936FD2">
        <w:rPr>
          <w:rStyle w:val="Hyperlink"/>
          <w:color w:val="auto"/>
          <w:u w:val="none"/>
        </w:rPr>
        <w:t xml:space="preserve"> lists 4 </w:t>
      </w:r>
      <w:r w:rsidR="00AD69A8" w:rsidRPr="00183C06">
        <w:rPr>
          <w:rStyle w:val="Hyperlink"/>
          <w:color w:val="auto"/>
          <w:u w:val="none"/>
        </w:rPr>
        <w:t>medicines</w:t>
      </w:r>
      <w:r w:rsidR="00AD69A8" w:rsidRPr="00936FD2">
        <w:rPr>
          <w:rStyle w:val="Hyperlink"/>
          <w:color w:val="auto"/>
          <w:u w:val="none"/>
        </w:rPr>
        <w:t xml:space="preserve"> with melatonin as active ingredient </w:t>
      </w:r>
      <w:r w:rsidR="00936FD2" w:rsidRPr="00936FD2">
        <w:rPr>
          <w:rStyle w:val="Hyperlink"/>
          <w:color w:val="auto"/>
          <w:u w:val="none"/>
        </w:rPr>
        <w:t>on their database. All are prescription</w:t>
      </w:r>
      <w:r w:rsidR="00A650EF">
        <w:rPr>
          <w:rStyle w:val="Hyperlink"/>
          <w:color w:val="auto"/>
          <w:u w:val="none"/>
        </w:rPr>
        <w:t>-only</w:t>
      </w:r>
      <w:r w:rsidR="00936FD2" w:rsidRPr="00936FD2">
        <w:rPr>
          <w:rStyle w:val="Hyperlink"/>
          <w:color w:val="auto"/>
          <w:u w:val="none"/>
        </w:rPr>
        <w:t xml:space="preserve"> medicines</w:t>
      </w:r>
      <w:r w:rsidR="00911517">
        <w:rPr>
          <w:rStyle w:val="Hyperlink"/>
          <w:color w:val="auto"/>
          <w:u w:val="none"/>
        </w:rPr>
        <w:t xml:space="preserve"> -</w:t>
      </w:r>
      <w:r w:rsidR="00A650EF">
        <w:rPr>
          <w:rStyle w:val="Hyperlink"/>
          <w:color w:val="auto"/>
          <w:u w:val="none"/>
        </w:rPr>
        <w:t xml:space="preserve"> three </w:t>
      </w:r>
      <w:r w:rsidR="00936FD2" w:rsidRPr="00936FD2">
        <w:rPr>
          <w:rStyle w:val="Hyperlink"/>
          <w:color w:val="auto"/>
          <w:u w:val="none"/>
        </w:rPr>
        <w:t>modified or prolonged release products</w:t>
      </w:r>
      <w:r w:rsidR="00A650EF">
        <w:rPr>
          <w:rStyle w:val="Hyperlink"/>
          <w:color w:val="auto"/>
          <w:u w:val="none"/>
        </w:rPr>
        <w:t>, and one immediate release</w:t>
      </w:r>
      <w:r w:rsidR="00936FD2" w:rsidRPr="00936FD2">
        <w:rPr>
          <w:rStyle w:val="Hyperlink"/>
          <w:color w:val="auto"/>
          <w:u w:val="none"/>
        </w:rPr>
        <w:t xml:space="preserve">. </w:t>
      </w:r>
    </w:p>
    <w:p w14:paraId="4A31C68B" w14:textId="2E99388E" w:rsidR="002516EC" w:rsidRPr="00936FD2" w:rsidRDefault="001C5F86" w:rsidP="00183C06">
      <w:pPr>
        <w:pStyle w:val="ListBullet"/>
        <w:rPr>
          <w:rStyle w:val="Hyperlink"/>
          <w:color w:val="auto"/>
          <w:u w:val="none"/>
        </w:rPr>
      </w:pPr>
      <w:hyperlink r:id="rId89" w:history="1">
        <w:r w:rsidR="002516EC" w:rsidRPr="00454E20">
          <w:rPr>
            <w:rStyle w:val="Hyperlink"/>
          </w:rPr>
          <w:t xml:space="preserve">Health Products Canada </w:t>
        </w:r>
        <w:r w:rsidR="00896BC4" w:rsidRPr="00454E20">
          <w:rPr>
            <w:rStyle w:val="Hyperlink"/>
          </w:rPr>
          <w:t>databas</w:t>
        </w:r>
        <w:r w:rsidR="00454E20" w:rsidRPr="00454E20">
          <w:rPr>
            <w:rStyle w:val="Hyperlink"/>
          </w:rPr>
          <w:t>e</w:t>
        </w:r>
        <w:r w:rsidR="00454E20" w:rsidRPr="0011349B">
          <w:rPr>
            <w:rStyle w:val="FootnoteReference"/>
          </w:rPr>
          <w:footnoteReference w:id="61"/>
        </w:r>
        <w:r w:rsidR="00454E20" w:rsidRPr="0011349B">
          <w:rPr>
            <w:rStyle w:val="Hyperlink"/>
            <w:u w:val="none"/>
          </w:rPr>
          <w:t xml:space="preserve"> </w:t>
        </w:r>
      </w:hyperlink>
      <w:r w:rsidR="00A650EF">
        <w:rPr>
          <w:rStyle w:val="Hyperlink"/>
          <w:color w:val="auto"/>
          <w:u w:val="none"/>
        </w:rPr>
        <w:t>includes one product</w:t>
      </w:r>
      <w:r w:rsidR="00454E20">
        <w:rPr>
          <w:rStyle w:val="Hyperlink"/>
          <w:color w:val="auto"/>
          <w:u w:val="none"/>
        </w:rPr>
        <w:t xml:space="preserve"> </w:t>
      </w:r>
      <w:r w:rsidR="00A650EF">
        <w:rPr>
          <w:rStyle w:val="Hyperlink"/>
          <w:color w:val="auto"/>
          <w:u w:val="none"/>
        </w:rPr>
        <w:t>containing m</w:t>
      </w:r>
      <w:r w:rsidR="00454E20">
        <w:rPr>
          <w:rStyle w:val="Hyperlink"/>
          <w:color w:val="auto"/>
          <w:u w:val="none"/>
        </w:rPr>
        <w:t>elatonin which is a</w:t>
      </w:r>
      <w:r w:rsidR="00A650EF">
        <w:rPr>
          <w:rStyle w:val="Hyperlink"/>
          <w:color w:val="auto"/>
          <w:u w:val="none"/>
        </w:rPr>
        <w:t>vailable</w:t>
      </w:r>
      <w:r w:rsidR="00454E20">
        <w:rPr>
          <w:rStyle w:val="Hyperlink"/>
          <w:color w:val="auto"/>
          <w:u w:val="none"/>
        </w:rPr>
        <w:t xml:space="preserve"> OTC for veterinary use only. </w:t>
      </w:r>
      <w:r w:rsidR="004D144F" w:rsidRPr="00183C06">
        <w:rPr>
          <w:rStyle w:val="Hyperlink"/>
          <w:color w:val="auto"/>
          <w:u w:val="none"/>
        </w:rPr>
        <w:t>However</w:t>
      </w:r>
      <w:r w:rsidR="004D144F">
        <w:rPr>
          <w:rStyle w:val="Hyperlink"/>
          <w:color w:val="auto"/>
          <w:u w:val="none"/>
        </w:rPr>
        <w:t xml:space="preserve">, on </w:t>
      </w:r>
      <w:r w:rsidR="00A650EF">
        <w:rPr>
          <w:rStyle w:val="Hyperlink"/>
          <w:color w:val="auto"/>
          <w:u w:val="none"/>
        </w:rPr>
        <w:t>a</w:t>
      </w:r>
      <w:r w:rsidR="004D144F">
        <w:rPr>
          <w:rStyle w:val="Hyperlink"/>
          <w:color w:val="auto"/>
          <w:u w:val="none"/>
        </w:rPr>
        <w:t xml:space="preserve"> </w:t>
      </w:r>
      <w:hyperlink r:id="rId90" w:history="1">
        <w:proofErr w:type="spellStart"/>
        <w:r w:rsidR="00A650EF">
          <w:rPr>
            <w:rStyle w:val="Hyperlink"/>
          </w:rPr>
          <w:t>MedEffect</w:t>
        </w:r>
        <w:proofErr w:type="spellEnd"/>
      </w:hyperlink>
      <w:r w:rsidR="004D144F">
        <w:rPr>
          <w:rStyle w:val="FootnoteReference"/>
        </w:rPr>
        <w:footnoteReference w:id="62"/>
      </w:r>
      <w:r w:rsidR="00A650EF" w:rsidRPr="00911517">
        <w:rPr>
          <w:rStyle w:val="Hyperlink"/>
          <w:color w:val="auto"/>
          <w:u w:val="none"/>
        </w:rPr>
        <w:t xml:space="preserve"> safety review for melatonin</w:t>
      </w:r>
      <w:r w:rsidR="004D144F">
        <w:rPr>
          <w:rStyle w:val="Hyperlink"/>
          <w:color w:val="auto"/>
          <w:u w:val="none"/>
        </w:rPr>
        <w:t xml:space="preserve"> it states that </w:t>
      </w:r>
      <w:r w:rsidR="00A650EF">
        <w:rPr>
          <w:rStyle w:val="Hyperlink"/>
          <w:color w:val="auto"/>
          <w:u w:val="none"/>
        </w:rPr>
        <w:t xml:space="preserve">it </w:t>
      </w:r>
      <w:r w:rsidR="004D144F">
        <w:rPr>
          <w:rStyle w:val="Hyperlink"/>
          <w:color w:val="auto"/>
          <w:u w:val="none"/>
        </w:rPr>
        <w:t>is used in adults, adolescents, and children with sleep problems as an OTC natural health product</w:t>
      </w:r>
      <w:r w:rsidR="00A650EF">
        <w:rPr>
          <w:rStyle w:val="Hyperlink"/>
          <w:color w:val="auto"/>
          <w:u w:val="none"/>
        </w:rPr>
        <w:t>,</w:t>
      </w:r>
      <w:r w:rsidR="004D144F">
        <w:rPr>
          <w:rStyle w:val="Hyperlink"/>
          <w:color w:val="auto"/>
          <w:u w:val="none"/>
        </w:rPr>
        <w:t xml:space="preserve"> but recommends seeking health professional advice before giving it to children. Over 500 natural health products that include melatonin have been licenced by Health Canada available in a variety of forms including, capsules, sublingual, liquids, and gums. </w:t>
      </w:r>
    </w:p>
    <w:p w14:paraId="7AC4E2F2" w14:textId="77777777" w:rsidR="0029541B" w:rsidRDefault="0029541B" w:rsidP="0029541B">
      <w:pPr>
        <w:pStyle w:val="Heading2"/>
      </w:pPr>
      <w:bookmarkStart w:id="68" w:name="_Toc112833641"/>
      <w:r>
        <w:lastRenderedPageBreak/>
        <w:t>Proposed amendments referred for scheduling advice to the Joint ACMS-ACCS meeting #32</w:t>
      </w:r>
      <w:bookmarkEnd w:id="68"/>
    </w:p>
    <w:p w14:paraId="6E435160" w14:textId="77777777" w:rsidR="0029541B" w:rsidRDefault="0029541B" w:rsidP="0029541B">
      <w:pPr>
        <w:pStyle w:val="Heading3"/>
        <w:numPr>
          <w:ilvl w:val="0"/>
          <w:numId w:val="0"/>
        </w:numPr>
        <w:ind w:left="576" w:hanging="576"/>
      </w:pPr>
      <w:bookmarkStart w:id="69" w:name="_How_to_respond"/>
      <w:bookmarkStart w:id="70" w:name="_Toc112833642"/>
      <w:bookmarkEnd w:id="69"/>
      <w:r>
        <w:t>Green tea extract</w:t>
      </w:r>
      <w:bookmarkEnd w:id="70"/>
    </w:p>
    <w:p w14:paraId="2795CCA2" w14:textId="77777777" w:rsidR="0029541B" w:rsidRDefault="0029541B" w:rsidP="0029541B">
      <w:pPr>
        <w:pStyle w:val="Heading4"/>
      </w:pPr>
      <w:bookmarkStart w:id="71" w:name="_Toc112833643"/>
      <w:bookmarkStart w:id="72" w:name="_Toc74743281"/>
      <w:r>
        <w:t>Proposal</w:t>
      </w:r>
      <w:bookmarkEnd w:id="71"/>
    </w:p>
    <w:p w14:paraId="38D826F6" w14:textId="77777777" w:rsidR="0029541B" w:rsidRDefault="0029541B" w:rsidP="0029541B">
      <w:r>
        <w:t>The applicant has proposed that a new Schedule 2 entry for green tea extract be included in the Poisons Standard in preparations for internal use, unless they are labelled with specified warning statements. This amendment would remove green tea products not bearing the specified warning labels from general sale.</w:t>
      </w:r>
    </w:p>
    <w:p w14:paraId="575B897A" w14:textId="77777777" w:rsidR="0029541B" w:rsidRDefault="0029541B" w:rsidP="0029541B">
      <w:pPr>
        <w:pStyle w:val="Heading4"/>
      </w:pPr>
      <w:bookmarkStart w:id="73" w:name="_Toc112833644"/>
      <w:r>
        <w:t>CAS Number</w:t>
      </w:r>
      <w:bookmarkEnd w:id="72"/>
      <w:bookmarkEnd w:id="73"/>
    </w:p>
    <w:p w14:paraId="6DB5EC8D" w14:textId="77777777" w:rsidR="0029541B" w:rsidRDefault="0029541B" w:rsidP="0029541B">
      <w:r>
        <w:t xml:space="preserve">N/A </w:t>
      </w:r>
    </w:p>
    <w:p w14:paraId="7740D840" w14:textId="77777777" w:rsidR="0029541B" w:rsidRDefault="0029541B" w:rsidP="0029541B">
      <w:pPr>
        <w:pStyle w:val="Heading4"/>
      </w:pPr>
      <w:bookmarkStart w:id="74" w:name="_Toc74743282"/>
      <w:bookmarkStart w:id="75" w:name="_Toc112833645"/>
      <w:r>
        <w:t>Alternative names</w:t>
      </w:r>
      <w:bookmarkEnd w:id="74"/>
      <w:bookmarkEnd w:id="75"/>
    </w:p>
    <w:p w14:paraId="0DB51959" w14:textId="77777777" w:rsidR="0029541B" w:rsidRDefault="0029541B" w:rsidP="0029541B">
      <w:r>
        <w:t>Camellia sinensis</w:t>
      </w:r>
    </w:p>
    <w:p w14:paraId="779A15D0" w14:textId="77777777" w:rsidR="0029541B" w:rsidRDefault="0029541B" w:rsidP="0029541B">
      <w:r>
        <w:t xml:space="preserve">Thea sinensis </w:t>
      </w:r>
    </w:p>
    <w:p w14:paraId="6D43CC63" w14:textId="77777777" w:rsidR="0029541B" w:rsidRDefault="0029541B" w:rsidP="0029541B">
      <w:r>
        <w:t xml:space="preserve">Common tea </w:t>
      </w:r>
    </w:p>
    <w:p w14:paraId="5D04EDAC" w14:textId="77777777" w:rsidR="0029541B" w:rsidRDefault="0029541B" w:rsidP="0029541B">
      <w:r>
        <w:t xml:space="preserve">Green tea </w:t>
      </w:r>
    </w:p>
    <w:p w14:paraId="211EB521" w14:textId="77777777" w:rsidR="0029541B" w:rsidRDefault="0029541B" w:rsidP="0029541B">
      <w:r>
        <w:t xml:space="preserve">Camellia </w:t>
      </w:r>
      <w:proofErr w:type="spellStart"/>
      <w:r>
        <w:t>thea</w:t>
      </w:r>
      <w:proofErr w:type="spellEnd"/>
    </w:p>
    <w:p w14:paraId="32177E11" w14:textId="77777777" w:rsidR="0029541B" w:rsidRDefault="0029541B" w:rsidP="0029541B">
      <w:pPr>
        <w:pStyle w:val="Heading4"/>
      </w:pPr>
      <w:bookmarkStart w:id="76" w:name="_Toc74743283"/>
      <w:bookmarkStart w:id="77" w:name="_Toc112833646"/>
      <w:r>
        <w:t>Applicant</w:t>
      </w:r>
      <w:bookmarkEnd w:id="76"/>
      <w:bookmarkEnd w:id="77"/>
    </w:p>
    <w:p w14:paraId="4A4C2C2A" w14:textId="77777777" w:rsidR="0029541B" w:rsidRDefault="0029541B" w:rsidP="0029541B">
      <w:r>
        <w:t>The Department of Health and Aged Care</w:t>
      </w:r>
    </w:p>
    <w:p w14:paraId="674726DD" w14:textId="77777777" w:rsidR="0029541B" w:rsidRDefault="0029541B" w:rsidP="0029541B">
      <w:pPr>
        <w:pStyle w:val="Heading4"/>
      </w:pPr>
      <w:bookmarkStart w:id="78" w:name="_Toc74743286"/>
      <w:bookmarkStart w:id="79" w:name="_Toc112833647"/>
      <w:bookmarkStart w:id="80" w:name="_Toc74743284"/>
      <w:r>
        <w:t>Current scheduling</w:t>
      </w:r>
      <w:bookmarkEnd w:id="78"/>
      <w:bookmarkEnd w:id="79"/>
    </w:p>
    <w:p w14:paraId="2FAAE3CC" w14:textId="77777777" w:rsidR="0029541B" w:rsidRDefault="0029541B" w:rsidP="0029541B">
      <w:pPr>
        <w:rPr>
          <w:rFonts w:cstheme="minorHAnsi"/>
        </w:rPr>
      </w:pPr>
      <w:r>
        <w:rPr>
          <w:rFonts w:cstheme="minorHAnsi"/>
        </w:rPr>
        <w:t>Green tea extract is not specifically scheduled in the current Poisons Standard.</w:t>
      </w:r>
    </w:p>
    <w:p w14:paraId="49F1D815" w14:textId="77777777" w:rsidR="0029541B" w:rsidRDefault="0029541B" w:rsidP="0029541B">
      <w:pPr>
        <w:pStyle w:val="Heading4"/>
      </w:pPr>
      <w:bookmarkStart w:id="81" w:name="_Toc112833648"/>
      <w:r>
        <w:t>Proposed scheduling</w:t>
      </w:r>
      <w:bookmarkEnd w:id="80"/>
      <w:bookmarkEnd w:id="81"/>
    </w:p>
    <w:p w14:paraId="5DFB88B3" w14:textId="77777777" w:rsidR="0029541B" w:rsidRPr="000C6BDC" w:rsidRDefault="0029541B" w:rsidP="0029541B">
      <w:pPr>
        <w:ind w:left="426"/>
      </w:pPr>
      <w:bookmarkStart w:id="82" w:name="_Toc107913645"/>
      <w:bookmarkStart w:id="83" w:name="_Toc74743285"/>
      <w:r w:rsidRPr="000C6BDC">
        <w:rPr>
          <w:b/>
          <w:bCs/>
        </w:rPr>
        <w:t>Schedule 2</w:t>
      </w:r>
      <w:r w:rsidRPr="000C6BDC">
        <w:t xml:space="preserve"> </w:t>
      </w:r>
      <w:r w:rsidRPr="00AB1FBD">
        <w:rPr>
          <w:b/>
          <w:bCs/>
        </w:rPr>
        <w:t>– Proposed New Entry</w:t>
      </w:r>
      <w:bookmarkEnd w:id="82"/>
    </w:p>
    <w:p w14:paraId="15B82A86" w14:textId="77777777" w:rsidR="0029541B" w:rsidRPr="005F0505" w:rsidRDefault="0029541B" w:rsidP="0029541B">
      <w:pPr>
        <w:ind w:left="709"/>
        <w:rPr>
          <w:color w:val="00B050"/>
        </w:rPr>
      </w:pPr>
      <w:r w:rsidRPr="005F0505">
        <w:rPr>
          <w:color w:val="00B050"/>
        </w:rPr>
        <w:t>GREEN TEA EXTRACT (</w:t>
      </w:r>
      <w:r w:rsidRPr="005F0505">
        <w:rPr>
          <w:i/>
          <w:iCs/>
          <w:color w:val="00B050"/>
        </w:rPr>
        <w:t>Camellia sinensis</w:t>
      </w:r>
      <w:r w:rsidRPr="005F0505">
        <w:rPr>
          <w:color w:val="00B050"/>
        </w:rPr>
        <w:t xml:space="preserve">) for internal use </w:t>
      </w:r>
      <w:r w:rsidRPr="005F0505">
        <w:rPr>
          <w:b/>
          <w:bCs/>
          <w:color w:val="00B050"/>
        </w:rPr>
        <w:t>except</w:t>
      </w:r>
      <w:r w:rsidRPr="005F0505">
        <w:rPr>
          <w:color w:val="00B050"/>
        </w:rPr>
        <w:t xml:space="preserve"> </w:t>
      </w:r>
    </w:p>
    <w:p w14:paraId="554414F2" w14:textId="77777777" w:rsidR="0029541B" w:rsidRPr="00D26114" w:rsidRDefault="0029541B" w:rsidP="008E48A7">
      <w:pPr>
        <w:pStyle w:val="ListBulleta"/>
        <w:numPr>
          <w:ilvl w:val="0"/>
          <w:numId w:val="48"/>
        </w:numPr>
        <w:rPr>
          <w:color w:val="00B050"/>
        </w:rPr>
      </w:pPr>
      <w:r w:rsidRPr="00D26114">
        <w:rPr>
          <w:color w:val="00B050"/>
        </w:rPr>
        <w:t>when present as an excipient in preparations containing 5 per cent or less of green tea extract; or</w:t>
      </w:r>
    </w:p>
    <w:p w14:paraId="2FE45F95" w14:textId="77777777" w:rsidR="0029541B" w:rsidRPr="00D26114" w:rsidRDefault="0029541B" w:rsidP="008E48A7">
      <w:pPr>
        <w:pStyle w:val="ListBulleta"/>
        <w:numPr>
          <w:ilvl w:val="0"/>
          <w:numId w:val="48"/>
        </w:numPr>
        <w:rPr>
          <w:color w:val="00B050"/>
        </w:rPr>
      </w:pPr>
      <w:r w:rsidRPr="00D26114">
        <w:rPr>
          <w:color w:val="00B050"/>
        </w:rPr>
        <w:t>when labelled with the warnings:</w:t>
      </w:r>
    </w:p>
    <w:p w14:paraId="67339E89" w14:textId="77777777" w:rsidR="0029541B" w:rsidRDefault="0029541B" w:rsidP="0029541B">
      <w:pPr>
        <w:ind w:left="2552"/>
        <w:rPr>
          <w:color w:val="00B050"/>
        </w:rPr>
      </w:pPr>
      <w:r>
        <w:rPr>
          <w:color w:val="00B050"/>
        </w:rPr>
        <w:t>“Take with food.”; and</w:t>
      </w:r>
    </w:p>
    <w:p w14:paraId="4255CB94" w14:textId="77777777" w:rsidR="0029541B" w:rsidRDefault="0029541B" w:rsidP="0029541B">
      <w:pPr>
        <w:ind w:left="2552"/>
        <w:rPr>
          <w:color w:val="00B050"/>
        </w:rPr>
      </w:pPr>
      <w:r>
        <w:rPr>
          <w:color w:val="00B050"/>
        </w:rPr>
        <w:t>“WARNING: Green tea extract (</w:t>
      </w:r>
      <w:r>
        <w:rPr>
          <w:i/>
          <w:iCs/>
          <w:color w:val="00B050"/>
        </w:rPr>
        <w:t>Camellia sinensis</w:t>
      </w:r>
      <w:r>
        <w:rPr>
          <w:color w:val="00B050"/>
        </w:rPr>
        <w:t xml:space="preserve">) may harm the liver in some people. If you experience yellowing of the skin/eyes, dark urine, discoloured stool, nausea, vomiting, unusual tiredness, </w:t>
      </w:r>
      <w:r>
        <w:rPr>
          <w:color w:val="00B050"/>
        </w:rPr>
        <w:lastRenderedPageBreak/>
        <w:t>weakness, abdominal pain, and/or loss of appetite, stop using this product and see your doctor.”</w:t>
      </w:r>
    </w:p>
    <w:p w14:paraId="706FD67D" w14:textId="77777777" w:rsidR="0029541B" w:rsidRPr="000C6BDC" w:rsidRDefault="0029541B" w:rsidP="0029541B">
      <w:pPr>
        <w:ind w:left="426"/>
      </w:pPr>
      <w:bookmarkStart w:id="84" w:name="_Toc107913647"/>
      <w:r w:rsidRPr="000C6BDC">
        <w:rPr>
          <w:b/>
          <w:bCs/>
        </w:rPr>
        <w:t>Index</w:t>
      </w:r>
      <w:r w:rsidRPr="000C6BDC">
        <w:t xml:space="preserve"> </w:t>
      </w:r>
      <w:r w:rsidRPr="00AB1FBD">
        <w:rPr>
          <w:b/>
          <w:bCs/>
        </w:rPr>
        <w:t>– New Entry</w:t>
      </w:r>
      <w:bookmarkEnd w:id="84"/>
    </w:p>
    <w:p w14:paraId="0D845E91" w14:textId="77777777" w:rsidR="0029541B" w:rsidRDefault="0029541B" w:rsidP="0029541B">
      <w:pPr>
        <w:ind w:left="720"/>
        <w:rPr>
          <w:color w:val="00B050"/>
        </w:rPr>
      </w:pPr>
      <w:r w:rsidRPr="000C6BDC">
        <w:rPr>
          <w:b/>
          <w:bCs/>
          <w:color w:val="00B050"/>
        </w:rPr>
        <w:t>GREEN TEA EXTRACT</w:t>
      </w:r>
      <w:r>
        <w:rPr>
          <w:color w:val="00B050"/>
        </w:rPr>
        <w:br/>
        <w:t xml:space="preserve">cross reference: </w:t>
      </w:r>
      <w:r w:rsidRPr="00EB3680">
        <w:rPr>
          <w:color w:val="00B050"/>
        </w:rPr>
        <w:t>CAMELLIA SINENSIS</w:t>
      </w:r>
    </w:p>
    <w:p w14:paraId="2A2C9C8C" w14:textId="77777777" w:rsidR="0029541B" w:rsidRDefault="0029541B" w:rsidP="0029541B">
      <w:pPr>
        <w:ind w:firstLine="720"/>
        <w:rPr>
          <w:color w:val="00B050"/>
        </w:rPr>
      </w:pPr>
      <w:r>
        <w:rPr>
          <w:color w:val="00B050"/>
        </w:rPr>
        <w:t>Schedule 2</w:t>
      </w:r>
    </w:p>
    <w:p w14:paraId="0C7E5F5C" w14:textId="77777777" w:rsidR="0029541B" w:rsidRDefault="0029541B" w:rsidP="0029541B">
      <w:pPr>
        <w:pStyle w:val="Heading4"/>
      </w:pPr>
      <w:bookmarkStart w:id="85" w:name="_Toc112833649"/>
      <w:r>
        <w:t>Background</w:t>
      </w:r>
      <w:bookmarkEnd w:id="85"/>
    </w:p>
    <w:p w14:paraId="671CFE3F" w14:textId="77777777" w:rsidR="0029541B" w:rsidRDefault="0029541B" w:rsidP="0029541B">
      <w:r>
        <w:t xml:space="preserve">The fermentation of </w:t>
      </w:r>
      <w:r>
        <w:rPr>
          <w:i/>
          <w:iCs/>
        </w:rPr>
        <w:t>Camellia sinensis</w:t>
      </w:r>
      <w:r>
        <w:t xml:space="preserve"> results in the oxidisation of catechins into condensed polymeric compounds, which can be purified and concentrated to be used as green tea extracts.  The two key bioactive molecules in green tea are methylxanthines alkaloids and polyphenols, of which epigallocatechin-3-gallate (EGCG) is the most abundant, holds the highest antioxidant potential, and is therefore considered the most biologically active antioxidant constituent of tea. In products that are currently available in Australia, extract levels of EGCG have been reported at levels of 50 per cent and 98 per cent. The constituents of materials referred to as “green tea extracts” can vary considerably, and often can be related to whether the substance is to be used as an active ingredient or an excipient.</w:t>
      </w:r>
    </w:p>
    <w:p w14:paraId="5E52AF12" w14:textId="77777777" w:rsidR="0029541B" w:rsidRDefault="0029541B" w:rsidP="0029541B">
      <w:r>
        <w:t xml:space="preserve">Green tea extract is found in different types of therapeutic goods and foods, in particular products broadly characterised as sports supplements. Food Standards Australia New Zealand (FSANZ) currently allows tea as the product made from the leaves and buds of </w:t>
      </w:r>
      <w:r>
        <w:rPr>
          <w:i/>
          <w:iCs/>
        </w:rPr>
        <w:t xml:space="preserve">Camellia sinensis </w:t>
      </w:r>
      <w:r>
        <w:t xml:space="preserve">(of a single type or several varieties), however green tea extracts are not permitted to be used in foods. </w:t>
      </w:r>
    </w:p>
    <w:p w14:paraId="25132CDE" w14:textId="77777777" w:rsidR="0029541B" w:rsidRDefault="0029541B" w:rsidP="0029541B">
      <w:r>
        <w:t xml:space="preserve">In 2018 the Department of Health (now the Department of Health and Aged Care) conducted a review to ascertain the association of hepatotoxicity in adverse events reported following the use of Australian medicines that contained </w:t>
      </w:r>
      <w:r w:rsidRPr="00B76B2E">
        <w:t>green tea extract</w:t>
      </w:r>
      <w:r>
        <w:rPr>
          <w:i/>
          <w:iCs/>
        </w:rPr>
        <w:t xml:space="preserve">. </w:t>
      </w:r>
      <w:r>
        <w:t>This review was supported by an earlier review conducted by Health Canada regarding Canadian medicines in 2017.</w:t>
      </w:r>
      <w:r>
        <w:rPr>
          <w:rStyle w:val="FootnoteReference"/>
        </w:rPr>
        <w:footnoteReference w:id="63"/>
      </w:r>
      <w:r>
        <w:t xml:space="preserve"> Following the evaluation from the Department of Health, the European Food Safety Authority (EFSA) published a review that established EGCG’s capability of inducing dose-dependent liver-associated injuries. </w:t>
      </w:r>
    </w:p>
    <w:p w14:paraId="6BAD06A1" w14:textId="77777777" w:rsidR="0029541B" w:rsidRDefault="0029541B" w:rsidP="0029541B">
      <w:pPr>
        <w:pStyle w:val="Heading4"/>
      </w:pPr>
      <w:bookmarkStart w:id="86" w:name="_Toc112833650"/>
      <w:r w:rsidRPr="00936C36">
        <w:t>Summary of applicant’s reasons for the proposal</w:t>
      </w:r>
      <w:bookmarkEnd w:id="83"/>
      <w:bookmarkEnd w:id="86"/>
    </w:p>
    <w:p w14:paraId="67E4415A" w14:textId="77777777" w:rsidR="0029541B" w:rsidRDefault="0029541B" w:rsidP="0029541B">
      <w:pPr>
        <w:pStyle w:val="ListBullet"/>
      </w:pPr>
      <w:r>
        <w:t xml:space="preserve">Reviews have found evidence that green tea extracts in products such as sports supplements (some of which may in law be medicines despite not being included in the Australian Register of Therapeutic Goods (ARTG)) pose a risk for hepatotoxicity in consumers. </w:t>
      </w:r>
    </w:p>
    <w:p w14:paraId="3AAC0511" w14:textId="77777777" w:rsidR="0029541B" w:rsidRPr="00606A32" w:rsidRDefault="0029541B" w:rsidP="0029541B">
      <w:pPr>
        <w:pStyle w:val="ListBullet"/>
      </w:pPr>
      <w:r>
        <w:t xml:space="preserve">The proposed Poisons Standard amendment will </w:t>
      </w:r>
      <w:r w:rsidRPr="00606A32">
        <w:t>raise awareness of early warning signs for liver damage</w:t>
      </w:r>
      <w:r>
        <w:t xml:space="preserve"> to mitigate the hepatotoxicity risk for certain preparations purchased by general sale</w:t>
      </w:r>
      <w:r w:rsidRPr="00606A32">
        <w:t xml:space="preserve">. The warning statements </w:t>
      </w:r>
      <w:r>
        <w:t xml:space="preserve">included in the proposal </w:t>
      </w:r>
      <w:r w:rsidRPr="00606A32">
        <w:t>are to be included in the Poisons Standard rather than the Required Advisory Statements of Medicines Labels (RASML). This is to ensure clarity that the warning statements will capture all products</w:t>
      </w:r>
      <w:r>
        <w:t xml:space="preserve"> for internal use </w:t>
      </w:r>
      <w:r w:rsidRPr="00606A32">
        <w:t>containing this substance</w:t>
      </w:r>
      <w:r>
        <w:t xml:space="preserve"> (except products that are, in law, food) </w:t>
      </w:r>
      <w:proofErr w:type="gramStart"/>
      <w:r>
        <w:t>whether or not</w:t>
      </w:r>
      <w:proofErr w:type="gramEnd"/>
      <w:r>
        <w:t xml:space="preserve"> they are entered in the ARTG</w:t>
      </w:r>
      <w:r w:rsidRPr="00606A32">
        <w:t xml:space="preserve">. </w:t>
      </w:r>
    </w:p>
    <w:p w14:paraId="744B422D" w14:textId="77777777" w:rsidR="0029541B" w:rsidRDefault="0029541B" w:rsidP="0029541B">
      <w:pPr>
        <w:pStyle w:val="ListBullet"/>
      </w:pPr>
      <w:r w:rsidRPr="00606A32">
        <w:t xml:space="preserve">If the proposal is to be accepted and green tea </w:t>
      </w:r>
      <w:r>
        <w:t xml:space="preserve">extract </w:t>
      </w:r>
      <w:r w:rsidRPr="00606A32">
        <w:t xml:space="preserve">were to be included in the Poisons Standard, several </w:t>
      </w:r>
      <w:r w:rsidRPr="00BF3850">
        <w:t>supplements</w:t>
      </w:r>
      <w:r w:rsidRPr="00606A32">
        <w:t xml:space="preserve"> would subsequently be regulated as therapeutic goods as per </w:t>
      </w:r>
      <w:r w:rsidRPr="00606A32">
        <w:lastRenderedPageBreak/>
        <w:t>the</w:t>
      </w:r>
      <w:r>
        <w:t xml:space="preserve"> </w:t>
      </w:r>
      <w:r w:rsidRPr="00606A32">
        <w:t>Therapeutic Goods (Declared Goods) Order 2019 Schedule 1, part</w:t>
      </w:r>
      <w:r>
        <w:t xml:space="preserve"> 2.</w:t>
      </w:r>
      <w:r w:rsidRPr="00606A32">
        <w:t xml:space="preserve"> </w:t>
      </w:r>
      <w:bookmarkStart w:id="87" w:name="_Toc74743287"/>
      <w:r>
        <w:t xml:space="preserve">Products containing </w:t>
      </w:r>
      <w:r w:rsidRPr="00EB3680">
        <w:t>green tea</w:t>
      </w:r>
      <w:r>
        <w:t xml:space="preserve"> extract usually make low-level claims and risks of overuse can be mitigated with the relevant labels and safety warnings. The label statements proposed alerts consumers to the early warning signs of hepatotoxicity and can reduce the risk and severity of potential harm, which is usually reversible with early cessation of use or medical intervention. </w:t>
      </w:r>
    </w:p>
    <w:p w14:paraId="0636B2DC" w14:textId="77777777" w:rsidR="0029541B" w:rsidRPr="00606A32" w:rsidRDefault="0029541B" w:rsidP="0029541B">
      <w:pPr>
        <w:pStyle w:val="Heading4"/>
      </w:pPr>
      <w:bookmarkStart w:id="88" w:name="_Toc112833651"/>
      <w:r>
        <w:t>Key uses / expected use</w:t>
      </w:r>
      <w:bookmarkEnd w:id="87"/>
      <w:bookmarkEnd w:id="88"/>
    </w:p>
    <w:p w14:paraId="7B7854CB" w14:textId="77777777" w:rsidR="0029541B" w:rsidRDefault="0029541B" w:rsidP="0029541B">
      <w:r>
        <w:t xml:space="preserve">Medicines, cosmetics, sports supplements, foods, flavours, and antioxidants. </w:t>
      </w:r>
    </w:p>
    <w:p w14:paraId="5259FCC3" w14:textId="77777777" w:rsidR="0029541B" w:rsidRDefault="0029541B" w:rsidP="0029541B">
      <w:pPr>
        <w:pStyle w:val="Heading4"/>
      </w:pPr>
      <w:bookmarkStart w:id="89" w:name="_Toc74743288"/>
      <w:bookmarkStart w:id="90" w:name="_Toc112833652"/>
      <w:r>
        <w:t>Australian regulations</w:t>
      </w:r>
      <w:bookmarkEnd w:id="89"/>
      <w:bookmarkEnd w:id="90"/>
      <w:r>
        <w:t xml:space="preserve"> </w:t>
      </w:r>
    </w:p>
    <w:p w14:paraId="614298FC" w14:textId="77777777" w:rsidR="0029541B" w:rsidRDefault="0029541B" w:rsidP="008E48A7">
      <w:pPr>
        <w:pStyle w:val="ListBullet"/>
        <w:numPr>
          <w:ilvl w:val="0"/>
          <w:numId w:val="32"/>
        </w:numPr>
      </w:pPr>
      <w:r>
        <w:t xml:space="preserve">According to the </w:t>
      </w:r>
      <w:hyperlink r:id="rId91" w:history="1">
        <w:r>
          <w:rPr>
            <w:rStyle w:val="Hyperlink"/>
          </w:rPr>
          <w:t>TGA Ingredient Database</w:t>
        </w:r>
      </w:hyperlink>
      <w:r>
        <w:t>,</w:t>
      </w:r>
      <w:r>
        <w:rPr>
          <w:rStyle w:val="FootnoteReference"/>
        </w:rPr>
        <w:footnoteReference w:id="64"/>
      </w:r>
      <w:r>
        <w:t xml:space="preserve"> Green tea is:</w:t>
      </w:r>
    </w:p>
    <w:p w14:paraId="52F3D4B6" w14:textId="77777777" w:rsidR="0029541B" w:rsidRDefault="0029541B" w:rsidP="0029541B">
      <w:pPr>
        <w:pStyle w:val="ListBullet2"/>
      </w:pPr>
      <w:r>
        <w:t>Available for use as an Active Ingredient in Export Only, Listed Medicines, Over the Counter, Prescription Medicines</w:t>
      </w:r>
    </w:p>
    <w:p w14:paraId="6F3429CC" w14:textId="77777777" w:rsidR="0029541B" w:rsidRDefault="0029541B" w:rsidP="0029541B">
      <w:pPr>
        <w:pStyle w:val="ListBullet2"/>
      </w:pPr>
      <w:r>
        <w:t>Also available for use as a Homoeopathic Ingredient in Listed Medicines</w:t>
      </w:r>
    </w:p>
    <w:p w14:paraId="3F347597" w14:textId="77777777" w:rsidR="0029541B" w:rsidRDefault="0029541B" w:rsidP="0029541B">
      <w:pPr>
        <w:pStyle w:val="ListBullet2"/>
      </w:pPr>
      <w:r>
        <w:t>Available for use as an Excipient Ingredient in Devices, Export Only, Listed Medicines, Over the Counter, Prescription Medicines</w:t>
      </w:r>
    </w:p>
    <w:p w14:paraId="5A8FECB5" w14:textId="77777777" w:rsidR="0029541B" w:rsidRPr="003D5009" w:rsidRDefault="0029541B" w:rsidP="0029541B">
      <w:pPr>
        <w:pStyle w:val="ListBullet2"/>
      </w:pPr>
      <w:r>
        <w:t xml:space="preserve">Not available as an Equivalent Ingredient in any application </w:t>
      </w:r>
    </w:p>
    <w:p w14:paraId="5E78C733" w14:textId="77777777" w:rsidR="0029541B" w:rsidRDefault="0029541B" w:rsidP="008E48A7">
      <w:pPr>
        <w:pStyle w:val="ListBullet"/>
        <w:numPr>
          <w:ilvl w:val="0"/>
          <w:numId w:val="32"/>
        </w:numPr>
      </w:pPr>
      <w:r>
        <w:t xml:space="preserve">As of August 2022, there were 256 medicines currently active on the </w:t>
      </w:r>
      <w:hyperlink r:id="rId92" w:history="1">
        <w:r>
          <w:rPr>
            <w:rStyle w:val="Hyperlink"/>
          </w:rPr>
          <w:t>Australian Register of Therapeutic Goods (ARTG)</w:t>
        </w:r>
      </w:hyperlink>
      <w:r>
        <w:rPr>
          <w:rStyle w:val="FootnoteReference"/>
        </w:rPr>
        <w:footnoteReference w:id="65"/>
      </w:r>
      <w:r>
        <w:t xml:space="preserve"> that contain green tea as an active ingredient. 233 of these products were listed medicines, with 23 for export only. </w:t>
      </w:r>
    </w:p>
    <w:p w14:paraId="5A7EDB7F" w14:textId="77777777" w:rsidR="0029541B" w:rsidRDefault="0029541B" w:rsidP="008E48A7">
      <w:pPr>
        <w:pStyle w:val="ListBullet"/>
        <w:numPr>
          <w:ilvl w:val="0"/>
          <w:numId w:val="32"/>
        </w:numPr>
      </w:pPr>
      <w:r>
        <w:rPr>
          <w:i/>
          <w:iCs/>
        </w:rPr>
        <w:t>Camellia sinensis</w:t>
      </w:r>
      <w:r>
        <w:t xml:space="preserve"> is permitted to be included in listed medicines as it is included in the </w:t>
      </w:r>
      <w:hyperlink r:id="rId93" w:history="1">
        <w:r>
          <w:rPr>
            <w:rStyle w:val="Hyperlink"/>
          </w:rPr>
          <w:t>Therapeutic Goods (Permissible Ingredients) Determination</w:t>
        </w:r>
      </w:hyperlink>
      <w:r>
        <w:rPr>
          <w:rStyle w:val="FootnoteReference"/>
        </w:rPr>
        <w:footnoteReference w:id="66"/>
      </w:r>
      <w:r>
        <w:t xml:space="preserve"> No.4 of 2022. </w:t>
      </w:r>
    </w:p>
    <w:p w14:paraId="4FB78D86" w14:textId="77777777" w:rsidR="0029541B" w:rsidRDefault="0029541B" w:rsidP="0029541B">
      <w:pPr>
        <w:pStyle w:val="ListBullet"/>
        <w:numPr>
          <w:ilvl w:val="0"/>
          <w:numId w:val="0"/>
        </w:numPr>
        <w:ind w:left="360"/>
      </w:pPr>
    </w:p>
    <w:tbl>
      <w:tblPr>
        <w:tblStyle w:val="TableTGAblue"/>
        <w:tblW w:w="0" w:type="auto"/>
        <w:tblInd w:w="420" w:type="dxa"/>
        <w:tblLook w:val="04A0" w:firstRow="1" w:lastRow="0" w:firstColumn="1" w:lastColumn="0" w:noHBand="0" w:noVBand="1"/>
      </w:tblPr>
      <w:tblGrid>
        <w:gridCol w:w="749"/>
        <w:gridCol w:w="1997"/>
        <w:gridCol w:w="992"/>
        <w:gridCol w:w="4892"/>
      </w:tblGrid>
      <w:tr w:rsidR="0029541B" w:rsidRPr="006112EA" w14:paraId="6544B7CD" w14:textId="77777777" w:rsidTr="00247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FBD2738" w14:textId="77777777" w:rsidR="0029541B" w:rsidRPr="000C6BDC" w:rsidRDefault="0029541B" w:rsidP="00247DD6">
            <w:pPr>
              <w:pStyle w:val="ListBullet"/>
              <w:keepLines/>
              <w:numPr>
                <w:ilvl w:val="0"/>
                <w:numId w:val="0"/>
              </w:numPr>
              <w:rPr>
                <w:rFonts w:asciiTheme="minorHAnsi" w:hAnsiTheme="minorHAnsi"/>
                <w:sz w:val="20"/>
                <w:szCs w:val="20"/>
              </w:rPr>
            </w:pPr>
            <w:r w:rsidRPr="000C6BDC">
              <w:rPr>
                <w:rFonts w:asciiTheme="minorHAnsi" w:hAnsiTheme="minorHAnsi"/>
                <w:sz w:val="20"/>
                <w:szCs w:val="20"/>
              </w:rPr>
              <w:lastRenderedPageBreak/>
              <w:t>Item</w:t>
            </w:r>
          </w:p>
        </w:tc>
        <w:tc>
          <w:tcPr>
            <w:tcW w:w="2000" w:type="dxa"/>
          </w:tcPr>
          <w:p w14:paraId="26966B82" w14:textId="77777777" w:rsidR="0029541B" w:rsidRPr="000C6BDC" w:rsidRDefault="0029541B" w:rsidP="00247DD6">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C6BDC">
              <w:rPr>
                <w:rFonts w:asciiTheme="minorHAnsi" w:hAnsiTheme="minorHAnsi"/>
                <w:sz w:val="20"/>
                <w:szCs w:val="20"/>
              </w:rPr>
              <w:t>Ingredient name</w:t>
            </w:r>
          </w:p>
        </w:tc>
        <w:tc>
          <w:tcPr>
            <w:tcW w:w="992" w:type="dxa"/>
          </w:tcPr>
          <w:p w14:paraId="73A71DBC" w14:textId="77777777" w:rsidR="0029541B" w:rsidRPr="000C6BDC" w:rsidRDefault="0029541B" w:rsidP="00247DD6">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C6BDC">
              <w:rPr>
                <w:rFonts w:asciiTheme="minorHAnsi" w:hAnsiTheme="minorHAnsi"/>
                <w:sz w:val="20"/>
                <w:szCs w:val="20"/>
              </w:rPr>
              <w:t>Purpose</w:t>
            </w:r>
          </w:p>
        </w:tc>
        <w:tc>
          <w:tcPr>
            <w:tcW w:w="4905" w:type="dxa"/>
          </w:tcPr>
          <w:p w14:paraId="6D2CA862" w14:textId="77777777" w:rsidR="0029541B" w:rsidRPr="000C6BDC" w:rsidRDefault="0029541B" w:rsidP="00247DD6">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C6BDC">
              <w:rPr>
                <w:rFonts w:asciiTheme="minorHAnsi" w:hAnsiTheme="minorHAnsi"/>
                <w:sz w:val="20"/>
                <w:szCs w:val="20"/>
              </w:rPr>
              <w:t>Specific requirements</w:t>
            </w:r>
          </w:p>
        </w:tc>
      </w:tr>
      <w:tr w:rsidR="0029541B" w:rsidRPr="006112EA" w14:paraId="605B0616" w14:textId="77777777" w:rsidTr="00247DD6">
        <w:tc>
          <w:tcPr>
            <w:cnfStyle w:val="001000000000" w:firstRow="0" w:lastRow="0" w:firstColumn="1" w:lastColumn="0" w:oddVBand="0" w:evenVBand="0" w:oddHBand="0" w:evenHBand="0" w:firstRowFirstColumn="0" w:firstRowLastColumn="0" w:lastRowFirstColumn="0" w:lastRowLastColumn="0"/>
            <w:tcW w:w="749" w:type="dxa"/>
          </w:tcPr>
          <w:p w14:paraId="184C2B96" w14:textId="77777777" w:rsidR="0029541B" w:rsidRPr="000C6BDC" w:rsidRDefault="0029541B" w:rsidP="00247DD6">
            <w:pPr>
              <w:keepNext/>
              <w:keepLines/>
              <w:rPr>
                <w:rFonts w:asciiTheme="minorHAnsi" w:hAnsiTheme="minorHAnsi"/>
                <w:sz w:val="20"/>
                <w:szCs w:val="20"/>
              </w:rPr>
            </w:pPr>
            <w:r w:rsidRPr="000C6BDC">
              <w:rPr>
                <w:rFonts w:asciiTheme="minorHAnsi" w:hAnsiTheme="minorHAnsi"/>
                <w:sz w:val="20"/>
                <w:szCs w:val="20"/>
              </w:rPr>
              <w:t>1136</w:t>
            </w:r>
          </w:p>
        </w:tc>
        <w:tc>
          <w:tcPr>
            <w:tcW w:w="2000" w:type="dxa"/>
          </w:tcPr>
          <w:p w14:paraId="3D30D37D" w14:textId="77777777" w:rsidR="0029541B" w:rsidRPr="000C6BDC" w:rsidRDefault="0029541B" w:rsidP="00247DD6">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C6BDC">
              <w:rPr>
                <w:rFonts w:asciiTheme="minorHAnsi" w:hAnsiTheme="minorHAnsi"/>
                <w:sz w:val="20"/>
                <w:szCs w:val="20"/>
              </w:rPr>
              <w:t>CAMELLIA SINENSIS</w:t>
            </w:r>
          </w:p>
        </w:tc>
        <w:tc>
          <w:tcPr>
            <w:tcW w:w="992" w:type="dxa"/>
          </w:tcPr>
          <w:p w14:paraId="152E2C84" w14:textId="77777777" w:rsidR="0029541B" w:rsidRPr="000C6BDC" w:rsidRDefault="0029541B" w:rsidP="00247DD6">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gramStart"/>
            <w:r w:rsidRPr="000C6BDC">
              <w:rPr>
                <w:rFonts w:asciiTheme="minorHAnsi" w:hAnsiTheme="minorHAnsi"/>
                <w:sz w:val="20"/>
                <w:szCs w:val="20"/>
              </w:rPr>
              <w:t>A,E</w:t>
            </w:r>
            <w:proofErr w:type="gramEnd"/>
            <w:r w:rsidRPr="000C6BDC">
              <w:rPr>
                <w:rFonts w:asciiTheme="minorHAnsi" w:hAnsiTheme="minorHAnsi"/>
                <w:sz w:val="20"/>
                <w:szCs w:val="20"/>
              </w:rPr>
              <w:t>,H</w:t>
            </w:r>
          </w:p>
        </w:tc>
        <w:tc>
          <w:tcPr>
            <w:tcW w:w="4905" w:type="dxa"/>
          </w:tcPr>
          <w:p w14:paraId="276E9015"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Caffeine is a mandatory component of Camellia sinensis.</w:t>
            </w:r>
          </w:p>
          <w:p w14:paraId="579A3E15"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When the medicine is packaged for supply as a divided preparation and is for internal use or oral application, the medicine must not contain a concentration of total caffeine greater than 33 per cent.</w:t>
            </w:r>
          </w:p>
          <w:p w14:paraId="534C9E45"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When for internal use or oral application, the maximum recommended daily dose of the medicine must provide no more than 400 mg of total caffeine.</w:t>
            </w:r>
          </w:p>
          <w:p w14:paraId="3D609376"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When the medicine is packaged for supply as an undivided preparation and is for internal use or oral application, the medicine must not contain a concentration of total caffeine greater than 1 per cent.</w:t>
            </w:r>
          </w:p>
          <w:p w14:paraId="3D05D9E7"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 xml:space="preserve">When the medicine is for internal use or oral application, a maximum recommended dose of the medicine must not provide more than 100 mg of total caffeine within a </w:t>
            </w:r>
            <w:proofErr w:type="gramStart"/>
            <w:r w:rsidRPr="000C6BDC">
              <w:rPr>
                <w:rFonts w:asciiTheme="minorHAnsi" w:eastAsia="Times New Roman" w:hAnsiTheme="minorHAnsi"/>
                <w:sz w:val="20"/>
                <w:szCs w:val="20"/>
                <w:lang w:eastAsia="en-AU"/>
              </w:rPr>
              <w:t>3 hour</w:t>
            </w:r>
            <w:proofErr w:type="gramEnd"/>
            <w:r w:rsidRPr="000C6BDC">
              <w:rPr>
                <w:rFonts w:asciiTheme="minorHAnsi" w:eastAsia="Times New Roman" w:hAnsiTheme="minorHAnsi"/>
                <w:sz w:val="20"/>
                <w:szCs w:val="20"/>
                <w:lang w:eastAsia="en-AU"/>
              </w:rPr>
              <w:t xml:space="preserve"> period.</w:t>
            </w:r>
          </w:p>
          <w:p w14:paraId="24854A10"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When the maximum recommended daily dose of the medicine provides greater than 10 mg of total caffeine and the medicine is for internal use or oral application, the following warning statements are required on the label:</w:t>
            </w:r>
          </w:p>
          <w:p w14:paraId="287704CE"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 (ADULT) 'Adults only' (or words to that effect).</w:t>
            </w:r>
          </w:p>
          <w:p w14:paraId="79002721"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 (CAFF) 'Contains [state quantity per dosage unit or per mL or per gram of product] total caffeine [per dosage unit or per mL or per gram]. A cup of instant coffee contains approximately 80mg of caffeine.'</w:t>
            </w:r>
          </w:p>
          <w:p w14:paraId="15EA0418"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 (CAFFPREG) ‘Caffeine intake more than 200 mg per day is not recommended during pregnancy or breastfeeding.’</w:t>
            </w:r>
          </w:p>
          <w:p w14:paraId="4DABBDCC"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When the maximum recommended daily dose of the medicine provides greater than 80 mg of total caffeine and the medicines is for internal use or oral application, the following warning statements are required on the label:</w:t>
            </w:r>
          </w:p>
          <w:p w14:paraId="509D13F9"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 (CAFFLMT) 'Limit the use of caffeine-containing products (including tea and coffee) when taking this product.'</w:t>
            </w:r>
          </w:p>
          <w:p w14:paraId="351421A2" w14:textId="77777777" w:rsidR="0029541B" w:rsidRPr="000C6BDC" w:rsidRDefault="0029541B" w:rsidP="00247DD6">
            <w:pPr>
              <w:shd w:val="clear" w:color="auto" w:fill="FFFFFF"/>
              <w:spacing w:before="0" w:after="0" w:line="253"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en-AU"/>
              </w:rPr>
            </w:pPr>
            <w:r w:rsidRPr="000C6BDC">
              <w:rPr>
                <w:rFonts w:asciiTheme="minorHAnsi" w:eastAsia="Times New Roman" w:hAnsiTheme="minorHAnsi"/>
                <w:sz w:val="20"/>
                <w:szCs w:val="20"/>
                <w:lang w:eastAsia="en-AU"/>
              </w:rPr>
              <w:t>- (CAFFCYP) ‘Caffeine interacts with enzyme CYP1A2 in the liver. Consult your health professional before taking with other medicines’ (or words to that effect).</w:t>
            </w:r>
          </w:p>
        </w:tc>
      </w:tr>
      <w:tr w:rsidR="0029541B" w:rsidRPr="006112EA" w14:paraId="2DB53E4A" w14:textId="77777777" w:rsidTr="00247DD6">
        <w:tc>
          <w:tcPr>
            <w:cnfStyle w:val="001000000000" w:firstRow="0" w:lastRow="0" w:firstColumn="1" w:lastColumn="0" w:oddVBand="0" w:evenVBand="0" w:oddHBand="0" w:evenHBand="0" w:firstRowFirstColumn="0" w:firstRowLastColumn="0" w:lastRowFirstColumn="0" w:lastRowLastColumn="0"/>
            <w:tcW w:w="8646" w:type="dxa"/>
            <w:gridSpan w:val="4"/>
          </w:tcPr>
          <w:p w14:paraId="1F0569B6" w14:textId="77777777" w:rsidR="0029541B" w:rsidRDefault="0029541B" w:rsidP="00247DD6">
            <w:pPr>
              <w:keepNext/>
              <w:keepLines/>
              <w:rPr>
                <w:sz w:val="20"/>
              </w:rPr>
            </w:pPr>
            <w:r w:rsidRPr="00DA08B0">
              <w:rPr>
                <w:sz w:val="16"/>
                <w:szCs w:val="16"/>
              </w:rPr>
              <w:t>A = active ingredient for a medicine has the same meaning as in the Regulations</w:t>
            </w:r>
            <w:r>
              <w:rPr>
                <w:sz w:val="16"/>
                <w:szCs w:val="16"/>
              </w:rPr>
              <w:br/>
            </w:r>
            <w:r w:rsidRPr="00DA08B0">
              <w:rPr>
                <w:sz w:val="16"/>
                <w:szCs w:val="16"/>
              </w:rPr>
              <w:t>E = excipient for a medicine meaning an ingredient that is not an active ingredient or a homoeopathic preparation ingredient</w:t>
            </w:r>
            <w:r>
              <w:rPr>
                <w:sz w:val="16"/>
                <w:szCs w:val="16"/>
              </w:rPr>
              <w:br/>
            </w:r>
            <w:r w:rsidRPr="00DA08B0">
              <w:rPr>
                <w:sz w:val="16"/>
                <w:szCs w:val="16"/>
              </w:rPr>
              <w:t>H = homoeopathic preparation ingredient meaning an ingredient that is a constituent of a homoeopathic preparation</w:t>
            </w:r>
          </w:p>
        </w:tc>
      </w:tr>
    </w:tbl>
    <w:p w14:paraId="1D236830" w14:textId="77777777" w:rsidR="0029541B" w:rsidRDefault="0029541B" w:rsidP="0029541B">
      <w:pPr>
        <w:pStyle w:val="ListBullet"/>
        <w:numPr>
          <w:ilvl w:val="0"/>
          <w:numId w:val="0"/>
        </w:numPr>
      </w:pPr>
    </w:p>
    <w:p w14:paraId="7260C1F7" w14:textId="77777777" w:rsidR="0029541B" w:rsidRDefault="0029541B" w:rsidP="008E48A7">
      <w:pPr>
        <w:pStyle w:val="ListBullet"/>
        <w:keepNext/>
        <w:keepLines/>
        <w:numPr>
          <w:ilvl w:val="0"/>
          <w:numId w:val="32"/>
        </w:numPr>
      </w:pPr>
      <w:r>
        <w:lastRenderedPageBreak/>
        <w:t xml:space="preserve">The </w:t>
      </w:r>
      <w:hyperlink r:id="rId94" w:history="1">
        <w:r>
          <w:rPr>
            <w:rStyle w:val="Hyperlink"/>
          </w:rPr>
          <w:t>TGA prescribing medicines in pregnancy database</w:t>
        </w:r>
      </w:hyperlink>
      <w:r>
        <w:rPr>
          <w:rStyle w:val="FootnoteReference"/>
        </w:rPr>
        <w:footnoteReference w:id="67"/>
      </w:r>
      <w:r>
        <w:t xml:space="preserve"> does not include green tea extract. </w:t>
      </w:r>
    </w:p>
    <w:p w14:paraId="04FE1A58" w14:textId="77777777" w:rsidR="0029541B" w:rsidRDefault="0029541B" w:rsidP="008E48A7">
      <w:pPr>
        <w:pStyle w:val="ListBullet"/>
        <w:numPr>
          <w:ilvl w:val="0"/>
          <w:numId w:val="32"/>
        </w:numPr>
      </w:pPr>
      <w:r>
        <w:t xml:space="preserve">There are no warning statements pertaining to green tea extract in the </w:t>
      </w:r>
      <w:hyperlink r:id="rId95" w:history="1">
        <w:r>
          <w:rPr>
            <w:rStyle w:val="Hyperlink"/>
          </w:rPr>
          <w:t>Therapeutic Goods (Medicines Advisory Statements) Specification 2019</w:t>
        </w:r>
      </w:hyperlink>
      <w:r>
        <w:rPr>
          <w:rStyle w:val="FootnoteReference"/>
        </w:rPr>
        <w:footnoteReference w:id="68"/>
      </w:r>
    </w:p>
    <w:p w14:paraId="23454DF4" w14:textId="77777777" w:rsidR="0029541B" w:rsidRDefault="0029541B" w:rsidP="008E48A7">
      <w:pPr>
        <w:pStyle w:val="ListBullet"/>
        <w:numPr>
          <w:ilvl w:val="0"/>
          <w:numId w:val="32"/>
        </w:numPr>
      </w:pPr>
      <w:r>
        <w:t xml:space="preserve">As of July 2022, there were 255 reports of adverse events for products containing green tea (or </w:t>
      </w:r>
      <w:r w:rsidRPr="00D76479">
        <w:rPr>
          <w:i/>
          <w:iCs/>
        </w:rPr>
        <w:t>Camellia sinensis</w:t>
      </w:r>
      <w:r>
        <w:t xml:space="preserve">) as an active ingredient on the </w:t>
      </w:r>
      <w:hyperlink r:id="rId96" w:history="1">
        <w:r>
          <w:rPr>
            <w:rStyle w:val="Hyperlink"/>
          </w:rPr>
          <w:t>Database of Adverse Event Notifications (DAEN)</w:t>
        </w:r>
      </w:hyperlink>
      <w:r>
        <w:t>,</w:t>
      </w:r>
      <w:r>
        <w:rPr>
          <w:rStyle w:val="FootnoteReference"/>
        </w:rPr>
        <w:footnoteReference w:id="69"/>
      </w:r>
      <w:r>
        <w:t xml:space="preserve"> with 214 reports where green tea extract was the single suspected medicine.  Adverse events were </w:t>
      </w:r>
      <w:proofErr w:type="gramStart"/>
      <w:r>
        <w:t>most commonly related</w:t>
      </w:r>
      <w:proofErr w:type="gramEnd"/>
      <w:r>
        <w:t xml:space="preserve"> to gastrointestinal disorders (nausea and vomiting) or nervous system disorders (dizziness and headaches).</w:t>
      </w:r>
    </w:p>
    <w:p w14:paraId="34CC5505" w14:textId="77777777" w:rsidR="0029541B" w:rsidRDefault="0029541B" w:rsidP="008E48A7">
      <w:pPr>
        <w:pStyle w:val="ListBullet"/>
        <w:numPr>
          <w:ilvl w:val="0"/>
          <w:numId w:val="32"/>
        </w:numPr>
      </w:pPr>
      <w:r>
        <w:t xml:space="preserve">As of August 2022, there were no products containing green tea extract listed on the </w:t>
      </w:r>
      <w:hyperlink r:id="rId97" w:history="1">
        <w:r>
          <w:rPr>
            <w:rStyle w:val="Hyperlink"/>
          </w:rPr>
          <w:t>Public Chemical Registration Information System Search (</w:t>
        </w:r>
        <w:proofErr w:type="spellStart"/>
        <w:r>
          <w:rPr>
            <w:rStyle w:val="Hyperlink"/>
          </w:rPr>
          <w:t>PubCRIS</w:t>
        </w:r>
        <w:proofErr w:type="spellEnd"/>
        <w:r>
          <w:rPr>
            <w:rStyle w:val="Hyperlink"/>
          </w:rPr>
          <w:t>)</w:t>
        </w:r>
      </w:hyperlink>
      <w:r>
        <w:t>.</w:t>
      </w:r>
      <w:r>
        <w:rPr>
          <w:rStyle w:val="FootnoteReference"/>
        </w:rPr>
        <w:footnoteReference w:id="70"/>
      </w:r>
      <w:r>
        <w:t xml:space="preserve"> </w:t>
      </w:r>
    </w:p>
    <w:p w14:paraId="1DE67051" w14:textId="77777777" w:rsidR="0029541B" w:rsidRDefault="0029541B" w:rsidP="0029541B">
      <w:pPr>
        <w:pStyle w:val="Heading4"/>
      </w:pPr>
      <w:bookmarkStart w:id="91" w:name="_Toc74743289"/>
      <w:bookmarkStart w:id="92" w:name="_Toc112833653"/>
      <w:r>
        <w:t>International regulations</w:t>
      </w:r>
      <w:bookmarkEnd w:id="91"/>
      <w:bookmarkEnd w:id="92"/>
    </w:p>
    <w:p w14:paraId="2C6FA28D" w14:textId="77777777" w:rsidR="0029541B" w:rsidRDefault="001C5F86" w:rsidP="008E48A7">
      <w:pPr>
        <w:pStyle w:val="ListBullet"/>
        <w:numPr>
          <w:ilvl w:val="0"/>
          <w:numId w:val="32"/>
        </w:numPr>
      </w:pPr>
      <w:hyperlink r:id="rId98" w:history="1">
        <w:r w:rsidR="0029541B">
          <w:rPr>
            <w:rStyle w:val="Hyperlink"/>
          </w:rPr>
          <w:t>The Health Products Regulatory Authority of Ireland</w:t>
        </w:r>
      </w:hyperlink>
      <w:r w:rsidR="0029541B">
        <w:rPr>
          <w:rStyle w:val="FootnoteReference"/>
        </w:rPr>
        <w:footnoteReference w:id="71"/>
      </w:r>
      <w:r w:rsidR="0029541B">
        <w:t xml:space="preserve"> lists one product (ointment) with green tea extract as an active ingredient which is regulated as a prescription medicine.</w:t>
      </w:r>
    </w:p>
    <w:p w14:paraId="51BBCDDE" w14:textId="77777777" w:rsidR="0029541B" w:rsidRDefault="0029541B" w:rsidP="008E48A7">
      <w:pPr>
        <w:pStyle w:val="ListBullet"/>
        <w:numPr>
          <w:ilvl w:val="0"/>
          <w:numId w:val="32"/>
        </w:numPr>
      </w:pPr>
      <w:r>
        <w:t xml:space="preserve">The </w:t>
      </w:r>
      <w:hyperlink r:id="rId99" w:history="1">
        <w:r w:rsidRPr="006021C2">
          <w:rPr>
            <w:rStyle w:val="Hyperlink"/>
          </w:rPr>
          <w:t>European Commission</w:t>
        </w:r>
      </w:hyperlink>
      <w:r>
        <w:rPr>
          <w:rStyle w:val="FootnoteReference"/>
        </w:rPr>
        <w:footnoteReference w:id="72"/>
      </w:r>
      <w:r>
        <w:t xml:space="preserve"> has recently proposed putting restrictions on the use of green-tea extracts on the basis that catechins in green-tea extracts have the potential to cause liver injury. </w:t>
      </w:r>
    </w:p>
    <w:p w14:paraId="613F945B" w14:textId="1FB504EF" w:rsidR="003C02CB" w:rsidRDefault="003C02CB" w:rsidP="003C02CB">
      <w:pPr>
        <w:pStyle w:val="Heading2"/>
      </w:pPr>
      <w:bookmarkStart w:id="93" w:name="_Toc112833654"/>
      <w:r>
        <w:lastRenderedPageBreak/>
        <w:t xml:space="preserve">Proposed amendments referred for scheduling advice to ACCS </w:t>
      </w:r>
      <w:r w:rsidR="00A411FA">
        <w:t xml:space="preserve">meeting </w:t>
      </w:r>
      <w:r>
        <w:t>#</w:t>
      </w:r>
      <w:r w:rsidR="00B41B12">
        <w:t>35</w:t>
      </w:r>
      <w:bookmarkEnd w:id="93"/>
    </w:p>
    <w:p w14:paraId="5EA03EE5" w14:textId="733F610E" w:rsidR="00433655" w:rsidRDefault="00433655" w:rsidP="00433655">
      <w:pPr>
        <w:pStyle w:val="Heading3"/>
        <w:numPr>
          <w:ilvl w:val="0"/>
          <w:numId w:val="0"/>
        </w:numPr>
        <w:ind w:left="576" w:hanging="576"/>
      </w:pPr>
      <w:bookmarkStart w:id="94" w:name="_Toc112833655"/>
      <w:proofErr w:type="spellStart"/>
      <w:r>
        <w:t>Ethalfluralin</w:t>
      </w:r>
      <w:bookmarkEnd w:id="94"/>
      <w:proofErr w:type="spellEnd"/>
      <w:r>
        <w:t xml:space="preserve"> </w:t>
      </w:r>
    </w:p>
    <w:p w14:paraId="4499BF44" w14:textId="2D2132AC" w:rsidR="00433655" w:rsidRDefault="00433655" w:rsidP="00433655">
      <w:pPr>
        <w:pStyle w:val="Heading4"/>
      </w:pPr>
      <w:bookmarkStart w:id="95" w:name="_Toc112833656"/>
      <w:r>
        <w:t>Proposal</w:t>
      </w:r>
      <w:bookmarkEnd w:id="95"/>
    </w:p>
    <w:p w14:paraId="594B7901" w14:textId="3A448CEA" w:rsidR="00433655" w:rsidRDefault="00A650EF" w:rsidP="00433655">
      <w:r>
        <w:t>The a</w:t>
      </w:r>
      <w:r w:rsidR="008A5566">
        <w:t>pplicant is requesting new entr</w:t>
      </w:r>
      <w:r w:rsidR="00A411FA">
        <w:t>ies</w:t>
      </w:r>
      <w:r w:rsidR="008A5566">
        <w:t xml:space="preserve"> in </w:t>
      </w:r>
      <w:r w:rsidR="00A411FA">
        <w:t xml:space="preserve">Schedule 6 and </w:t>
      </w:r>
      <w:r w:rsidR="008A5566">
        <w:t xml:space="preserve">Schedule 7 </w:t>
      </w:r>
      <w:r w:rsidR="00A411FA">
        <w:t xml:space="preserve">of the Poisons Standard </w:t>
      </w:r>
      <w:r w:rsidR="008A5566">
        <w:t xml:space="preserve">for </w:t>
      </w:r>
      <w:proofErr w:type="spellStart"/>
      <w:r w:rsidR="008A5566">
        <w:t>ethalfluralin</w:t>
      </w:r>
      <w:proofErr w:type="spellEnd"/>
      <w:r w:rsidR="00047FAA">
        <w:t xml:space="preserve">. </w:t>
      </w:r>
      <w:r w:rsidR="00A411FA">
        <w:t xml:space="preserve">The Schedule 6 entry is for preparations containing </w:t>
      </w:r>
      <w:proofErr w:type="spellStart"/>
      <w:r w:rsidR="00A411FA">
        <w:t>ethalfluralin</w:t>
      </w:r>
      <w:proofErr w:type="spellEnd"/>
      <w:r w:rsidR="00A411FA">
        <w:t xml:space="preserve"> that are </w:t>
      </w:r>
      <w:r w:rsidR="008A5566">
        <w:t xml:space="preserve">packed in bulk containers </w:t>
      </w:r>
      <w:r>
        <w:t xml:space="preserve">for specific use in closed mixing and loading agricultural equipment </w:t>
      </w:r>
      <w:r w:rsidR="008A5566">
        <w:t>with a nominal capacity of 400</w:t>
      </w:r>
      <w:r w:rsidR="00A411FA">
        <w:t xml:space="preserve"> </w:t>
      </w:r>
      <w:r w:rsidR="008A5566">
        <w:t>L or more</w:t>
      </w:r>
      <w:r w:rsidR="00A411FA">
        <w:t>. The Schedule 7 entry is for all other preparations</w:t>
      </w:r>
      <w:r w:rsidR="008A5566">
        <w:t>.</w:t>
      </w:r>
      <w:r w:rsidR="00A411FA">
        <w:t xml:space="preserve"> </w:t>
      </w:r>
    </w:p>
    <w:p w14:paraId="3F6E0B62" w14:textId="72DEB59C" w:rsidR="00433655" w:rsidRDefault="00433655" w:rsidP="00433655">
      <w:pPr>
        <w:pStyle w:val="Heading4"/>
      </w:pPr>
      <w:bookmarkStart w:id="96" w:name="_Toc112833657"/>
      <w:r>
        <w:t>CAS Number</w:t>
      </w:r>
      <w:bookmarkEnd w:id="96"/>
    </w:p>
    <w:p w14:paraId="7BB77747" w14:textId="77777777" w:rsidR="00433655" w:rsidRDefault="00433655" w:rsidP="00433655">
      <w:r w:rsidRPr="00BD540B">
        <w:t>55283-68-6</w:t>
      </w:r>
    </w:p>
    <w:p w14:paraId="4867E657" w14:textId="072B354D" w:rsidR="00433655" w:rsidRDefault="00433655" w:rsidP="00433655">
      <w:pPr>
        <w:pStyle w:val="Heading4"/>
      </w:pPr>
      <w:bookmarkStart w:id="97" w:name="_Toc112833658"/>
      <w:r>
        <w:t>Alternative names</w:t>
      </w:r>
      <w:bookmarkEnd w:id="97"/>
    </w:p>
    <w:p w14:paraId="54FC61B5" w14:textId="77777777" w:rsidR="00433655" w:rsidRDefault="00433655" w:rsidP="00433655">
      <w:r w:rsidRPr="00BD540B">
        <w:t>N-Ethyl-N-(2-methyl-2-propen-1-yl)-2,6-dinitro-4-(trifluoromethyl)benzenamine</w:t>
      </w:r>
      <w:r>
        <w:t xml:space="preserve"> </w:t>
      </w:r>
    </w:p>
    <w:p w14:paraId="69FB083D" w14:textId="02EC7CD5" w:rsidR="00A650EF" w:rsidRDefault="00433655" w:rsidP="00433655">
      <w:r w:rsidRPr="00BD540B">
        <w:t>N-ethyl-N-</w:t>
      </w:r>
      <w:proofErr w:type="gramStart"/>
      <w:r w:rsidRPr="00BD540B">
        <w:t>α,α</w:t>
      </w:r>
      <w:proofErr w:type="gramEnd"/>
      <w:r w:rsidRPr="00BD540B">
        <w:t xml:space="preserve">,α-trifluoro-N-(2-methylallyl)-2,6-dinitro-p-toluidine </w:t>
      </w:r>
    </w:p>
    <w:p w14:paraId="713D4F3E" w14:textId="4D6655EB" w:rsidR="00433655" w:rsidRDefault="00433655" w:rsidP="00433655">
      <w:r w:rsidRPr="00BD540B">
        <w:t>N-ethyl-N-methallyl-4-trifluoromethyl-2,6-dinitroaniline</w:t>
      </w:r>
    </w:p>
    <w:p w14:paraId="5815EC57" w14:textId="7500F0CE" w:rsidR="00433655" w:rsidRDefault="00433655" w:rsidP="00433655">
      <w:pPr>
        <w:pStyle w:val="Heading4"/>
      </w:pPr>
      <w:bookmarkStart w:id="98" w:name="_Toc112833659"/>
      <w:r>
        <w:t>Applicant</w:t>
      </w:r>
      <w:bookmarkEnd w:id="98"/>
    </w:p>
    <w:p w14:paraId="5C18B852" w14:textId="082656E0" w:rsidR="00433655" w:rsidRDefault="00433655" w:rsidP="00433655">
      <w:r>
        <w:t>A</w:t>
      </w:r>
      <w:r w:rsidR="00A650EF">
        <w:t xml:space="preserve">ustralian </w:t>
      </w:r>
      <w:r>
        <w:t>P</w:t>
      </w:r>
      <w:r w:rsidR="00A650EF">
        <w:t xml:space="preserve">esticides and </w:t>
      </w:r>
      <w:r>
        <w:t>V</w:t>
      </w:r>
      <w:r w:rsidR="00A650EF">
        <w:t xml:space="preserve">eterinary </w:t>
      </w:r>
      <w:r>
        <w:t>M</w:t>
      </w:r>
      <w:r w:rsidR="00A650EF">
        <w:t xml:space="preserve">edicines </w:t>
      </w:r>
      <w:r>
        <w:t>A</w:t>
      </w:r>
      <w:r w:rsidR="00A650EF">
        <w:t>uthority (APVMA)</w:t>
      </w:r>
    </w:p>
    <w:p w14:paraId="3B63FF26" w14:textId="4C43A2DD" w:rsidR="00433655" w:rsidRDefault="00433655" w:rsidP="00433655">
      <w:pPr>
        <w:pStyle w:val="Heading4"/>
      </w:pPr>
      <w:bookmarkStart w:id="99" w:name="_Toc112833660"/>
      <w:r>
        <w:t>Current scheduling</w:t>
      </w:r>
      <w:bookmarkEnd w:id="99"/>
    </w:p>
    <w:p w14:paraId="06403B16" w14:textId="77777777" w:rsidR="00433655" w:rsidRPr="008A5566" w:rsidRDefault="00433655" w:rsidP="00433655">
      <w:pPr>
        <w:rPr>
          <w:rFonts w:cstheme="minorHAnsi"/>
        </w:rPr>
      </w:pPr>
      <w:proofErr w:type="spellStart"/>
      <w:r>
        <w:rPr>
          <w:rFonts w:cstheme="minorHAnsi"/>
        </w:rPr>
        <w:t>Ethalfluralin</w:t>
      </w:r>
      <w:proofErr w:type="spellEnd"/>
      <w:r>
        <w:rPr>
          <w:rFonts w:cstheme="minorHAnsi"/>
        </w:rPr>
        <w:t xml:space="preserve"> </w:t>
      </w:r>
      <w:r w:rsidRPr="008A5566">
        <w:rPr>
          <w:rFonts w:cstheme="minorHAnsi"/>
        </w:rPr>
        <w:t>is not specifically scheduled in the current Poisons Standard.</w:t>
      </w:r>
    </w:p>
    <w:p w14:paraId="69276C25" w14:textId="0B5CAF18" w:rsidR="00433655" w:rsidRPr="008A5566" w:rsidRDefault="00433655" w:rsidP="00433655">
      <w:pPr>
        <w:pStyle w:val="Heading4"/>
      </w:pPr>
      <w:bookmarkStart w:id="100" w:name="_Toc112833661"/>
      <w:r w:rsidRPr="008A5566">
        <w:t>Proposed scheduling</w:t>
      </w:r>
      <w:bookmarkEnd w:id="100"/>
    </w:p>
    <w:p w14:paraId="286CA747" w14:textId="77777777" w:rsidR="00433655" w:rsidRPr="00454E20" w:rsidRDefault="00433655" w:rsidP="00433655">
      <w:pPr>
        <w:ind w:left="426"/>
        <w:rPr>
          <w:b/>
          <w:color w:val="00B050"/>
        </w:rPr>
      </w:pPr>
      <w:r w:rsidRPr="008A5566">
        <w:rPr>
          <w:b/>
          <w:color w:val="00B050"/>
        </w:rPr>
        <w:t xml:space="preserve">Schedule 7 </w:t>
      </w:r>
      <w:r w:rsidRPr="00454E20">
        <w:rPr>
          <w:b/>
          <w:color w:val="00B050"/>
        </w:rPr>
        <w:t>– New Entry</w:t>
      </w:r>
    </w:p>
    <w:p w14:paraId="6B5A0E7B" w14:textId="77777777" w:rsidR="00433655" w:rsidRPr="00454E20" w:rsidRDefault="00433655" w:rsidP="0011349B">
      <w:pPr>
        <w:ind w:left="426" w:firstLine="294"/>
        <w:rPr>
          <w:rFonts w:cstheme="minorHAnsi"/>
          <w:color w:val="00B050"/>
        </w:rPr>
      </w:pPr>
      <w:r w:rsidRPr="00454E20">
        <w:rPr>
          <w:rFonts w:cstheme="minorHAnsi"/>
          <w:color w:val="00B050"/>
        </w:rPr>
        <w:t xml:space="preserve">ETHALFLURALIN </w:t>
      </w:r>
      <w:r w:rsidRPr="00454E20">
        <w:rPr>
          <w:rFonts w:cstheme="minorHAnsi"/>
          <w:b/>
          <w:bCs/>
          <w:color w:val="00B050"/>
        </w:rPr>
        <w:t xml:space="preserve">except </w:t>
      </w:r>
      <w:r w:rsidRPr="00454E20">
        <w:rPr>
          <w:rFonts w:cstheme="minorHAnsi"/>
          <w:color w:val="00B050"/>
        </w:rPr>
        <w:t>when included in Schedule 6</w:t>
      </w:r>
    </w:p>
    <w:p w14:paraId="78EA6DA8" w14:textId="77777777" w:rsidR="00433655" w:rsidRPr="00454E20" w:rsidRDefault="00433655" w:rsidP="00433655">
      <w:pPr>
        <w:ind w:left="426"/>
        <w:rPr>
          <w:rFonts w:cstheme="minorHAnsi"/>
          <w:b/>
          <w:bCs/>
          <w:color w:val="00B050"/>
        </w:rPr>
      </w:pPr>
      <w:r w:rsidRPr="00454E20">
        <w:rPr>
          <w:rFonts w:cstheme="minorHAnsi"/>
          <w:b/>
          <w:bCs/>
          <w:color w:val="00B050"/>
        </w:rPr>
        <w:t xml:space="preserve">Schedule 6 – New entry </w:t>
      </w:r>
    </w:p>
    <w:p w14:paraId="547DB24D" w14:textId="2E29539C" w:rsidR="00433655" w:rsidRPr="00BD540B" w:rsidRDefault="00433655" w:rsidP="0011349B">
      <w:pPr>
        <w:ind w:left="720"/>
        <w:rPr>
          <w:rFonts w:cstheme="minorHAnsi"/>
          <w:color w:val="00B050"/>
        </w:rPr>
      </w:pPr>
      <w:r w:rsidRPr="00BD540B">
        <w:rPr>
          <w:rFonts w:cstheme="minorHAnsi"/>
          <w:color w:val="00B050"/>
        </w:rPr>
        <w:t xml:space="preserve">ETHALFLURALIN in products packed in bulk containers with a nominal capacity of 400L or more, for specific use in </w:t>
      </w:r>
      <w:r w:rsidR="00876EC4" w:rsidRPr="00BD540B">
        <w:rPr>
          <w:rFonts w:cstheme="minorHAnsi"/>
          <w:color w:val="00B050"/>
        </w:rPr>
        <w:t xml:space="preserve">closed </w:t>
      </w:r>
      <w:r w:rsidRPr="00BD540B">
        <w:rPr>
          <w:rFonts w:cstheme="minorHAnsi"/>
          <w:color w:val="00B050"/>
        </w:rPr>
        <w:t>mixing and loading agricultural equipment.</w:t>
      </w:r>
    </w:p>
    <w:p w14:paraId="752E1FF1" w14:textId="73375C40" w:rsidR="00433655" w:rsidRDefault="00433655" w:rsidP="00433655">
      <w:pPr>
        <w:pStyle w:val="Heading4"/>
      </w:pPr>
      <w:bookmarkStart w:id="101" w:name="_Toc112833662"/>
      <w:r>
        <w:t>Background</w:t>
      </w:r>
      <w:bookmarkEnd w:id="101"/>
    </w:p>
    <w:p w14:paraId="058C56F1" w14:textId="441FE645" w:rsidR="00433655" w:rsidRDefault="00433655" w:rsidP="00433655">
      <w:proofErr w:type="spellStart"/>
      <w:r>
        <w:t>Ethalfluralin</w:t>
      </w:r>
      <w:proofErr w:type="spellEnd"/>
      <w:r>
        <w:t xml:space="preserve"> is intended to be used as a pre-emergent herbicide on pulse crops such as </w:t>
      </w:r>
      <w:r w:rsidR="00B722B5">
        <w:t xml:space="preserve">mung </w:t>
      </w:r>
      <w:r>
        <w:t xml:space="preserve">beans, chickpeas, and lentils. The mechanism of action involves the inhibition of plant cell formation. </w:t>
      </w:r>
      <w:proofErr w:type="spellStart"/>
      <w:r>
        <w:t>Ethalfluralin</w:t>
      </w:r>
      <w:proofErr w:type="spellEnd"/>
      <w:r>
        <w:t xml:space="preserve"> has been found to be of low acute toxicity via the oral, dermal and inhalation routes but is a moderate to severe eye and skin irritant and skin sensitiser. The substance also has mutagenic</w:t>
      </w:r>
      <w:r w:rsidR="008A5566">
        <w:t xml:space="preserve"> potential</w:t>
      </w:r>
      <w:r>
        <w:t xml:space="preserve"> and was found to be a developmental toxicant. </w:t>
      </w:r>
    </w:p>
    <w:p w14:paraId="73F00EB9" w14:textId="64EA223F" w:rsidR="00433655" w:rsidRDefault="00936C36" w:rsidP="00433655">
      <w:pPr>
        <w:pStyle w:val="Heading4"/>
      </w:pPr>
      <w:bookmarkStart w:id="102" w:name="_Toc112833663"/>
      <w:r w:rsidRPr="00936C36">
        <w:lastRenderedPageBreak/>
        <w:t>Summary of applicant’s reasons for the proposal</w:t>
      </w:r>
      <w:bookmarkEnd w:id="102"/>
    </w:p>
    <w:p w14:paraId="5B71D1BB" w14:textId="16D1BB9D" w:rsidR="00433655" w:rsidRDefault="00B722B5" w:rsidP="0011349B">
      <w:pPr>
        <w:pStyle w:val="ListBullet"/>
      </w:pPr>
      <w:proofErr w:type="spellStart"/>
      <w:r w:rsidRPr="00B722B5">
        <w:t>Ethalfluralin</w:t>
      </w:r>
      <w:proofErr w:type="spellEnd"/>
      <w:r w:rsidRPr="00B722B5">
        <w:t xml:space="preserve"> is intended to be used in crop resistance management in the form of pre-planting weed controls and is expected to be available as an alternative to Trifluralin</w:t>
      </w:r>
      <w:r w:rsidR="00876EC4">
        <w:t>,</w:t>
      </w:r>
      <w:r w:rsidRPr="00B722B5">
        <w:t xml:space="preserve"> which is currently listed under Appendix B</w:t>
      </w:r>
      <w:r w:rsidR="00876EC4">
        <w:t>,</w:t>
      </w:r>
      <w:r w:rsidRPr="00B722B5">
        <w:t xml:space="preserve"> Part 3 of the Poisons Standard. It is estimated that Australia grows around 2 million hectares of pulse crops including white lupins, chickpeas, field peas, lentils, </w:t>
      </w:r>
      <w:proofErr w:type="spellStart"/>
      <w:r w:rsidRPr="00B722B5">
        <w:t>faba</w:t>
      </w:r>
      <w:proofErr w:type="spellEnd"/>
      <w:r w:rsidRPr="00B722B5">
        <w:t xml:space="preserve">, broad beans and mung beans. </w:t>
      </w:r>
      <w:proofErr w:type="spellStart"/>
      <w:r w:rsidR="00CF56B8">
        <w:t>Ethalfluralin</w:t>
      </w:r>
      <w:proofErr w:type="spellEnd"/>
      <w:r w:rsidR="00CF56B8">
        <w:t xml:space="preserve"> is intended to act as </w:t>
      </w:r>
      <w:proofErr w:type="gramStart"/>
      <w:r w:rsidR="00CF56B8">
        <w:t>a</w:t>
      </w:r>
      <w:proofErr w:type="gramEnd"/>
      <w:r w:rsidR="00CF56B8">
        <w:t xml:space="preserve"> herbicide to protect these pulse crops. </w:t>
      </w:r>
    </w:p>
    <w:p w14:paraId="3887DCF5" w14:textId="071721A6" w:rsidR="00433655" w:rsidRDefault="00876EC4" w:rsidP="0011349B">
      <w:pPr>
        <w:pStyle w:val="ListBullet"/>
      </w:pPr>
      <w:proofErr w:type="spellStart"/>
      <w:r>
        <w:t>E</w:t>
      </w:r>
      <w:r w:rsidR="00CF56B8" w:rsidRPr="00896BC4">
        <w:t>thalfluralin</w:t>
      </w:r>
      <w:proofErr w:type="spellEnd"/>
      <w:r w:rsidR="00CF56B8" w:rsidRPr="00896BC4">
        <w:t xml:space="preserve"> </w:t>
      </w:r>
      <w:r>
        <w:t>h</w:t>
      </w:r>
      <w:r w:rsidR="00CF56B8" w:rsidRPr="00896BC4">
        <w:t xml:space="preserve">as no other established purpose or use and therefore has no risk of dependency, abuse, </w:t>
      </w:r>
      <w:r w:rsidR="00896BC4" w:rsidRPr="00896BC4">
        <w:t>misuse,</w:t>
      </w:r>
      <w:r w:rsidR="00CF56B8" w:rsidRPr="00896BC4">
        <w:t xml:space="preserve"> or diversion into illicit use. </w:t>
      </w:r>
    </w:p>
    <w:p w14:paraId="53DB8795" w14:textId="4D856D36" w:rsidR="0011349B" w:rsidRDefault="00CF56B8" w:rsidP="0045066B">
      <w:pPr>
        <w:pStyle w:val="ListBullet"/>
      </w:pPr>
      <w:proofErr w:type="spellStart"/>
      <w:r w:rsidRPr="00896BC4">
        <w:t>Ethalfluralin</w:t>
      </w:r>
      <w:proofErr w:type="spellEnd"/>
      <w:r w:rsidRPr="00896BC4">
        <w:t xml:space="preserve"> was not </w:t>
      </w:r>
      <w:r w:rsidR="00896BC4" w:rsidRPr="00896BC4">
        <w:t xml:space="preserve">found to be a reproductive toxicant but was found to be potentially mutagenic in vitro and a potential developmental toxicant. In acute and repeat-dose animal studies there was no evidence of neurotoxicity. </w:t>
      </w:r>
    </w:p>
    <w:p w14:paraId="4485C5A8" w14:textId="0530BF67" w:rsidR="00CF56B8" w:rsidRPr="00896BC4" w:rsidRDefault="00896BC4" w:rsidP="0045066B">
      <w:pPr>
        <w:pStyle w:val="ListBullet"/>
      </w:pPr>
      <w:r w:rsidRPr="00896BC4">
        <w:t xml:space="preserve">Due to </w:t>
      </w:r>
      <w:proofErr w:type="spellStart"/>
      <w:r w:rsidRPr="00896BC4">
        <w:t>ethalfluralin</w:t>
      </w:r>
      <w:proofErr w:type="spellEnd"/>
      <w:r w:rsidRPr="00896BC4">
        <w:t xml:space="preserve"> being a potential carcinogenicity hazard from unprotected repeat use, the applicant indicates that it meets the Scheduling Policy Framework criteria for inclusion in Schedule 7. </w:t>
      </w:r>
      <w:r w:rsidR="00911517">
        <w:t xml:space="preserve">The </w:t>
      </w:r>
      <w:r w:rsidR="00180FDC">
        <w:t xml:space="preserve">risks of exposure to </w:t>
      </w:r>
      <w:proofErr w:type="spellStart"/>
      <w:r w:rsidR="00180FDC">
        <w:t>ethalfluralin</w:t>
      </w:r>
      <w:proofErr w:type="spellEnd"/>
      <w:r w:rsidR="00180FDC">
        <w:t xml:space="preserve"> can be mitigated </w:t>
      </w:r>
      <w:proofErr w:type="gramStart"/>
      <w:r w:rsidR="00180FDC">
        <w:t>by the use of</w:t>
      </w:r>
      <w:proofErr w:type="gramEnd"/>
      <w:r w:rsidR="00180FDC">
        <w:t xml:space="preserve"> specialised packaging and the use of bulk containers for specific use. </w:t>
      </w:r>
      <w:proofErr w:type="gramStart"/>
      <w:r w:rsidR="00180FDC">
        <w:t>Th</w:t>
      </w:r>
      <w:r w:rsidR="004B6CB8">
        <w:t>erefore</w:t>
      </w:r>
      <w:proofErr w:type="gramEnd"/>
      <w:r w:rsidR="00180FDC">
        <w:t xml:space="preserve"> a Schedule 6 entry that includes these conditions should be considered.</w:t>
      </w:r>
      <w:r w:rsidR="00CF56B8" w:rsidRPr="00896BC4">
        <w:t xml:space="preserve"> </w:t>
      </w:r>
    </w:p>
    <w:p w14:paraId="0BD708F3" w14:textId="60ED5B01" w:rsidR="00433655" w:rsidRDefault="00433655" w:rsidP="00433655">
      <w:pPr>
        <w:pStyle w:val="Heading4"/>
      </w:pPr>
      <w:bookmarkStart w:id="103" w:name="_Toc112833664"/>
      <w:r>
        <w:t>Key uses / expected use</w:t>
      </w:r>
      <w:bookmarkEnd w:id="103"/>
    </w:p>
    <w:p w14:paraId="537EFB1D" w14:textId="77777777" w:rsidR="00433655" w:rsidRDefault="00433655" w:rsidP="00433655">
      <w:r>
        <w:t xml:space="preserve">Agricultural use – herbicide </w:t>
      </w:r>
    </w:p>
    <w:p w14:paraId="49746126" w14:textId="36454CA0" w:rsidR="00433655" w:rsidRDefault="00433655" w:rsidP="00433655">
      <w:pPr>
        <w:pStyle w:val="Heading4"/>
      </w:pPr>
      <w:bookmarkStart w:id="104" w:name="_Toc112833665"/>
      <w:r w:rsidRPr="00DC5AE0">
        <w:t xml:space="preserve">Australian </w:t>
      </w:r>
      <w:r>
        <w:t>regulations</w:t>
      </w:r>
      <w:bookmarkEnd w:id="104"/>
      <w:r w:rsidRPr="00DC5AE0">
        <w:t xml:space="preserve"> </w:t>
      </w:r>
    </w:p>
    <w:p w14:paraId="10BFD1F0" w14:textId="77777777" w:rsidR="00433655" w:rsidRDefault="00433655" w:rsidP="008E48A7">
      <w:pPr>
        <w:pStyle w:val="ListBullet"/>
        <w:numPr>
          <w:ilvl w:val="0"/>
          <w:numId w:val="26"/>
        </w:numPr>
        <w:rPr>
          <w:i/>
          <w:color w:val="002C47" w:themeColor="text2"/>
          <w:sz w:val="20"/>
        </w:rPr>
      </w:pPr>
      <w:proofErr w:type="spellStart"/>
      <w:r>
        <w:t>Ethalfluralin</w:t>
      </w:r>
      <w:proofErr w:type="spellEnd"/>
      <w:r>
        <w:t xml:space="preserve"> does </w:t>
      </w:r>
      <w:r w:rsidRPr="00212515">
        <w:t>not</w:t>
      </w:r>
      <w:r>
        <w:t xml:space="preserve"> appear in the </w:t>
      </w:r>
      <w:hyperlink r:id="rId100" w:history="1">
        <w:r w:rsidRPr="00C66C5E">
          <w:rPr>
            <w:rStyle w:val="Hyperlink"/>
          </w:rPr>
          <w:t xml:space="preserve">TGA </w:t>
        </w:r>
        <w:r>
          <w:rPr>
            <w:rStyle w:val="Hyperlink"/>
          </w:rPr>
          <w:t xml:space="preserve">Ingredient </w:t>
        </w:r>
        <w:r w:rsidRPr="00C66C5E">
          <w:rPr>
            <w:rStyle w:val="Hyperlink"/>
          </w:rPr>
          <w:t>Database</w:t>
        </w:r>
      </w:hyperlink>
      <w:r>
        <w:rPr>
          <w:rStyle w:val="Hyperlink"/>
        </w:rPr>
        <w:t>.</w:t>
      </w:r>
      <w:r>
        <w:rPr>
          <w:rStyle w:val="FootnoteReference"/>
        </w:rPr>
        <w:footnoteReference w:id="73"/>
      </w:r>
      <w:r>
        <w:t xml:space="preserve"> </w:t>
      </w:r>
    </w:p>
    <w:p w14:paraId="29E5A394" w14:textId="77777777" w:rsidR="00433655" w:rsidRPr="00FD6272" w:rsidRDefault="00433655" w:rsidP="008E48A7">
      <w:pPr>
        <w:pStyle w:val="ListBullet"/>
        <w:numPr>
          <w:ilvl w:val="0"/>
          <w:numId w:val="26"/>
        </w:numPr>
        <w:rPr>
          <w:i/>
          <w:color w:val="002C47" w:themeColor="text2"/>
        </w:rPr>
      </w:pPr>
      <w:r>
        <w:t>T</w:t>
      </w:r>
      <w:r w:rsidRPr="00881DFE">
        <w:t xml:space="preserve">here </w:t>
      </w:r>
      <w:r>
        <w:t>are no medicine</w:t>
      </w:r>
      <w:r w:rsidRPr="00881DFE">
        <w:t xml:space="preserve">s currently </w:t>
      </w:r>
      <w:r w:rsidRPr="00212515">
        <w:t>active</w:t>
      </w:r>
      <w:r w:rsidRPr="00881DFE">
        <w:t xml:space="preserve"> on the </w:t>
      </w:r>
      <w:hyperlink r:id="rId101" w:history="1">
        <w:r w:rsidRPr="00293CCA">
          <w:rPr>
            <w:rStyle w:val="Hyperlink"/>
          </w:rPr>
          <w:t>Australian Register of Therapeutic Goods (ARTG)</w:t>
        </w:r>
      </w:hyperlink>
      <w:r>
        <w:rPr>
          <w:rStyle w:val="FootnoteReference"/>
        </w:rPr>
        <w:footnoteReference w:id="74"/>
      </w:r>
      <w:r>
        <w:t xml:space="preserve"> that contain </w:t>
      </w:r>
      <w:proofErr w:type="spellStart"/>
      <w:r>
        <w:t>ethalfluralin</w:t>
      </w:r>
      <w:proofErr w:type="spellEnd"/>
      <w:r>
        <w:t xml:space="preserve"> as an active ingredient</w:t>
      </w:r>
      <w:r w:rsidRPr="00881DFE">
        <w:t>.</w:t>
      </w:r>
      <w:r>
        <w:t xml:space="preserve"> </w:t>
      </w:r>
    </w:p>
    <w:p w14:paraId="69C131DD" w14:textId="1148BFF0" w:rsidR="00433655" w:rsidRDefault="00433655" w:rsidP="008E48A7">
      <w:pPr>
        <w:pStyle w:val="ListBullet"/>
        <w:numPr>
          <w:ilvl w:val="0"/>
          <w:numId w:val="26"/>
        </w:numPr>
      </w:pPr>
      <w:proofErr w:type="spellStart"/>
      <w:r>
        <w:t>Ethalfluralin</w:t>
      </w:r>
      <w:proofErr w:type="spellEnd"/>
      <w:r>
        <w:t xml:space="preserve"> is not</w:t>
      </w:r>
      <w:r w:rsidRPr="009C55D5">
        <w:t xml:space="preserve"> included in listed </w:t>
      </w:r>
      <w:r w:rsidRPr="00212515">
        <w:t>medicines</w:t>
      </w:r>
      <w:r w:rsidRPr="009C55D5">
        <w:t xml:space="preserve"> </w:t>
      </w:r>
      <w:r>
        <w:t xml:space="preserve">as it is not included in the </w:t>
      </w:r>
      <w:hyperlink r:id="rId102" w:history="1">
        <w:r w:rsidRPr="00824CAC">
          <w:rPr>
            <w:rStyle w:val="Hyperlink"/>
          </w:rPr>
          <w:t>Therapeutic Goods (Permissible Ingredients) Determination</w:t>
        </w:r>
      </w:hyperlink>
      <w:r>
        <w:rPr>
          <w:rStyle w:val="FootnoteReference"/>
        </w:rPr>
        <w:footnoteReference w:id="75"/>
      </w:r>
      <w:r w:rsidRPr="009C55D5">
        <w:t xml:space="preserve"> No.</w:t>
      </w:r>
      <w:r>
        <w:t xml:space="preserve"> </w:t>
      </w:r>
      <w:r w:rsidR="00570063">
        <w:t>4</w:t>
      </w:r>
      <w:r w:rsidRPr="009C55D5">
        <w:t xml:space="preserve"> of 20</w:t>
      </w:r>
      <w:r>
        <w:t>22</w:t>
      </w:r>
      <w:r w:rsidRPr="009C55D5">
        <w:t xml:space="preserve">. </w:t>
      </w:r>
    </w:p>
    <w:p w14:paraId="33A2E7F8" w14:textId="77777777" w:rsidR="00433655" w:rsidRDefault="00433655" w:rsidP="008E48A7">
      <w:pPr>
        <w:pStyle w:val="ListBullet"/>
        <w:numPr>
          <w:ilvl w:val="0"/>
          <w:numId w:val="26"/>
        </w:numPr>
      </w:pPr>
      <w:proofErr w:type="spellStart"/>
      <w:r>
        <w:t>Ethalfluralin</w:t>
      </w:r>
      <w:proofErr w:type="spellEnd"/>
      <w:r>
        <w:t xml:space="preserve"> does not </w:t>
      </w:r>
      <w:r w:rsidRPr="00212515">
        <w:t>appear</w:t>
      </w:r>
      <w:r>
        <w:t xml:space="preserve"> in the </w:t>
      </w:r>
      <w:hyperlink r:id="rId103" w:history="1">
        <w:r w:rsidRPr="00C81411">
          <w:rPr>
            <w:rStyle w:val="Hyperlink"/>
          </w:rPr>
          <w:t xml:space="preserve">TGA </w:t>
        </w:r>
        <w:r>
          <w:rPr>
            <w:rStyle w:val="Hyperlink"/>
          </w:rPr>
          <w:t>p</w:t>
        </w:r>
        <w:r w:rsidRPr="00C81411">
          <w:rPr>
            <w:rStyle w:val="Hyperlink"/>
          </w:rPr>
          <w:t>rescribing medicines in pregnancy database</w:t>
        </w:r>
      </w:hyperlink>
      <w:r>
        <w:rPr>
          <w:rStyle w:val="Hyperlink"/>
        </w:rPr>
        <w:t>.</w:t>
      </w:r>
      <w:r>
        <w:rPr>
          <w:rStyle w:val="FootnoteReference"/>
        </w:rPr>
        <w:footnoteReference w:id="76"/>
      </w:r>
    </w:p>
    <w:p w14:paraId="0BA9D22A" w14:textId="77777777" w:rsidR="00433655" w:rsidRDefault="00433655" w:rsidP="008E48A7">
      <w:pPr>
        <w:pStyle w:val="ListBullet"/>
        <w:numPr>
          <w:ilvl w:val="0"/>
          <w:numId w:val="26"/>
        </w:numPr>
      </w:pPr>
      <w:proofErr w:type="spellStart"/>
      <w:r>
        <w:t>Ethalfluralin</w:t>
      </w:r>
      <w:proofErr w:type="spellEnd"/>
      <w:r>
        <w:t xml:space="preserve"> does not </w:t>
      </w:r>
      <w:r w:rsidRPr="00212515">
        <w:t>appear</w:t>
      </w:r>
      <w:r>
        <w:t xml:space="preserve"> in the </w:t>
      </w:r>
      <w:hyperlink r:id="rId104" w:history="1">
        <w:r w:rsidRPr="00AB7BF5">
          <w:rPr>
            <w:rStyle w:val="Hyperlink"/>
          </w:rPr>
          <w:t>Therapeutic Goods (Medicines Advisory Statements) Specification 20</w:t>
        </w:r>
        <w:r>
          <w:rPr>
            <w:rStyle w:val="Hyperlink"/>
          </w:rPr>
          <w:t>21</w:t>
        </w:r>
      </w:hyperlink>
      <w:r>
        <w:rPr>
          <w:rStyle w:val="Hyperlink"/>
        </w:rPr>
        <w:t>.</w:t>
      </w:r>
      <w:r>
        <w:rPr>
          <w:rStyle w:val="FootnoteReference"/>
        </w:rPr>
        <w:footnoteReference w:id="77"/>
      </w:r>
    </w:p>
    <w:p w14:paraId="0CF04A29" w14:textId="77777777" w:rsidR="00433655" w:rsidRDefault="00433655" w:rsidP="008E48A7">
      <w:pPr>
        <w:pStyle w:val="ListBullet"/>
        <w:numPr>
          <w:ilvl w:val="0"/>
          <w:numId w:val="26"/>
        </w:numPr>
      </w:pPr>
      <w:proofErr w:type="spellStart"/>
      <w:r>
        <w:t>Ethalfluralin</w:t>
      </w:r>
      <w:proofErr w:type="spellEnd"/>
      <w:r>
        <w:t xml:space="preserve"> does not </w:t>
      </w:r>
      <w:r w:rsidRPr="00212515">
        <w:t>appear</w:t>
      </w:r>
      <w:r>
        <w:t xml:space="preserve"> in</w:t>
      </w:r>
      <w:r w:rsidRPr="00F0449C">
        <w:t xml:space="preserve"> the </w:t>
      </w:r>
      <w:hyperlink r:id="rId105"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Pr>
          <w:rStyle w:val="Hyperlink"/>
        </w:rPr>
        <w:t>.</w:t>
      </w:r>
      <w:r>
        <w:rPr>
          <w:rStyle w:val="FootnoteReference"/>
        </w:rPr>
        <w:footnoteReference w:id="78"/>
      </w:r>
    </w:p>
    <w:p w14:paraId="7959C382" w14:textId="4B18C225" w:rsidR="00433655" w:rsidRPr="00CB687C" w:rsidRDefault="00433655" w:rsidP="00433655">
      <w:pPr>
        <w:pStyle w:val="Heading4"/>
      </w:pPr>
      <w:bookmarkStart w:id="105" w:name="_Toc101967577"/>
      <w:bookmarkStart w:id="106" w:name="_Toc112833666"/>
      <w:r>
        <w:lastRenderedPageBreak/>
        <w:t>International regulations</w:t>
      </w:r>
      <w:bookmarkEnd w:id="105"/>
      <w:bookmarkEnd w:id="106"/>
    </w:p>
    <w:p w14:paraId="03AE5069" w14:textId="77777777" w:rsidR="00433655" w:rsidRDefault="00433655" w:rsidP="0011349B">
      <w:pPr>
        <w:pStyle w:val="ListBullet"/>
      </w:pPr>
      <w:r>
        <w:t xml:space="preserve">As of March 2022, the </w:t>
      </w:r>
      <w:hyperlink r:id="rId106" w:history="1">
        <w:r w:rsidRPr="004E60C1">
          <w:rPr>
            <w:rStyle w:val="Hyperlink"/>
          </w:rPr>
          <w:t>United States’ Environmental Protection Agency (EPA)</w:t>
        </w:r>
      </w:hyperlink>
      <w:r>
        <w:t xml:space="preserve"> has received an initial application to establish tolerances of </w:t>
      </w:r>
      <w:proofErr w:type="spellStart"/>
      <w:r>
        <w:t>ethalfluralin</w:t>
      </w:r>
      <w:proofErr w:type="spellEnd"/>
      <w:r>
        <w:t xml:space="preserve"> on stevia leaves. </w:t>
      </w:r>
    </w:p>
    <w:p w14:paraId="514F7B20" w14:textId="77777777" w:rsidR="00433655" w:rsidRDefault="00433655" w:rsidP="0011349B">
      <w:pPr>
        <w:pStyle w:val="ListBullet"/>
      </w:pPr>
      <w:r>
        <w:t>The</w:t>
      </w:r>
      <w:hyperlink r:id="rId107" w:history="1">
        <w:r w:rsidRPr="004E60C1">
          <w:rPr>
            <w:rStyle w:val="Hyperlink"/>
          </w:rPr>
          <w:t xml:space="preserve"> Canadian Pesticides and Pest Management database</w:t>
        </w:r>
      </w:hyperlink>
      <w:r>
        <w:t xml:space="preserve"> indicates that there are 7 current applications and have been 37 historical applications for </w:t>
      </w:r>
      <w:proofErr w:type="spellStart"/>
      <w:r>
        <w:t>ethalfluralin</w:t>
      </w:r>
      <w:proofErr w:type="spellEnd"/>
      <w:r>
        <w:t xml:space="preserve">. </w:t>
      </w:r>
    </w:p>
    <w:p w14:paraId="71335031" w14:textId="4632A63D" w:rsidR="00433655" w:rsidRDefault="00433655" w:rsidP="0011349B">
      <w:pPr>
        <w:pStyle w:val="ListBullet"/>
      </w:pPr>
      <w:r>
        <w:t xml:space="preserve">The </w:t>
      </w:r>
      <w:hyperlink r:id="rId108" w:history="1">
        <w:r w:rsidRPr="00250E47">
          <w:rPr>
            <w:rStyle w:val="Hyperlink"/>
          </w:rPr>
          <w:t>European Chemicals Agency (ECHA)</w:t>
        </w:r>
      </w:hyperlink>
      <w:r>
        <w:t xml:space="preserve"> lists </w:t>
      </w:r>
      <w:proofErr w:type="spellStart"/>
      <w:r>
        <w:t>ethalfluralin</w:t>
      </w:r>
      <w:proofErr w:type="spellEnd"/>
      <w:r>
        <w:t xml:space="preserve"> with requirements for specific Hazard classification and labelling</w:t>
      </w:r>
      <w:r w:rsidR="003D39DD">
        <w:t>, and indicates that a majority of data submitters agree this substance is a skin sensitiser</w:t>
      </w:r>
      <w:r w:rsidR="00940634">
        <w:t>, toxic to aquatic life, an eye irritant, a suspected carcinogen, and harmful by inhalation.</w:t>
      </w:r>
      <w:r>
        <w:t xml:space="preserve"> </w:t>
      </w:r>
    </w:p>
    <w:p w14:paraId="57973384" w14:textId="2910E2E6" w:rsidR="00433655" w:rsidRPr="00896BC4" w:rsidRDefault="00433655" w:rsidP="008E48A7">
      <w:pPr>
        <w:pStyle w:val="ListParagraph"/>
        <w:numPr>
          <w:ilvl w:val="0"/>
          <w:numId w:val="25"/>
        </w:numPr>
      </w:pPr>
      <w:r>
        <w:t xml:space="preserve">The </w:t>
      </w:r>
      <w:hyperlink r:id="rId109" w:history="1">
        <w:r w:rsidRPr="00250E47">
          <w:rPr>
            <w:rStyle w:val="Hyperlink"/>
          </w:rPr>
          <w:t>European Union Pesticides Database</w:t>
        </w:r>
      </w:hyperlink>
      <w:r>
        <w:t xml:space="preserve"> states that </w:t>
      </w:r>
      <w:proofErr w:type="spellStart"/>
      <w:r>
        <w:t>ethalfluralin</w:t>
      </w:r>
      <w:proofErr w:type="spellEnd"/>
      <w:r>
        <w:t xml:space="preserve"> is not currently approved. </w:t>
      </w:r>
    </w:p>
    <w:p w14:paraId="5F2B4AF0" w14:textId="0F386691" w:rsidR="003C02CB" w:rsidRDefault="00B41B12" w:rsidP="00F4649D">
      <w:pPr>
        <w:pStyle w:val="Heading3"/>
        <w:numPr>
          <w:ilvl w:val="0"/>
          <w:numId w:val="0"/>
        </w:numPr>
      </w:pPr>
      <w:bookmarkStart w:id="107" w:name="_Toc112833667"/>
      <w:proofErr w:type="spellStart"/>
      <w:r>
        <w:t>Tigolaner</w:t>
      </w:r>
      <w:bookmarkEnd w:id="107"/>
      <w:proofErr w:type="spellEnd"/>
    </w:p>
    <w:p w14:paraId="0CFB2337" w14:textId="3B47CF31" w:rsidR="00682003" w:rsidRDefault="00682003" w:rsidP="00682003">
      <w:pPr>
        <w:pStyle w:val="Heading4"/>
      </w:pPr>
      <w:bookmarkStart w:id="108" w:name="_Toc112833668"/>
      <w:r>
        <w:t>Proposal</w:t>
      </w:r>
      <w:bookmarkEnd w:id="108"/>
    </w:p>
    <w:p w14:paraId="1982BBDE" w14:textId="0B3D1FEA" w:rsidR="00682003" w:rsidRDefault="00D26114" w:rsidP="00682003">
      <w:r>
        <w:t xml:space="preserve">The applicant has proposed </w:t>
      </w:r>
      <w:r w:rsidR="00A411FA">
        <w:t xml:space="preserve">the </w:t>
      </w:r>
      <w:r>
        <w:t xml:space="preserve">creation of </w:t>
      </w:r>
      <w:r w:rsidR="00A411FA">
        <w:t>two</w:t>
      </w:r>
      <w:r>
        <w:t xml:space="preserve"> new entr</w:t>
      </w:r>
      <w:r w:rsidR="00A411FA">
        <w:t>ies</w:t>
      </w:r>
      <w:r>
        <w:t xml:space="preserve"> </w:t>
      </w:r>
      <w:r w:rsidR="00A411FA">
        <w:t xml:space="preserve">in the Poisons Standard </w:t>
      </w:r>
      <w:r>
        <w:t xml:space="preserve">for the new veterinary pest control agent </w:t>
      </w:r>
      <w:proofErr w:type="spellStart"/>
      <w:r>
        <w:t>tigolaner</w:t>
      </w:r>
      <w:proofErr w:type="spellEnd"/>
      <w:r w:rsidR="00A411FA">
        <w:t>. A</w:t>
      </w:r>
      <w:r>
        <w:t xml:space="preserve"> new Schedule 5 entry </w:t>
      </w:r>
      <w:r w:rsidR="00A411FA">
        <w:t xml:space="preserve">would be </w:t>
      </w:r>
      <w:r>
        <w:t xml:space="preserve">for preparations containing 10 per cent or less of </w:t>
      </w:r>
      <w:proofErr w:type="spellStart"/>
      <w:r>
        <w:t>tigolaner</w:t>
      </w:r>
      <w:proofErr w:type="spellEnd"/>
      <w:r>
        <w:t>.</w:t>
      </w:r>
      <w:r w:rsidR="00A411FA">
        <w:t xml:space="preserve"> A Schedule 6 entry would be for all other preparations. </w:t>
      </w:r>
    </w:p>
    <w:p w14:paraId="476DE0AE" w14:textId="3A2B9734" w:rsidR="00682003" w:rsidRDefault="00682003" w:rsidP="00682003">
      <w:pPr>
        <w:pStyle w:val="Heading4"/>
      </w:pPr>
      <w:bookmarkStart w:id="109" w:name="_Toc112833669"/>
      <w:r>
        <w:t>CAS Number</w:t>
      </w:r>
      <w:bookmarkEnd w:id="109"/>
    </w:p>
    <w:p w14:paraId="5D51536B" w14:textId="77777777" w:rsidR="00682003" w:rsidRDefault="00682003" w:rsidP="00682003">
      <w:r w:rsidRPr="003E231A">
        <w:t>1621436-41-6</w:t>
      </w:r>
    </w:p>
    <w:p w14:paraId="13FA1268" w14:textId="3CA28F8F" w:rsidR="00682003" w:rsidRDefault="00682003" w:rsidP="00682003">
      <w:pPr>
        <w:pStyle w:val="Heading4"/>
      </w:pPr>
      <w:bookmarkStart w:id="110" w:name="_Toc112833670"/>
      <w:r>
        <w:t>Alternative names</w:t>
      </w:r>
      <w:bookmarkEnd w:id="110"/>
    </w:p>
    <w:p w14:paraId="7BA0CDC9" w14:textId="77777777" w:rsidR="00682003" w:rsidRDefault="00682003" w:rsidP="00682003">
      <w:r w:rsidRPr="003E231A">
        <w:t>2-Chloro-N-(1-cyanocylopropyl)-5[2’-methyl-5’-(pentafluoroethyl)-4’-(trifluoromethyl)-2’H-[1,3’-bipyrazol]-4-</w:t>
      </w:r>
      <w:proofErr w:type="gramStart"/>
      <w:r w:rsidRPr="003E231A">
        <w:t>yl]benzamide</w:t>
      </w:r>
      <w:proofErr w:type="gramEnd"/>
    </w:p>
    <w:p w14:paraId="193BF3C1" w14:textId="41A9C0FB" w:rsidR="00682003" w:rsidRDefault="00682003" w:rsidP="00682003">
      <w:pPr>
        <w:pStyle w:val="Heading4"/>
      </w:pPr>
      <w:bookmarkStart w:id="111" w:name="_Toc112833671"/>
      <w:r>
        <w:t>Applicant</w:t>
      </w:r>
      <w:bookmarkEnd w:id="111"/>
    </w:p>
    <w:p w14:paraId="2C02ECF6" w14:textId="127AC8E4" w:rsidR="00682003" w:rsidRDefault="00F32A15" w:rsidP="00682003">
      <w:r>
        <w:t>Australian Pesticides and Veterinary Medicines Authority (APVMA)</w:t>
      </w:r>
    </w:p>
    <w:p w14:paraId="0749558A" w14:textId="10B3EDFC" w:rsidR="00682003" w:rsidRDefault="00682003" w:rsidP="00682003">
      <w:pPr>
        <w:pStyle w:val="Heading4"/>
      </w:pPr>
      <w:bookmarkStart w:id="112" w:name="_Toc112833672"/>
      <w:r>
        <w:t>Current scheduling</w:t>
      </w:r>
      <w:bookmarkEnd w:id="112"/>
    </w:p>
    <w:p w14:paraId="23633D24" w14:textId="77777777" w:rsidR="00682003" w:rsidRPr="003E231A" w:rsidRDefault="00682003" w:rsidP="00682003">
      <w:pPr>
        <w:rPr>
          <w:rFonts w:cstheme="minorHAnsi"/>
        </w:rPr>
      </w:pPr>
      <w:proofErr w:type="spellStart"/>
      <w:r w:rsidRPr="003E231A">
        <w:rPr>
          <w:rFonts w:cstheme="minorHAnsi"/>
        </w:rPr>
        <w:t>Tigolaner</w:t>
      </w:r>
      <w:proofErr w:type="spellEnd"/>
      <w:r w:rsidRPr="003E231A">
        <w:rPr>
          <w:rFonts w:cstheme="minorHAnsi"/>
        </w:rPr>
        <w:t xml:space="preserve"> is not specifically scheduled in the current Poisons Standard.</w:t>
      </w:r>
    </w:p>
    <w:p w14:paraId="312D55C9" w14:textId="07E9A0D8" w:rsidR="00682003" w:rsidRPr="003E231A" w:rsidRDefault="00682003" w:rsidP="00682003">
      <w:pPr>
        <w:pStyle w:val="Heading4"/>
      </w:pPr>
      <w:bookmarkStart w:id="113" w:name="_Toc112833673"/>
      <w:r>
        <w:t>Proposed scheduling</w:t>
      </w:r>
      <w:bookmarkEnd w:id="113"/>
    </w:p>
    <w:p w14:paraId="3340D357" w14:textId="77777777" w:rsidR="00682003" w:rsidRPr="00EE4B97" w:rsidRDefault="00682003" w:rsidP="0011349B">
      <w:pPr>
        <w:ind w:firstLine="426"/>
        <w:rPr>
          <w:b/>
        </w:rPr>
      </w:pPr>
      <w:r w:rsidRPr="00CD40FB">
        <w:rPr>
          <w:b/>
        </w:rPr>
        <w:t xml:space="preserve">Schedule </w:t>
      </w:r>
      <w:r>
        <w:rPr>
          <w:b/>
        </w:rPr>
        <w:t>6</w:t>
      </w:r>
      <w:r w:rsidRPr="00CD40FB">
        <w:rPr>
          <w:b/>
        </w:rPr>
        <w:t xml:space="preserve"> – </w:t>
      </w:r>
      <w:r w:rsidRPr="00EE4B97">
        <w:rPr>
          <w:b/>
        </w:rPr>
        <w:t>New Entry</w:t>
      </w:r>
    </w:p>
    <w:p w14:paraId="58F889D8" w14:textId="34F38979" w:rsidR="00682003" w:rsidRPr="0011349B" w:rsidRDefault="0011349B" w:rsidP="0011349B">
      <w:pPr>
        <w:ind w:left="426" w:firstLine="294"/>
        <w:rPr>
          <w:rFonts w:cstheme="minorHAnsi"/>
          <w:color w:val="00B050"/>
        </w:rPr>
      </w:pPr>
      <w:r w:rsidRPr="0011349B">
        <w:rPr>
          <w:rFonts w:cstheme="minorHAnsi"/>
          <w:color w:val="00B050"/>
        </w:rPr>
        <w:t>TIGOLANER</w:t>
      </w:r>
      <w:r w:rsidR="00682003" w:rsidRPr="0011349B">
        <w:rPr>
          <w:rFonts w:cstheme="minorHAnsi"/>
          <w:color w:val="00B050"/>
        </w:rPr>
        <w:t xml:space="preserve"> </w:t>
      </w:r>
      <w:r w:rsidR="00682003" w:rsidRPr="0011349B">
        <w:rPr>
          <w:rFonts w:cstheme="minorHAnsi"/>
          <w:b/>
          <w:bCs/>
          <w:color w:val="00B050"/>
        </w:rPr>
        <w:t>except</w:t>
      </w:r>
      <w:r w:rsidR="00682003" w:rsidRPr="0011349B">
        <w:rPr>
          <w:rFonts w:cstheme="minorHAnsi"/>
          <w:color w:val="00B050"/>
        </w:rPr>
        <w:t xml:space="preserve"> when in Schedule 5</w:t>
      </w:r>
      <w:r w:rsidRPr="0011349B">
        <w:rPr>
          <w:rFonts w:cstheme="minorHAnsi"/>
          <w:color w:val="00B050"/>
        </w:rPr>
        <w:t>.</w:t>
      </w:r>
    </w:p>
    <w:p w14:paraId="51CD0A1F" w14:textId="77777777" w:rsidR="00682003" w:rsidRPr="00CD40FB" w:rsidRDefault="00682003" w:rsidP="009018CD">
      <w:pPr>
        <w:ind w:left="426"/>
        <w:rPr>
          <w:b/>
        </w:rPr>
      </w:pPr>
      <w:r w:rsidRPr="00EE4B97">
        <w:rPr>
          <w:b/>
        </w:rPr>
        <w:t>Schedule 5 – New Entry</w:t>
      </w:r>
    </w:p>
    <w:p w14:paraId="18C47E35" w14:textId="64718E83" w:rsidR="00682003" w:rsidRPr="0011349B" w:rsidRDefault="0011349B" w:rsidP="0011349B">
      <w:pPr>
        <w:ind w:left="426" w:firstLine="294"/>
        <w:rPr>
          <w:rFonts w:cstheme="minorHAnsi"/>
          <w:color w:val="00B050"/>
        </w:rPr>
      </w:pPr>
      <w:r w:rsidRPr="0011349B">
        <w:rPr>
          <w:rFonts w:cstheme="minorHAnsi"/>
          <w:color w:val="00B050"/>
        </w:rPr>
        <w:t>TIGOLANER in</w:t>
      </w:r>
      <w:r w:rsidR="00682003" w:rsidRPr="0011349B">
        <w:rPr>
          <w:rFonts w:cstheme="minorHAnsi"/>
          <w:color w:val="00B050"/>
        </w:rPr>
        <w:t xml:space="preserve"> preparation</w:t>
      </w:r>
      <w:r w:rsidRPr="0011349B">
        <w:rPr>
          <w:rFonts w:cstheme="minorHAnsi"/>
          <w:color w:val="00B050"/>
        </w:rPr>
        <w:t>s</w:t>
      </w:r>
      <w:r w:rsidR="00682003" w:rsidRPr="0011349B">
        <w:rPr>
          <w:rFonts w:cstheme="minorHAnsi"/>
          <w:color w:val="00B050"/>
        </w:rPr>
        <w:t xml:space="preserve"> </w:t>
      </w:r>
      <w:r w:rsidRPr="0011349B">
        <w:rPr>
          <w:rFonts w:cstheme="minorHAnsi"/>
          <w:color w:val="00B050"/>
        </w:rPr>
        <w:t xml:space="preserve">containing </w:t>
      </w:r>
      <w:r w:rsidR="00682003" w:rsidRPr="0011349B">
        <w:rPr>
          <w:rFonts w:cstheme="minorHAnsi"/>
          <w:color w:val="00B050"/>
        </w:rPr>
        <w:t xml:space="preserve">10 per cent </w:t>
      </w:r>
      <w:r w:rsidRPr="0011349B">
        <w:rPr>
          <w:rFonts w:cstheme="minorHAnsi"/>
          <w:color w:val="00B050"/>
        </w:rPr>
        <w:t xml:space="preserve">or less of </w:t>
      </w:r>
      <w:proofErr w:type="spellStart"/>
      <w:r w:rsidRPr="0011349B">
        <w:rPr>
          <w:rFonts w:cstheme="minorHAnsi"/>
          <w:color w:val="00B050"/>
        </w:rPr>
        <w:t>tigolaner</w:t>
      </w:r>
      <w:proofErr w:type="spellEnd"/>
      <w:r w:rsidRPr="0011349B">
        <w:rPr>
          <w:rFonts w:cstheme="minorHAnsi"/>
          <w:color w:val="00B050"/>
        </w:rPr>
        <w:t>.</w:t>
      </w:r>
    </w:p>
    <w:p w14:paraId="452A78D1" w14:textId="77777777" w:rsidR="00682003" w:rsidRDefault="00682003" w:rsidP="009018CD">
      <w:pPr>
        <w:ind w:left="426" w:hanging="10"/>
        <w:rPr>
          <w:b/>
        </w:rPr>
      </w:pPr>
      <w:r w:rsidRPr="003E231A">
        <w:rPr>
          <w:b/>
        </w:rPr>
        <w:t>Index – New Entry</w:t>
      </w:r>
    </w:p>
    <w:p w14:paraId="0969C14C" w14:textId="720A0281" w:rsidR="00682003" w:rsidRPr="0011349B" w:rsidRDefault="0011349B" w:rsidP="0011349B">
      <w:pPr>
        <w:ind w:left="426" w:firstLine="294"/>
        <w:rPr>
          <w:rFonts w:cstheme="minorHAnsi"/>
          <w:color w:val="00B050"/>
        </w:rPr>
      </w:pPr>
      <w:r w:rsidRPr="0011349B">
        <w:rPr>
          <w:rFonts w:cstheme="minorHAnsi"/>
          <w:color w:val="00B050"/>
        </w:rPr>
        <w:t>TIGOLANER</w:t>
      </w:r>
    </w:p>
    <w:p w14:paraId="39292C25" w14:textId="77777777" w:rsidR="00682003" w:rsidRPr="0011349B" w:rsidRDefault="00682003" w:rsidP="0011349B">
      <w:pPr>
        <w:ind w:left="720"/>
        <w:rPr>
          <w:rFonts w:cstheme="minorHAnsi"/>
          <w:color w:val="00B050"/>
        </w:rPr>
      </w:pPr>
      <w:r w:rsidRPr="0011349B">
        <w:rPr>
          <w:rFonts w:cstheme="minorHAnsi"/>
          <w:color w:val="00B050"/>
        </w:rPr>
        <w:lastRenderedPageBreak/>
        <w:t>Schedule 6</w:t>
      </w:r>
      <w:r w:rsidRPr="0011349B">
        <w:rPr>
          <w:rFonts w:cstheme="minorHAnsi"/>
          <w:color w:val="00B050"/>
        </w:rPr>
        <w:br/>
        <w:t>Schedule 5</w:t>
      </w:r>
    </w:p>
    <w:p w14:paraId="7B8F4F5F" w14:textId="008143D4" w:rsidR="00682003" w:rsidRDefault="00682003" w:rsidP="00682003">
      <w:pPr>
        <w:pStyle w:val="Heading4"/>
      </w:pPr>
      <w:bookmarkStart w:id="114" w:name="_Toc112833674"/>
      <w:r>
        <w:t>Background</w:t>
      </w:r>
      <w:bookmarkEnd w:id="114"/>
    </w:p>
    <w:p w14:paraId="3BB4BE15" w14:textId="6CD43EFB" w:rsidR="005D0817" w:rsidRDefault="005D0817" w:rsidP="00D26114">
      <w:proofErr w:type="spellStart"/>
      <w:r>
        <w:t>Tigolaner</w:t>
      </w:r>
      <w:proofErr w:type="spellEnd"/>
      <w:r>
        <w:t xml:space="preserve"> belongs to the chemical class of </w:t>
      </w:r>
      <w:proofErr w:type="spellStart"/>
      <w:r>
        <w:t>bispyrazoles</w:t>
      </w:r>
      <w:proofErr w:type="spellEnd"/>
      <w:r>
        <w:t>. It is an acaricide and insecticide that acts by blocking gamma-aminobutyric acid (GABA) gated chloride channels in the nervous system. The proposed use of the substance is for the treatment and prevention of flea infestations, control of ticks and mites, and treatment and control of intestinal worms in cats and kittens in the form of a spot-on solution.</w:t>
      </w:r>
    </w:p>
    <w:p w14:paraId="3D353A9D" w14:textId="42FE17E5" w:rsidR="00682003" w:rsidRDefault="00936C36" w:rsidP="00682003">
      <w:pPr>
        <w:pStyle w:val="Heading4"/>
      </w:pPr>
      <w:bookmarkStart w:id="115" w:name="_Toc112833675"/>
      <w:r w:rsidRPr="00936C36">
        <w:t>Summary of applicant’s reasons for the proposal</w:t>
      </w:r>
      <w:bookmarkEnd w:id="115"/>
    </w:p>
    <w:p w14:paraId="0C80A0B0" w14:textId="201931B0" w:rsidR="00627DE6" w:rsidRDefault="00627DE6" w:rsidP="008E48A7">
      <w:pPr>
        <w:pStyle w:val="ListBullet"/>
        <w:numPr>
          <w:ilvl w:val="0"/>
          <w:numId w:val="47"/>
        </w:numPr>
        <w:rPr>
          <w:sz w:val="24"/>
        </w:rPr>
      </w:pPr>
      <w:r>
        <w:t xml:space="preserve">Studies indicate that </w:t>
      </w:r>
      <w:proofErr w:type="spellStart"/>
      <w:r>
        <w:t>tigolaner</w:t>
      </w:r>
      <w:proofErr w:type="spellEnd"/>
      <w:r>
        <w:t xml:space="preserve"> has low acute oral and dermal toxicity, is not mutagenic, is not a skin nor eye irritant, and is not a potential skin sensitiser in mice. However, adverse reproductive effects have been observed</w:t>
      </w:r>
      <w:r w:rsidR="000C396D">
        <w:t xml:space="preserve"> in tests on rats and rabbits, including birth defects such as increased incidence of cleft palate and non-adverse skeletal variations</w:t>
      </w:r>
      <w:r>
        <w:t>.</w:t>
      </w:r>
    </w:p>
    <w:p w14:paraId="3DA1343D" w14:textId="6E116755" w:rsidR="00627DE6" w:rsidRDefault="00627DE6" w:rsidP="008E48A7">
      <w:pPr>
        <w:pStyle w:val="ListBullet"/>
        <w:numPr>
          <w:ilvl w:val="0"/>
          <w:numId w:val="47"/>
        </w:numPr>
      </w:pPr>
      <w:r>
        <w:t xml:space="preserve">The toxicology profile of </w:t>
      </w:r>
      <w:proofErr w:type="spellStart"/>
      <w:r>
        <w:t>tigolaner</w:t>
      </w:r>
      <w:proofErr w:type="spellEnd"/>
      <w:r>
        <w:t xml:space="preserve"> </w:t>
      </w:r>
      <w:proofErr w:type="gramStart"/>
      <w:r>
        <w:t>is considered to be</w:t>
      </w:r>
      <w:proofErr w:type="gramEnd"/>
      <w:r>
        <w:t xml:space="preserve"> consistent with the Scheduling Policy Framework criteria for inclusion in Schedule 6 of the Poisons Standard based on moderate health hazards, except for preparations containing 10 per cent or less of </w:t>
      </w:r>
      <w:proofErr w:type="spellStart"/>
      <w:r>
        <w:t>tigolaner</w:t>
      </w:r>
      <w:proofErr w:type="spellEnd"/>
      <w:r>
        <w:t xml:space="preserve"> which should be placed into Schedule 5.</w:t>
      </w:r>
    </w:p>
    <w:p w14:paraId="6777B9E5" w14:textId="77777777" w:rsidR="00627DE6" w:rsidRDefault="00627DE6" w:rsidP="008E48A7">
      <w:pPr>
        <w:pStyle w:val="ListBullet"/>
        <w:numPr>
          <w:ilvl w:val="0"/>
          <w:numId w:val="47"/>
        </w:numPr>
        <w:spacing w:after="120"/>
        <w:jc w:val="both"/>
      </w:pPr>
      <w:r>
        <w:t>There is no risk of dependency, abuse, misuse, or diversion into illicit use.</w:t>
      </w:r>
    </w:p>
    <w:p w14:paraId="5DF656B2" w14:textId="68B3B828" w:rsidR="00682003" w:rsidRDefault="00682003" w:rsidP="00682003">
      <w:pPr>
        <w:pStyle w:val="Heading4"/>
      </w:pPr>
      <w:bookmarkStart w:id="116" w:name="_Toc112833676"/>
      <w:r>
        <w:t>Key uses / expected use</w:t>
      </w:r>
      <w:bookmarkEnd w:id="116"/>
    </w:p>
    <w:p w14:paraId="4E68DC68" w14:textId="683722D0" w:rsidR="00682003" w:rsidRDefault="00627DE6" w:rsidP="00682003">
      <w:r w:rsidRPr="00D26114">
        <w:t>V</w:t>
      </w:r>
      <w:r w:rsidR="00682003" w:rsidRPr="00D26114">
        <w:t>eterinary</w:t>
      </w:r>
      <w:r w:rsidRPr="00D26114">
        <w:t xml:space="preserve"> medicines</w:t>
      </w:r>
    </w:p>
    <w:p w14:paraId="4A270648" w14:textId="321956EA" w:rsidR="00682003" w:rsidRDefault="00682003" w:rsidP="00682003">
      <w:pPr>
        <w:pStyle w:val="Heading4"/>
      </w:pPr>
      <w:bookmarkStart w:id="117" w:name="_Toc112833677"/>
      <w:r w:rsidRPr="00DC5AE0">
        <w:t xml:space="preserve">Australian </w:t>
      </w:r>
      <w:r>
        <w:t>regulations</w:t>
      </w:r>
      <w:bookmarkEnd w:id="117"/>
      <w:r w:rsidRPr="00DC5AE0">
        <w:t xml:space="preserve"> </w:t>
      </w:r>
    </w:p>
    <w:p w14:paraId="5628CACD" w14:textId="77777777" w:rsidR="00682003" w:rsidRDefault="00682003" w:rsidP="00682003">
      <w:pPr>
        <w:pStyle w:val="ListBullet"/>
        <w:numPr>
          <w:ilvl w:val="0"/>
          <w:numId w:val="1"/>
        </w:numPr>
        <w:rPr>
          <w:i/>
          <w:color w:val="002C47" w:themeColor="text2"/>
          <w:sz w:val="20"/>
        </w:rPr>
      </w:pPr>
      <w:proofErr w:type="spellStart"/>
      <w:r>
        <w:t>Tigolaner</w:t>
      </w:r>
      <w:proofErr w:type="spellEnd"/>
      <w:r>
        <w:t xml:space="preserve"> does </w:t>
      </w:r>
      <w:r w:rsidRPr="00212515">
        <w:t>not</w:t>
      </w:r>
      <w:r>
        <w:t xml:space="preserve"> appear in the </w:t>
      </w:r>
      <w:hyperlink r:id="rId110" w:history="1">
        <w:r w:rsidRPr="00C66C5E">
          <w:rPr>
            <w:rStyle w:val="Hyperlink"/>
          </w:rPr>
          <w:t xml:space="preserve">TGA </w:t>
        </w:r>
        <w:r>
          <w:rPr>
            <w:rStyle w:val="Hyperlink"/>
          </w:rPr>
          <w:t xml:space="preserve">Ingredient </w:t>
        </w:r>
        <w:r w:rsidRPr="00C66C5E">
          <w:rPr>
            <w:rStyle w:val="Hyperlink"/>
          </w:rPr>
          <w:t>Database</w:t>
        </w:r>
      </w:hyperlink>
      <w:r>
        <w:rPr>
          <w:rStyle w:val="Hyperlink"/>
        </w:rPr>
        <w:t>.</w:t>
      </w:r>
      <w:r>
        <w:rPr>
          <w:rStyle w:val="FootnoteReference"/>
        </w:rPr>
        <w:footnoteReference w:id="79"/>
      </w:r>
      <w:r>
        <w:t xml:space="preserve"> </w:t>
      </w:r>
    </w:p>
    <w:p w14:paraId="75F901B9" w14:textId="77777777" w:rsidR="00682003" w:rsidRPr="00FD6272" w:rsidRDefault="00682003" w:rsidP="00682003">
      <w:pPr>
        <w:pStyle w:val="ListBullet"/>
        <w:numPr>
          <w:ilvl w:val="0"/>
          <w:numId w:val="1"/>
        </w:numPr>
        <w:rPr>
          <w:i/>
          <w:color w:val="002C47" w:themeColor="text2"/>
        </w:rPr>
      </w:pPr>
      <w:r>
        <w:t>T</w:t>
      </w:r>
      <w:r w:rsidRPr="00881DFE">
        <w:t xml:space="preserve">here </w:t>
      </w:r>
      <w:r>
        <w:t>are no medicine</w:t>
      </w:r>
      <w:r w:rsidRPr="00881DFE">
        <w:t xml:space="preserve">s currently </w:t>
      </w:r>
      <w:r w:rsidRPr="00212515">
        <w:t>active</w:t>
      </w:r>
      <w:r w:rsidRPr="00881DFE">
        <w:t xml:space="preserve"> on the </w:t>
      </w:r>
      <w:hyperlink r:id="rId111" w:history="1">
        <w:r w:rsidRPr="00293CCA">
          <w:rPr>
            <w:rStyle w:val="Hyperlink"/>
          </w:rPr>
          <w:t>Australian Register of Therapeutic Goods (ARTG)</w:t>
        </w:r>
      </w:hyperlink>
      <w:r>
        <w:rPr>
          <w:rStyle w:val="FootnoteReference"/>
        </w:rPr>
        <w:footnoteReference w:id="80"/>
      </w:r>
      <w:r>
        <w:t xml:space="preserve"> that contain </w:t>
      </w:r>
      <w:proofErr w:type="spellStart"/>
      <w:r>
        <w:t>tigolaner</w:t>
      </w:r>
      <w:proofErr w:type="spellEnd"/>
      <w:r>
        <w:t xml:space="preserve"> as an active ingredient</w:t>
      </w:r>
      <w:r w:rsidRPr="00881DFE">
        <w:t>.</w:t>
      </w:r>
      <w:r>
        <w:t xml:space="preserve"> </w:t>
      </w:r>
    </w:p>
    <w:p w14:paraId="6CC3FB95" w14:textId="77777777" w:rsidR="00682003" w:rsidRDefault="00682003" w:rsidP="00682003">
      <w:pPr>
        <w:pStyle w:val="ListBullet"/>
        <w:numPr>
          <w:ilvl w:val="0"/>
          <w:numId w:val="1"/>
        </w:numPr>
      </w:pPr>
      <w:proofErr w:type="spellStart"/>
      <w:r>
        <w:t>Tigolaner</w:t>
      </w:r>
      <w:proofErr w:type="spellEnd"/>
      <w:r>
        <w:t xml:space="preserve"> is not</w:t>
      </w:r>
      <w:r w:rsidRPr="009C55D5">
        <w:t xml:space="preserve"> included in listed </w:t>
      </w:r>
      <w:r w:rsidRPr="00212515">
        <w:t>medicines</w:t>
      </w:r>
      <w:r w:rsidRPr="009C55D5">
        <w:t xml:space="preserve"> </w:t>
      </w:r>
      <w:r>
        <w:t xml:space="preserve">as it is not included in the </w:t>
      </w:r>
      <w:hyperlink r:id="rId112" w:history="1">
        <w:r w:rsidRPr="00824CAC">
          <w:rPr>
            <w:rStyle w:val="Hyperlink"/>
          </w:rPr>
          <w:t>Therapeutic Goods (Permissible Ingredients) Determination</w:t>
        </w:r>
      </w:hyperlink>
      <w:r>
        <w:rPr>
          <w:rStyle w:val="FootnoteReference"/>
        </w:rPr>
        <w:footnoteReference w:id="81"/>
      </w:r>
      <w:r w:rsidRPr="009C55D5">
        <w:t xml:space="preserve"> No.</w:t>
      </w:r>
      <w:r>
        <w:t xml:space="preserve"> 4</w:t>
      </w:r>
      <w:r w:rsidRPr="009C55D5">
        <w:t xml:space="preserve"> of 20</w:t>
      </w:r>
      <w:r>
        <w:t>22</w:t>
      </w:r>
      <w:r w:rsidRPr="009C55D5">
        <w:t xml:space="preserve">. </w:t>
      </w:r>
    </w:p>
    <w:p w14:paraId="35977A31" w14:textId="77777777" w:rsidR="00682003" w:rsidRDefault="00682003" w:rsidP="00682003">
      <w:pPr>
        <w:pStyle w:val="ListBullet"/>
        <w:numPr>
          <w:ilvl w:val="0"/>
          <w:numId w:val="1"/>
        </w:numPr>
      </w:pPr>
      <w:proofErr w:type="spellStart"/>
      <w:r>
        <w:t>Tigolaner</w:t>
      </w:r>
      <w:proofErr w:type="spellEnd"/>
      <w:r>
        <w:t xml:space="preserve"> does not </w:t>
      </w:r>
      <w:r w:rsidRPr="00212515">
        <w:t>appear</w:t>
      </w:r>
      <w:r>
        <w:t xml:space="preserve"> in the </w:t>
      </w:r>
      <w:hyperlink r:id="rId113" w:history="1">
        <w:r w:rsidRPr="00C81411">
          <w:rPr>
            <w:rStyle w:val="Hyperlink"/>
          </w:rPr>
          <w:t xml:space="preserve">TGA </w:t>
        </w:r>
        <w:r>
          <w:rPr>
            <w:rStyle w:val="Hyperlink"/>
          </w:rPr>
          <w:t>p</w:t>
        </w:r>
        <w:r w:rsidRPr="00C81411">
          <w:rPr>
            <w:rStyle w:val="Hyperlink"/>
          </w:rPr>
          <w:t>rescribing medicines in pregnancy database</w:t>
        </w:r>
      </w:hyperlink>
      <w:r>
        <w:rPr>
          <w:rStyle w:val="Hyperlink"/>
        </w:rPr>
        <w:t>.</w:t>
      </w:r>
      <w:r>
        <w:rPr>
          <w:rStyle w:val="FootnoteReference"/>
        </w:rPr>
        <w:footnoteReference w:id="82"/>
      </w:r>
    </w:p>
    <w:p w14:paraId="0F377568" w14:textId="77777777" w:rsidR="00682003" w:rsidRDefault="00682003" w:rsidP="00682003">
      <w:pPr>
        <w:pStyle w:val="ListBullet"/>
        <w:numPr>
          <w:ilvl w:val="0"/>
          <w:numId w:val="1"/>
        </w:numPr>
      </w:pPr>
      <w:proofErr w:type="spellStart"/>
      <w:r>
        <w:t>Tigolaner</w:t>
      </w:r>
      <w:proofErr w:type="spellEnd"/>
      <w:r>
        <w:t xml:space="preserve"> does not </w:t>
      </w:r>
      <w:r w:rsidRPr="00212515">
        <w:t>appear</w:t>
      </w:r>
      <w:r>
        <w:t xml:space="preserve"> in the </w:t>
      </w:r>
      <w:hyperlink r:id="rId114" w:history="1">
        <w:r w:rsidRPr="00AB7BF5">
          <w:rPr>
            <w:rStyle w:val="Hyperlink"/>
          </w:rPr>
          <w:t>Therapeutic Goods (Medicines Advisory Statements) Specification 20</w:t>
        </w:r>
        <w:r>
          <w:rPr>
            <w:rStyle w:val="Hyperlink"/>
          </w:rPr>
          <w:t>21</w:t>
        </w:r>
      </w:hyperlink>
      <w:r>
        <w:rPr>
          <w:rStyle w:val="Hyperlink"/>
        </w:rPr>
        <w:t>.</w:t>
      </w:r>
      <w:r>
        <w:rPr>
          <w:rStyle w:val="FootnoteReference"/>
        </w:rPr>
        <w:footnoteReference w:id="83"/>
      </w:r>
    </w:p>
    <w:p w14:paraId="57B4656A" w14:textId="399D17C1" w:rsidR="00682003" w:rsidRDefault="00682003" w:rsidP="00682003">
      <w:pPr>
        <w:pStyle w:val="ListBullet"/>
        <w:numPr>
          <w:ilvl w:val="0"/>
          <w:numId w:val="1"/>
        </w:numPr>
      </w:pPr>
      <w:proofErr w:type="spellStart"/>
      <w:r>
        <w:lastRenderedPageBreak/>
        <w:t>Tigolaner</w:t>
      </w:r>
      <w:proofErr w:type="spellEnd"/>
      <w:r>
        <w:t xml:space="preserve"> does not </w:t>
      </w:r>
      <w:r w:rsidRPr="00212515">
        <w:t>appear</w:t>
      </w:r>
      <w:r>
        <w:t xml:space="preserve"> in</w:t>
      </w:r>
      <w:r w:rsidRPr="00F0449C">
        <w:t xml:space="preserve"> the </w:t>
      </w:r>
      <w:hyperlink r:id="rId115"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Pr>
          <w:rStyle w:val="Hyperlink"/>
        </w:rPr>
        <w:t>.</w:t>
      </w:r>
      <w:r>
        <w:rPr>
          <w:rStyle w:val="FootnoteReference"/>
        </w:rPr>
        <w:footnoteReference w:id="84"/>
      </w:r>
      <w:bookmarkStart w:id="118" w:name="_Toc468284153"/>
      <w:bookmarkStart w:id="119" w:name="_Toc486934451"/>
    </w:p>
    <w:p w14:paraId="3EA36747" w14:textId="2E381E31" w:rsidR="00682003" w:rsidRPr="00CB687C" w:rsidRDefault="00682003" w:rsidP="00682003">
      <w:pPr>
        <w:pStyle w:val="Heading4"/>
      </w:pPr>
      <w:bookmarkStart w:id="120" w:name="_Toc112833678"/>
      <w:r>
        <w:t>International regulations</w:t>
      </w:r>
      <w:bookmarkEnd w:id="118"/>
      <w:bookmarkEnd w:id="119"/>
      <w:bookmarkEnd w:id="120"/>
    </w:p>
    <w:p w14:paraId="1DBDEB7B" w14:textId="3C4E9E41" w:rsidR="00682003" w:rsidRPr="0049666C" w:rsidRDefault="00682003" w:rsidP="00682003">
      <w:pPr>
        <w:pStyle w:val="ListBullet"/>
        <w:numPr>
          <w:ilvl w:val="0"/>
          <w:numId w:val="1"/>
        </w:numPr>
        <w:rPr>
          <w:color w:val="0000FF"/>
          <w:u w:val="single"/>
        </w:rPr>
      </w:pPr>
      <w:proofErr w:type="spellStart"/>
      <w:r>
        <w:t>Tigolaner</w:t>
      </w:r>
      <w:proofErr w:type="spellEnd"/>
      <w:r>
        <w:t xml:space="preserve"> is listed as an active ingredient in a veterinary medicine to treat cats </w:t>
      </w:r>
      <w:r w:rsidR="000C396D">
        <w:t xml:space="preserve">authorised </w:t>
      </w:r>
      <w:r>
        <w:t xml:space="preserve">for use by the </w:t>
      </w:r>
      <w:hyperlink r:id="rId116" w:history="1">
        <w:r w:rsidRPr="0049666C">
          <w:rPr>
            <w:rStyle w:val="Hyperlink"/>
          </w:rPr>
          <w:t>European Medicines Agency</w:t>
        </w:r>
      </w:hyperlink>
      <w:r w:rsidR="000C396D" w:rsidRPr="00D26114">
        <w:rPr>
          <w:rStyle w:val="Hyperlink"/>
          <w:color w:val="auto"/>
          <w:u w:val="none"/>
        </w:rPr>
        <w:t>.</w:t>
      </w:r>
      <w:r>
        <w:rPr>
          <w:rStyle w:val="FootnoteReference"/>
        </w:rPr>
        <w:footnoteReference w:id="85"/>
      </w:r>
      <w:r>
        <w:t xml:space="preserve"> </w:t>
      </w:r>
    </w:p>
    <w:p w14:paraId="6DEC83FB" w14:textId="51C236F8" w:rsidR="003C02CB" w:rsidRDefault="003C02CB" w:rsidP="003C02CB">
      <w:pPr>
        <w:pStyle w:val="Heading2"/>
        <w:pageBreakBefore w:val="0"/>
      </w:pPr>
      <w:bookmarkStart w:id="121" w:name="_Toc112833679"/>
      <w:r>
        <w:t>How to respond</w:t>
      </w:r>
      <w:bookmarkEnd w:id="121"/>
    </w:p>
    <w:p w14:paraId="5C0264B1" w14:textId="0AC95758" w:rsidR="003C02CB" w:rsidRDefault="00D75206" w:rsidP="00D75206">
      <w:pPr>
        <w:pStyle w:val="ListBullet"/>
        <w:numPr>
          <w:ilvl w:val="0"/>
          <w:numId w:val="0"/>
        </w:numPr>
      </w:pPr>
      <w:r>
        <w:t xml:space="preserve">Submissions must be provided by the closing date of </w:t>
      </w:r>
      <w:r w:rsidR="00F54212">
        <w:rPr>
          <w:b/>
        </w:rPr>
        <w:t xml:space="preserve">29 </w:t>
      </w:r>
      <w:r w:rsidR="000D36F5">
        <w:rPr>
          <w:b/>
        </w:rPr>
        <w:t xml:space="preserve">September </w:t>
      </w:r>
      <w:r>
        <w:rPr>
          <w:b/>
        </w:rPr>
        <w:t>20</w:t>
      </w:r>
      <w:r w:rsidR="000D36F5">
        <w:rPr>
          <w:b/>
        </w:rPr>
        <w:t>22</w:t>
      </w:r>
      <w:r>
        <w:t xml:space="preserve"> </w:t>
      </w:r>
      <w:r w:rsidRPr="00972C2F">
        <w:t>through our </w:t>
      </w:r>
      <w:hyperlink r:id="rId117" w:history="1">
        <w:r w:rsidRPr="00865CED">
          <w:rPr>
            <w:rStyle w:val="Hyperlink"/>
          </w:rPr>
          <w:t>consultation hub</w:t>
        </w:r>
      </w:hyperlink>
      <w:r w:rsidRPr="00972C2F">
        <w:t>. Any submission about any of the proposals to amend the Poisons Standard will be considered at the next meeting of the </w:t>
      </w:r>
      <w:hyperlink r:id="rId118" w:history="1">
        <w:r w:rsidRPr="00972C2F">
          <w:rPr>
            <w:rStyle w:val="Hyperlink"/>
          </w:rPr>
          <w:t>Advisory Committee on Medicines Scheduling (ACMS)</w:t>
        </w:r>
      </w:hyperlink>
      <w:r w:rsidRPr="00972C2F">
        <w:t>, meeting of the </w:t>
      </w:r>
      <w:hyperlink r:id="rId119" w:history="1">
        <w:r w:rsidRPr="00972C2F">
          <w:rPr>
            <w:rStyle w:val="Hyperlink"/>
          </w:rPr>
          <w:t>Advisory Committee on Chemicals Scheduling (ACCS)</w:t>
        </w:r>
      </w:hyperlink>
      <w:r w:rsidRPr="00972C2F">
        <w:t xml:space="preserve">, or a joint </w:t>
      </w:r>
      <w:r>
        <w:t>meeting of these two committees.</w:t>
      </w:r>
    </w:p>
    <w:p w14:paraId="62DDB87C" w14:textId="01DB2508" w:rsidR="003C02CB" w:rsidRDefault="003C02CB" w:rsidP="003C02CB">
      <w:pPr>
        <w:pStyle w:val="Heading2"/>
        <w:pageBreakBefore w:val="0"/>
      </w:pPr>
      <w:bookmarkStart w:id="122" w:name="_Toc112833680"/>
      <w:r>
        <w:t>What will happen</w:t>
      </w:r>
      <w:bookmarkEnd w:id="122"/>
    </w:p>
    <w:p w14:paraId="6EFB533F" w14:textId="77777777" w:rsidR="003C02CB" w:rsidRDefault="003C02CB" w:rsidP="003C02CB">
      <w:r>
        <w:t xml:space="preserve">All public submissions will be published on the TGA website at </w:t>
      </w:r>
      <w:hyperlink r:id="rId120"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
    <w:p w14:paraId="3D544DBF" w14:textId="6B0C7F52" w:rsidR="003E3D34" w:rsidRPr="009401F6" w:rsidRDefault="003C02CB" w:rsidP="00F8404D">
      <w:pPr>
        <w:sectPr w:rsidR="003E3D34" w:rsidRPr="009401F6" w:rsidSect="0074066C">
          <w:headerReference w:type="default" r:id="rId121"/>
          <w:footerReference w:type="default" r:id="rId122"/>
          <w:headerReference w:type="first" r:id="rId123"/>
          <w:type w:val="continuous"/>
          <w:pgSz w:w="11906" w:h="16838" w:code="9"/>
          <w:pgMar w:top="1530" w:right="1418" w:bottom="1361" w:left="1418" w:header="998" w:footer="283" w:gutter="0"/>
          <w:cols w:space="708"/>
          <w:titlePg/>
          <w:docGrid w:linePitch="360"/>
        </w:sectPr>
      </w:pPr>
      <w:r>
        <w:t xml:space="preserve">Following consideration of public submissions received before the closing date and advice from the expert advisory committee/s, decisions on the proposed amendments will be published as interim decisions on the TGA website: </w:t>
      </w:r>
      <w:hyperlink r:id="rId124"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w:t>
      </w:r>
      <w:r w:rsidR="00251CCB">
        <w:t>in February 202</w:t>
      </w:r>
      <w:r w:rsidR="00534718">
        <w:t>2</w:t>
      </w:r>
    </w:p>
    <w:p w14:paraId="6BDF0E41" w14:textId="121CCD72" w:rsidR="0084580B" w:rsidRPr="009401F6" w:rsidRDefault="0084580B" w:rsidP="00534718"/>
    <w:sectPr w:rsidR="0084580B" w:rsidRPr="009401F6" w:rsidSect="00F8404D">
      <w:headerReference w:type="first" r:id="rId125"/>
      <w:footerReference w:type="first" r:id="rId126"/>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A3F1" w14:textId="77777777" w:rsidR="008E48A7" w:rsidRDefault="008E48A7" w:rsidP="00C40A36">
      <w:pPr>
        <w:spacing w:after="0"/>
      </w:pPr>
      <w:r>
        <w:separator/>
      </w:r>
    </w:p>
    <w:p w14:paraId="3BBE4D90" w14:textId="77777777" w:rsidR="008E48A7" w:rsidRDefault="008E48A7"/>
  </w:endnote>
  <w:endnote w:type="continuationSeparator" w:id="0">
    <w:p w14:paraId="696EDFE7" w14:textId="77777777" w:rsidR="008E48A7" w:rsidRDefault="008E48A7" w:rsidP="00C40A36">
      <w:pPr>
        <w:spacing w:after="0"/>
      </w:pPr>
      <w:r>
        <w:continuationSeparator/>
      </w:r>
    </w:p>
    <w:p w14:paraId="5D9097E7" w14:textId="77777777" w:rsidR="008E48A7" w:rsidRDefault="008E4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0F41B" w14:textId="77777777" w:rsidR="009C4B1B" w:rsidRDefault="009C4B1B" w:rsidP="001C6D21">
    <w:pPr>
      <w:pStyle w:val="Footer"/>
      <w:tabs>
        <w:tab w:val="left" w:pos="7620"/>
        <w:tab w:val="right" w:pos="8504"/>
      </w:tabs>
      <w:rPr>
        <w:lang w:eastAsia="en-AU"/>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712"/>
    </w:tblGrid>
    <w:tr w:rsidR="009C4B1B" w:rsidRPr="00257138" w14:paraId="2ED96BC6" w14:textId="77777777" w:rsidTr="001C6D21">
      <w:trPr>
        <w:trHeight w:val="423"/>
      </w:trPr>
      <w:tc>
        <w:tcPr>
          <w:tcW w:w="4360" w:type="dxa"/>
          <w:tcBorders>
            <w:top w:val="single" w:sz="4" w:space="0" w:color="auto"/>
          </w:tcBorders>
        </w:tcPr>
        <w:p w14:paraId="26FFC07E" w14:textId="7327649E" w:rsidR="009C4B1B" w:rsidRPr="00257138" w:rsidRDefault="009C4B1B" w:rsidP="009B15F1">
          <w:pPr>
            <w:pStyle w:val="Footer"/>
          </w:pPr>
        </w:p>
      </w:tc>
      <w:tc>
        <w:tcPr>
          <w:tcW w:w="4712" w:type="dxa"/>
          <w:tcBorders>
            <w:top w:val="single" w:sz="4" w:space="0" w:color="auto"/>
          </w:tcBorders>
        </w:tcPr>
        <w:sdt>
          <w:sdtPr>
            <w:id w:val="3702144"/>
            <w:docPartObj>
              <w:docPartGallery w:val="Page Numbers (Top of Page)"/>
              <w:docPartUnique/>
            </w:docPartObj>
          </w:sdtPr>
          <w:sdtEndPr/>
          <w:sdtContent>
            <w:p w14:paraId="3C88674F" w14:textId="77777777" w:rsidR="009C4B1B" w:rsidRDefault="009C4B1B" w:rsidP="008D4740">
              <w:pPr>
                <w:pStyle w:val="Footer"/>
                <w:jc w:val="right"/>
              </w:pPr>
            </w:p>
            <w:p w14:paraId="57F00AC1" w14:textId="4F7DB1A7" w:rsidR="009C4B1B" w:rsidRPr="00257138" w:rsidRDefault="009C4B1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28</w:t>
                </w:r>
              </w:fldSimple>
            </w:p>
          </w:sdtContent>
        </w:sdt>
      </w:tc>
    </w:tr>
    <w:tr w:rsidR="009C4B1B" w:rsidRPr="00257138" w14:paraId="5FF2DDB5" w14:textId="77777777" w:rsidTr="001C6D21">
      <w:trPr>
        <w:trHeight w:val="263"/>
      </w:trPr>
      <w:tc>
        <w:tcPr>
          <w:tcW w:w="4360" w:type="dxa"/>
        </w:tcPr>
        <w:p w14:paraId="660866B7" w14:textId="4280B373" w:rsidR="009C4B1B" w:rsidRPr="00257138" w:rsidRDefault="009C4B1B" w:rsidP="008D4740">
          <w:pPr>
            <w:pStyle w:val="Footer"/>
          </w:pPr>
        </w:p>
      </w:tc>
      <w:tc>
        <w:tcPr>
          <w:tcW w:w="4712" w:type="dxa"/>
        </w:tcPr>
        <w:p w14:paraId="6B5967E0" w14:textId="77777777" w:rsidR="009C4B1B" w:rsidRPr="00257138" w:rsidRDefault="009C4B1B" w:rsidP="008D4740">
          <w:pPr>
            <w:pStyle w:val="Footer"/>
            <w:jc w:val="right"/>
          </w:pPr>
        </w:p>
      </w:tc>
    </w:tr>
  </w:tbl>
  <w:p w14:paraId="033040CC" w14:textId="77777777" w:rsidR="009C4B1B" w:rsidRPr="00826007" w:rsidRDefault="009C4B1B"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9C01" w14:textId="77777777" w:rsidR="009C4B1B" w:rsidRDefault="009C4B1B"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9C4B1B" w:rsidRPr="00257138" w14:paraId="11EF2070" w14:textId="77777777" w:rsidTr="000135AA">
      <w:trPr>
        <w:trHeight w:val="423"/>
      </w:trPr>
      <w:tc>
        <w:tcPr>
          <w:tcW w:w="7479" w:type="dxa"/>
        </w:tcPr>
        <w:p w14:paraId="668E2FA3" w14:textId="1BF4534D" w:rsidR="009C4B1B" w:rsidRPr="00257138" w:rsidRDefault="009C4B1B" w:rsidP="00EB182C">
          <w:pPr>
            <w:pStyle w:val="Footer"/>
            <w:spacing w:before="120" w:after="120"/>
          </w:pPr>
          <w:r>
            <w:t xml:space="preserve">Consultation: Proposed amendments to the Poisons Standard – ACCS, ACMS and joint ACCS/ACMS meetings, November 2022 </w:t>
          </w:r>
          <w:r>
            <w:br/>
          </w:r>
        </w:p>
      </w:tc>
      <w:tc>
        <w:tcPr>
          <w:tcW w:w="1593" w:type="dxa"/>
        </w:tcPr>
        <w:sdt>
          <w:sdtPr>
            <w:id w:val="3702141"/>
            <w:docPartObj>
              <w:docPartGallery w:val="Page Numbers (Top of Page)"/>
              <w:docPartUnique/>
            </w:docPartObj>
          </w:sdtPr>
          <w:sdtEndPr/>
          <w:sdtContent>
            <w:p w14:paraId="77C66A76" w14:textId="6CCF56EA" w:rsidR="009C4B1B" w:rsidRPr="00257138" w:rsidRDefault="009C4B1B"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4</w:t>
              </w:r>
              <w:r>
                <w:rPr>
                  <w:noProof/>
                </w:rPr>
                <w:fldChar w:fldCharType="end"/>
              </w:r>
              <w:r w:rsidRPr="00257138">
                <w:t xml:space="preserve"> of </w:t>
              </w:r>
              <w:fldSimple w:instr=" NUMPAGES  ">
                <w:r>
                  <w:rPr>
                    <w:noProof/>
                  </w:rPr>
                  <w:t>28</w:t>
                </w:r>
              </w:fldSimple>
            </w:p>
          </w:sdtContent>
        </w:sdt>
      </w:tc>
    </w:tr>
  </w:tbl>
  <w:p w14:paraId="1DBC2E00" w14:textId="77777777" w:rsidR="009C4B1B" w:rsidRPr="00826007" w:rsidRDefault="009C4B1B"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2368C" w14:textId="77777777" w:rsidR="009C4B1B" w:rsidRPr="00F8404D" w:rsidRDefault="009C4B1B"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FC7BF" w14:textId="77777777" w:rsidR="008E48A7" w:rsidRDefault="008E48A7" w:rsidP="00FE1941">
      <w:pPr>
        <w:spacing w:after="0"/>
      </w:pPr>
      <w:r>
        <w:separator/>
      </w:r>
    </w:p>
  </w:footnote>
  <w:footnote w:type="continuationSeparator" w:id="0">
    <w:p w14:paraId="6A4B9EF2" w14:textId="77777777" w:rsidR="008E48A7" w:rsidRDefault="008E48A7" w:rsidP="00C40A36">
      <w:pPr>
        <w:spacing w:after="0"/>
      </w:pPr>
      <w:r>
        <w:continuationSeparator/>
      </w:r>
    </w:p>
    <w:p w14:paraId="721D8C4B" w14:textId="77777777" w:rsidR="008E48A7" w:rsidRDefault="008E48A7"/>
  </w:footnote>
  <w:footnote w:id="1">
    <w:p w14:paraId="66634F4A" w14:textId="77777777" w:rsidR="003A5DBD" w:rsidRDefault="003A5DBD" w:rsidP="003A5DBD">
      <w:pPr>
        <w:pStyle w:val="FootnoteText"/>
      </w:pPr>
      <w:r>
        <w:rPr>
          <w:rStyle w:val="FootnoteReference"/>
        </w:rPr>
        <w:footnoteRef/>
      </w:r>
      <w:r>
        <w:t xml:space="preserve"> </w:t>
      </w:r>
      <w:hyperlink r:id="rId1" w:history="1">
        <w:r>
          <w:rPr>
            <w:rStyle w:val="Hyperlink"/>
          </w:rPr>
          <w:t>https://app.magicapp.org/#/guideline/6624/section/113367</w:t>
        </w:r>
      </w:hyperlink>
    </w:p>
  </w:footnote>
  <w:footnote w:id="2">
    <w:p w14:paraId="0AE5A8D2"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w:t>
      </w:r>
      <w:hyperlink r:id="rId2" w:history="1">
        <w:proofErr w:type="spellStart"/>
        <w:r>
          <w:rPr>
            <w:rStyle w:val="Hyperlink"/>
            <w:sz w:val="18"/>
            <w:szCs w:val="18"/>
          </w:rPr>
          <w:t>Cureus</w:t>
        </w:r>
        <w:proofErr w:type="spellEnd"/>
        <w:r>
          <w:rPr>
            <w:rStyle w:val="Hyperlink"/>
            <w:sz w:val="18"/>
            <w:szCs w:val="18"/>
          </w:rPr>
          <w:t xml:space="preserve"> | Ivermectin Prophylaxis Used for COVID-19: A Citywide, Prospective, Observational Study of 223,128 Subjects Using Propensity Score Matching</w:t>
        </w:r>
      </w:hyperlink>
    </w:p>
  </w:footnote>
  <w:footnote w:id="3">
    <w:p w14:paraId="278A3916"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Ivermectin </w:t>
      </w:r>
      <w:proofErr w:type="spellStart"/>
      <w:r>
        <w:rPr>
          <w:sz w:val="18"/>
          <w:szCs w:val="18"/>
        </w:rPr>
        <w:t>AusPAR</w:t>
      </w:r>
      <w:proofErr w:type="spellEnd"/>
      <w:r>
        <w:rPr>
          <w:sz w:val="18"/>
          <w:szCs w:val="18"/>
        </w:rPr>
        <w:t xml:space="preserve"> </w:t>
      </w:r>
      <w:hyperlink r:id="rId3" w:history="1">
        <w:r>
          <w:rPr>
            <w:rStyle w:val="Hyperlink"/>
            <w:sz w:val="18"/>
            <w:szCs w:val="18"/>
          </w:rPr>
          <w:t>https://www.tga.gov.au/sites/default/files/auspar-ivermectin-131030.pdf</w:t>
        </w:r>
      </w:hyperlink>
    </w:p>
  </w:footnote>
  <w:footnote w:id="4">
    <w:p w14:paraId="7CBCCEB0"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TGA Ingredient Database </w:t>
      </w:r>
      <w:hyperlink r:id="rId4" w:history="1">
        <w:r>
          <w:rPr>
            <w:rStyle w:val="Hyperlink"/>
            <w:color w:val="002C47" w:themeColor="text2"/>
            <w:sz w:val="18"/>
            <w:szCs w:val="18"/>
          </w:rPr>
          <w:t>https://www.ebs.tga.gov.au/</w:t>
        </w:r>
      </w:hyperlink>
    </w:p>
  </w:footnote>
  <w:footnote w:id="5">
    <w:p w14:paraId="72524400"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ARTG database </w:t>
      </w:r>
      <w:hyperlink r:id="rId5" w:history="1">
        <w:r>
          <w:rPr>
            <w:rStyle w:val="Hyperlink"/>
            <w:sz w:val="18"/>
            <w:szCs w:val="18"/>
          </w:rPr>
          <w:t>https://www.tga.gov.au/artg</w:t>
        </w:r>
      </w:hyperlink>
      <w:r>
        <w:rPr>
          <w:sz w:val="18"/>
          <w:szCs w:val="18"/>
        </w:rPr>
        <w:t xml:space="preserve"> </w:t>
      </w:r>
    </w:p>
  </w:footnote>
  <w:footnote w:id="6">
    <w:p w14:paraId="59079CD3"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Therapeutic Goods (Permissible Ingredients) Determination </w:t>
      </w:r>
      <w:hyperlink r:id="rId6" w:history="1">
        <w:r>
          <w:rPr>
            <w:rStyle w:val="Hyperlink"/>
            <w:sz w:val="18"/>
            <w:szCs w:val="18"/>
          </w:rPr>
          <w:t>https://www.legislation.gov.au/Search/Therapeutic%20Goods%20$LB$Permissible%20Ingredients$RB$%20Determination</w:t>
        </w:r>
      </w:hyperlink>
      <w:r>
        <w:rPr>
          <w:sz w:val="18"/>
          <w:szCs w:val="18"/>
        </w:rPr>
        <w:t xml:space="preserve"> </w:t>
      </w:r>
    </w:p>
  </w:footnote>
  <w:footnote w:id="7">
    <w:p w14:paraId="141828FD"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TGA prescribing medicines in pregnancy database </w:t>
      </w:r>
      <w:hyperlink r:id="rId7" w:history="1">
        <w:r>
          <w:rPr>
            <w:rStyle w:val="Hyperlink"/>
            <w:sz w:val="18"/>
            <w:szCs w:val="18"/>
          </w:rPr>
          <w:t>https://www.tga.gov.au/prescribing-medicines-pregnancy-database</w:t>
        </w:r>
      </w:hyperlink>
      <w:r>
        <w:rPr>
          <w:sz w:val="18"/>
          <w:szCs w:val="18"/>
        </w:rPr>
        <w:t xml:space="preserve"> </w:t>
      </w:r>
    </w:p>
  </w:footnote>
  <w:footnote w:id="8">
    <w:p w14:paraId="7DE93FAF"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Therapeutic Goods (Medicines Advisory Statements) Specification 2019 </w:t>
      </w:r>
      <w:r>
        <w:rPr>
          <w:rStyle w:val="Hyperlink"/>
          <w:sz w:val="18"/>
          <w:szCs w:val="18"/>
        </w:rPr>
        <w:t xml:space="preserve"> </w:t>
      </w:r>
      <w:hyperlink r:id="rId8" w:history="1">
        <w:r>
          <w:rPr>
            <w:rStyle w:val="Hyperlink"/>
            <w:sz w:val="18"/>
            <w:szCs w:val="18"/>
          </w:rPr>
          <w:t>https://www.legislation.gov.au/Details/F2019L00213</w:t>
        </w:r>
      </w:hyperlink>
      <w:r>
        <w:rPr>
          <w:sz w:val="18"/>
          <w:szCs w:val="18"/>
        </w:rPr>
        <w:t xml:space="preserve"> </w:t>
      </w:r>
    </w:p>
  </w:footnote>
  <w:footnote w:id="9">
    <w:p w14:paraId="783D0B3D"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Database of Adverse Event Notifications (DAEN)  </w:t>
      </w:r>
      <w:hyperlink r:id="rId9" w:history="1">
        <w:r>
          <w:rPr>
            <w:rStyle w:val="Hyperlink"/>
            <w:sz w:val="18"/>
            <w:szCs w:val="18"/>
          </w:rPr>
          <w:t>https://apps.tga.gov.au/Prod/daen/daen-entry.aspx</w:t>
        </w:r>
      </w:hyperlink>
      <w:r>
        <w:rPr>
          <w:sz w:val="18"/>
          <w:szCs w:val="18"/>
        </w:rPr>
        <w:t xml:space="preserve"> </w:t>
      </w:r>
    </w:p>
  </w:footnote>
  <w:footnote w:id="10">
    <w:p w14:paraId="58E52E4D"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Public Chemical Registration Information System Search (</w:t>
      </w:r>
      <w:proofErr w:type="spellStart"/>
      <w:r>
        <w:rPr>
          <w:sz w:val="18"/>
          <w:szCs w:val="18"/>
        </w:rPr>
        <w:t>PubCRIS</w:t>
      </w:r>
      <w:proofErr w:type="spellEnd"/>
      <w:r>
        <w:rPr>
          <w:sz w:val="18"/>
          <w:szCs w:val="18"/>
        </w:rPr>
        <w:t xml:space="preserve">) </w:t>
      </w:r>
      <w:hyperlink r:id="rId10" w:history="1">
        <w:r>
          <w:rPr>
            <w:rStyle w:val="Hyperlink"/>
            <w:sz w:val="18"/>
            <w:szCs w:val="18"/>
          </w:rPr>
          <w:t>https://portal.apvma.gov.au/pubcris</w:t>
        </w:r>
      </w:hyperlink>
      <w:r>
        <w:rPr>
          <w:sz w:val="18"/>
          <w:szCs w:val="18"/>
        </w:rPr>
        <w:t xml:space="preserve"> </w:t>
      </w:r>
    </w:p>
  </w:footnote>
  <w:footnote w:id="11">
    <w:p w14:paraId="6B2E25A6"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APVMA Adverse Experience Reporting Program</w:t>
      </w:r>
      <w:r>
        <w:rPr>
          <w:rStyle w:val="Hyperlink"/>
          <w:sz w:val="18"/>
          <w:szCs w:val="18"/>
        </w:rPr>
        <w:t xml:space="preserve"> database (AERP)</w:t>
      </w:r>
      <w:r>
        <w:rPr>
          <w:sz w:val="18"/>
          <w:szCs w:val="18"/>
        </w:rPr>
        <w:t xml:space="preserve"> </w:t>
      </w:r>
      <w:hyperlink r:id="rId11" w:history="1">
        <w:r>
          <w:rPr>
            <w:rStyle w:val="Hyperlink"/>
            <w:sz w:val="18"/>
            <w:szCs w:val="18"/>
          </w:rPr>
          <w:t>https://apvma.gov.au/node/10946</w:t>
        </w:r>
      </w:hyperlink>
      <w:r>
        <w:rPr>
          <w:sz w:val="18"/>
          <w:szCs w:val="18"/>
        </w:rPr>
        <w:t xml:space="preserve"> </w:t>
      </w:r>
    </w:p>
  </w:footnote>
  <w:footnote w:id="12">
    <w:p w14:paraId="64673DCD" w14:textId="77777777" w:rsidR="003A5DBD" w:rsidRDefault="003A5DBD" w:rsidP="003A5DBD">
      <w:pPr>
        <w:pStyle w:val="FootnoteText"/>
      </w:pPr>
      <w:r>
        <w:rPr>
          <w:rStyle w:val="FootnoteReference"/>
          <w:sz w:val="18"/>
          <w:szCs w:val="18"/>
        </w:rPr>
        <w:footnoteRef/>
      </w:r>
      <w:r>
        <w:rPr>
          <w:sz w:val="18"/>
          <w:szCs w:val="18"/>
        </w:rPr>
        <w:t xml:space="preserve"> Health Canada Drug Product Database </w:t>
      </w:r>
      <w:hyperlink r:id="rId12" w:history="1">
        <w:r>
          <w:rPr>
            <w:rStyle w:val="Hyperlink"/>
            <w:sz w:val="18"/>
            <w:szCs w:val="18"/>
          </w:rPr>
          <w:t>https://health-products.canada.ca/dpd-bdpp/index-eng.jsp</w:t>
        </w:r>
      </w:hyperlink>
    </w:p>
  </w:footnote>
  <w:footnote w:id="13">
    <w:p w14:paraId="67BABBE9" w14:textId="77777777" w:rsidR="003A5DBD" w:rsidRDefault="003A5DBD" w:rsidP="003A5DBD">
      <w:pPr>
        <w:pStyle w:val="FootnoteText"/>
      </w:pPr>
      <w:r>
        <w:rPr>
          <w:rStyle w:val="FootnoteReference"/>
          <w:sz w:val="18"/>
          <w:szCs w:val="18"/>
        </w:rPr>
        <w:footnoteRef/>
      </w:r>
      <w:r>
        <w:rPr>
          <w:sz w:val="18"/>
          <w:szCs w:val="18"/>
        </w:rPr>
        <w:t xml:space="preserve"> </w:t>
      </w:r>
      <w:proofErr w:type="spellStart"/>
      <w:r>
        <w:rPr>
          <w:sz w:val="18"/>
          <w:szCs w:val="18"/>
        </w:rPr>
        <w:t>Medsafe</w:t>
      </w:r>
      <w:proofErr w:type="spellEnd"/>
      <w:r>
        <w:rPr>
          <w:sz w:val="18"/>
          <w:szCs w:val="18"/>
        </w:rPr>
        <w:t xml:space="preserve"> Medicines Classification Database </w:t>
      </w:r>
      <w:hyperlink r:id="rId13" w:history="1">
        <w:r>
          <w:rPr>
            <w:rStyle w:val="Hyperlink"/>
            <w:sz w:val="18"/>
            <w:szCs w:val="18"/>
          </w:rPr>
          <w:t>https://www.medsafe.govt.nz/profs/class/classintro.asp</w:t>
        </w:r>
      </w:hyperlink>
    </w:p>
  </w:footnote>
  <w:footnote w:id="14">
    <w:p w14:paraId="01C7BCB4" w14:textId="77777777" w:rsidR="003A5DBD" w:rsidRDefault="003A5DBD" w:rsidP="003A5DBD">
      <w:pPr>
        <w:pStyle w:val="FootnoteText"/>
      </w:pPr>
      <w:r>
        <w:rPr>
          <w:rStyle w:val="FootnoteReference"/>
          <w:sz w:val="18"/>
          <w:szCs w:val="18"/>
        </w:rPr>
        <w:footnoteRef/>
      </w:r>
      <w:r>
        <w:rPr>
          <w:sz w:val="18"/>
          <w:szCs w:val="18"/>
        </w:rPr>
        <w:t xml:space="preserve"> US FDA Orange Book </w:t>
      </w:r>
      <w:hyperlink r:id="rId14" w:history="1">
        <w:r>
          <w:rPr>
            <w:rStyle w:val="Hyperlink"/>
            <w:sz w:val="18"/>
            <w:szCs w:val="18"/>
          </w:rPr>
          <w:t>https://www.accessdata.fda.gov/scripts/cder/ob/search_product.cfm</w:t>
        </w:r>
      </w:hyperlink>
    </w:p>
  </w:footnote>
  <w:footnote w:id="15">
    <w:p w14:paraId="669EFDCF"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European Commission Union Register of medicinal products </w:t>
      </w:r>
      <w:hyperlink r:id="rId15" w:history="1">
        <w:r>
          <w:rPr>
            <w:rStyle w:val="Hyperlink"/>
            <w:sz w:val="18"/>
            <w:szCs w:val="18"/>
          </w:rPr>
          <w:t>https://ec.europa.eu/health/documents/community-register/html/reg_index_inn.htm</w:t>
        </w:r>
      </w:hyperlink>
    </w:p>
  </w:footnote>
  <w:footnote w:id="16">
    <w:p w14:paraId="7C7BE5C9"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HPRA </w:t>
      </w:r>
      <w:hyperlink r:id="rId16" w:history="1">
        <w:r>
          <w:rPr>
            <w:rStyle w:val="Hyperlink"/>
            <w:sz w:val="18"/>
            <w:szCs w:val="18"/>
          </w:rPr>
          <w:t>https://www.hpra.ie/homepage/medicines/medicines-information/find-a-medicine/results/item?compare=PA22743/015/001,PPA23176/014/001</w:t>
        </w:r>
      </w:hyperlink>
    </w:p>
  </w:footnote>
  <w:footnote w:id="17">
    <w:p w14:paraId="382B3CF7"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WHO Therapeutic and COVID-19: living guideline </w:t>
      </w:r>
      <w:hyperlink r:id="rId17" w:history="1">
        <w:r>
          <w:rPr>
            <w:rStyle w:val="Hyperlink"/>
            <w:sz w:val="18"/>
            <w:szCs w:val="18"/>
          </w:rPr>
          <w:t>https://www.who.int/publications/i/item/WHO-2019-nCoV-therapeutics-2022.4</w:t>
        </w:r>
      </w:hyperlink>
    </w:p>
  </w:footnote>
  <w:footnote w:id="18">
    <w:p w14:paraId="6DCEADC3"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NIH COVID-19 Treatment Guidelines </w:t>
      </w:r>
      <w:hyperlink r:id="rId18" w:history="1">
        <w:r>
          <w:rPr>
            <w:rStyle w:val="Hyperlink"/>
            <w:sz w:val="18"/>
            <w:szCs w:val="18"/>
          </w:rPr>
          <w:t>https://www.covid19treatmentguidelines.nih.gov/therapies/antiviral-therapy/ivermectin/?ACSTrackingID=USCDC_1052-DM74752&amp;ACSTrackingLabel=Ivermectin%20Products%20are%20Not%20Approved%20by%20FDA%20to%20Prevent%20or%20Treat%20COVID-19&amp;deliveryName=USCDC_1052-DM74752</w:t>
        </w:r>
      </w:hyperlink>
    </w:p>
  </w:footnote>
  <w:footnote w:id="19">
    <w:p w14:paraId="2CED1078"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US FDA: Why you should not use ivermectin to treat or prevent COVID 19 </w:t>
      </w:r>
      <w:hyperlink r:id="rId19" w:history="1">
        <w:r>
          <w:rPr>
            <w:rStyle w:val="Hyperlink"/>
            <w:sz w:val="18"/>
            <w:szCs w:val="18"/>
          </w:rPr>
          <w:t>https://www.fda.gov/consumers/consumer-updates/why-you-should-not-use-ivermectin-treat-or-prevent-covid-19</w:t>
        </w:r>
      </w:hyperlink>
    </w:p>
  </w:footnote>
  <w:footnote w:id="20">
    <w:p w14:paraId="1D9DA489" w14:textId="77777777" w:rsidR="003A5DBD" w:rsidRDefault="003A5DBD" w:rsidP="003A5DBD">
      <w:pPr>
        <w:pStyle w:val="FootnoteText"/>
      </w:pPr>
      <w:r>
        <w:rPr>
          <w:rStyle w:val="FootnoteReference"/>
          <w:sz w:val="18"/>
          <w:szCs w:val="18"/>
        </w:rPr>
        <w:footnoteRef/>
      </w:r>
      <w:r>
        <w:rPr>
          <w:sz w:val="18"/>
          <w:szCs w:val="18"/>
        </w:rPr>
        <w:t xml:space="preserve"> EMA advice on ivermectin for COVID-19 </w:t>
      </w:r>
      <w:hyperlink r:id="rId20" w:history="1">
        <w:r>
          <w:rPr>
            <w:rStyle w:val="Hyperlink"/>
            <w:sz w:val="18"/>
            <w:szCs w:val="18"/>
          </w:rPr>
          <w:t>https://www.ema.europa.eu/en/news/ema-advises-against-use-ivermectin-prevention-treatment-covid-19-outside-randomised-clinical-trials</w:t>
        </w:r>
      </w:hyperlink>
    </w:p>
  </w:footnote>
  <w:footnote w:id="21">
    <w:p w14:paraId="711E3248"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TGA Ingredient Database </w:t>
      </w:r>
      <w:hyperlink r:id="rId21" w:history="1">
        <w:r w:rsidRPr="000C6BDC">
          <w:rPr>
            <w:rStyle w:val="Hyperlink"/>
            <w:color w:val="002C47" w:themeColor="text2"/>
            <w:sz w:val="18"/>
            <w:szCs w:val="18"/>
          </w:rPr>
          <w:t>https://www.ebs.tga.gov.au/</w:t>
        </w:r>
      </w:hyperlink>
    </w:p>
  </w:footnote>
  <w:footnote w:id="22">
    <w:p w14:paraId="2E7BD8F0"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ARTG database </w:t>
      </w:r>
      <w:hyperlink r:id="rId22" w:history="1">
        <w:r w:rsidRPr="000C6BDC">
          <w:rPr>
            <w:rStyle w:val="Hyperlink"/>
            <w:sz w:val="18"/>
            <w:szCs w:val="18"/>
          </w:rPr>
          <w:t>https://www.tga.gov.au/artg</w:t>
        </w:r>
      </w:hyperlink>
      <w:r w:rsidRPr="000C6BDC">
        <w:rPr>
          <w:sz w:val="18"/>
          <w:szCs w:val="18"/>
        </w:rPr>
        <w:t xml:space="preserve"> </w:t>
      </w:r>
    </w:p>
  </w:footnote>
  <w:footnote w:id="23">
    <w:p w14:paraId="603E2E80" w14:textId="0AD72CED"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Therapeutic Goods (Permissible Ingredients) Determination </w:t>
      </w:r>
      <w:hyperlink r:id="rId23" w:history="1">
        <w:r w:rsidRPr="000C6BDC">
          <w:rPr>
            <w:rStyle w:val="Hyperlink"/>
            <w:sz w:val="18"/>
            <w:szCs w:val="18"/>
          </w:rPr>
          <w:t>https://www.legislation.gov.au/Search/Therapeutic per cent20Goods per cent20$LB$Permissible per cent20Ingredients$RB$ per cent20Determination</w:t>
        </w:r>
      </w:hyperlink>
      <w:r w:rsidRPr="000C6BDC">
        <w:rPr>
          <w:sz w:val="18"/>
          <w:szCs w:val="18"/>
        </w:rPr>
        <w:t xml:space="preserve"> </w:t>
      </w:r>
    </w:p>
  </w:footnote>
  <w:footnote w:id="24">
    <w:p w14:paraId="0480A114"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TGA prescribing medicines in pregnancy database </w:t>
      </w:r>
      <w:hyperlink r:id="rId24" w:history="1">
        <w:r w:rsidRPr="000C6BDC">
          <w:rPr>
            <w:rStyle w:val="Hyperlink"/>
            <w:sz w:val="18"/>
            <w:szCs w:val="18"/>
          </w:rPr>
          <w:t>https://www.tga.gov.au/prescribing-medicines-pregnancy-database</w:t>
        </w:r>
      </w:hyperlink>
      <w:r w:rsidRPr="000C6BDC">
        <w:rPr>
          <w:sz w:val="18"/>
          <w:szCs w:val="18"/>
        </w:rPr>
        <w:t xml:space="preserve"> </w:t>
      </w:r>
    </w:p>
  </w:footnote>
  <w:footnote w:id="25">
    <w:p w14:paraId="6485EDC9"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Therapeutic Goods (Medicines Advisory Statements) Specification 2019 </w:t>
      </w:r>
      <w:r w:rsidRPr="000C6BDC">
        <w:rPr>
          <w:rStyle w:val="Hyperlink"/>
          <w:sz w:val="18"/>
          <w:szCs w:val="18"/>
        </w:rPr>
        <w:t xml:space="preserve"> </w:t>
      </w:r>
      <w:hyperlink r:id="rId25" w:history="1">
        <w:r w:rsidRPr="000C6BDC">
          <w:rPr>
            <w:rStyle w:val="Hyperlink"/>
            <w:sz w:val="18"/>
            <w:szCs w:val="18"/>
          </w:rPr>
          <w:t>https://www.legislation.gov.au/Details/F2019L00213</w:t>
        </w:r>
      </w:hyperlink>
      <w:r w:rsidRPr="000C6BDC">
        <w:rPr>
          <w:sz w:val="18"/>
          <w:szCs w:val="18"/>
        </w:rPr>
        <w:t xml:space="preserve"> </w:t>
      </w:r>
    </w:p>
  </w:footnote>
  <w:footnote w:id="26">
    <w:p w14:paraId="01002F9C"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Database of Adverse Event Notifications (DAEN)  </w:t>
      </w:r>
      <w:hyperlink r:id="rId26" w:history="1">
        <w:r w:rsidRPr="000C6BDC">
          <w:rPr>
            <w:rStyle w:val="Hyperlink"/>
            <w:sz w:val="18"/>
            <w:szCs w:val="18"/>
          </w:rPr>
          <w:t>https://apps.tga.gov.au/Prod/daen/daen-entry.aspx</w:t>
        </w:r>
      </w:hyperlink>
      <w:r w:rsidRPr="000C6BDC">
        <w:rPr>
          <w:sz w:val="18"/>
          <w:szCs w:val="18"/>
        </w:rPr>
        <w:t xml:space="preserve"> </w:t>
      </w:r>
    </w:p>
  </w:footnote>
  <w:footnote w:id="27">
    <w:p w14:paraId="7F2F233F"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Public Chemical Registration Information System Search (PubCRIS) </w:t>
      </w:r>
      <w:hyperlink r:id="rId27" w:history="1">
        <w:r w:rsidRPr="000C6BDC">
          <w:rPr>
            <w:rStyle w:val="Hyperlink"/>
            <w:sz w:val="18"/>
            <w:szCs w:val="18"/>
          </w:rPr>
          <w:t>https://portal.apvma.gov.au/pubcris</w:t>
        </w:r>
      </w:hyperlink>
      <w:r w:rsidRPr="000C6BDC">
        <w:rPr>
          <w:sz w:val="18"/>
          <w:szCs w:val="18"/>
        </w:rPr>
        <w:t xml:space="preserve"> </w:t>
      </w:r>
    </w:p>
  </w:footnote>
  <w:footnote w:id="28">
    <w:p w14:paraId="42A5CD10" w14:textId="3E7139A9" w:rsidR="009C4B1B" w:rsidRPr="000C6BDC" w:rsidRDefault="009C4B1B">
      <w:pPr>
        <w:pStyle w:val="FootnoteText"/>
        <w:rPr>
          <w:sz w:val="18"/>
          <w:szCs w:val="18"/>
        </w:rPr>
      </w:pPr>
      <w:r w:rsidRPr="000C6BDC">
        <w:rPr>
          <w:rStyle w:val="FootnoteReference"/>
          <w:sz w:val="18"/>
          <w:szCs w:val="18"/>
        </w:rPr>
        <w:footnoteRef/>
      </w:r>
      <w:r w:rsidRPr="000C6BDC">
        <w:rPr>
          <w:sz w:val="18"/>
          <w:szCs w:val="18"/>
        </w:rPr>
        <w:t xml:space="preserve"> Food and Drug Administration Database </w:t>
      </w:r>
      <w:hyperlink r:id="rId28" w:history="1">
        <w:r w:rsidRPr="000C6BDC">
          <w:rPr>
            <w:rStyle w:val="Hyperlink"/>
            <w:sz w:val="18"/>
            <w:szCs w:val="18"/>
          </w:rPr>
          <w:t>https://www.accessdata.fda.gov/scripts/cder/daf/index.cfm?event=BasicSearch.process</w:t>
        </w:r>
      </w:hyperlink>
      <w:r w:rsidRPr="000C6BDC">
        <w:rPr>
          <w:sz w:val="18"/>
          <w:szCs w:val="18"/>
        </w:rPr>
        <w:t xml:space="preserve"> </w:t>
      </w:r>
    </w:p>
  </w:footnote>
  <w:footnote w:id="29">
    <w:p w14:paraId="116D9E82" w14:textId="16BD8FA1" w:rsidR="009C4B1B" w:rsidRPr="000C6BDC" w:rsidRDefault="009C4B1B">
      <w:pPr>
        <w:pStyle w:val="FootnoteText"/>
        <w:rPr>
          <w:sz w:val="18"/>
          <w:szCs w:val="18"/>
        </w:rPr>
      </w:pPr>
      <w:r w:rsidRPr="000C6BDC">
        <w:rPr>
          <w:rStyle w:val="FootnoteReference"/>
          <w:sz w:val="18"/>
          <w:szCs w:val="18"/>
        </w:rPr>
        <w:footnoteRef/>
      </w:r>
      <w:r w:rsidRPr="000C6BDC">
        <w:rPr>
          <w:sz w:val="18"/>
          <w:szCs w:val="18"/>
        </w:rPr>
        <w:t xml:space="preserve"> Health Canada Drug Product Database </w:t>
      </w:r>
      <w:hyperlink r:id="rId29" w:history="1">
        <w:r w:rsidRPr="00C857A9">
          <w:rPr>
            <w:rStyle w:val="Hyperlink"/>
          </w:rPr>
          <w:t>https://health-products.canada.ca/dpd-bdpp/dispatch-repartition.do</w:t>
        </w:r>
      </w:hyperlink>
    </w:p>
  </w:footnote>
  <w:footnote w:id="30">
    <w:p w14:paraId="6DE95DD9" w14:textId="2820E591" w:rsidR="009C4B1B" w:rsidRDefault="009C4B1B">
      <w:pPr>
        <w:pStyle w:val="FootnoteText"/>
      </w:pPr>
      <w:r w:rsidRPr="008046F0">
        <w:rPr>
          <w:rStyle w:val="FootnoteReference"/>
          <w:sz w:val="18"/>
          <w:szCs w:val="18"/>
        </w:rPr>
        <w:footnoteRef/>
      </w:r>
      <w:r w:rsidRPr="008046F0">
        <w:rPr>
          <w:sz w:val="18"/>
          <w:szCs w:val="18"/>
        </w:rPr>
        <w:t xml:space="preserve"> Medsafe Medicines Classification Database </w:t>
      </w:r>
      <w:hyperlink r:id="rId30" w:history="1">
        <w:r w:rsidRPr="00C857A9">
          <w:rPr>
            <w:rStyle w:val="Hyperlink"/>
            <w:sz w:val="18"/>
            <w:szCs w:val="18"/>
          </w:rPr>
          <w:t>https://www.medsafe.govt.nz/profs/class/classintro.asp</w:t>
        </w:r>
      </w:hyperlink>
    </w:p>
  </w:footnote>
  <w:footnote w:id="31">
    <w:p w14:paraId="07253D41"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TGA Ingredient Database </w:t>
      </w:r>
      <w:hyperlink r:id="rId31" w:history="1">
        <w:r w:rsidRPr="000C6BDC">
          <w:rPr>
            <w:rStyle w:val="Hyperlink"/>
            <w:color w:val="002C47" w:themeColor="text2"/>
            <w:sz w:val="18"/>
            <w:szCs w:val="18"/>
          </w:rPr>
          <w:t>https://www.ebs.tga.gov.au/</w:t>
        </w:r>
      </w:hyperlink>
    </w:p>
  </w:footnote>
  <w:footnote w:id="32">
    <w:p w14:paraId="3AAB9213"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ARTG database </w:t>
      </w:r>
      <w:hyperlink r:id="rId32" w:history="1">
        <w:r w:rsidRPr="000C6BDC">
          <w:rPr>
            <w:rStyle w:val="Hyperlink"/>
            <w:sz w:val="18"/>
            <w:szCs w:val="18"/>
          </w:rPr>
          <w:t>https://www.tga.gov.au/artg</w:t>
        </w:r>
      </w:hyperlink>
      <w:r w:rsidRPr="000C6BDC">
        <w:rPr>
          <w:sz w:val="18"/>
          <w:szCs w:val="18"/>
        </w:rPr>
        <w:t xml:space="preserve"> </w:t>
      </w:r>
    </w:p>
  </w:footnote>
  <w:footnote w:id="33">
    <w:p w14:paraId="630FA3DD" w14:textId="7F6C7033"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Therapeutic Goods (Permissible Ingredients) Determination </w:t>
      </w:r>
      <w:hyperlink r:id="rId33" w:history="1">
        <w:r w:rsidRPr="000C6BDC">
          <w:rPr>
            <w:rStyle w:val="Hyperlink"/>
            <w:sz w:val="18"/>
            <w:szCs w:val="18"/>
          </w:rPr>
          <w:t>https://www.legislation.gov.au/Search/Therapeutic per cent20Goods per cent20$LB$Permissible per cent20Ingredients$RB$ per cent20Determination</w:t>
        </w:r>
      </w:hyperlink>
      <w:r w:rsidRPr="000C6BDC">
        <w:rPr>
          <w:sz w:val="18"/>
          <w:szCs w:val="18"/>
        </w:rPr>
        <w:t xml:space="preserve"> </w:t>
      </w:r>
    </w:p>
  </w:footnote>
  <w:footnote w:id="34">
    <w:p w14:paraId="3FF8B05B"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TGA prescribing medicines in pregnancy database </w:t>
      </w:r>
      <w:hyperlink r:id="rId34" w:history="1">
        <w:r w:rsidRPr="000C6BDC">
          <w:rPr>
            <w:rStyle w:val="Hyperlink"/>
            <w:sz w:val="18"/>
            <w:szCs w:val="18"/>
          </w:rPr>
          <w:t>https://www.tga.gov.au/prescribing-medicines-pregnancy-database</w:t>
        </w:r>
      </w:hyperlink>
      <w:r w:rsidRPr="000C6BDC">
        <w:rPr>
          <w:sz w:val="18"/>
          <w:szCs w:val="18"/>
        </w:rPr>
        <w:t xml:space="preserve"> </w:t>
      </w:r>
    </w:p>
  </w:footnote>
  <w:footnote w:id="35">
    <w:p w14:paraId="429257FE" w14:textId="77777777" w:rsidR="009C4B1B" w:rsidRPr="000C6BDC" w:rsidRDefault="009C4B1B" w:rsidP="00F261BD">
      <w:pPr>
        <w:pStyle w:val="FootnoteText"/>
        <w:rPr>
          <w:sz w:val="18"/>
          <w:szCs w:val="18"/>
        </w:rPr>
      </w:pPr>
      <w:r w:rsidRPr="000C6BDC">
        <w:rPr>
          <w:rStyle w:val="FootnoteReference"/>
          <w:sz w:val="18"/>
          <w:szCs w:val="18"/>
        </w:rPr>
        <w:footnoteRef/>
      </w:r>
      <w:r w:rsidRPr="000C6BDC">
        <w:rPr>
          <w:sz w:val="18"/>
          <w:szCs w:val="18"/>
        </w:rPr>
        <w:t xml:space="preserve"> Therapeutic Goods (Medicines Advisory Statements) Specification 2019 </w:t>
      </w:r>
      <w:hyperlink r:id="rId35" w:history="1">
        <w:r w:rsidRPr="000C6BDC">
          <w:rPr>
            <w:rStyle w:val="Hyperlink"/>
            <w:sz w:val="18"/>
            <w:szCs w:val="18"/>
          </w:rPr>
          <w:t>https://www.legislation.gov.au/Details/F2019L00213</w:t>
        </w:r>
      </w:hyperlink>
      <w:r w:rsidRPr="000C6BDC">
        <w:rPr>
          <w:sz w:val="18"/>
          <w:szCs w:val="18"/>
        </w:rPr>
        <w:t xml:space="preserve"> </w:t>
      </w:r>
    </w:p>
  </w:footnote>
  <w:footnote w:id="36">
    <w:p w14:paraId="440E73F7" w14:textId="77777777" w:rsidR="009C4B1B" w:rsidRPr="009F397E" w:rsidRDefault="009C4B1B" w:rsidP="00F261BD">
      <w:pPr>
        <w:pStyle w:val="FootnoteText"/>
        <w:rPr>
          <w:sz w:val="18"/>
          <w:szCs w:val="18"/>
        </w:rPr>
      </w:pPr>
      <w:r w:rsidRPr="009F397E">
        <w:rPr>
          <w:rStyle w:val="FootnoteReference"/>
          <w:sz w:val="18"/>
          <w:szCs w:val="18"/>
        </w:rPr>
        <w:footnoteRef/>
      </w:r>
      <w:r w:rsidRPr="009F397E">
        <w:rPr>
          <w:sz w:val="18"/>
          <w:szCs w:val="18"/>
        </w:rPr>
        <w:t xml:space="preserve"> Database of Adverse Event Notifications (DAEN)  </w:t>
      </w:r>
      <w:hyperlink r:id="rId36" w:history="1">
        <w:r w:rsidRPr="009F397E">
          <w:rPr>
            <w:rStyle w:val="Hyperlink"/>
            <w:sz w:val="18"/>
            <w:szCs w:val="18"/>
          </w:rPr>
          <w:t>https://apps.tga.gov.au/Prod/daen/daen-entry.aspx</w:t>
        </w:r>
      </w:hyperlink>
      <w:r w:rsidRPr="009F397E">
        <w:rPr>
          <w:sz w:val="18"/>
          <w:szCs w:val="18"/>
        </w:rPr>
        <w:t xml:space="preserve"> </w:t>
      </w:r>
    </w:p>
  </w:footnote>
  <w:footnote w:id="37">
    <w:p w14:paraId="7983A385" w14:textId="77777777" w:rsidR="009C4B1B" w:rsidRPr="009F397E" w:rsidRDefault="009C4B1B" w:rsidP="00F261BD">
      <w:pPr>
        <w:pStyle w:val="FootnoteText"/>
        <w:rPr>
          <w:sz w:val="18"/>
          <w:szCs w:val="18"/>
        </w:rPr>
      </w:pPr>
      <w:r w:rsidRPr="009F397E">
        <w:rPr>
          <w:rStyle w:val="FootnoteReference"/>
          <w:sz w:val="18"/>
          <w:szCs w:val="18"/>
        </w:rPr>
        <w:footnoteRef/>
      </w:r>
      <w:r w:rsidRPr="009F397E">
        <w:rPr>
          <w:sz w:val="18"/>
          <w:szCs w:val="18"/>
        </w:rPr>
        <w:t xml:space="preserve"> Public Chemical Registration Information System Search (PubCRIS) </w:t>
      </w:r>
      <w:hyperlink r:id="rId37" w:history="1">
        <w:r w:rsidRPr="009F397E">
          <w:rPr>
            <w:rStyle w:val="Hyperlink"/>
            <w:sz w:val="18"/>
            <w:szCs w:val="18"/>
          </w:rPr>
          <w:t>https://portal.apvma.gov.au/pubcris</w:t>
        </w:r>
      </w:hyperlink>
      <w:r w:rsidRPr="009F397E">
        <w:rPr>
          <w:sz w:val="18"/>
          <w:szCs w:val="18"/>
        </w:rPr>
        <w:t xml:space="preserve"> </w:t>
      </w:r>
    </w:p>
  </w:footnote>
  <w:footnote w:id="38">
    <w:p w14:paraId="72514EDD" w14:textId="15F83DBF" w:rsidR="009C4B1B" w:rsidRPr="00C857A9" w:rsidRDefault="009C4B1B">
      <w:pPr>
        <w:pStyle w:val="FootnoteText"/>
        <w:rPr>
          <w:sz w:val="18"/>
          <w:szCs w:val="18"/>
        </w:rPr>
      </w:pPr>
      <w:r w:rsidRPr="00C857A9">
        <w:rPr>
          <w:rStyle w:val="FootnoteReference"/>
          <w:sz w:val="18"/>
          <w:szCs w:val="18"/>
        </w:rPr>
        <w:footnoteRef/>
      </w:r>
      <w:r w:rsidRPr="00C857A9">
        <w:rPr>
          <w:sz w:val="18"/>
          <w:szCs w:val="18"/>
        </w:rPr>
        <w:t xml:space="preserve"> Drugs@FDA </w:t>
      </w:r>
      <w:hyperlink r:id="rId38" w:history="1">
        <w:r w:rsidRPr="00C857A9">
          <w:rPr>
            <w:rStyle w:val="Hyperlink"/>
            <w:sz w:val="18"/>
            <w:szCs w:val="18"/>
          </w:rPr>
          <w:t>https://www.accessdata.fda.gov/scripts/cder/daf/index.cfm</w:t>
        </w:r>
      </w:hyperlink>
    </w:p>
  </w:footnote>
  <w:footnote w:id="39">
    <w:p w14:paraId="0CC5771B" w14:textId="541FA523" w:rsidR="009C4B1B" w:rsidRPr="00C857A9" w:rsidRDefault="009C4B1B">
      <w:pPr>
        <w:pStyle w:val="FootnoteText"/>
        <w:rPr>
          <w:sz w:val="18"/>
          <w:szCs w:val="18"/>
        </w:rPr>
      </w:pPr>
      <w:r w:rsidRPr="00C857A9">
        <w:rPr>
          <w:rStyle w:val="FootnoteReference"/>
          <w:sz w:val="18"/>
          <w:szCs w:val="18"/>
        </w:rPr>
        <w:footnoteRef/>
      </w:r>
      <w:r w:rsidRPr="00C857A9">
        <w:rPr>
          <w:sz w:val="18"/>
          <w:szCs w:val="18"/>
        </w:rPr>
        <w:t xml:space="preserve"> Health Canada Drug Product Database </w:t>
      </w:r>
      <w:hyperlink r:id="rId39" w:history="1">
        <w:r w:rsidRPr="00C857A9">
          <w:rPr>
            <w:rStyle w:val="Hyperlink"/>
            <w:sz w:val="18"/>
            <w:szCs w:val="18"/>
          </w:rPr>
          <w:t>https://health-products.canada.ca/dpd-bdpp/dispatch-repartition.do</w:t>
        </w:r>
      </w:hyperlink>
    </w:p>
  </w:footnote>
  <w:footnote w:id="40">
    <w:p w14:paraId="276637C9" w14:textId="687F25D5" w:rsidR="009C4B1B" w:rsidRPr="00060F5A" w:rsidRDefault="009C4B1B">
      <w:pPr>
        <w:pStyle w:val="FootnoteText"/>
        <w:rPr>
          <w:sz w:val="18"/>
          <w:szCs w:val="18"/>
        </w:rPr>
      </w:pPr>
      <w:r w:rsidRPr="00060F5A">
        <w:rPr>
          <w:rStyle w:val="FootnoteReference"/>
          <w:sz w:val="18"/>
          <w:szCs w:val="18"/>
        </w:rPr>
        <w:footnoteRef/>
      </w:r>
      <w:r w:rsidRPr="00060F5A">
        <w:rPr>
          <w:sz w:val="18"/>
          <w:szCs w:val="18"/>
        </w:rPr>
        <w:t xml:space="preserve"> HPRA of Ireland </w:t>
      </w:r>
      <w:hyperlink r:id="rId40" w:history="1">
        <w:r w:rsidRPr="00060F5A">
          <w:rPr>
            <w:rStyle w:val="Hyperlink"/>
            <w:sz w:val="18"/>
            <w:szCs w:val="18"/>
          </w:rPr>
          <w:t>https://www.hpra.ie/homepage/medicines/medicines-information/find-a-medicine/results?query=fexofenadine&amp;field=</w:t>
        </w:r>
      </w:hyperlink>
    </w:p>
  </w:footnote>
  <w:footnote w:id="41">
    <w:p w14:paraId="0CA79925" w14:textId="77777777" w:rsidR="009C4B1B" w:rsidRPr="007620B9" w:rsidRDefault="009C4B1B" w:rsidP="00B326D8">
      <w:pPr>
        <w:pStyle w:val="FootnoteText"/>
        <w:rPr>
          <w:sz w:val="18"/>
          <w:szCs w:val="18"/>
        </w:rPr>
      </w:pPr>
      <w:r w:rsidRPr="007620B9">
        <w:rPr>
          <w:rStyle w:val="FootnoteReference"/>
          <w:sz w:val="18"/>
          <w:szCs w:val="18"/>
        </w:rPr>
        <w:footnoteRef/>
      </w:r>
      <w:r w:rsidRPr="007620B9">
        <w:rPr>
          <w:sz w:val="18"/>
          <w:szCs w:val="18"/>
        </w:rPr>
        <w:t xml:space="preserve"> TGA Ingredient Database </w:t>
      </w:r>
      <w:hyperlink r:id="rId41" w:history="1">
        <w:r w:rsidRPr="007620B9">
          <w:rPr>
            <w:rStyle w:val="Hyperlink"/>
            <w:color w:val="002C47" w:themeColor="text2"/>
            <w:sz w:val="18"/>
            <w:szCs w:val="18"/>
          </w:rPr>
          <w:t>https://www.ebs.tga.gov.au/</w:t>
        </w:r>
      </w:hyperlink>
    </w:p>
  </w:footnote>
  <w:footnote w:id="42">
    <w:p w14:paraId="14AAEAC6" w14:textId="77777777" w:rsidR="009C4B1B" w:rsidRPr="007620B9" w:rsidRDefault="009C4B1B" w:rsidP="00B326D8">
      <w:pPr>
        <w:pStyle w:val="FootnoteText"/>
        <w:rPr>
          <w:sz w:val="18"/>
          <w:szCs w:val="18"/>
        </w:rPr>
      </w:pPr>
      <w:r w:rsidRPr="007620B9">
        <w:rPr>
          <w:rStyle w:val="FootnoteReference"/>
          <w:sz w:val="18"/>
          <w:szCs w:val="18"/>
        </w:rPr>
        <w:footnoteRef/>
      </w:r>
      <w:r w:rsidRPr="007620B9">
        <w:rPr>
          <w:sz w:val="18"/>
          <w:szCs w:val="18"/>
        </w:rPr>
        <w:t xml:space="preserve"> ARTG database </w:t>
      </w:r>
      <w:hyperlink r:id="rId42" w:history="1">
        <w:r w:rsidRPr="007620B9">
          <w:rPr>
            <w:rStyle w:val="Hyperlink"/>
            <w:sz w:val="18"/>
            <w:szCs w:val="18"/>
          </w:rPr>
          <w:t>https://www.tga.gov.au/artg</w:t>
        </w:r>
      </w:hyperlink>
      <w:r w:rsidRPr="007620B9">
        <w:rPr>
          <w:sz w:val="18"/>
          <w:szCs w:val="18"/>
        </w:rPr>
        <w:t xml:space="preserve"> </w:t>
      </w:r>
    </w:p>
  </w:footnote>
  <w:footnote w:id="43">
    <w:p w14:paraId="7BFD6898" w14:textId="46927A1C" w:rsidR="009C4B1B" w:rsidRPr="00465A62" w:rsidRDefault="009C4B1B" w:rsidP="00B326D8">
      <w:pPr>
        <w:pStyle w:val="FootnoteText"/>
        <w:rPr>
          <w:sz w:val="16"/>
        </w:rPr>
      </w:pPr>
      <w:r w:rsidRPr="007620B9">
        <w:rPr>
          <w:rStyle w:val="FootnoteReference"/>
          <w:sz w:val="18"/>
          <w:szCs w:val="18"/>
        </w:rPr>
        <w:footnoteRef/>
      </w:r>
      <w:r w:rsidRPr="007620B9">
        <w:rPr>
          <w:sz w:val="18"/>
          <w:szCs w:val="18"/>
        </w:rPr>
        <w:t xml:space="preserve"> Therapeutic Goods (Permissible Ingredients) Determination </w:t>
      </w:r>
      <w:hyperlink r:id="rId43" w:history="1">
        <w:r w:rsidRPr="0065410F">
          <w:rPr>
            <w:rStyle w:val="Hyperlink"/>
            <w:sz w:val="18"/>
            <w:szCs w:val="18"/>
          </w:rPr>
          <w:t>https://www.legislation.gov.au/Search/Therapeutic per cent20Goods per cent20$LB$Permissible per cent20Ingredients$RB$ per cent20Determination</w:t>
        </w:r>
      </w:hyperlink>
      <w:r w:rsidRPr="00C065FF">
        <w:rPr>
          <w:sz w:val="14"/>
          <w:szCs w:val="18"/>
        </w:rPr>
        <w:t xml:space="preserve"> </w:t>
      </w:r>
    </w:p>
  </w:footnote>
  <w:footnote w:id="44">
    <w:p w14:paraId="43A2980A" w14:textId="77777777" w:rsidR="009C4B1B" w:rsidRPr="00D33B00" w:rsidRDefault="009C4B1B" w:rsidP="00B326D8">
      <w:pPr>
        <w:pStyle w:val="FootnoteText"/>
        <w:rPr>
          <w:sz w:val="18"/>
          <w:szCs w:val="18"/>
        </w:rPr>
      </w:pPr>
      <w:r w:rsidRPr="00D33B00">
        <w:rPr>
          <w:rStyle w:val="FootnoteReference"/>
          <w:sz w:val="18"/>
          <w:szCs w:val="18"/>
        </w:rPr>
        <w:footnoteRef/>
      </w:r>
      <w:r w:rsidRPr="00D33B00">
        <w:rPr>
          <w:sz w:val="18"/>
          <w:szCs w:val="18"/>
        </w:rPr>
        <w:t xml:space="preserve"> TGA prescribing medicines in pregnancy database </w:t>
      </w:r>
      <w:hyperlink r:id="rId44" w:history="1">
        <w:r w:rsidRPr="00D33B00">
          <w:rPr>
            <w:rStyle w:val="Hyperlink"/>
            <w:sz w:val="18"/>
            <w:szCs w:val="18"/>
          </w:rPr>
          <w:t>https://www.tga.gov.au/prescribing-medicines-pregnancy-database</w:t>
        </w:r>
      </w:hyperlink>
      <w:r w:rsidRPr="00D33B00">
        <w:rPr>
          <w:sz w:val="18"/>
          <w:szCs w:val="18"/>
        </w:rPr>
        <w:t xml:space="preserve"> </w:t>
      </w:r>
    </w:p>
  </w:footnote>
  <w:footnote w:id="45">
    <w:p w14:paraId="4FAF852F" w14:textId="77777777" w:rsidR="009C4B1B" w:rsidRPr="000C6BDC" w:rsidRDefault="009C4B1B" w:rsidP="00B326D8">
      <w:pPr>
        <w:pStyle w:val="FootnoteText"/>
        <w:rPr>
          <w:sz w:val="18"/>
          <w:szCs w:val="18"/>
        </w:rPr>
      </w:pPr>
      <w:r w:rsidRPr="00D33B00">
        <w:rPr>
          <w:rStyle w:val="FootnoteReference"/>
          <w:sz w:val="18"/>
          <w:szCs w:val="18"/>
        </w:rPr>
        <w:footnoteRef/>
      </w:r>
      <w:r w:rsidRPr="00D33B00">
        <w:rPr>
          <w:sz w:val="18"/>
          <w:szCs w:val="18"/>
        </w:rPr>
        <w:t xml:space="preserve"> Therapeutic Goods (Medicines Advisory Statements) Specification 2019 </w:t>
      </w:r>
      <w:hyperlink r:id="rId45" w:history="1">
        <w:r w:rsidRPr="00D33B00">
          <w:rPr>
            <w:rStyle w:val="Hyperlink"/>
            <w:sz w:val="18"/>
            <w:szCs w:val="18"/>
          </w:rPr>
          <w:t>https://www.legislation.gov.au/Details/F2019L00213</w:t>
        </w:r>
      </w:hyperlink>
      <w:r w:rsidRPr="000C6BDC">
        <w:rPr>
          <w:sz w:val="18"/>
          <w:szCs w:val="18"/>
        </w:rPr>
        <w:t xml:space="preserve"> </w:t>
      </w:r>
    </w:p>
  </w:footnote>
  <w:footnote w:id="46">
    <w:p w14:paraId="1B9535D7" w14:textId="77777777" w:rsidR="009C4B1B" w:rsidRPr="000C6BDC" w:rsidRDefault="009C4B1B" w:rsidP="00B326D8">
      <w:pPr>
        <w:pStyle w:val="FootnoteText"/>
        <w:rPr>
          <w:sz w:val="18"/>
          <w:szCs w:val="18"/>
        </w:rPr>
      </w:pPr>
      <w:r w:rsidRPr="000C6BDC">
        <w:rPr>
          <w:rStyle w:val="FootnoteReference"/>
          <w:sz w:val="18"/>
          <w:szCs w:val="18"/>
        </w:rPr>
        <w:footnoteRef/>
      </w:r>
      <w:r w:rsidRPr="000C6BDC">
        <w:rPr>
          <w:sz w:val="18"/>
          <w:szCs w:val="18"/>
        </w:rPr>
        <w:t xml:space="preserve"> Database of Adverse Event Notifications (DAEN)  </w:t>
      </w:r>
      <w:hyperlink r:id="rId46" w:history="1">
        <w:r w:rsidRPr="000C6BDC">
          <w:rPr>
            <w:rStyle w:val="Hyperlink"/>
            <w:sz w:val="18"/>
            <w:szCs w:val="18"/>
          </w:rPr>
          <w:t>https://apps.tga.gov.au/Prod/daen/daen-entry.aspx</w:t>
        </w:r>
      </w:hyperlink>
      <w:r w:rsidRPr="000C6BDC">
        <w:rPr>
          <w:sz w:val="18"/>
          <w:szCs w:val="18"/>
        </w:rPr>
        <w:t xml:space="preserve"> </w:t>
      </w:r>
    </w:p>
  </w:footnote>
  <w:footnote w:id="47">
    <w:p w14:paraId="463F43CF" w14:textId="77777777" w:rsidR="009C4B1B" w:rsidRPr="00407BF9" w:rsidRDefault="009C4B1B" w:rsidP="00B326D8">
      <w:pPr>
        <w:pStyle w:val="FootnoteText"/>
        <w:rPr>
          <w:sz w:val="18"/>
          <w:szCs w:val="18"/>
        </w:rPr>
      </w:pPr>
      <w:r w:rsidRPr="00407BF9">
        <w:rPr>
          <w:rStyle w:val="FootnoteReference"/>
          <w:sz w:val="18"/>
          <w:szCs w:val="18"/>
        </w:rPr>
        <w:footnoteRef/>
      </w:r>
      <w:r w:rsidRPr="00407BF9">
        <w:rPr>
          <w:sz w:val="18"/>
          <w:szCs w:val="18"/>
        </w:rPr>
        <w:t xml:space="preserve"> Public Chemical Registration Information System Search (PubCRIS) </w:t>
      </w:r>
      <w:hyperlink r:id="rId47" w:history="1">
        <w:r w:rsidRPr="00407BF9">
          <w:rPr>
            <w:rStyle w:val="Hyperlink"/>
            <w:sz w:val="18"/>
            <w:szCs w:val="18"/>
          </w:rPr>
          <w:t>https://portal.apvma.gov.au/pubcris</w:t>
        </w:r>
      </w:hyperlink>
      <w:r w:rsidRPr="00407BF9">
        <w:rPr>
          <w:sz w:val="18"/>
          <w:szCs w:val="18"/>
        </w:rPr>
        <w:t xml:space="preserve"> </w:t>
      </w:r>
    </w:p>
  </w:footnote>
  <w:footnote w:id="48">
    <w:p w14:paraId="62FC98F6" w14:textId="3B1667DD" w:rsidR="009C4B1B" w:rsidRDefault="009C4B1B">
      <w:pPr>
        <w:pStyle w:val="FootnoteText"/>
      </w:pPr>
      <w:r w:rsidRPr="00911517">
        <w:rPr>
          <w:rStyle w:val="FootnoteReference"/>
          <w:sz w:val="18"/>
          <w:szCs w:val="18"/>
        </w:rPr>
        <w:footnoteRef/>
      </w:r>
      <w:r w:rsidRPr="00911517">
        <w:rPr>
          <w:sz w:val="18"/>
          <w:szCs w:val="18"/>
        </w:rPr>
        <w:t xml:space="preserve"> Australian Therapeutic Guidelines </w:t>
      </w:r>
      <w:hyperlink r:id="rId48" w:history="1">
        <w:r w:rsidRPr="00911517">
          <w:rPr>
            <w:rStyle w:val="Hyperlink"/>
            <w:sz w:val="18"/>
            <w:szCs w:val="18"/>
          </w:rPr>
          <w:t>https://tgldcdp.tg.org.au/viewTopic?etgAccess=true&amp;guidelinePage=Psychotropic&amp;topicfile=jet-lag&amp;guidelinename=Psychotropic&amp;sectionId=toc_d1e69#toc_d1e69</w:t>
        </w:r>
      </w:hyperlink>
    </w:p>
  </w:footnote>
  <w:footnote w:id="49">
    <w:p w14:paraId="2AC4C566" w14:textId="77777777" w:rsidR="009C4B1B" w:rsidRPr="000C6BDC" w:rsidRDefault="009C4B1B" w:rsidP="006175AA">
      <w:pPr>
        <w:pStyle w:val="FootnoteText"/>
        <w:rPr>
          <w:sz w:val="18"/>
          <w:szCs w:val="18"/>
        </w:rPr>
      </w:pPr>
      <w:r w:rsidRPr="000C6BDC">
        <w:rPr>
          <w:rStyle w:val="FootnoteReference"/>
          <w:sz w:val="18"/>
          <w:szCs w:val="18"/>
        </w:rPr>
        <w:footnoteRef/>
      </w:r>
      <w:r w:rsidRPr="000C6BDC">
        <w:rPr>
          <w:sz w:val="18"/>
          <w:szCs w:val="18"/>
        </w:rPr>
        <w:t xml:space="preserve"> TGA Ingredient Database </w:t>
      </w:r>
      <w:hyperlink r:id="rId49" w:history="1">
        <w:r w:rsidRPr="000C6BDC">
          <w:rPr>
            <w:rStyle w:val="Hyperlink"/>
            <w:color w:val="002C47" w:themeColor="text2"/>
            <w:sz w:val="18"/>
            <w:szCs w:val="18"/>
          </w:rPr>
          <w:t>https://www.ebs.tga.gov.au/</w:t>
        </w:r>
      </w:hyperlink>
    </w:p>
  </w:footnote>
  <w:footnote w:id="50">
    <w:p w14:paraId="59D5B16B" w14:textId="77777777" w:rsidR="009C4B1B" w:rsidRPr="000C6BDC" w:rsidRDefault="009C4B1B" w:rsidP="006175AA">
      <w:pPr>
        <w:pStyle w:val="FootnoteText"/>
        <w:rPr>
          <w:sz w:val="18"/>
          <w:szCs w:val="18"/>
        </w:rPr>
      </w:pPr>
      <w:r w:rsidRPr="000C6BDC">
        <w:rPr>
          <w:rStyle w:val="FootnoteReference"/>
          <w:sz w:val="18"/>
          <w:szCs w:val="18"/>
        </w:rPr>
        <w:footnoteRef/>
      </w:r>
      <w:r w:rsidRPr="000C6BDC">
        <w:rPr>
          <w:sz w:val="18"/>
          <w:szCs w:val="18"/>
        </w:rPr>
        <w:t xml:space="preserve"> ARTG database </w:t>
      </w:r>
      <w:hyperlink r:id="rId50" w:history="1">
        <w:r w:rsidRPr="000C6BDC">
          <w:rPr>
            <w:rStyle w:val="Hyperlink"/>
            <w:sz w:val="18"/>
            <w:szCs w:val="18"/>
          </w:rPr>
          <w:t>https://www.tga.gov.au/artg</w:t>
        </w:r>
      </w:hyperlink>
      <w:r w:rsidRPr="000C6BDC">
        <w:rPr>
          <w:sz w:val="18"/>
          <w:szCs w:val="18"/>
        </w:rPr>
        <w:t xml:space="preserve"> </w:t>
      </w:r>
    </w:p>
  </w:footnote>
  <w:footnote w:id="51">
    <w:p w14:paraId="76044E21" w14:textId="54DD170C" w:rsidR="009C4B1B" w:rsidRPr="000C6BDC" w:rsidRDefault="009C4B1B" w:rsidP="006175AA">
      <w:pPr>
        <w:pStyle w:val="FootnoteText"/>
        <w:rPr>
          <w:sz w:val="18"/>
          <w:szCs w:val="18"/>
        </w:rPr>
      </w:pPr>
      <w:r w:rsidRPr="000C6BDC">
        <w:rPr>
          <w:rStyle w:val="FootnoteReference"/>
          <w:sz w:val="18"/>
          <w:szCs w:val="18"/>
        </w:rPr>
        <w:footnoteRef/>
      </w:r>
      <w:r w:rsidRPr="000C6BDC">
        <w:rPr>
          <w:sz w:val="18"/>
          <w:szCs w:val="18"/>
        </w:rPr>
        <w:t xml:space="preserve"> Therapeutic Goods (Permissible Ingredients) Determination </w:t>
      </w:r>
      <w:hyperlink r:id="rId51" w:history="1">
        <w:r w:rsidRPr="000C6BDC">
          <w:rPr>
            <w:rStyle w:val="Hyperlink"/>
            <w:sz w:val="18"/>
            <w:szCs w:val="18"/>
          </w:rPr>
          <w:t>https://www.legislation.gov.au/Search/Therapeutic per cent20Goods per cent20$LB$Permissible per cent20Ingredients$RB$ per cent20Determination</w:t>
        </w:r>
      </w:hyperlink>
      <w:r w:rsidRPr="000C6BDC">
        <w:rPr>
          <w:sz w:val="18"/>
          <w:szCs w:val="18"/>
        </w:rPr>
        <w:t xml:space="preserve"> </w:t>
      </w:r>
    </w:p>
  </w:footnote>
  <w:footnote w:id="52">
    <w:p w14:paraId="20CD5062" w14:textId="77777777" w:rsidR="009C4B1B" w:rsidRPr="00876EC4" w:rsidRDefault="009C4B1B" w:rsidP="006175AA">
      <w:pPr>
        <w:pStyle w:val="FootnoteText"/>
        <w:rPr>
          <w:sz w:val="18"/>
          <w:szCs w:val="18"/>
        </w:rPr>
      </w:pPr>
      <w:r w:rsidRPr="00876EC4">
        <w:rPr>
          <w:rStyle w:val="FootnoteReference"/>
          <w:sz w:val="18"/>
          <w:szCs w:val="18"/>
        </w:rPr>
        <w:footnoteRef/>
      </w:r>
      <w:r w:rsidRPr="00876EC4">
        <w:rPr>
          <w:sz w:val="18"/>
          <w:szCs w:val="18"/>
        </w:rPr>
        <w:t xml:space="preserve"> TGA prescribing medicines in pregnancy database </w:t>
      </w:r>
      <w:hyperlink r:id="rId52" w:history="1">
        <w:r w:rsidRPr="00A14759">
          <w:rPr>
            <w:rStyle w:val="Hyperlink"/>
            <w:sz w:val="18"/>
            <w:szCs w:val="18"/>
          </w:rPr>
          <w:t>https://www.tga.gov.au/prescribing-medicines-pregnancy-database</w:t>
        </w:r>
      </w:hyperlink>
      <w:r w:rsidRPr="00876EC4">
        <w:rPr>
          <w:sz w:val="18"/>
          <w:szCs w:val="18"/>
        </w:rPr>
        <w:t xml:space="preserve"> </w:t>
      </w:r>
    </w:p>
  </w:footnote>
  <w:footnote w:id="53">
    <w:p w14:paraId="0DC70C19" w14:textId="77777777" w:rsidR="009C4B1B" w:rsidRPr="00876EC4" w:rsidRDefault="009C4B1B" w:rsidP="006175AA">
      <w:pPr>
        <w:pStyle w:val="FootnoteText"/>
        <w:rPr>
          <w:sz w:val="18"/>
          <w:szCs w:val="18"/>
        </w:rPr>
      </w:pPr>
      <w:r w:rsidRPr="00876EC4">
        <w:rPr>
          <w:rStyle w:val="FootnoteReference"/>
          <w:sz w:val="18"/>
          <w:szCs w:val="18"/>
        </w:rPr>
        <w:footnoteRef/>
      </w:r>
      <w:r w:rsidRPr="00876EC4">
        <w:rPr>
          <w:sz w:val="18"/>
          <w:szCs w:val="18"/>
        </w:rPr>
        <w:t xml:space="preserve"> Therapeutic Goods (Medicines Advisory Statements) Specification 2019 </w:t>
      </w:r>
      <w:r w:rsidRPr="003D39DD">
        <w:rPr>
          <w:rStyle w:val="Hyperlink"/>
          <w:sz w:val="18"/>
          <w:szCs w:val="18"/>
        </w:rPr>
        <w:t xml:space="preserve"> </w:t>
      </w:r>
      <w:hyperlink r:id="rId53" w:history="1">
        <w:r w:rsidRPr="00A14759">
          <w:rPr>
            <w:rStyle w:val="Hyperlink"/>
            <w:sz w:val="18"/>
            <w:szCs w:val="18"/>
          </w:rPr>
          <w:t>https://www.legislation.gov.au/Details/F2019L00213</w:t>
        </w:r>
      </w:hyperlink>
      <w:r w:rsidRPr="00876EC4">
        <w:rPr>
          <w:sz w:val="18"/>
          <w:szCs w:val="18"/>
        </w:rPr>
        <w:t xml:space="preserve"> </w:t>
      </w:r>
    </w:p>
  </w:footnote>
  <w:footnote w:id="54">
    <w:p w14:paraId="2827E497" w14:textId="77777777" w:rsidR="009C4B1B" w:rsidRPr="00876EC4" w:rsidRDefault="009C4B1B" w:rsidP="006175AA">
      <w:pPr>
        <w:pStyle w:val="FootnoteText"/>
        <w:rPr>
          <w:sz w:val="18"/>
          <w:szCs w:val="18"/>
        </w:rPr>
      </w:pPr>
      <w:r w:rsidRPr="00876EC4">
        <w:rPr>
          <w:rStyle w:val="FootnoteReference"/>
          <w:sz w:val="18"/>
          <w:szCs w:val="18"/>
        </w:rPr>
        <w:footnoteRef/>
      </w:r>
      <w:r w:rsidRPr="00876EC4">
        <w:rPr>
          <w:sz w:val="18"/>
          <w:szCs w:val="18"/>
        </w:rPr>
        <w:t xml:space="preserve"> Database of Adverse Event Notifications (DAEN)  </w:t>
      </w:r>
      <w:hyperlink r:id="rId54" w:history="1">
        <w:r w:rsidRPr="00A14759">
          <w:rPr>
            <w:rStyle w:val="Hyperlink"/>
            <w:sz w:val="18"/>
            <w:szCs w:val="18"/>
          </w:rPr>
          <w:t>https://apps.tga.gov.au/Prod/daen/daen-entry.aspx</w:t>
        </w:r>
      </w:hyperlink>
      <w:r w:rsidRPr="00876EC4">
        <w:rPr>
          <w:sz w:val="18"/>
          <w:szCs w:val="18"/>
        </w:rPr>
        <w:t xml:space="preserve"> </w:t>
      </w:r>
    </w:p>
  </w:footnote>
  <w:footnote w:id="55">
    <w:p w14:paraId="1D792F9A" w14:textId="77777777" w:rsidR="009C4B1B" w:rsidRPr="00876EC4" w:rsidRDefault="009C4B1B" w:rsidP="006175AA">
      <w:pPr>
        <w:pStyle w:val="FootnoteText"/>
        <w:rPr>
          <w:sz w:val="18"/>
          <w:szCs w:val="18"/>
        </w:rPr>
      </w:pPr>
      <w:r w:rsidRPr="00876EC4">
        <w:rPr>
          <w:rStyle w:val="FootnoteReference"/>
          <w:sz w:val="18"/>
          <w:szCs w:val="18"/>
        </w:rPr>
        <w:footnoteRef/>
      </w:r>
      <w:r w:rsidRPr="00876EC4">
        <w:rPr>
          <w:sz w:val="18"/>
          <w:szCs w:val="18"/>
        </w:rPr>
        <w:t xml:space="preserve"> Public Chemical Registration Information System Search (PubCRIS) </w:t>
      </w:r>
      <w:hyperlink r:id="rId55" w:history="1">
        <w:r w:rsidRPr="00A14759">
          <w:rPr>
            <w:rStyle w:val="Hyperlink"/>
            <w:sz w:val="18"/>
            <w:szCs w:val="18"/>
          </w:rPr>
          <w:t>https://portal.apvma.gov.au/pubcris</w:t>
        </w:r>
      </w:hyperlink>
      <w:r w:rsidRPr="00876EC4">
        <w:rPr>
          <w:sz w:val="18"/>
          <w:szCs w:val="18"/>
        </w:rPr>
        <w:t xml:space="preserve"> </w:t>
      </w:r>
    </w:p>
  </w:footnote>
  <w:footnote w:id="56">
    <w:p w14:paraId="4D23EA01" w14:textId="77777777" w:rsidR="009C4B1B" w:rsidRPr="00876EC4" w:rsidRDefault="009C4B1B" w:rsidP="006175AA">
      <w:pPr>
        <w:pStyle w:val="FootnoteText"/>
        <w:rPr>
          <w:sz w:val="18"/>
          <w:szCs w:val="18"/>
        </w:rPr>
      </w:pPr>
      <w:r w:rsidRPr="00876EC4">
        <w:rPr>
          <w:rStyle w:val="FootnoteReference"/>
          <w:sz w:val="18"/>
          <w:szCs w:val="18"/>
        </w:rPr>
        <w:footnoteRef/>
      </w:r>
      <w:r w:rsidRPr="00876EC4">
        <w:rPr>
          <w:sz w:val="18"/>
          <w:szCs w:val="18"/>
        </w:rPr>
        <w:t xml:space="preserve"> APVMA Adverse Experience Reporting Program</w:t>
      </w:r>
      <w:r w:rsidRPr="00876EC4">
        <w:rPr>
          <w:rStyle w:val="Hyperlink"/>
          <w:sz w:val="18"/>
          <w:szCs w:val="18"/>
        </w:rPr>
        <w:t xml:space="preserve"> database (AERP)</w:t>
      </w:r>
      <w:r w:rsidRPr="003D39DD">
        <w:rPr>
          <w:sz w:val="18"/>
          <w:szCs w:val="18"/>
        </w:rPr>
        <w:t xml:space="preserve"> </w:t>
      </w:r>
      <w:hyperlink r:id="rId56" w:history="1">
        <w:r w:rsidRPr="00A14759">
          <w:rPr>
            <w:rStyle w:val="Hyperlink"/>
            <w:sz w:val="18"/>
            <w:szCs w:val="18"/>
          </w:rPr>
          <w:t>https://apvma.gov.au/node/10946</w:t>
        </w:r>
      </w:hyperlink>
      <w:r w:rsidRPr="00876EC4">
        <w:rPr>
          <w:sz w:val="18"/>
          <w:szCs w:val="18"/>
        </w:rPr>
        <w:t xml:space="preserve"> </w:t>
      </w:r>
    </w:p>
  </w:footnote>
  <w:footnote w:id="57">
    <w:p w14:paraId="1FE756AE" w14:textId="77777777" w:rsidR="009C4B1B" w:rsidRPr="00940634" w:rsidRDefault="009C4B1B" w:rsidP="00AD69A8">
      <w:pPr>
        <w:pStyle w:val="FootnoteText"/>
        <w:rPr>
          <w:sz w:val="18"/>
          <w:szCs w:val="18"/>
        </w:rPr>
      </w:pPr>
      <w:r w:rsidRPr="00876EC4">
        <w:rPr>
          <w:rStyle w:val="FootnoteReference"/>
          <w:sz w:val="18"/>
          <w:szCs w:val="18"/>
        </w:rPr>
        <w:footnoteRef/>
      </w:r>
      <w:r w:rsidRPr="00876EC4">
        <w:rPr>
          <w:sz w:val="18"/>
          <w:szCs w:val="18"/>
        </w:rPr>
        <w:t xml:space="preserve"> </w:t>
      </w:r>
      <w:hyperlink r:id="rId57" w:history="1">
        <w:r w:rsidRPr="00A14759">
          <w:rPr>
            <w:rStyle w:val="Hyperlink"/>
            <w:sz w:val="18"/>
            <w:szCs w:val="18"/>
          </w:rPr>
          <w:t>European Commission database for information on cosmetic substances and ingredients database</w:t>
        </w:r>
      </w:hyperlink>
      <w:r w:rsidRPr="00876EC4">
        <w:rPr>
          <w:rStyle w:val="Hyperlink"/>
          <w:sz w:val="18"/>
          <w:szCs w:val="18"/>
        </w:rPr>
        <w:t xml:space="preserve"> </w:t>
      </w:r>
      <w:r w:rsidRPr="00940634">
        <w:rPr>
          <w:sz w:val="18"/>
          <w:szCs w:val="18"/>
        </w:rPr>
        <w:t>https://ec.europa.eu/growth/tools-databases/cosing/</w:t>
      </w:r>
    </w:p>
  </w:footnote>
  <w:footnote w:id="58">
    <w:p w14:paraId="65FFE9C8" w14:textId="504DB7A1" w:rsidR="009C4B1B" w:rsidRPr="00876EC4" w:rsidRDefault="009C4B1B" w:rsidP="00AD69A8">
      <w:pPr>
        <w:pStyle w:val="FootnoteText"/>
        <w:rPr>
          <w:sz w:val="18"/>
          <w:szCs w:val="18"/>
        </w:rPr>
      </w:pPr>
      <w:r w:rsidRPr="00876EC4">
        <w:rPr>
          <w:rStyle w:val="FootnoteReference"/>
          <w:sz w:val="18"/>
          <w:szCs w:val="18"/>
        </w:rPr>
        <w:footnoteRef/>
      </w:r>
      <w:r w:rsidRPr="00876EC4">
        <w:rPr>
          <w:sz w:val="18"/>
          <w:szCs w:val="18"/>
        </w:rPr>
        <w:t xml:space="preserve"> European Medicines Agency </w:t>
      </w:r>
      <w:hyperlink r:id="rId58" w:history="1">
        <w:r w:rsidRPr="00A14759">
          <w:rPr>
            <w:rStyle w:val="Hyperlink"/>
            <w:sz w:val="18"/>
            <w:szCs w:val="18"/>
          </w:rPr>
          <w:t>https://www.ema.europa.eu/en/medicines/human/EPAR/circadin</w:t>
        </w:r>
      </w:hyperlink>
      <w:r w:rsidRPr="00876EC4">
        <w:rPr>
          <w:sz w:val="18"/>
          <w:szCs w:val="18"/>
        </w:rPr>
        <w:t xml:space="preserve"> </w:t>
      </w:r>
    </w:p>
  </w:footnote>
  <w:footnote w:id="59">
    <w:p w14:paraId="48461CD3" w14:textId="77777777" w:rsidR="009C4B1B" w:rsidRPr="000C6BDC" w:rsidRDefault="009C4B1B" w:rsidP="00AD69A8">
      <w:pPr>
        <w:pStyle w:val="FootnoteText"/>
        <w:rPr>
          <w:sz w:val="18"/>
          <w:szCs w:val="18"/>
        </w:rPr>
      </w:pPr>
      <w:r w:rsidRPr="00876EC4">
        <w:rPr>
          <w:rStyle w:val="FootnoteReference"/>
          <w:sz w:val="18"/>
          <w:szCs w:val="18"/>
        </w:rPr>
        <w:footnoteRef/>
      </w:r>
      <w:r w:rsidRPr="00876EC4">
        <w:rPr>
          <w:sz w:val="18"/>
          <w:szCs w:val="18"/>
        </w:rPr>
        <w:t xml:space="preserve"> New Zealand Medicines and Medical Devices Safety Authority (MedSafe) </w:t>
      </w:r>
      <w:hyperlink r:id="rId59" w:history="1">
        <w:r w:rsidRPr="00A14759">
          <w:rPr>
            <w:rStyle w:val="Hyperlink"/>
            <w:sz w:val="18"/>
            <w:szCs w:val="18"/>
          </w:rPr>
          <w:t>https://www.medsafe.govt.nz/profs/class/classintro.asp</w:t>
        </w:r>
      </w:hyperlink>
      <w:r w:rsidRPr="000C6BDC">
        <w:rPr>
          <w:sz w:val="18"/>
          <w:szCs w:val="18"/>
        </w:rPr>
        <w:t xml:space="preserve">  </w:t>
      </w:r>
    </w:p>
  </w:footnote>
  <w:footnote w:id="60">
    <w:p w14:paraId="25063ECA" w14:textId="1FAB565F" w:rsidR="009C4B1B" w:rsidRPr="0011349B" w:rsidRDefault="009C4B1B">
      <w:pPr>
        <w:pStyle w:val="FootnoteText"/>
        <w:rPr>
          <w:sz w:val="18"/>
          <w:szCs w:val="18"/>
        </w:rPr>
      </w:pPr>
      <w:r w:rsidRPr="0011349B">
        <w:rPr>
          <w:rStyle w:val="FootnoteReference"/>
          <w:sz w:val="18"/>
          <w:szCs w:val="18"/>
        </w:rPr>
        <w:footnoteRef/>
      </w:r>
      <w:r w:rsidRPr="0011349B">
        <w:rPr>
          <w:sz w:val="18"/>
          <w:szCs w:val="18"/>
        </w:rPr>
        <w:t xml:space="preserve">Health Product Regulatory Authority </w:t>
      </w:r>
      <w:hyperlink r:id="rId60" w:history="1">
        <w:r w:rsidRPr="0011349B">
          <w:rPr>
            <w:rStyle w:val="Hyperlink"/>
            <w:sz w:val="18"/>
            <w:szCs w:val="18"/>
          </w:rPr>
          <w:t>https://www.hpra.ie/homepage/medicines/medicines-information/find-a-medicine/results?query=Melatonin&amp;field=ACTIVESUBSTANCES</w:t>
        </w:r>
      </w:hyperlink>
      <w:r w:rsidRPr="0011349B">
        <w:rPr>
          <w:sz w:val="18"/>
          <w:szCs w:val="18"/>
        </w:rPr>
        <w:t xml:space="preserve"> </w:t>
      </w:r>
    </w:p>
  </w:footnote>
  <w:footnote w:id="61">
    <w:p w14:paraId="69FF7BCC" w14:textId="2D630AF2" w:rsidR="009C4B1B" w:rsidRPr="0011349B" w:rsidRDefault="009C4B1B">
      <w:pPr>
        <w:pStyle w:val="FootnoteText"/>
        <w:rPr>
          <w:sz w:val="18"/>
          <w:szCs w:val="18"/>
        </w:rPr>
      </w:pPr>
      <w:r w:rsidRPr="0011349B">
        <w:rPr>
          <w:rStyle w:val="FootnoteReference"/>
          <w:sz w:val="18"/>
          <w:szCs w:val="18"/>
        </w:rPr>
        <w:footnoteRef/>
      </w:r>
      <w:r w:rsidRPr="0011349B">
        <w:rPr>
          <w:sz w:val="18"/>
          <w:szCs w:val="18"/>
        </w:rPr>
        <w:t xml:space="preserve"> </w:t>
      </w:r>
      <w:hyperlink r:id="rId61" w:history="1">
        <w:r w:rsidRPr="0011349B">
          <w:rPr>
            <w:rStyle w:val="Hyperlink"/>
            <w:sz w:val="18"/>
            <w:szCs w:val="18"/>
          </w:rPr>
          <w:t>https://health-products.canada.ca/dpd-bdpp/dispatch-repartition.do</w:t>
        </w:r>
      </w:hyperlink>
      <w:r w:rsidRPr="0011349B">
        <w:rPr>
          <w:sz w:val="18"/>
          <w:szCs w:val="18"/>
        </w:rPr>
        <w:t xml:space="preserve"> </w:t>
      </w:r>
    </w:p>
  </w:footnote>
  <w:footnote w:id="62">
    <w:p w14:paraId="66A67D0E" w14:textId="27531E5B" w:rsidR="009C4B1B" w:rsidRDefault="009C4B1B">
      <w:pPr>
        <w:pStyle w:val="FootnoteText"/>
      </w:pPr>
      <w:r w:rsidRPr="0011349B">
        <w:rPr>
          <w:rStyle w:val="FootnoteReference"/>
          <w:sz w:val="18"/>
          <w:szCs w:val="18"/>
        </w:rPr>
        <w:footnoteRef/>
      </w:r>
      <w:r w:rsidRPr="0011349B">
        <w:rPr>
          <w:sz w:val="18"/>
          <w:szCs w:val="18"/>
        </w:rPr>
        <w:t xml:space="preserve"> Health Canada database </w:t>
      </w:r>
      <w:hyperlink r:id="rId62" w:history="1">
        <w:r w:rsidRPr="0011349B">
          <w:rPr>
            <w:rStyle w:val="Hyperlink"/>
            <w:sz w:val="18"/>
            <w:szCs w:val="18"/>
          </w:rPr>
          <w:t>https://www.canada.ca/en/health-canada/services/drugs-health-products/medeffect-canada/safety-reviews/summary-safety-review-melatonin-acetyl-methoxytryptamine-review-safety-melatonin-children-adolescents.html</w:t>
        </w:r>
      </w:hyperlink>
      <w:r w:rsidRPr="004D144F">
        <w:rPr>
          <w:sz w:val="16"/>
          <w:szCs w:val="16"/>
        </w:rPr>
        <w:t xml:space="preserve"> </w:t>
      </w:r>
    </w:p>
  </w:footnote>
  <w:footnote w:id="63">
    <w:p w14:paraId="2CD5A4E7" w14:textId="77777777" w:rsidR="0029541B" w:rsidRDefault="0029541B" w:rsidP="0029541B">
      <w:pPr>
        <w:pStyle w:val="FootnoteText"/>
      </w:pPr>
      <w:r>
        <w:rPr>
          <w:rStyle w:val="FootnoteReference"/>
        </w:rPr>
        <w:footnoteRef/>
      </w:r>
      <w:r>
        <w:t xml:space="preserve"> </w:t>
      </w:r>
      <w:r w:rsidRPr="00A442B3">
        <w:t>www.canada.ca/en/health-canada/services/drugs-health-products/medeffect-canada/safety-reviews/green-tea-extract-containing-natural-health-products-assessing-potential-risk-liver-injury.html</w:t>
      </w:r>
    </w:p>
  </w:footnote>
  <w:footnote w:id="64">
    <w:p w14:paraId="1B23F0EF"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TGA Ingredient Database </w:t>
      </w:r>
      <w:hyperlink r:id="rId63" w:history="1">
        <w:r w:rsidRPr="000C6BDC">
          <w:rPr>
            <w:rStyle w:val="Hyperlink"/>
            <w:color w:val="002C47" w:themeColor="text2"/>
            <w:sz w:val="18"/>
            <w:szCs w:val="18"/>
          </w:rPr>
          <w:t>https://www.ebs.tga.gov.au/</w:t>
        </w:r>
      </w:hyperlink>
    </w:p>
  </w:footnote>
  <w:footnote w:id="65">
    <w:p w14:paraId="4CDED172"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ARTG database </w:t>
      </w:r>
      <w:hyperlink r:id="rId64" w:history="1">
        <w:r w:rsidRPr="000C6BDC">
          <w:rPr>
            <w:rStyle w:val="Hyperlink"/>
            <w:sz w:val="18"/>
            <w:szCs w:val="18"/>
          </w:rPr>
          <w:t>https://www.tga.gov.au/artg</w:t>
        </w:r>
      </w:hyperlink>
      <w:r w:rsidRPr="000C6BDC">
        <w:rPr>
          <w:sz w:val="18"/>
          <w:szCs w:val="18"/>
        </w:rPr>
        <w:t xml:space="preserve"> </w:t>
      </w:r>
    </w:p>
  </w:footnote>
  <w:footnote w:id="66">
    <w:p w14:paraId="1B15ED57"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Therapeutic Goods (Permissible Ingredients) Determination </w:t>
      </w:r>
      <w:hyperlink r:id="rId65" w:history="1">
        <w:r w:rsidRPr="000C6BDC">
          <w:rPr>
            <w:rStyle w:val="Hyperlink"/>
            <w:sz w:val="18"/>
            <w:szCs w:val="18"/>
          </w:rPr>
          <w:t>https://www.legislation.gov.au/Search/Therapeutic per cent20Goods per cent20$LB$Permissible per cent20Ingredients$RB$ per cent20Determination</w:t>
        </w:r>
      </w:hyperlink>
      <w:r w:rsidRPr="000C6BDC">
        <w:rPr>
          <w:sz w:val="18"/>
          <w:szCs w:val="18"/>
        </w:rPr>
        <w:t xml:space="preserve"> </w:t>
      </w:r>
    </w:p>
  </w:footnote>
  <w:footnote w:id="67">
    <w:p w14:paraId="333EDDCD"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TGA prescribing medicines in pregnancy database </w:t>
      </w:r>
      <w:hyperlink r:id="rId66" w:history="1">
        <w:r w:rsidRPr="000C6BDC">
          <w:rPr>
            <w:rStyle w:val="Hyperlink"/>
            <w:sz w:val="18"/>
            <w:szCs w:val="18"/>
          </w:rPr>
          <w:t>https://www.tga.gov.au/prescribing-medicines-pregnancy-database</w:t>
        </w:r>
      </w:hyperlink>
      <w:r w:rsidRPr="000C6BDC">
        <w:rPr>
          <w:sz w:val="18"/>
          <w:szCs w:val="18"/>
        </w:rPr>
        <w:t xml:space="preserve"> </w:t>
      </w:r>
    </w:p>
  </w:footnote>
  <w:footnote w:id="68">
    <w:p w14:paraId="0DCFC7FC"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Therapeutic Goods (Medicines Advisory Statements) Specification 2019 </w:t>
      </w:r>
      <w:r w:rsidRPr="000C6BDC">
        <w:rPr>
          <w:rStyle w:val="Hyperlink"/>
          <w:sz w:val="18"/>
          <w:szCs w:val="18"/>
        </w:rPr>
        <w:t xml:space="preserve"> </w:t>
      </w:r>
      <w:hyperlink r:id="rId67" w:history="1">
        <w:r w:rsidRPr="000C6BDC">
          <w:rPr>
            <w:rStyle w:val="Hyperlink"/>
            <w:sz w:val="18"/>
            <w:szCs w:val="18"/>
          </w:rPr>
          <w:t>https://www.legislation.gov.au/Details/F2019L00213</w:t>
        </w:r>
      </w:hyperlink>
      <w:r w:rsidRPr="000C6BDC">
        <w:rPr>
          <w:sz w:val="18"/>
          <w:szCs w:val="18"/>
        </w:rPr>
        <w:t xml:space="preserve"> </w:t>
      </w:r>
    </w:p>
  </w:footnote>
  <w:footnote w:id="69">
    <w:p w14:paraId="7737BF19"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Database of Adverse Event Notifications (DAEN)  </w:t>
      </w:r>
      <w:hyperlink r:id="rId68" w:history="1">
        <w:r w:rsidRPr="000C6BDC">
          <w:rPr>
            <w:rStyle w:val="Hyperlink"/>
            <w:sz w:val="18"/>
            <w:szCs w:val="18"/>
          </w:rPr>
          <w:t>https://apps.tga.gov.au/Prod/daen/daen-entry.aspx</w:t>
        </w:r>
      </w:hyperlink>
      <w:r w:rsidRPr="000C6BDC">
        <w:rPr>
          <w:sz w:val="18"/>
          <w:szCs w:val="18"/>
        </w:rPr>
        <w:t xml:space="preserve"> </w:t>
      </w:r>
    </w:p>
  </w:footnote>
  <w:footnote w:id="70">
    <w:p w14:paraId="30AB16E6"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Public Chemical Registration Information System Search (PubCRIS) </w:t>
      </w:r>
      <w:hyperlink r:id="rId69" w:history="1">
        <w:r w:rsidRPr="000C6BDC">
          <w:rPr>
            <w:rStyle w:val="Hyperlink"/>
            <w:sz w:val="18"/>
            <w:szCs w:val="18"/>
          </w:rPr>
          <w:t>https://portal.apvma.gov.au/pubcris</w:t>
        </w:r>
      </w:hyperlink>
      <w:r w:rsidRPr="000C6BDC">
        <w:rPr>
          <w:sz w:val="18"/>
          <w:szCs w:val="18"/>
        </w:rPr>
        <w:t xml:space="preserve"> </w:t>
      </w:r>
    </w:p>
  </w:footnote>
  <w:footnote w:id="71">
    <w:p w14:paraId="2E9A2FED"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Health Products Regulation Authority </w:t>
      </w:r>
      <w:hyperlink r:id="rId70" w:history="1">
        <w:r w:rsidRPr="000C6BDC">
          <w:rPr>
            <w:rStyle w:val="Hyperlink"/>
            <w:sz w:val="18"/>
            <w:szCs w:val="18"/>
          </w:rPr>
          <w:t>https://www.hpra.ie/homepage/medicines/medicines-information/find-a-medicine/results/item?pano=PA1748/003/001&amp;t=Catephen per cent2010 per cent20 per cent per cent20ointment</w:t>
        </w:r>
      </w:hyperlink>
      <w:r w:rsidRPr="000C6BDC">
        <w:rPr>
          <w:sz w:val="18"/>
          <w:szCs w:val="18"/>
        </w:rPr>
        <w:t xml:space="preserve"> </w:t>
      </w:r>
    </w:p>
  </w:footnote>
  <w:footnote w:id="72">
    <w:p w14:paraId="6C2D5DAE" w14:textId="77777777" w:rsidR="0029541B" w:rsidRPr="000C6BDC" w:rsidRDefault="0029541B" w:rsidP="0029541B">
      <w:pPr>
        <w:pStyle w:val="FootnoteText"/>
        <w:rPr>
          <w:sz w:val="18"/>
          <w:szCs w:val="18"/>
        </w:rPr>
      </w:pPr>
      <w:r w:rsidRPr="000C6BDC">
        <w:rPr>
          <w:rStyle w:val="FootnoteReference"/>
          <w:sz w:val="18"/>
          <w:szCs w:val="18"/>
        </w:rPr>
        <w:footnoteRef/>
      </w:r>
      <w:r w:rsidRPr="000C6BDC">
        <w:rPr>
          <w:sz w:val="18"/>
          <w:szCs w:val="18"/>
        </w:rPr>
        <w:t xml:space="preserve"> European Commission Food Safety green-tea initiative </w:t>
      </w:r>
      <w:hyperlink r:id="rId71" w:history="1">
        <w:r w:rsidRPr="000C6BDC">
          <w:rPr>
            <w:rStyle w:val="Hyperlink"/>
            <w:sz w:val="18"/>
            <w:szCs w:val="18"/>
          </w:rPr>
          <w:t>https://ec.europa.eu/info/law/better-regulation/have-your-say/initiatives/12572-Food-safety-restricting-the-use-of-green-tea-catechins-in-foods_en</w:t>
        </w:r>
      </w:hyperlink>
      <w:r w:rsidRPr="000C6BDC">
        <w:rPr>
          <w:sz w:val="18"/>
          <w:szCs w:val="18"/>
        </w:rPr>
        <w:t xml:space="preserve"> </w:t>
      </w:r>
    </w:p>
  </w:footnote>
  <w:footnote w:id="73">
    <w:p w14:paraId="6699259D" w14:textId="77777777" w:rsidR="009C4B1B" w:rsidRPr="000C6BDC" w:rsidRDefault="009C4B1B" w:rsidP="00433655">
      <w:pPr>
        <w:pStyle w:val="FootnoteText"/>
        <w:rPr>
          <w:sz w:val="18"/>
          <w:szCs w:val="18"/>
        </w:rPr>
      </w:pPr>
      <w:r w:rsidRPr="000C6BDC">
        <w:rPr>
          <w:rStyle w:val="FootnoteReference"/>
          <w:sz w:val="18"/>
          <w:szCs w:val="18"/>
        </w:rPr>
        <w:footnoteRef/>
      </w:r>
      <w:r w:rsidRPr="000C6BDC">
        <w:rPr>
          <w:sz w:val="18"/>
          <w:szCs w:val="18"/>
        </w:rPr>
        <w:t xml:space="preserve"> TGA Ingredient Database </w:t>
      </w:r>
      <w:hyperlink r:id="rId72" w:history="1">
        <w:r w:rsidRPr="000C6BDC">
          <w:rPr>
            <w:rStyle w:val="Hyperlink"/>
            <w:color w:val="002C47" w:themeColor="text2"/>
            <w:sz w:val="18"/>
            <w:szCs w:val="18"/>
          </w:rPr>
          <w:t>https://www.ebs.tga.gov.au/</w:t>
        </w:r>
      </w:hyperlink>
    </w:p>
  </w:footnote>
  <w:footnote w:id="74">
    <w:p w14:paraId="1C44DE3D" w14:textId="77777777" w:rsidR="009C4B1B" w:rsidRPr="000C6BDC" w:rsidRDefault="009C4B1B" w:rsidP="00433655">
      <w:pPr>
        <w:pStyle w:val="FootnoteText"/>
        <w:rPr>
          <w:sz w:val="18"/>
          <w:szCs w:val="18"/>
        </w:rPr>
      </w:pPr>
      <w:r w:rsidRPr="000C6BDC">
        <w:rPr>
          <w:rStyle w:val="FootnoteReference"/>
          <w:sz w:val="18"/>
          <w:szCs w:val="18"/>
        </w:rPr>
        <w:footnoteRef/>
      </w:r>
      <w:r w:rsidRPr="000C6BDC">
        <w:rPr>
          <w:sz w:val="18"/>
          <w:szCs w:val="18"/>
        </w:rPr>
        <w:t xml:space="preserve"> ARTG database </w:t>
      </w:r>
      <w:hyperlink r:id="rId73" w:history="1">
        <w:r w:rsidRPr="000C6BDC">
          <w:rPr>
            <w:rStyle w:val="Hyperlink"/>
            <w:sz w:val="18"/>
            <w:szCs w:val="18"/>
          </w:rPr>
          <w:t>https://www.tga.gov.au/artg</w:t>
        </w:r>
      </w:hyperlink>
      <w:r w:rsidRPr="000C6BDC">
        <w:rPr>
          <w:sz w:val="18"/>
          <w:szCs w:val="18"/>
        </w:rPr>
        <w:t xml:space="preserve"> </w:t>
      </w:r>
    </w:p>
  </w:footnote>
  <w:footnote w:id="75">
    <w:p w14:paraId="190E9AB6" w14:textId="3863888F" w:rsidR="009C4B1B" w:rsidRPr="000C6BDC" w:rsidRDefault="009C4B1B" w:rsidP="00433655">
      <w:pPr>
        <w:pStyle w:val="FootnoteText"/>
        <w:rPr>
          <w:sz w:val="18"/>
          <w:szCs w:val="18"/>
        </w:rPr>
      </w:pPr>
      <w:r w:rsidRPr="000C6BDC">
        <w:rPr>
          <w:rStyle w:val="FootnoteReference"/>
          <w:sz w:val="18"/>
          <w:szCs w:val="18"/>
        </w:rPr>
        <w:footnoteRef/>
      </w:r>
      <w:r w:rsidRPr="000C6BDC">
        <w:rPr>
          <w:sz w:val="18"/>
          <w:szCs w:val="18"/>
        </w:rPr>
        <w:t xml:space="preserve"> Therapeutic Goods (Permissible Ingredients) Determination </w:t>
      </w:r>
      <w:hyperlink r:id="rId74" w:history="1">
        <w:r w:rsidRPr="000C6BDC">
          <w:rPr>
            <w:rStyle w:val="Hyperlink"/>
            <w:sz w:val="18"/>
            <w:szCs w:val="18"/>
          </w:rPr>
          <w:t>https://www.legislation.gov.au/Search/Therapeutic per cent20Goods per cent20$LB$Permissible per cent20Ingredients$RB$ per cent20Determination</w:t>
        </w:r>
      </w:hyperlink>
      <w:r w:rsidRPr="000C6BDC">
        <w:rPr>
          <w:sz w:val="18"/>
          <w:szCs w:val="18"/>
        </w:rPr>
        <w:t xml:space="preserve"> </w:t>
      </w:r>
    </w:p>
  </w:footnote>
  <w:footnote w:id="76">
    <w:p w14:paraId="6051F5B5" w14:textId="77777777" w:rsidR="009C4B1B" w:rsidRPr="000C6BDC" w:rsidRDefault="009C4B1B" w:rsidP="00433655">
      <w:pPr>
        <w:pStyle w:val="FootnoteText"/>
        <w:rPr>
          <w:sz w:val="18"/>
          <w:szCs w:val="18"/>
        </w:rPr>
      </w:pPr>
      <w:r w:rsidRPr="000C6BDC">
        <w:rPr>
          <w:rStyle w:val="FootnoteReference"/>
          <w:sz w:val="18"/>
          <w:szCs w:val="18"/>
        </w:rPr>
        <w:footnoteRef/>
      </w:r>
      <w:r w:rsidRPr="000C6BDC">
        <w:rPr>
          <w:sz w:val="18"/>
          <w:szCs w:val="18"/>
        </w:rPr>
        <w:t xml:space="preserve"> TGA prescribing medicines in pregnancy database </w:t>
      </w:r>
      <w:hyperlink r:id="rId75" w:history="1">
        <w:r w:rsidRPr="000C6BDC">
          <w:rPr>
            <w:rStyle w:val="Hyperlink"/>
            <w:sz w:val="18"/>
            <w:szCs w:val="18"/>
          </w:rPr>
          <w:t>https://www.tga.gov.au/prescribing-medicines-pregnancy-database</w:t>
        </w:r>
      </w:hyperlink>
      <w:r w:rsidRPr="000C6BDC">
        <w:rPr>
          <w:sz w:val="18"/>
          <w:szCs w:val="18"/>
        </w:rPr>
        <w:t xml:space="preserve"> </w:t>
      </w:r>
    </w:p>
  </w:footnote>
  <w:footnote w:id="77">
    <w:p w14:paraId="434C066F" w14:textId="77777777" w:rsidR="009C4B1B" w:rsidRPr="000C6BDC" w:rsidRDefault="009C4B1B" w:rsidP="00433655">
      <w:pPr>
        <w:pStyle w:val="FootnoteText"/>
        <w:rPr>
          <w:sz w:val="18"/>
          <w:szCs w:val="18"/>
        </w:rPr>
      </w:pPr>
      <w:r w:rsidRPr="000C6BDC">
        <w:rPr>
          <w:rStyle w:val="FootnoteReference"/>
          <w:sz w:val="18"/>
          <w:szCs w:val="18"/>
        </w:rPr>
        <w:footnoteRef/>
      </w:r>
      <w:r w:rsidRPr="000C6BDC">
        <w:rPr>
          <w:sz w:val="18"/>
          <w:szCs w:val="18"/>
        </w:rPr>
        <w:t xml:space="preserve"> Therapeutic Goods (Medicines Advisory Statements) Specification 2019 </w:t>
      </w:r>
      <w:r w:rsidRPr="000C6BDC">
        <w:rPr>
          <w:rStyle w:val="Hyperlink"/>
          <w:sz w:val="18"/>
          <w:szCs w:val="18"/>
        </w:rPr>
        <w:t xml:space="preserve"> </w:t>
      </w:r>
      <w:hyperlink r:id="rId76" w:history="1">
        <w:r w:rsidRPr="000C6BDC">
          <w:rPr>
            <w:rStyle w:val="Hyperlink"/>
            <w:sz w:val="18"/>
            <w:szCs w:val="18"/>
          </w:rPr>
          <w:t>https://www.legislation.gov.au/Details/F2019L00213</w:t>
        </w:r>
      </w:hyperlink>
      <w:r w:rsidRPr="000C6BDC">
        <w:rPr>
          <w:sz w:val="18"/>
          <w:szCs w:val="18"/>
        </w:rPr>
        <w:t xml:space="preserve"> </w:t>
      </w:r>
    </w:p>
  </w:footnote>
  <w:footnote w:id="78">
    <w:p w14:paraId="569F9675" w14:textId="77777777" w:rsidR="009C4B1B" w:rsidRPr="000C6BDC" w:rsidRDefault="009C4B1B" w:rsidP="00433655">
      <w:pPr>
        <w:pStyle w:val="FootnoteText"/>
        <w:rPr>
          <w:sz w:val="18"/>
          <w:szCs w:val="18"/>
        </w:rPr>
      </w:pPr>
      <w:r w:rsidRPr="000C6BDC">
        <w:rPr>
          <w:rStyle w:val="FootnoteReference"/>
          <w:sz w:val="18"/>
          <w:szCs w:val="18"/>
        </w:rPr>
        <w:footnoteRef/>
      </w:r>
      <w:r w:rsidRPr="000C6BDC">
        <w:rPr>
          <w:sz w:val="18"/>
          <w:szCs w:val="18"/>
        </w:rPr>
        <w:t xml:space="preserve"> Public Chemical Registration Information System Search (PubCRIS) </w:t>
      </w:r>
      <w:hyperlink r:id="rId77" w:history="1">
        <w:r w:rsidRPr="000C6BDC">
          <w:rPr>
            <w:rStyle w:val="Hyperlink"/>
            <w:sz w:val="18"/>
            <w:szCs w:val="18"/>
          </w:rPr>
          <w:t>https://portal.apvma.gov.au/pubcris</w:t>
        </w:r>
      </w:hyperlink>
      <w:r w:rsidRPr="000C6BDC">
        <w:rPr>
          <w:sz w:val="18"/>
          <w:szCs w:val="18"/>
        </w:rPr>
        <w:t xml:space="preserve"> </w:t>
      </w:r>
    </w:p>
  </w:footnote>
  <w:footnote w:id="79">
    <w:p w14:paraId="19FF9B9D" w14:textId="77777777" w:rsidR="009C4B1B" w:rsidRPr="00627DE6" w:rsidRDefault="009C4B1B" w:rsidP="00682003">
      <w:pPr>
        <w:pStyle w:val="FootnoteText"/>
        <w:rPr>
          <w:sz w:val="18"/>
          <w:szCs w:val="18"/>
        </w:rPr>
      </w:pPr>
      <w:r w:rsidRPr="00627DE6">
        <w:rPr>
          <w:rStyle w:val="FootnoteReference"/>
          <w:sz w:val="18"/>
          <w:szCs w:val="18"/>
        </w:rPr>
        <w:footnoteRef/>
      </w:r>
      <w:r w:rsidRPr="00627DE6">
        <w:rPr>
          <w:sz w:val="18"/>
          <w:szCs w:val="18"/>
        </w:rPr>
        <w:t xml:space="preserve"> TGA Ingredient Database </w:t>
      </w:r>
      <w:hyperlink r:id="rId78" w:history="1">
        <w:r w:rsidRPr="00627DE6">
          <w:rPr>
            <w:rStyle w:val="Hyperlink"/>
            <w:color w:val="002C47" w:themeColor="text2"/>
            <w:sz w:val="18"/>
            <w:szCs w:val="18"/>
          </w:rPr>
          <w:t>https://www.ebs.tga.gov.au/</w:t>
        </w:r>
      </w:hyperlink>
    </w:p>
  </w:footnote>
  <w:footnote w:id="80">
    <w:p w14:paraId="7E0185E9" w14:textId="77777777" w:rsidR="009C4B1B" w:rsidRPr="00627DE6" w:rsidRDefault="009C4B1B" w:rsidP="00682003">
      <w:pPr>
        <w:pStyle w:val="FootnoteText"/>
        <w:rPr>
          <w:sz w:val="18"/>
          <w:szCs w:val="18"/>
        </w:rPr>
      </w:pPr>
      <w:r w:rsidRPr="00627DE6">
        <w:rPr>
          <w:rStyle w:val="FootnoteReference"/>
          <w:sz w:val="18"/>
          <w:szCs w:val="18"/>
        </w:rPr>
        <w:footnoteRef/>
      </w:r>
      <w:r w:rsidRPr="00627DE6">
        <w:rPr>
          <w:sz w:val="18"/>
          <w:szCs w:val="18"/>
        </w:rPr>
        <w:t xml:space="preserve"> ARTG database </w:t>
      </w:r>
      <w:hyperlink r:id="rId79" w:history="1">
        <w:r w:rsidRPr="00627DE6">
          <w:rPr>
            <w:rStyle w:val="Hyperlink"/>
            <w:sz w:val="18"/>
            <w:szCs w:val="18"/>
          </w:rPr>
          <w:t>https://www.tga.gov.au/artg</w:t>
        </w:r>
      </w:hyperlink>
      <w:r w:rsidRPr="00627DE6">
        <w:rPr>
          <w:sz w:val="18"/>
          <w:szCs w:val="18"/>
        </w:rPr>
        <w:t xml:space="preserve"> </w:t>
      </w:r>
    </w:p>
  </w:footnote>
  <w:footnote w:id="81">
    <w:p w14:paraId="1B7B3E79" w14:textId="2C527106" w:rsidR="009C4B1B" w:rsidRPr="000C396D" w:rsidRDefault="009C4B1B" w:rsidP="00682003">
      <w:pPr>
        <w:pStyle w:val="FootnoteText"/>
        <w:rPr>
          <w:sz w:val="18"/>
          <w:szCs w:val="18"/>
        </w:rPr>
      </w:pPr>
      <w:r w:rsidRPr="00627DE6">
        <w:rPr>
          <w:rStyle w:val="FootnoteReference"/>
          <w:sz w:val="18"/>
          <w:szCs w:val="18"/>
        </w:rPr>
        <w:footnoteRef/>
      </w:r>
      <w:r w:rsidRPr="00627DE6">
        <w:rPr>
          <w:sz w:val="18"/>
          <w:szCs w:val="18"/>
        </w:rPr>
        <w:t xml:space="preserve"> Therapeutic Goods (Permissible Ingredients) Determination </w:t>
      </w:r>
      <w:hyperlink r:id="rId80" w:history="1">
        <w:r w:rsidRPr="000C396D">
          <w:rPr>
            <w:rStyle w:val="Hyperlink"/>
            <w:sz w:val="18"/>
            <w:szCs w:val="18"/>
          </w:rPr>
          <w:t>https://www.legislation.gov.au/Search/Therapeutic per cent20Goods per cent20$LB$Permissible per cent20Ingredients$RB$ per cent20Determination</w:t>
        </w:r>
      </w:hyperlink>
      <w:r w:rsidRPr="000C396D">
        <w:rPr>
          <w:sz w:val="18"/>
          <w:szCs w:val="18"/>
        </w:rPr>
        <w:t xml:space="preserve"> </w:t>
      </w:r>
    </w:p>
  </w:footnote>
  <w:footnote w:id="82">
    <w:p w14:paraId="62186120" w14:textId="77777777" w:rsidR="009C4B1B" w:rsidRPr="000C396D" w:rsidRDefault="009C4B1B" w:rsidP="00682003">
      <w:pPr>
        <w:pStyle w:val="FootnoteText"/>
        <w:rPr>
          <w:sz w:val="18"/>
          <w:szCs w:val="18"/>
        </w:rPr>
      </w:pPr>
      <w:r w:rsidRPr="000C396D">
        <w:rPr>
          <w:rStyle w:val="FootnoteReference"/>
          <w:sz w:val="18"/>
          <w:szCs w:val="18"/>
        </w:rPr>
        <w:footnoteRef/>
      </w:r>
      <w:r w:rsidRPr="000C396D">
        <w:rPr>
          <w:sz w:val="18"/>
          <w:szCs w:val="18"/>
        </w:rPr>
        <w:t xml:space="preserve"> TGA prescribing medicines in pregnancy database </w:t>
      </w:r>
      <w:hyperlink r:id="rId81" w:history="1">
        <w:r w:rsidRPr="000C396D">
          <w:rPr>
            <w:rStyle w:val="Hyperlink"/>
            <w:sz w:val="18"/>
            <w:szCs w:val="18"/>
          </w:rPr>
          <w:t>https://www.tga.gov.au/prescribing-medicines-pregnancy-database</w:t>
        </w:r>
      </w:hyperlink>
      <w:r w:rsidRPr="000C396D">
        <w:rPr>
          <w:sz w:val="18"/>
          <w:szCs w:val="18"/>
        </w:rPr>
        <w:t xml:space="preserve"> </w:t>
      </w:r>
    </w:p>
  </w:footnote>
  <w:footnote w:id="83">
    <w:p w14:paraId="5C52F92A" w14:textId="77777777" w:rsidR="009C4B1B" w:rsidRPr="000C396D" w:rsidRDefault="009C4B1B" w:rsidP="00682003">
      <w:pPr>
        <w:pStyle w:val="FootnoteText"/>
        <w:rPr>
          <w:sz w:val="18"/>
          <w:szCs w:val="18"/>
        </w:rPr>
      </w:pPr>
      <w:r w:rsidRPr="000C396D">
        <w:rPr>
          <w:rStyle w:val="FootnoteReference"/>
          <w:sz w:val="18"/>
          <w:szCs w:val="18"/>
        </w:rPr>
        <w:footnoteRef/>
      </w:r>
      <w:r w:rsidRPr="000C396D">
        <w:rPr>
          <w:sz w:val="18"/>
          <w:szCs w:val="18"/>
        </w:rPr>
        <w:t xml:space="preserve"> Therapeutic Goods (Medicines Advisory Statements) Specification 2019 </w:t>
      </w:r>
      <w:r w:rsidRPr="000C396D">
        <w:rPr>
          <w:rStyle w:val="Hyperlink"/>
          <w:sz w:val="18"/>
          <w:szCs w:val="18"/>
        </w:rPr>
        <w:t xml:space="preserve"> </w:t>
      </w:r>
      <w:hyperlink r:id="rId82" w:history="1">
        <w:r w:rsidRPr="000C396D">
          <w:rPr>
            <w:rStyle w:val="Hyperlink"/>
            <w:sz w:val="18"/>
            <w:szCs w:val="18"/>
          </w:rPr>
          <w:t>https://www.legislation.gov.au/Details/F2019L00213</w:t>
        </w:r>
      </w:hyperlink>
      <w:r w:rsidRPr="000C396D">
        <w:rPr>
          <w:sz w:val="18"/>
          <w:szCs w:val="18"/>
        </w:rPr>
        <w:t xml:space="preserve"> </w:t>
      </w:r>
    </w:p>
  </w:footnote>
  <w:footnote w:id="84">
    <w:p w14:paraId="762DB9B7" w14:textId="77777777" w:rsidR="009C4B1B" w:rsidRPr="000C396D" w:rsidRDefault="009C4B1B" w:rsidP="00682003">
      <w:pPr>
        <w:pStyle w:val="FootnoteText"/>
        <w:rPr>
          <w:sz w:val="18"/>
          <w:szCs w:val="18"/>
        </w:rPr>
      </w:pPr>
      <w:r w:rsidRPr="000C396D">
        <w:rPr>
          <w:rStyle w:val="FootnoteReference"/>
          <w:sz w:val="18"/>
          <w:szCs w:val="18"/>
        </w:rPr>
        <w:footnoteRef/>
      </w:r>
      <w:r w:rsidRPr="000C396D">
        <w:rPr>
          <w:sz w:val="18"/>
          <w:szCs w:val="18"/>
        </w:rPr>
        <w:t xml:space="preserve"> Public Chemical Registration Information System Search (PubCRIS) </w:t>
      </w:r>
      <w:hyperlink r:id="rId83" w:history="1">
        <w:r w:rsidRPr="000C396D">
          <w:rPr>
            <w:rStyle w:val="Hyperlink"/>
            <w:sz w:val="18"/>
            <w:szCs w:val="18"/>
          </w:rPr>
          <w:t>https://portal.apvma.gov.au/pubcris</w:t>
        </w:r>
      </w:hyperlink>
      <w:r w:rsidRPr="000C396D">
        <w:rPr>
          <w:sz w:val="18"/>
          <w:szCs w:val="18"/>
        </w:rPr>
        <w:t xml:space="preserve"> </w:t>
      </w:r>
    </w:p>
  </w:footnote>
  <w:footnote w:id="85">
    <w:p w14:paraId="533A8C2D" w14:textId="77777777" w:rsidR="009C4B1B" w:rsidRPr="000C6BDC" w:rsidRDefault="009C4B1B" w:rsidP="00682003">
      <w:pPr>
        <w:pStyle w:val="FootnoteText"/>
        <w:rPr>
          <w:sz w:val="18"/>
          <w:szCs w:val="18"/>
        </w:rPr>
      </w:pPr>
      <w:r w:rsidRPr="000C396D">
        <w:rPr>
          <w:rStyle w:val="FootnoteReference"/>
          <w:sz w:val="18"/>
          <w:szCs w:val="18"/>
        </w:rPr>
        <w:footnoteRef/>
      </w:r>
      <w:r w:rsidRPr="000C396D">
        <w:rPr>
          <w:sz w:val="18"/>
          <w:szCs w:val="18"/>
        </w:rPr>
        <w:t xml:space="preserve"> European Medicines Agency </w:t>
      </w:r>
      <w:hyperlink r:id="rId84" w:history="1">
        <w:r w:rsidRPr="000C396D">
          <w:rPr>
            <w:rStyle w:val="Hyperlink"/>
            <w:sz w:val="18"/>
            <w:szCs w:val="18"/>
          </w:rPr>
          <w:t>https://www.ema.europa.eu/en/medicines/veterinary/EPAR/felpreva</w:t>
        </w:r>
      </w:hyperlink>
      <w:r w:rsidRPr="000C6BD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9259" w14:textId="77777777" w:rsidR="009C4B1B" w:rsidRPr="00920FF4" w:rsidRDefault="009C4B1B"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20D8" w14:textId="77777777" w:rsidR="009C4B1B" w:rsidRPr="00E32326" w:rsidRDefault="009C4B1B"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2"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9C4B1B" w:rsidRPr="00FF7B50" w14:paraId="68E41C3B" w14:textId="77777777" w:rsidTr="003C02CB">
      <w:trPr>
        <w:trHeight w:hRule="exact" w:val="8845"/>
      </w:trPr>
      <w:tc>
        <w:tcPr>
          <w:tcW w:w="11964" w:type="dxa"/>
        </w:tcPr>
        <w:p w14:paraId="4E45DAB4" w14:textId="2953B62D" w:rsidR="009C4B1B" w:rsidRPr="00FF7B50" w:rsidRDefault="009C4B1B" w:rsidP="00AE0320">
          <w:pPr>
            <w:pStyle w:val="Header"/>
            <w:ind w:left="-57"/>
            <w:jc w:val="left"/>
            <w:rPr>
              <w:noProof/>
              <w:lang w:eastAsia="en-AU"/>
            </w:rPr>
          </w:pPr>
        </w:p>
      </w:tc>
    </w:tr>
  </w:tbl>
  <w:p w14:paraId="121BF268" w14:textId="77777777" w:rsidR="009C4B1B" w:rsidRPr="00E32326" w:rsidRDefault="009C4B1B"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3"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85CE7" w14:textId="77777777" w:rsidR="009C4B1B" w:rsidRPr="00920FF4" w:rsidRDefault="009C4B1B"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1DD3" w14:textId="77777777" w:rsidR="009C4B1B" w:rsidRPr="00920FF4" w:rsidRDefault="009C4B1B"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6CCF" w14:textId="77777777" w:rsidR="009C4B1B" w:rsidRPr="009401F6" w:rsidRDefault="009C4B1B" w:rsidP="0047772E"/>
  <w:p w14:paraId="26CF139F" w14:textId="77777777" w:rsidR="009C4B1B" w:rsidRPr="002B0C2E" w:rsidRDefault="009C4B1B"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2030E4"/>
    <w:lvl w:ilvl="0">
      <w:start w:val="1"/>
      <w:numFmt w:val="decimal"/>
      <w:pStyle w:val="ListNumber"/>
      <w:lvlText w:val="%1."/>
      <w:lvlJc w:val="left"/>
      <w:pPr>
        <w:tabs>
          <w:tab w:val="num" w:pos="360"/>
        </w:tabs>
        <w:ind w:left="360" w:hanging="360"/>
      </w:pPr>
      <w:rPr>
        <w:rFonts w:cs="Times New Roman"/>
        <w:b w:val="0"/>
        <w:bCs/>
      </w:rPr>
    </w:lvl>
  </w:abstractNum>
  <w:abstractNum w:abstractNumId="1" w15:restartNumberingAfterBreak="0">
    <w:nsid w:val="000862B6"/>
    <w:multiLevelType w:val="hybridMultilevel"/>
    <w:tmpl w:val="5BAE87DE"/>
    <w:lvl w:ilvl="0" w:tplc="FFFFFFFF">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8F13E9"/>
    <w:multiLevelType w:val="multilevel"/>
    <w:tmpl w:val="6A62C582"/>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BD74D0"/>
    <w:multiLevelType w:val="hybridMultilevel"/>
    <w:tmpl w:val="64BE2784"/>
    <w:lvl w:ilvl="0" w:tplc="4BD20BAA">
      <w:start w:val="1"/>
      <w:numFmt w:val="lowerRoman"/>
      <w:pStyle w:val="ListBullet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E924211"/>
    <w:multiLevelType w:val="hybridMultilevel"/>
    <w:tmpl w:val="1034E774"/>
    <w:lvl w:ilvl="0" w:tplc="E77E7F3C">
      <w:start w:val="1"/>
      <w:numFmt w:val="lowerLetter"/>
      <w:pStyle w:val="ListBulleta"/>
      <w:lvlText w:val="%1)"/>
      <w:lvlJc w:val="left"/>
      <w:pPr>
        <w:ind w:left="1800" w:hanging="360"/>
      </w:pPr>
      <w:rPr>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7C81120"/>
    <w:multiLevelType w:val="hybridMultilevel"/>
    <w:tmpl w:val="5776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C0DE5"/>
    <w:multiLevelType w:val="hybridMultilevel"/>
    <w:tmpl w:val="1760319E"/>
    <w:lvl w:ilvl="0" w:tplc="FFFFFFFF">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3422F0"/>
    <w:multiLevelType w:val="hybridMultilevel"/>
    <w:tmpl w:val="2C7A9E6E"/>
    <w:lvl w:ilvl="0" w:tplc="9140AC28">
      <w:start w:val="1"/>
      <w:numFmt w:val="bullet"/>
      <w:lvlText w:val="•"/>
      <w:lvlJc w:val="left"/>
      <w:pPr>
        <w:ind w:left="360" w:hanging="360"/>
      </w:pPr>
      <w:rPr>
        <w:rFont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3B41A0"/>
    <w:multiLevelType w:val="hybridMultilevel"/>
    <w:tmpl w:val="A17E0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19506B"/>
    <w:multiLevelType w:val="multilevel"/>
    <w:tmpl w:val="D33079EC"/>
    <w:lvl w:ilvl="0">
      <w:start w:val="1"/>
      <w:numFmt w:val="bullet"/>
      <w:lvlText w:val="•"/>
      <w:lvlJc w:val="left"/>
      <w:pPr>
        <w:ind w:left="360" w:hanging="360"/>
      </w:pPr>
      <w:rPr>
        <w:rFonts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75842A6E"/>
    <w:multiLevelType w:val="multilevel"/>
    <w:tmpl w:val="178CBABC"/>
    <w:lvl w:ilvl="0">
      <w:start w:val="4"/>
      <w:numFmt w:val="bullet"/>
      <w:lvlText w:val="•"/>
      <w:lvlJc w:val="left"/>
      <w:pPr>
        <w:ind w:left="360" w:hanging="360"/>
      </w:pPr>
      <w:rPr>
        <w:rFonts w:ascii="Arial" w:eastAsia="Cambria" w:hAnsi="Arial" w:hint="default"/>
      </w:rPr>
    </w:lvl>
    <w:lvl w:ilvl="1">
      <w:start w:val="2"/>
      <w:numFmt w:val="bullet"/>
      <w:lvlText w:val="-"/>
      <w:lvlJc w:val="left"/>
      <w:pPr>
        <w:ind w:left="720" w:hanging="360"/>
      </w:pPr>
      <w:rPr>
        <w:rFonts w:ascii="Calibri" w:eastAsiaTheme="minorHAnsi" w:hAnsi="Calibri" w:cs="Calibri"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num>
  <w:num w:numId="2">
    <w:abstractNumId w:val="2"/>
  </w:num>
  <w:num w:numId="3">
    <w:abstractNumId w:val="3"/>
    <w:lvlOverride w:ilvl="0">
      <w:lvl w:ilvl="0">
        <w:start w:val="4"/>
        <w:numFmt w:val="bullet"/>
        <w:pStyle w:val="ListBullet"/>
        <w:lvlText w:val="•"/>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2"/>
  </w:num>
  <w:num w:numId="5">
    <w:abstractNumId w:val="7"/>
  </w:num>
  <w:num w:numId="6">
    <w:abstractNumId w:val="12"/>
  </w:num>
  <w:num w:numId="7">
    <w:abstractNumId w:val="5"/>
  </w:num>
  <w:num w:numId="8">
    <w:abstractNumId w:val="6"/>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6"/>
    <w:lvlOverride w:ilvl="0">
      <w:startOverride w:val="1"/>
    </w:lvlOverride>
  </w:num>
  <w:num w:numId="15">
    <w:abstractNumId w:val="4"/>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6"/>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9"/>
  </w:num>
  <w:num w:numId="26">
    <w:abstractNumId w:val="10"/>
  </w:num>
  <w:num w:numId="27">
    <w:abstractNumId w:val="1"/>
  </w:num>
  <w:num w:numId="28">
    <w:abstractNumId w:val="14"/>
  </w:num>
  <w:num w:numId="29">
    <w:abstractNumId w:val="8"/>
  </w:num>
  <w:num w:numId="30">
    <w:abstractNumId w:val="11"/>
  </w:num>
  <w:num w:numId="31">
    <w:abstractNumId w:val="13"/>
  </w:num>
  <w:num w:numId="3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num>
  <w:num w:numId="34">
    <w:abstractNumId w:val="4"/>
    <w:lvlOverride w:ilvl="0">
      <w:startOverride w:val="1"/>
    </w:lvlOverride>
  </w:num>
  <w:num w:numId="35">
    <w:abstractNumId w:val="6"/>
    <w:lvlOverride w:ilvl="0">
      <w:startOverride w:val="1"/>
    </w:lvlOverride>
  </w:num>
  <w:num w:numId="36">
    <w:abstractNumId w:val="4"/>
    <w:lvlOverride w:ilvl="0">
      <w:startOverride w:val="1"/>
    </w:lvlOverride>
  </w:num>
  <w:num w:numId="37">
    <w:abstractNumId w:val="6"/>
    <w:lvlOverride w:ilvl="0">
      <w:startOverride w:val="1"/>
    </w:lvlOverride>
  </w:num>
  <w:num w:numId="38">
    <w:abstractNumId w:val="4"/>
    <w:lvlOverride w:ilvl="0">
      <w:startOverride w:val="1"/>
    </w:lvlOverride>
  </w:num>
  <w:num w:numId="39">
    <w:abstractNumId w:val="6"/>
    <w:lvlOverride w:ilvl="0">
      <w:startOverride w:val="1"/>
    </w:lvlOverride>
  </w:num>
  <w:num w:numId="40">
    <w:abstractNumId w:val="4"/>
    <w:lvlOverride w:ilvl="0">
      <w:startOverride w:val="1"/>
    </w:lvlOverride>
  </w:num>
  <w:num w:numId="41">
    <w:abstractNumId w:val="6"/>
    <w:lvlOverride w:ilvl="0">
      <w:startOverride w:val="1"/>
    </w:lvlOverride>
  </w:num>
  <w:num w:numId="42">
    <w:abstractNumId w:val="4"/>
    <w:lvlOverride w:ilvl="0">
      <w:startOverride w:val="1"/>
    </w:lvlOverride>
  </w:num>
  <w:num w:numId="43">
    <w:abstractNumId w:val="6"/>
    <w:lvlOverride w:ilvl="0">
      <w:startOverride w:val="1"/>
    </w:lvlOverride>
  </w:num>
  <w:num w:numId="44">
    <w:abstractNumId w:val="4"/>
    <w:lvlOverride w:ilvl="0">
      <w:startOverride w:val="1"/>
    </w:lvlOverride>
  </w:num>
  <w:num w:numId="45">
    <w:abstractNumId w:val="6"/>
    <w:lvlOverride w:ilvl="0">
      <w:startOverride w:val="1"/>
    </w:lvlOverride>
  </w:num>
  <w:num w:numId="46">
    <w:abstractNumId w:val="0"/>
    <w:lvlOverride w:ilvl="0">
      <w:startOverride w:val="1"/>
    </w:lvlOverride>
  </w:num>
  <w:num w:numId="47">
    <w:abstractNumId w:val="3"/>
    <w:lvlOverride w:ilvl="0">
      <w:lvl w:ilvl="0">
        <w:start w:val="4"/>
        <w:numFmt w:val="decimal"/>
        <w:pStyle w:val="ListBullet"/>
        <w:lvlText w:val="•"/>
        <w:lvlJc w:val="left"/>
        <w:pPr>
          <w:ind w:left="360" w:hanging="360"/>
        </w:pPr>
        <w:rPr>
          <w:rFonts w:ascii="Arial" w:eastAsia="Cambria" w:hAnsi="Arial"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istBullet2"/>
        <w:lvlText w:val="–"/>
        <w:lvlJc w:val="left"/>
        <w:pPr>
          <w:ind w:left="720" w:hanging="360"/>
        </w:pPr>
        <w:rPr>
          <w:rFonts w:ascii="Arial" w:hAnsi="Arial" w:cs="Times New Roman" w:hint="default"/>
        </w:rPr>
      </w:lvl>
    </w:lvlOverride>
    <w:lvlOverride w:ilvl="2">
      <w:lvl w:ilvl="2">
        <w:start w:val="1"/>
        <w:numFmt w:val="decimal"/>
        <w:lvlText w:val=""/>
        <w:lvlJc w:val="left"/>
        <w:pPr>
          <w:ind w:left="1080" w:hanging="360"/>
        </w:pPr>
        <w:rPr>
          <w:rFonts w:ascii="Wingdings" w:hAnsi="Wingdings" w:hint="default"/>
        </w:rPr>
      </w:lvl>
    </w:lvlOverride>
    <w:lvlOverride w:ilvl="3">
      <w:lvl w:ilvl="3">
        <w:start w:val="1"/>
        <w:numFmt w:val="decimal"/>
        <w:lvlText w:val=""/>
        <w:lvlJc w:val="left"/>
        <w:pPr>
          <w:ind w:left="1440" w:hanging="360"/>
        </w:pPr>
      </w:lvl>
    </w:lvlOverride>
    <w:lvlOverride w:ilvl="4">
      <w:lvl w:ilvl="4">
        <w:start w:val="1"/>
        <w:numFmt w:val="decimal"/>
        <w:lvlText w:val=""/>
        <w:lvlJc w:val="left"/>
        <w:pPr>
          <w:ind w:left="1800" w:hanging="360"/>
        </w:pPr>
      </w:lvl>
    </w:lvlOverride>
    <w:lvlOverride w:ilvl="5">
      <w:lvl w:ilvl="5">
        <w:start w:val="1"/>
        <w:numFmt w:val="decimal"/>
        <w:lvlText w:val=""/>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48">
    <w:abstractNumId w:val="6"/>
    <w:lvlOverride w:ilvl="0">
      <w:startOverride w:val="1"/>
    </w:lvlOverride>
  </w:num>
  <w:num w:numId="49">
    <w:abstractNumId w:val="3"/>
  </w:num>
  <w:num w:numId="5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4"/>
      <w:lvl w:ilvl="0">
        <w:start w:val="4"/>
        <w:numFmt w:val="decimal"/>
        <w:pStyle w:val="ListBullet"/>
        <w:lvlText w:val="•"/>
        <w:lvlJc w:val="left"/>
        <w:pPr>
          <w:ind w:left="360" w:hanging="360"/>
        </w:pPr>
        <w:rPr>
          <w:rFonts w:ascii="Arial" w:eastAsia="Cambria" w:hAnsi="Arial" w:cs="Times New Roman" w:hint="default"/>
          <w:color w:val="auto"/>
        </w:rPr>
      </w:lvl>
    </w:lvlOverride>
    <w:lvlOverride w:ilvl="1">
      <w:lvl w:ilvl="1">
        <w:numFmt w:val="decimal"/>
        <w:pStyle w:val="ListBullet2"/>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35"/>
    <w:rsid w:val="00002031"/>
    <w:rsid w:val="0000348D"/>
    <w:rsid w:val="00004734"/>
    <w:rsid w:val="000055E7"/>
    <w:rsid w:val="00006B22"/>
    <w:rsid w:val="00006DEB"/>
    <w:rsid w:val="0001276A"/>
    <w:rsid w:val="000135AA"/>
    <w:rsid w:val="0001639B"/>
    <w:rsid w:val="000168B8"/>
    <w:rsid w:val="00016C6A"/>
    <w:rsid w:val="000246AE"/>
    <w:rsid w:val="00025C67"/>
    <w:rsid w:val="0003306D"/>
    <w:rsid w:val="00047FAA"/>
    <w:rsid w:val="00055129"/>
    <w:rsid w:val="000554B4"/>
    <w:rsid w:val="0005559E"/>
    <w:rsid w:val="00060F5A"/>
    <w:rsid w:val="00061E51"/>
    <w:rsid w:val="00063028"/>
    <w:rsid w:val="0006779D"/>
    <w:rsid w:val="00077775"/>
    <w:rsid w:val="00090471"/>
    <w:rsid w:val="00092FDF"/>
    <w:rsid w:val="00095691"/>
    <w:rsid w:val="000958DF"/>
    <w:rsid w:val="000A0965"/>
    <w:rsid w:val="000A0D99"/>
    <w:rsid w:val="000B0A5D"/>
    <w:rsid w:val="000B3532"/>
    <w:rsid w:val="000B3A75"/>
    <w:rsid w:val="000B7084"/>
    <w:rsid w:val="000C135D"/>
    <w:rsid w:val="000C1C08"/>
    <w:rsid w:val="000C1FC6"/>
    <w:rsid w:val="000C2CDD"/>
    <w:rsid w:val="000C396D"/>
    <w:rsid w:val="000C5A31"/>
    <w:rsid w:val="000C6BDC"/>
    <w:rsid w:val="000D36F5"/>
    <w:rsid w:val="000D391B"/>
    <w:rsid w:val="000D3D6D"/>
    <w:rsid w:val="000D4FC7"/>
    <w:rsid w:val="000F4869"/>
    <w:rsid w:val="000F5B42"/>
    <w:rsid w:val="000F6E6F"/>
    <w:rsid w:val="001003F2"/>
    <w:rsid w:val="00101845"/>
    <w:rsid w:val="0010601F"/>
    <w:rsid w:val="00107378"/>
    <w:rsid w:val="00110EA5"/>
    <w:rsid w:val="001112B7"/>
    <w:rsid w:val="001119DF"/>
    <w:rsid w:val="0011349B"/>
    <w:rsid w:val="00115240"/>
    <w:rsid w:val="001219E0"/>
    <w:rsid w:val="00125091"/>
    <w:rsid w:val="00125318"/>
    <w:rsid w:val="00126D46"/>
    <w:rsid w:val="001305A2"/>
    <w:rsid w:val="00132294"/>
    <w:rsid w:val="00133238"/>
    <w:rsid w:val="00140FE3"/>
    <w:rsid w:val="0014197B"/>
    <w:rsid w:val="00142A76"/>
    <w:rsid w:val="001447CD"/>
    <w:rsid w:val="001516B1"/>
    <w:rsid w:val="001525B4"/>
    <w:rsid w:val="00156316"/>
    <w:rsid w:val="00160006"/>
    <w:rsid w:val="0016337D"/>
    <w:rsid w:val="00165389"/>
    <w:rsid w:val="00170CED"/>
    <w:rsid w:val="00171B1C"/>
    <w:rsid w:val="00174699"/>
    <w:rsid w:val="0017693F"/>
    <w:rsid w:val="00180FDC"/>
    <w:rsid w:val="0018110E"/>
    <w:rsid w:val="001811B5"/>
    <w:rsid w:val="00181684"/>
    <w:rsid w:val="00182A95"/>
    <w:rsid w:val="00183C06"/>
    <w:rsid w:val="001843C6"/>
    <w:rsid w:val="001850E0"/>
    <w:rsid w:val="0018693C"/>
    <w:rsid w:val="001879E9"/>
    <w:rsid w:val="0019255A"/>
    <w:rsid w:val="001A525F"/>
    <w:rsid w:val="001A69AB"/>
    <w:rsid w:val="001B09F9"/>
    <w:rsid w:val="001B6448"/>
    <w:rsid w:val="001C40AE"/>
    <w:rsid w:val="001C5F86"/>
    <w:rsid w:val="001C6D21"/>
    <w:rsid w:val="001C6F62"/>
    <w:rsid w:val="001D480A"/>
    <w:rsid w:val="001D6D0D"/>
    <w:rsid w:val="001E07CF"/>
    <w:rsid w:val="001E22C4"/>
    <w:rsid w:val="001E4A28"/>
    <w:rsid w:val="001E59F1"/>
    <w:rsid w:val="001E7C94"/>
    <w:rsid w:val="001F49EB"/>
    <w:rsid w:val="001F6CBA"/>
    <w:rsid w:val="001F78B9"/>
    <w:rsid w:val="001F7B53"/>
    <w:rsid w:val="00201D4E"/>
    <w:rsid w:val="00204F19"/>
    <w:rsid w:val="00207515"/>
    <w:rsid w:val="00207FDD"/>
    <w:rsid w:val="0021130B"/>
    <w:rsid w:val="00211C7B"/>
    <w:rsid w:val="00215E39"/>
    <w:rsid w:val="00220B8A"/>
    <w:rsid w:val="002232C2"/>
    <w:rsid w:val="002237FA"/>
    <w:rsid w:val="002257F3"/>
    <w:rsid w:val="002302EC"/>
    <w:rsid w:val="002303B0"/>
    <w:rsid w:val="002314E8"/>
    <w:rsid w:val="00233456"/>
    <w:rsid w:val="0023397F"/>
    <w:rsid w:val="002339A5"/>
    <w:rsid w:val="002416C6"/>
    <w:rsid w:val="002452E7"/>
    <w:rsid w:val="00245F98"/>
    <w:rsid w:val="00246194"/>
    <w:rsid w:val="00246D10"/>
    <w:rsid w:val="002516EC"/>
    <w:rsid w:val="00251CCB"/>
    <w:rsid w:val="002538AE"/>
    <w:rsid w:val="002541E7"/>
    <w:rsid w:val="00255363"/>
    <w:rsid w:val="002560BD"/>
    <w:rsid w:val="00257138"/>
    <w:rsid w:val="00257848"/>
    <w:rsid w:val="002622D9"/>
    <w:rsid w:val="00267C10"/>
    <w:rsid w:val="0027084A"/>
    <w:rsid w:val="00271109"/>
    <w:rsid w:val="00277B9C"/>
    <w:rsid w:val="00277EF5"/>
    <w:rsid w:val="00286434"/>
    <w:rsid w:val="00286C59"/>
    <w:rsid w:val="002942D1"/>
    <w:rsid w:val="0029541B"/>
    <w:rsid w:val="002A0556"/>
    <w:rsid w:val="002A5BEC"/>
    <w:rsid w:val="002A6266"/>
    <w:rsid w:val="002A7E8B"/>
    <w:rsid w:val="002B0C2E"/>
    <w:rsid w:val="002B1638"/>
    <w:rsid w:val="002B706C"/>
    <w:rsid w:val="002C1070"/>
    <w:rsid w:val="002C1D7D"/>
    <w:rsid w:val="002C2511"/>
    <w:rsid w:val="002D1EDF"/>
    <w:rsid w:val="002D4245"/>
    <w:rsid w:val="002E4C9A"/>
    <w:rsid w:val="002E75CC"/>
    <w:rsid w:val="002F0D8F"/>
    <w:rsid w:val="002F11F8"/>
    <w:rsid w:val="002F3ED5"/>
    <w:rsid w:val="002F3F56"/>
    <w:rsid w:val="002F44B5"/>
    <w:rsid w:val="00310371"/>
    <w:rsid w:val="00311AC0"/>
    <w:rsid w:val="00311B54"/>
    <w:rsid w:val="003204DD"/>
    <w:rsid w:val="00331DBB"/>
    <w:rsid w:val="00332680"/>
    <w:rsid w:val="003400A0"/>
    <w:rsid w:val="00342402"/>
    <w:rsid w:val="00345AA4"/>
    <w:rsid w:val="00351D1B"/>
    <w:rsid w:val="003521E8"/>
    <w:rsid w:val="003656CA"/>
    <w:rsid w:val="00365DDD"/>
    <w:rsid w:val="003664BF"/>
    <w:rsid w:val="003728F3"/>
    <w:rsid w:val="00386B28"/>
    <w:rsid w:val="00390900"/>
    <w:rsid w:val="00393641"/>
    <w:rsid w:val="003A13F0"/>
    <w:rsid w:val="003A35BD"/>
    <w:rsid w:val="003A512B"/>
    <w:rsid w:val="003A5DBD"/>
    <w:rsid w:val="003A6A95"/>
    <w:rsid w:val="003B00C5"/>
    <w:rsid w:val="003B443E"/>
    <w:rsid w:val="003B7E39"/>
    <w:rsid w:val="003C02CB"/>
    <w:rsid w:val="003C30DC"/>
    <w:rsid w:val="003C58DC"/>
    <w:rsid w:val="003C7461"/>
    <w:rsid w:val="003D0CD9"/>
    <w:rsid w:val="003D2FC8"/>
    <w:rsid w:val="003D3922"/>
    <w:rsid w:val="003D39DD"/>
    <w:rsid w:val="003E3208"/>
    <w:rsid w:val="003E3D34"/>
    <w:rsid w:val="003E46C7"/>
    <w:rsid w:val="003E7E40"/>
    <w:rsid w:val="003E7EAA"/>
    <w:rsid w:val="003F0B04"/>
    <w:rsid w:val="003F39FA"/>
    <w:rsid w:val="003F6F7D"/>
    <w:rsid w:val="0040134E"/>
    <w:rsid w:val="00406832"/>
    <w:rsid w:val="00407BF9"/>
    <w:rsid w:val="00410839"/>
    <w:rsid w:val="00412110"/>
    <w:rsid w:val="0041452B"/>
    <w:rsid w:val="004169A8"/>
    <w:rsid w:val="00433655"/>
    <w:rsid w:val="00435A44"/>
    <w:rsid w:val="004370E5"/>
    <w:rsid w:val="00437511"/>
    <w:rsid w:val="00440A2D"/>
    <w:rsid w:val="004414E4"/>
    <w:rsid w:val="00447AB3"/>
    <w:rsid w:val="0045066B"/>
    <w:rsid w:val="00454E20"/>
    <w:rsid w:val="00455A6F"/>
    <w:rsid w:val="004564A7"/>
    <w:rsid w:val="004617BF"/>
    <w:rsid w:val="004634F1"/>
    <w:rsid w:val="00465A62"/>
    <w:rsid w:val="00465E90"/>
    <w:rsid w:val="004718B8"/>
    <w:rsid w:val="0047772E"/>
    <w:rsid w:val="00477BB1"/>
    <w:rsid w:val="00480AD2"/>
    <w:rsid w:val="004923FF"/>
    <w:rsid w:val="00493EF0"/>
    <w:rsid w:val="00494E60"/>
    <w:rsid w:val="00496BAC"/>
    <w:rsid w:val="004A1436"/>
    <w:rsid w:val="004B4CB5"/>
    <w:rsid w:val="004B5A6B"/>
    <w:rsid w:val="004B6950"/>
    <w:rsid w:val="004B6CB8"/>
    <w:rsid w:val="004B7B76"/>
    <w:rsid w:val="004C0070"/>
    <w:rsid w:val="004C2080"/>
    <w:rsid w:val="004C2E29"/>
    <w:rsid w:val="004C6993"/>
    <w:rsid w:val="004D144F"/>
    <w:rsid w:val="004D3B35"/>
    <w:rsid w:val="004D51A6"/>
    <w:rsid w:val="004D749D"/>
    <w:rsid w:val="004F0F38"/>
    <w:rsid w:val="004F1A46"/>
    <w:rsid w:val="004F2B19"/>
    <w:rsid w:val="004F4D12"/>
    <w:rsid w:val="004F65F6"/>
    <w:rsid w:val="00501921"/>
    <w:rsid w:val="005110EB"/>
    <w:rsid w:val="00511904"/>
    <w:rsid w:val="00522A0C"/>
    <w:rsid w:val="005234E9"/>
    <w:rsid w:val="00530354"/>
    <w:rsid w:val="00531B11"/>
    <w:rsid w:val="005335B6"/>
    <w:rsid w:val="00534718"/>
    <w:rsid w:val="005434C6"/>
    <w:rsid w:val="00543B39"/>
    <w:rsid w:val="0054583D"/>
    <w:rsid w:val="005477E7"/>
    <w:rsid w:val="00550096"/>
    <w:rsid w:val="0055257B"/>
    <w:rsid w:val="0055532D"/>
    <w:rsid w:val="00557FF9"/>
    <w:rsid w:val="00562C48"/>
    <w:rsid w:val="00570063"/>
    <w:rsid w:val="00576378"/>
    <w:rsid w:val="00577279"/>
    <w:rsid w:val="00577E38"/>
    <w:rsid w:val="00582F8E"/>
    <w:rsid w:val="00585322"/>
    <w:rsid w:val="00586F4D"/>
    <w:rsid w:val="0059117E"/>
    <w:rsid w:val="00593AD1"/>
    <w:rsid w:val="00594D03"/>
    <w:rsid w:val="00597877"/>
    <w:rsid w:val="005A1131"/>
    <w:rsid w:val="005A61CE"/>
    <w:rsid w:val="005B47DB"/>
    <w:rsid w:val="005C2E6C"/>
    <w:rsid w:val="005C5570"/>
    <w:rsid w:val="005C79A4"/>
    <w:rsid w:val="005D0817"/>
    <w:rsid w:val="005D4EA1"/>
    <w:rsid w:val="005D5442"/>
    <w:rsid w:val="005E3647"/>
    <w:rsid w:val="005E6592"/>
    <w:rsid w:val="005F0505"/>
    <w:rsid w:val="005F0C3C"/>
    <w:rsid w:val="005F6B67"/>
    <w:rsid w:val="005F7E17"/>
    <w:rsid w:val="006021C2"/>
    <w:rsid w:val="00604225"/>
    <w:rsid w:val="00605CBA"/>
    <w:rsid w:val="006115D7"/>
    <w:rsid w:val="00611B57"/>
    <w:rsid w:val="006175AA"/>
    <w:rsid w:val="00617EAC"/>
    <w:rsid w:val="006238B1"/>
    <w:rsid w:val="006239CD"/>
    <w:rsid w:val="00627DE6"/>
    <w:rsid w:val="00632FE9"/>
    <w:rsid w:val="00640190"/>
    <w:rsid w:val="006405A9"/>
    <w:rsid w:val="00640FC3"/>
    <w:rsid w:val="00642020"/>
    <w:rsid w:val="00643340"/>
    <w:rsid w:val="006441C0"/>
    <w:rsid w:val="006519CE"/>
    <w:rsid w:val="00651C87"/>
    <w:rsid w:val="0065337B"/>
    <w:rsid w:val="00653FBF"/>
    <w:rsid w:val="0065410F"/>
    <w:rsid w:val="0065419D"/>
    <w:rsid w:val="006604D8"/>
    <w:rsid w:val="00660736"/>
    <w:rsid w:val="00664A5B"/>
    <w:rsid w:val="00665F8C"/>
    <w:rsid w:val="00667942"/>
    <w:rsid w:val="006679B1"/>
    <w:rsid w:val="00667B4F"/>
    <w:rsid w:val="0067176D"/>
    <w:rsid w:val="00673D85"/>
    <w:rsid w:val="00674644"/>
    <w:rsid w:val="006746FB"/>
    <w:rsid w:val="006807F5"/>
    <w:rsid w:val="00680C08"/>
    <w:rsid w:val="00682003"/>
    <w:rsid w:val="00685F7B"/>
    <w:rsid w:val="0068741A"/>
    <w:rsid w:val="00691723"/>
    <w:rsid w:val="00691BBB"/>
    <w:rsid w:val="006920BC"/>
    <w:rsid w:val="006931B1"/>
    <w:rsid w:val="00693CDB"/>
    <w:rsid w:val="006A0066"/>
    <w:rsid w:val="006A15C0"/>
    <w:rsid w:val="006A353C"/>
    <w:rsid w:val="006B188D"/>
    <w:rsid w:val="006B580C"/>
    <w:rsid w:val="006C1F3B"/>
    <w:rsid w:val="006C3970"/>
    <w:rsid w:val="006C3E2A"/>
    <w:rsid w:val="006C626D"/>
    <w:rsid w:val="006C642F"/>
    <w:rsid w:val="006C6EDB"/>
    <w:rsid w:val="006D039E"/>
    <w:rsid w:val="006D03E5"/>
    <w:rsid w:val="006D0C3B"/>
    <w:rsid w:val="006D1F01"/>
    <w:rsid w:val="006D5D3E"/>
    <w:rsid w:val="006E08B3"/>
    <w:rsid w:val="006E4C3D"/>
    <w:rsid w:val="006E5AB4"/>
    <w:rsid w:val="006F172D"/>
    <w:rsid w:val="006F572E"/>
    <w:rsid w:val="007046D6"/>
    <w:rsid w:val="00705DB0"/>
    <w:rsid w:val="00706AFE"/>
    <w:rsid w:val="00725A8B"/>
    <w:rsid w:val="00735EAC"/>
    <w:rsid w:val="00736BDD"/>
    <w:rsid w:val="0074066C"/>
    <w:rsid w:val="00742004"/>
    <w:rsid w:val="0074253D"/>
    <w:rsid w:val="0074429B"/>
    <w:rsid w:val="007477F8"/>
    <w:rsid w:val="00747ECA"/>
    <w:rsid w:val="00753218"/>
    <w:rsid w:val="00755BAE"/>
    <w:rsid w:val="007570D2"/>
    <w:rsid w:val="007615BC"/>
    <w:rsid w:val="007620B9"/>
    <w:rsid w:val="00762F05"/>
    <w:rsid w:val="00763336"/>
    <w:rsid w:val="00764EB9"/>
    <w:rsid w:val="007652FF"/>
    <w:rsid w:val="00766462"/>
    <w:rsid w:val="00766F39"/>
    <w:rsid w:val="00771329"/>
    <w:rsid w:val="00773EF7"/>
    <w:rsid w:val="00774E1D"/>
    <w:rsid w:val="0077675A"/>
    <w:rsid w:val="00780355"/>
    <w:rsid w:val="007808A3"/>
    <w:rsid w:val="007855A5"/>
    <w:rsid w:val="00785721"/>
    <w:rsid w:val="00786DA5"/>
    <w:rsid w:val="00793A59"/>
    <w:rsid w:val="00794D58"/>
    <w:rsid w:val="00796638"/>
    <w:rsid w:val="007A2162"/>
    <w:rsid w:val="007B1681"/>
    <w:rsid w:val="007B302B"/>
    <w:rsid w:val="007B43ED"/>
    <w:rsid w:val="007B4BF9"/>
    <w:rsid w:val="007B61AC"/>
    <w:rsid w:val="007C0F3D"/>
    <w:rsid w:val="007C1AF7"/>
    <w:rsid w:val="007C73F9"/>
    <w:rsid w:val="007C7A6D"/>
    <w:rsid w:val="007C7B5B"/>
    <w:rsid w:val="007E1800"/>
    <w:rsid w:val="007E3688"/>
    <w:rsid w:val="007E640E"/>
    <w:rsid w:val="007E7BF8"/>
    <w:rsid w:val="007F2FF0"/>
    <w:rsid w:val="008046F0"/>
    <w:rsid w:val="00805524"/>
    <w:rsid w:val="00810598"/>
    <w:rsid w:val="00810A89"/>
    <w:rsid w:val="00811166"/>
    <w:rsid w:val="00814492"/>
    <w:rsid w:val="00820F44"/>
    <w:rsid w:val="00821776"/>
    <w:rsid w:val="0082314F"/>
    <w:rsid w:val="00826007"/>
    <w:rsid w:val="00831811"/>
    <w:rsid w:val="008321F5"/>
    <w:rsid w:val="00832369"/>
    <w:rsid w:val="00834660"/>
    <w:rsid w:val="00834C8E"/>
    <w:rsid w:val="00836BC2"/>
    <w:rsid w:val="0084156C"/>
    <w:rsid w:val="0084580B"/>
    <w:rsid w:val="008459AF"/>
    <w:rsid w:val="00845BCA"/>
    <w:rsid w:val="00853C8F"/>
    <w:rsid w:val="00854F57"/>
    <w:rsid w:val="0085641B"/>
    <w:rsid w:val="00857136"/>
    <w:rsid w:val="00863DA6"/>
    <w:rsid w:val="00865CED"/>
    <w:rsid w:val="008669DA"/>
    <w:rsid w:val="00870B12"/>
    <w:rsid w:val="008752CE"/>
    <w:rsid w:val="00876EC4"/>
    <w:rsid w:val="008821AA"/>
    <w:rsid w:val="008855B8"/>
    <w:rsid w:val="008932F3"/>
    <w:rsid w:val="00893544"/>
    <w:rsid w:val="00895432"/>
    <w:rsid w:val="00896018"/>
    <w:rsid w:val="00896BC4"/>
    <w:rsid w:val="008A0642"/>
    <w:rsid w:val="008A07FF"/>
    <w:rsid w:val="008A2B9D"/>
    <w:rsid w:val="008A2DF0"/>
    <w:rsid w:val="008A5566"/>
    <w:rsid w:val="008A5E0B"/>
    <w:rsid w:val="008A5E18"/>
    <w:rsid w:val="008A6D59"/>
    <w:rsid w:val="008B2D31"/>
    <w:rsid w:val="008B4B03"/>
    <w:rsid w:val="008B596F"/>
    <w:rsid w:val="008B77DD"/>
    <w:rsid w:val="008C0C23"/>
    <w:rsid w:val="008C159F"/>
    <w:rsid w:val="008C1623"/>
    <w:rsid w:val="008C51A9"/>
    <w:rsid w:val="008C56D9"/>
    <w:rsid w:val="008C75A2"/>
    <w:rsid w:val="008C7D39"/>
    <w:rsid w:val="008D2B09"/>
    <w:rsid w:val="008D4740"/>
    <w:rsid w:val="008E01F7"/>
    <w:rsid w:val="008E48A7"/>
    <w:rsid w:val="008E7B83"/>
    <w:rsid w:val="008F1CCC"/>
    <w:rsid w:val="008F2967"/>
    <w:rsid w:val="008F407A"/>
    <w:rsid w:val="009018CD"/>
    <w:rsid w:val="0090354E"/>
    <w:rsid w:val="00907ACE"/>
    <w:rsid w:val="00911517"/>
    <w:rsid w:val="00920330"/>
    <w:rsid w:val="00920FF4"/>
    <w:rsid w:val="009219D7"/>
    <w:rsid w:val="00922D53"/>
    <w:rsid w:val="00923B70"/>
    <w:rsid w:val="0092596A"/>
    <w:rsid w:val="00925DC5"/>
    <w:rsid w:val="0092600B"/>
    <w:rsid w:val="00926BB8"/>
    <w:rsid w:val="00930237"/>
    <w:rsid w:val="00934397"/>
    <w:rsid w:val="00936C36"/>
    <w:rsid w:val="00936FD2"/>
    <w:rsid w:val="009401F6"/>
    <w:rsid w:val="00940634"/>
    <w:rsid w:val="00940F44"/>
    <w:rsid w:val="00941988"/>
    <w:rsid w:val="0094250F"/>
    <w:rsid w:val="00952562"/>
    <w:rsid w:val="00953AC4"/>
    <w:rsid w:val="00963C08"/>
    <w:rsid w:val="00964AC2"/>
    <w:rsid w:val="00971B14"/>
    <w:rsid w:val="009746BA"/>
    <w:rsid w:val="00975561"/>
    <w:rsid w:val="00985BB2"/>
    <w:rsid w:val="00991439"/>
    <w:rsid w:val="0099307D"/>
    <w:rsid w:val="009964AA"/>
    <w:rsid w:val="00997420"/>
    <w:rsid w:val="00997A48"/>
    <w:rsid w:val="009A09AA"/>
    <w:rsid w:val="009A474D"/>
    <w:rsid w:val="009A4CED"/>
    <w:rsid w:val="009B15F1"/>
    <w:rsid w:val="009B1D12"/>
    <w:rsid w:val="009B416B"/>
    <w:rsid w:val="009C073B"/>
    <w:rsid w:val="009C1B7F"/>
    <w:rsid w:val="009C4B1B"/>
    <w:rsid w:val="009C4BD5"/>
    <w:rsid w:val="009D1F2D"/>
    <w:rsid w:val="009D2E04"/>
    <w:rsid w:val="009D7B77"/>
    <w:rsid w:val="009E0BB0"/>
    <w:rsid w:val="009E3643"/>
    <w:rsid w:val="009E3FBB"/>
    <w:rsid w:val="009E71F4"/>
    <w:rsid w:val="009F018D"/>
    <w:rsid w:val="009F221C"/>
    <w:rsid w:val="009F397E"/>
    <w:rsid w:val="009F4FA2"/>
    <w:rsid w:val="009F4FB4"/>
    <w:rsid w:val="009F7D61"/>
    <w:rsid w:val="00A052B5"/>
    <w:rsid w:val="00A07868"/>
    <w:rsid w:val="00A1235B"/>
    <w:rsid w:val="00A14759"/>
    <w:rsid w:val="00A14DF7"/>
    <w:rsid w:val="00A174C9"/>
    <w:rsid w:val="00A23F3C"/>
    <w:rsid w:val="00A27E6F"/>
    <w:rsid w:val="00A32046"/>
    <w:rsid w:val="00A3246D"/>
    <w:rsid w:val="00A3654F"/>
    <w:rsid w:val="00A36FA7"/>
    <w:rsid w:val="00A411FA"/>
    <w:rsid w:val="00A435F3"/>
    <w:rsid w:val="00A43B16"/>
    <w:rsid w:val="00A442B3"/>
    <w:rsid w:val="00A45026"/>
    <w:rsid w:val="00A475B7"/>
    <w:rsid w:val="00A47AF7"/>
    <w:rsid w:val="00A47C3E"/>
    <w:rsid w:val="00A50226"/>
    <w:rsid w:val="00A509D1"/>
    <w:rsid w:val="00A539AC"/>
    <w:rsid w:val="00A55948"/>
    <w:rsid w:val="00A56488"/>
    <w:rsid w:val="00A60BAD"/>
    <w:rsid w:val="00A60D8F"/>
    <w:rsid w:val="00A64387"/>
    <w:rsid w:val="00A650EF"/>
    <w:rsid w:val="00A71659"/>
    <w:rsid w:val="00A72A58"/>
    <w:rsid w:val="00A736F3"/>
    <w:rsid w:val="00A73A8D"/>
    <w:rsid w:val="00A80660"/>
    <w:rsid w:val="00A84503"/>
    <w:rsid w:val="00A84CEF"/>
    <w:rsid w:val="00A85B04"/>
    <w:rsid w:val="00A87334"/>
    <w:rsid w:val="00AA0AD3"/>
    <w:rsid w:val="00AA1FD6"/>
    <w:rsid w:val="00AA2986"/>
    <w:rsid w:val="00AA358F"/>
    <w:rsid w:val="00AB1FBD"/>
    <w:rsid w:val="00AB252D"/>
    <w:rsid w:val="00AB6F47"/>
    <w:rsid w:val="00AC2B40"/>
    <w:rsid w:val="00AC2BB2"/>
    <w:rsid w:val="00AC2C3C"/>
    <w:rsid w:val="00AC3BD9"/>
    <w:rsid w:val="00AC62E7"/>
    <w:rsid w:val="00AC7C90"/>
    <w:rsid w:val="00AC7EB0"/>
    <w:rsid w:val="00AD152C"/>
    <w:rsid w:val="00AD1772"/>
    <w:rsid w:val="00AD69A8"/>
    <w:rsid w:val="00AE0320"/>
    <w:rsid w:val="00AE48AA"/>
    <w:rsid w:val="00AE5132"/>
    <w:rsid w:val="00AE58F7"/>
    <w:rsid w:val="00AE65EB"/>
    <w:rsid w:val="00AF1D94"/>
    <w:rsid w:val="00AF60C5"/>
    <w:rsid w:val="00B009C6"/>
    <w:rsid w:val="00B01548"/>
    <w:rsid w:val="00B17990"/>
    <w:rsid w:val="00B21D29"/>
    <w:rsid w:val="00B21FC5"/>
    <w:rsid w:val="00B21FEE"/>
    <w:rsid w:val="00B25034"/>
    <w:rsid w:val="00B300F0"/>
    <w:rsid w:val="00B326D8"/>
    <w:rsid w:val="00B33863"/>
    <w:rsid w:val="00B360EB"/>
    <w:rsid w:val="00B37D17"/>
    <w:rsid w:val="00B40C62"/>
    <w:rsid w:val="00B4175E"/>
    <w:rsid w:val="00B41B12"/>
    <w:rsid w:val="00B510E1"/>
    <w:rsid w:val="00B54C25"/>
    <w:rsid w:val="00B600DA"/>
    <w:rsid w:val="00B64F68"/>
    <w:rsid w:val="00B674D7"/>
    <w:rsid w:val="00B722B5"/>
    <w:rsid w:val="00B75CE0"/>
    <w:rsid w:val="00B75D7A"/>
    <w:rsid w:val="00B76B2E"/>
    <w:rsid w:val="00B76B91"/>
    <w:rsid w:val="00B84346"/>
    <w:rsid w:val="00B90B09"/>
    <w:rsid w:val="00B92C72"/>
    <w:rsid w:val="00B94927"/>
    <w:rsid w:val="00B96C4A"/>
    <w:rsid w:val="00BA6016"/>
    <w:rsid w:val="00BA6FF1"/>
    <w:rsid w:val="00BB0909"/>
    <w:rsid w:val="00BB6529"/>
    <w:rsid w:val="00BC1CAB"/>
    <w:rsid w:val="00BC2A62"/>
    <w:rsid w:val="00BC4F9E"/>
    <w:rsid w:val="00BC622A"/>
    <w:rsid w:val="00BD288A"/>
    <w:rsid w:val="00BD63EC"/>
    <w:rsid w:val="00BD6F8A"/>
    <w:rsid w:val="00BE0775"/>
    <w:rsid w:val="00BE0A78"/>
    <w:rsid w:val="00BE2E77"/>
    <w:rsid w:val="00BE79F0"/>
    <w:rsid w:val="00BF046D"/>
    <w:rsid w:val="00BF3850"/>
    <w:rsid w:val="00BF4AAE"/>
    <w:rsid w:val="00BF5D04"/>
    <w:rsid w:val="00BF6E5A"/>
    <w:rsid w:val="00C05A79"/>
    <w:rsid w:val="00C065FF"/>
    <w:rsid w:val="00C13563"/>
    <w:rsid w:val="00C14203"/>
    <w:rsid w:val="00C1474C"/>
    <w:rsid w:val="00C339C6"/>
    <w:rsid w:val="00C404A6"/>
    <w:rsid w:val="00C40A36"/>
    <w:rsid w:val="00C43A50"/>
    <w:rsid w:val="00C44419"/>
    <w:rsid w:val="00C45E7B"/>
    <w:rsid w:val="00C471B1"/>
    <w:rsid w:val="00C47440"/>
    <w:rsid w:val="00C52223"/>
    <w:rsid w:val="00C52927"/>
    <w:rsid w:val="00C52BEE"/>
    <w:rsid w:val="00C55582"/>
    <w:rsid w:val="00C6316B"/>
    <w:rsid w:val="00C634A9"/>
    <w:rsid w:val="00C73D6C"/>
    <w:rsid w:val="00C772FF"/>
    <w:rsid w:val="00C77BC8"/>
    <w:rsid w:val="00C801AF"/>
    <w:rsid w:val="00C80256"/>
    <w:rsid w:val="00C857A9"/>
    <w:rsid w:val="00C912F1"/>
    <w:rsid w:val="00C953D2"/>
    <w:rsid w:val="00CA6F5A"/>
    <w:rsid w:val="00CA77CC"/>
    <w:rsid w:val="00CB4B53"/>
    <w:rsid w:val="00CB6BC0"/>
    <w:rsid w:val="00CC1B7C"/>
    <w:rsid w:val="00CC727F"/>
    <w:rsid w:val="00CD2699"/>
    <w:rsid w:val="00CD491A"/>
    <w:rsid w:val="00CD7859"/>
    <w:rsid w:val="00CD7871"/>
    <w:rsid w:val="00CE0799"/>
    <w:rsid w:val="00CE116A"/>
    <w:rsid w:val="00CE35CF"/>
    <w:rsid w:val="00CE5BB0"/>
    <w:rsid w:val="00CE6991"/>
    <w:rsid w:val="00CF15C3"/>
    <w:rsid w:val="00CF2B6F"/>
    <w:rsid w:val="00CF3409"/>
    <w:rsid w:val="00CF56B8"/>
    <w:rsid w:val="00D017ED"/>
    <w:rsid w:val="00D01FA9"/>
    <w:rsid w:val="00D153B1"/>
    <w:rsid w:val="00D224FE"/>
    <w:rsid w:val="00D229BA"/>
    <w:rsid w:val="00D26114"/>
    <w:rsid w:val="00D26B84"/>
    <w:rsid w:val="00D26D35"/>
    <w:rsid w:val="00D32F71"/>
    <w:rsid w:val="00D33B00"/>
    <w:rsid w:val="00D371A8"/>
    <w:rsid w:val="00D37B63"/>
    <w:rsid w:val="00D433BD"/>
    <w:rsid w:val="00D443AE"/>
    <w:rsid w:val="00D54E04"/>
    <w:rsid w:val="00D5616E"/>
    <w:rsid w:val="00D634FE"/>
    <w:rsid w:val="00D6493E"/>
    <w:rsid w:val="00D71ECA"/>
    <w:rsid w:val="00D75206"/>
    <w:rsid w:val="00D76479"/>
    <w:rsid w:val="00D85AC0"/>
    <w:rsid w:val="00DA1124"/>
    <w:rsid w:val="00DA1DEF"/>
    <w:rsid w:val="00DA3043"/>
    <w:rsid w:val="00DA39D7"/>
    <w:rsid w:val="00DA6C27"/>
    <w:rsid w:val="00DD4C9F"/>
    <w:rsid w:val="00DD5F26"/>
    <w:rsid w:val="00DD75A3"/>
    <w:rsid w:val="00DD7A91"/>
    <w:rsid w:val="00DE02AE"/>
    <w:rsid w:val="00DE5F72"/>
    <w:rsid w:val="00DE6A0C"/>
    <w:rsid w:val="00DE6C04"/>
    <w:rsid w:val="00DE75AC"/>
    <w:rsid w:val="00DF03B3"/>
    <w:rsid w:val="00DF1D7F"/>
    <w:rsid w:val="00DF5E0C"/>
    <w:rsid w:val="00DF7858"/>
    <w:rsid w:val="00E02FB4"/>
    <w:rsid w:val="00E062F8"/>
    <w:rsid w:val="00E1340C"/>
    <w:rsid w:val="00E20571"/>
    <w:rsid w:val="00E21651"/>
    <w:rsid w:val="00E235F7"/>
    <w:rsid w:val="00E239D4"/>
    <w:rsid w:val="00E307C1"/>
    <w:rsid w:val="00E32326"/>
    <w:rsid w:val="00E40B22"/>
    <w:rsid w:val="00E42B6F"/>
    <w:rsid w:val="00E42D2F"/>
    <w:rsid w:val="00E4588F"/>
    <w:rsid w:val="00E46DA3"/>
    <w:rsid w:val="00E51164"/>
    <w:rsid w:val="00E61880"/>
    <w:rsid w:val="00E65779"/>
    <w:rsid w:val="00E76FF3"/>
    <w:rsid w:val="00E8120B"/>
    <w:rsid w:val="00E974CB"/>
    <w:rsid w:val="00E97868"/>
    <w:rsid w:val="00EA0A1D"/>
    <w:rsid w:val="00EA16DE"/>
    <w:rsid w:val="00EA406B"/>
    <w:rsid w:val="00EA453A"/>
    <w:rsid w:val="00EB0798"/>
    <w:rsid w:val="00EB182C"/>
    <w:rsid w:val="00EB19F8"/>
    <w:rsid w:val="00EB3680"/>
    <w:rsid w:val="00EB40AD"/>
    <w:rsid w:val="00EB586E"/>
    <w:rsid w:val="00EB5FC8"/>
    <w:rsid w:val="00EB64C6"/>
    <w:rsid w:val="00EC0DF0"/>
    <w:rsid w:val="00EC1271"/>
    <w:rsid w:val="00ED0C8B"/>
    <w:rsid w:val="00ED5A41"/>
    <w:rsid w:val="00ED6E9B"/>
    <w:rsid w:val="00EE1482"/>
    <w:rsid w:val="00EE255A"/>
    <w:rsid w:val="00EE4B97"/>
    <w:rsid w:val="00EF0EAB"/>
    <w:rsid w:val="00EF3A07"/>
    <w:rsid w:val="00EF47F3"/>
    <w:rsid w:val="00EF578B"/>
    <w:rsid w:val="00F033EC"/>
    <w:rsid w:val="00F04F68"/>
    <w:rsid w:val="00F0627D"/>
    <w:rsid w:val="00F11A17"/>
    <w:rsid w:val="00F12670"/>
    <w:rsid w:val="00F14B27"/>
    <w:rsid w:val="00F14D65"/>
    <w:rsid w:val="00F202AB"/>
    <w:rsid w:val="00F22FA9"/>
    <w:rsid w:val="00F261BD"/>
    <w:rsid w:val="00F3148D"/>
    <w:rsid w:val="00F3255D"/>
    <w:rsid w:val="00F32A15"/>
    <w:rsid w:val="00F35298"/>
    <w:rsid w:val="00F3529E"/>
    <w:rsid w:val="00F36C32"/>
    <w:rsid w:val="00F40F73"/>
    <w:rsid w:val="00F4305F"/>
    <w:rsid w:val="00F44B0D"/>
    <w:rsid w:val="00F45C7C"/>
    <w:rsid w:val="00F4649D"/>
    <w:rsid w:val="00F4663D"/>
    <w:rsid w:val="00F467A6"/>
    <w:rsid w:val="00F47E37"/>
    <w:rsid w:val="00F52B51"/>
    <w:rsid w:val="00F53485"/>
    <w:rsid w:val="00F54212"/>
    <w:rsid w:val="00F55B63"/>
    <w:rsid w:val="00F623FD"/>
    <w:rsid w:val="00F63C0D"/>
    <w:rsid w:val="00F640B6"/>
    <w:rsid w:val="00F67B16"/>
    <w:rsid w:val="00F73276"/>
    <w:rsid w:val="00F739D1"/>
    <w:rsid w:val="00F7690C"/>
    <w:rsid w:val="00F80E40"/>
    <w:rsid w:val="00F8365F"/>
    <w:rsid w:val="00F83DDA"/>
    <w:rsid w:val="00F8404D"/>
    <w:rsid w:val="00F87B87"/>
    <w:rsid w:val="00F93D73"/>
    <w:rsid w:val="00FA4D6D"/>
    <w:rsid w:val="00FA5B82"/>
    <w:rsid w:val="00FA639E"/>
    <w:rsid w:val="00FA7009"/>
    <w:rsid w:val="00FB59CE"/>
    <w:rsid w:val="00FC03C8"/>
    <w:rsid w:val="00FC25E4"/>
    <w:rsid w:val="00FC260C"/>
    <w:rsid w:val="00FC3F88"/>
    <w:rsid w:val="00FC4461"/>
    <w:rsid w:val="00FC46E3"/>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7"/>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7"/>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EE1482"/>
    <w:pPr>
      <w:keepNext/>
      <w:keepLines/>
      <w:numPr>
        <w:ilvl w:val="5"/>
        <w:numId w:val="7"/>
      </w:numPr>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EE1482"/>
    <w:pPr>
      <w:keepNext/>
      <w:keepLines/>
      <w:numPr>
        <w:ilvl w:val="6"/>
        <w:numId w:val="7"/>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7"/>
      </w:numPr>
      <w:tabs>
        <w:tab w:val="num" w:pos="360"/>
      </w:tabs>
      <w:spacing w:before="200" w:after="0"/>
      <w:ind w:left="0" w:firstLine="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7"/>
      </w:numPr>
      <w:tabs>
        <w:tab w:val="num" w:pos="360"/>
      </w:tabs>
      <w:spacing w:before="200" w:after="0"/>
      <w:ind w:left="0" w:firstLine="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49"/>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8"/>
      </w:numPr>
    </w:pPr>
  </w:style>
  <w:style w:type="paragraph" w:customStyle="1" w:styleId="ListBulleti">
    <w:name w:val="List Bullet i)"/>
    <w:basedOn w:val="ListBullet"/>
    <w:uiPriority w:val="1"/>
    <w:qFormat/>
    <w:rsid w:val="003C02CB"/>
    <w:pPr>
      <w:numPr>
        <w:numId w:val="9"/>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0C135D"/>
    <w:rPr>
      <w:color w:val="605E5C"/>
      <w:shd w:val="clear" w:color="auto" w:fill="E1DFDD"/>
    </w:rPr>
  </w:style>
  <w:style w:type="character" w:styleId="Emphasis">
    <w:name w:val="Emphasis"/>
    <w:basedOn w:val="DefaultParagraphFont"/>
    <w:uiPriority w:val="20"/>
    <w:qFormat/>
    <w:rsid w:val="00B326D8"/>
    <w:rPr>
      <w:i/>
      <w:iCs/>
    </w:rPr>
  </w:style>
  <w:style w:type="table" w:styleId="GridTable5Dark-Accent1">
    <w:name w:val="Grid Table 5 Dark Accent 1"/>
    <w:basedOn w:val="TableNormal"/>
    <w:uiPriority w:val="50"/>
    <w:rsid w:val="00B326D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A8" w:themeFill="accent1"/>
      </w:tcPr>
    </w:tblStylePr>
    <w:tblStylePr w:type="band1Vert">
      <w:tblPr/>
      <w:tcPr>
        <w:shd w:val="clear" w:color="auto" w:fill="76CFFF" w:themeFill="accent1" w:themeFillTint="66"/>
      </w:tcPr>
    </w:tblStylePr>
    <w:tblStylePr w:type="band1Horz">
      <w:tblPr/>
      <w:tcPr>
        <w:shd w:val="clear" w:color="auto" w:fill="76CFFF" w:themeFill="accent1" w:themeFillTint="66"/>
      </w:tcPr>
    </w:tblStylePr>
  </w:style>
  <w:style w:type="paragraph" w:styleId="ListNumber">
    <w:name w:val="List Number"/>
    <w:basedOn w:val="Normal"/>
    <w:uiPriority w:val="99"/>
    <w:semiHidden/>
    <w:unhideWhenUsed/>
    <w:rsid w:val="005D0817"/>
    <w:pPr>
      <w:numPr>
        <w:numId w:val="46"/>
      </w:numPr>
      <w:tabs>
        <w:tab w:val="clear" w:pos="360"/>
        <w:tab w:val="num" w:pos="432"/>
        <w:tab w:val="num" w:pos="720"/>
        <w:tab w:val="left" w:pos="1440"/>
      </w:tabs>
      <w:spacing w:before="0" w:after="240" w:line="240" w:lineRule="auto"/>
      <w:contextualSpacing/>
    </w:pPr>
    <w:rPr>
      <w:rFonts w:ascii="Times New Roman" w:eastAsia="Times New Roman" w:hAnsi="Times New Roman"/>
      <w:sz w:val="24"/>
      <w:szCs w:val="24"/>
      <w:lang w:eastAsia="en-AU"/>
    </w:rPr>
  </w:style>
  <w:style w:type="paragraph" w:customStyle="1" w:styleId="ScheduleA">
    <w:name w:val="Schedule (A)"/>
    <w:basedOn w:val="Normal"/>
    <w:uiPriority w:val="99"/>
    <w:rsid w:val="005D0817"/>
    <w:pPr>
      <w:tabs>
        <w:tab w:val="left" w:pos="2977"/>
      </w:tabs>
      <w:spacing w:before="0" w:after="240" w:line="240" w:lineRule="auto"/>
      <w:ind w:left="2977" w:right="1418" w:hanging="709"/>
    </w:pPr>
    <w:rPr>
      <w:rFonts w:ascii="Times New Roman" w:eastAsia="Times New Roman" w:hAnsi="Times New Roman"/>
      <w:sz w:val="24"/>
      <w:szCs w:val="24"/>
    </w:rPr>
  </w:style>
  <w:style w:type="paragraph" w:styleId="TOC8">
    <w:name w:val="toc 8"/>
    <w:basedOn w:val="Normal"/>
    <w:next w:val="Normal"/>
    <w:autoRedefine/>
    <w:uiPriority w:val="39"/>
    <w:unhideWhenUsed/>
    <w:rsid w:val="003A5DBD"/>
    <w:pPr>
      <w:spacing w:before="0" w:after="100" w:line="259" w:lineRule="auto"/>
      <w:ind w:left="1540"/>
    </w:pPr>
    <w:rPr>
      <w:rFonts w:asciiTheme="minorHAnsi" w:eastAsiaTheme="minorEastAsia"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38587">
      <w:bodyDiv w:val="1"/>
      <w:marLeft w:val="0"/>
      <w:marRight w:val="0"/>
      <w:marTop w:val="0"/>
      <w:marBottom w:val="0"/>
      <w:divBdr>
        <w:top w:val="none" w:sz="0" w:space="0" w:color="auto"/>
        <w:left w:val="none" w:sz="0" w:space="0" w:color="auto"/>
        <w:bottom w:val="none" w:sz="0" w:space="0" w:color="auto"/>
        <w:right w:val="none" w:sz="0" w:space="0" w:color="auto"/>
      </w:divBdr>
    </w:div>
    <w:div w:id="184943979">
      <w:bodyDiv w:val="1"/>
      <w:marLeft w:val="0"/>
      <w:marRight w:val="0"/>
      <w:marTop w:val="0"/>
      <w:marBottom w:val="0"/>
      <w:divBdr>
        <w:top w:val="none" w:sz="0" w:space="0" w:color="auto"/>
        <w:left w:val="none" w:sz="0" w:space="0" w:color="auto"/>
        <w:bottom w:val="none" w:sz="0" w:space="0" w:color="auto"/>
        <w:right w:val="none" w:sz="0" w:space="0" w:color="auto"/>
      </w:divBdr>
    </w:div>
    <w:div w:id="196166165">
      <w:bodyDiv w:val="1"/>
      <w:marLeft w:val="0"/>
      <w:marRight w:val="0"/>
      <w:marTop w:val="0"/>
      <w:marBottom w:val="0"/>
      <w:divBdr>
        <w:top w:val="none" w:sz="0" w:space="0" w:color="auto"/>
        <w:left w:val="none" w:sz="0" w:space="0" w:color="auto"/>
        <w:bottom w:val="none" w:sz="0" w:space="0" w:color="auto"/>
        <w:right w:val="none" w:sz="0" w:space="0" w:color="auto"/>
      </w:divBdr>
    </w:div>
    <w:div w:id="223613820">
      <w:bodyDiv w:val="1"/>
      <w:marLeft w:val="0"/>
      <w:marRight w:val="0"/>
      <w:marTop w:val="0"/>
      <w:marBottom w:val="0"/>
      <w:divBdr>
        <w:top w:val="none" w:sz="0" w:space="0" w:color="auto"/>
        <w:left w:val="none" w:sz="0" w:space="0" w:color="auto"/>
        <w:bottom w:val="none" w:sz="0" w:space="0" w:color="auto"/>
        <w:right w:val="none" w:sz="0" w:space="0" w:color="auto"/>
      </w:divBdr>
    </w:div>
    <w:div w:id="683946132">
      <w:bodyDiv w:val="1"/>
      <w:marLeft w:val="0"/>
      <w:marRight w:val="0"/>
      <w:marTop w:val="0"/>
      <w:marBottom w:val="0"/>
      <w:divBdr>
        <w:top w:val="none" w:sz="0" w:space="0" w:color="auto"/>
        <w:left w:val="none" w:sz="0" w:space="0" w:color="auto"/>
        <w:bottom w:val="none" w:sz="0" w:space="0" w:color="auto"/>
        <w:right w:val="none" w:sz="0" w:space="0" w:color="auto"/>
      </w:divBdr>
    </w:div>
    <w:div w:id="728067946">
      <w:bodyDiv w:val="1"/>
      <w:marLeft w:val="0"/>
      <w:marRight w:val="0"/>
      <w:marTop w:val="0"/>
      <w:marBottom w:val="0"/>
      <w:divBdr>
        <w:top w:val="none" w:sz="0" w:space="0" w:color="auto"/>
        <w:left w:val="none" w:sz="0" w:space="0" w:color="auto"/>
        <w:bottom w:val="none" w:sz="0" w:space="0" w:color="auto"/>
        <w:right w:val="none" w:sz="0" w:space="0" w:color="auto"/>
      </w:divBdr>
    </w:div>
    <w:div w:id="817107793">
      <w:bodyDiv w:val="1"/>
      <w:marLeft w:val="0"/>
      <w:marRight w:val="0"/>
      <w:marTop w:val="0"/>
      <w:marBottom w:val="0"/>
      <w:divBdr>
        <w:top w:val="none" w:sz="0" w:space="0" w:color="auto"/>
        <w:left w:val="none" w:sz="0" w:space="0" w:color="auto"/>
        <w:bottom w:val="none" w:sz="0" w:space="0" w:color="auto"/>
        <w:right w:val="none" w:sz="0" w:space="0" w:color="auto"/>
      </w:divBdr>
    </w:div>
    <w:div w:id="1144856018">
      <w:bodyDiv w:val="1"/>
      <w:marLeft w:val="0"/>
      <w:marRight w:val="0"/>
      <w:marTop w:val="0"/>
      <w:marBottom w:val="0"/>
      <w:divBdr>
        <w:top w:val="none" w:sz="0" w:space="0" w:color="auto"/>
        <w:left w:val="none" w:sz="0" w:space="0" w:color="auto"/>
        <w:bottom w:val="none" w:sz="0" w:space="0" w:color="auto"/>
        <w:right w:val="none" w:sz="0" w:space="0" w:color="auto"/>
      </w:divBdr>
    </w:div>
    <w:div w:id="1338073441">
      <w:bodyDiv w:val="1"/>
      <w:marLeft w:val="0"/>
      <w:marRight w:val="0"/>
      <w:marTop w:val="0"/>
      <w:marBottom w:val="0"/>
      <w:divBdr>
        <w:top w:val="none" w:sz="0" w:space="0" w:color="auto"/>
        <w:left w:val="none" w:sz="0" w:space="0" w:color="auto"/>
        <w:bottom w:val="none" w:sz="0" w:space="0" w:color="auto"/>
        <w:right w:val="none" w:sz="0" w:space="0" w:color="auto"/>
      </w:divBdr>
    </w:div>
    <w:div w:id="1443303301">
      <w:bodyDiv w:val="1"/>
      <w:marLeft w:val="0"/>
      <w:marRight w:val="0"/>
      <w:marTop w:val="0"/>
      <w:marBottom w:val="0"/>
      <w:divBdr>
        <w:top w:val="none" w:sz="0" w:space="0" w:color="auto"/>
        <w:left w:val="none" w:sz="0" w:space="0" w:color="auto"/>
        <w:bottom w:val="none" w:sz="0" w:space="0" w:color="auto"/>
        <w:right w:val="none" w:sz="0" w:space="0" w:color="auto"/>
      </w:divBdr>
    </w:div>
    <w:div w:id="1503856562">
      <w:bodyDiv w:val="1"/>
      <w:marLeft w:val="0"/>
      <w:marRight w:val="0"/>
      <w:marTop w:val="0"/>
      <w:marBottom w:val="0"/>
      <w:divBdr>
        <w:top w:val="none" w:sz="0" w:space="0" w:color="auto"/>
        <w:left w:val="none" w:sz="0" w:space="0" w:color="auto"/>
        <w:bottom w:val="none" w:sz="0" w:space="0" w:color="auto"/>
        <w:right w:val="none" w:sz="0" w:space="0" w:color="auto"/>
      </w:divBdr>
    </w:div>
    <w:div w:id="1601916173">
      <w:bodyDiv w:val="1"/>
      <w:marLeft w:val="0"/>
      <w:marRight w:val="0"/>
      <w:marTop w:val="0"/>
      <w:marBottom w:val="0"/>
      <w:divBdr>
        <w:top w:val="none" w:sz="0" w:space="0" w:color="auto"/>
        <w:left w:val="none" w:sz="0" w:space="0" w:color="auto"/>
        <w:bottom w:val="none" w:sz="0" w:space="0" w:color="auto"/>
        <w:right w:val="none" w:sz="0" w:space="0" w:color="auto"/>
      </w:divBdr>
    </w:div>
    <w:div w:id="1664090898">
      <w:bodyDiv w:val="1"/>
      <w:marLeft w:val="0"/>
      <w:marRight w:val="0"/>
      <w:marTop w:val="0"/>
      <w:marBottom w:val="0"/>
      <w:divBdr>
        <w:top w:val="none" w:sz="0" w:space="0" w:color="auto"/>
        <w:left w:val="none" w:sz="0" w:space="0" w:color="auto"/>
        <w:bottom w:val="none" w:sz="0" w:space="0" w:color="auto"/>
        <w:right w:val="none" w:sz="0" w:space="0" w:color="auto"/>
      </w:divBdr>
    </w:div>
    <w:div w:id="1937011665">
      <w:bodyDiv w:val="1"/>
      <w:marLeft w:val="0"/>
      <w:marRight w:val="0"/>
      <w:marTop w:val="0"/>
      <w:marBottom w:val="0"/>
      <w:divBdr>
        <w:top w:val="none" w:sz="0" w:space="0" w:color="auto"/>
        <w:left w:val="none" w:sz="0" w:space="0" w:color="auto"/>
        <w:bottom w:val="none" w:sz="0" w:space="0" w:color="auto"/>
        <w:right w:val="none" w:sz="0" w:space="0" w:color="auto"/>
      </w:divBdr>
    </w:div>
    <w:div w:id="21431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arch/Therapeutic%20Goods%20$LB$Permissible%20Ingredients$RB$%20Determination" TargetMode="External"/><Relationship Id="rId117" Type="http://schemas.openxmlformats.org/officeDocument/2006/relationships/hyperlink" Target="https://consultations.tga.gov.au/tga/pre-meeting-nov-2022" TargetMode="External"/><Relationship Id="rId21" Type="http://schemas.openxmlformats.org/officeDocument/2006/relationships/hyperlink" Target="https://app.magicapp.org/" TargetMode="External"/><Relationship Id="rId42" Type="http://schemas.openxmlformats.org/officeDocument/2006/relationships/hyperlink" Target="https://www.tga.gov.au/artg" TargetMode="External"/><Relationship Id="rId47" Type="http://schemas.openxmlformats.org/officeDocument/2006/relationships/hyperlink" Target="https://portal.apvma.gov.au/pubcris" TargetMode="External"/><Relationship Id="rId63" Type="http://schemas.openxmlformats.org/officeDocument/2006/relationships/hyperlink" Target="https://www.medsafe.govt.nz/profs/class/classintro.asp" TargetMode="External"/><Relationship Id="rId68" Type="http://schemas.openxmlformats.org/officeDocument/2006/relationships/hyperlink" Target="https://www.legislation.gov.au/Details/F2019L00213" TargetMode="External"/><Relationship Id="rId84" Type="http://schemas.openxmlformats.org/officeDocument/2006/relationships/hyperlink" Target="https://apvma.gov.au/node/10946" TargetMode="External"/><Relationship Id="rId89" Type="http://schemas.openxmlformats.org/officeDocument/2006/relationships/hyperlink" Target="https://health-products.canada.ca/dpd-bdpp/dispatch-repartition.do;jsessionid=DB2E71B338C0E4BFC2FDA4A8260FDC00" TargetMode="External"/><Relationship Id="rId112" Type="http://schemas.openxmlformats.org/officeDocument/2006/relationships/hyperlink" Target="https://www.legislation.gov.au/Search/Therapeutic%20Goods%20$LB$Permissible%20Ingredients$RB$%20Determination" TargetMode="External"/><Relationship Id="rId16" Type="http://schemas.openxmlformats.org/officeDocument/2006/relationships/hyperlink" Target="mailto:medicines.scheduling@health.gov.au" TargetMode="External"/><Relationship Id="rId107" Type="http://schemas.openxmlformats.org/officeDocument/2006/relationships/hyperlink" Target="https://pest-control.canada.ca/pesticide-registry/en/active-ingredient-details.html?q=EFR" TargetMode="External"/><Relationship Id="rId11" Type="http://schemas.openxmlformats.org/officeDocument/2006/relationships/footer" Target="footer2.xml"/><Relationship Id="rId32" Type="http://schemas.openxmlformats.org/officeDocument/2006/relationships/hyperlink" Target="https://health-products.canada.ca/dpd-bdpp/index-eng.jsp" TargetMode="External"/><Relationship Id="rId37" Type="http://schemas.openxmlformats.org/officeDocument/2006/relationships/hyperlink" Target="https://www.who.int/publications/i/item/WHO-2019-nCoV-therapeutics-2022.4" TargetMode="External"/><Relationship Id="rId53" Type="http://schemas.openxmlformats.org/officeDocument/2006/relationships/hyperlink" Target="https://www.ebs.tga.gov.au/" TargetMode="External"/><Relationship Id="rId58" Type="http://schemas.openxmlformats.org/officeDocument/2006/relationships/hyperlink" Target="https://apps.tga.gov.au/Prod/daen/daen-entry.aspx" TargetMode="External"/><Relationship Id="rId74" Type="http://schemas.openxmlformats.org/officeDocument/2006/relationships/hyperlink" Target="https://www.hpra.ie/homepage/medicines/medicines-information/find-a-medicine/results?query=Ibuprofen&amp;field=ACTIVESUBSTANCES" TargetMode="External"/><Relationship Id="rId79" Type="http://schemas.openxmlformats.org/officeDocument/2006/relationships/hyperlink" Target="https://www.legislation.gov.au/Search/Therapeutic%20Goods%20$LB$Permissible%20Ingredients$RB$%20Determination" TargetMode="External"/><Relationship Id="rId102" Type="http://schemas.openxmlformats.org/officeDocument/2006/relationships/hyperlink" Target="https://www.legislation.gov.au/Search/Therapeutic%20Goods%20$LB$Permissible%20Ingredients$RB$%20Determination" TargetMode="External"/><Relationship Id="rId123" Type="http://schemas.openxmlformats.org/officeDocument/2006/relationships/header" Target="header4.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canada.ca/en/health-canada/services/drugs-health-products/medeffect-canada/safety-reviews/summary-safety-review-melatonin-acetyl-methoxytryptamine-review-safety-melatonin-children-adolescents.html" TargetMode="External"/><Relationship Id="rId95" Type="http://schemas.openxmlformats.org/officeDocument/2006/relationships/hyperlink" Target="https://www.legislation.gov.au/Details/F2019L00213" TargetMode="External"/><Relationship Id="rId19" Type="http://schemas.openxmlformats.org/officeDocument/2006/relationships/hyperlink" Target="https://www.tga.gov.au/committee/advisory-committee-chemicals-scheduling-accs" TargetMode="External"/><Relationship Id="rId14" Type="http://schemas.openxmlformats.org/officeDocument/2006/relationships/hyperlink" Target="https://www.tga.gov.au/committee/advisory-committee-medicines-scheduling-acms" TargetMode="External"/><Relationship Id="rId22" Type="http://schemas.openxmlformats.org/officeDocument/2006/relationships/hyperlink" Target="https://www.cureus.com/articles/82162" TargetMode="External"/><Relationship Id="rId27" Type="http://schemas.openxmlformats.org/officeDocument/2006/relationships/hyperlink" Target="https://www.tga.gov.au/prescribing-medicines-pregnancy-database" TargetMode="External"/><Relationship Id="rId30" Type="http://schemas.openxmlformats.org/officeDocument/2006/relationships/hyperlink" Target="https://portal.apvma.gov.au/pubcris" TargetMode="External"/><Relationship Id="rId35" Type="http://schemas.openxmlformats.org/officeDocument/2006/relationships/hyperlink" Target="https://ec.europa.eu/health/documents/community-register/html/reg_index_inn.htm" TargetMode="External"/><Relationship Id="rId43" Type="http://schemas.openxmlformats.org/officeDocument/2006/relationships/hyperlink" Target="https://www.legislation.gov.au/Search/Therapeutic%20Goods%20$LB$Permissible%20Ingredients$RB$%20Determination" TargetMode="External"/><Relationship Id="rId48" Type="http://schemas.openxmlformats.org/officeDocument/2006/relationships/hyperlink" Target="https://www.accessdata.fda.gov/scripts/cder/daf/index.cfm?event=BasicSearch.process" TargetMode="External"/><Relationship Id="rId56" Type="http://schemas.openxmlformats.org/officeDocument/2006/relationships/hyperlink" Target="https://www.tga.gov.au/prescribing-medicines-pregnancy-database" TargetMode="External"/><Relationship Id="rId64" Type="http://schemas.openxmlformats.org/officeDocument/2006/relationships/hyperlink" Target="https://www.ebs.tga.gov.au/" TargetMode="External"/><Relationship Id="rId69" Type="http://schemas.openxmlformats.org/officeDocument/2006/relationships/hyperlink" Target="https://apps.tga.gov.au/Prod/daen/daen-entry.aspx" TargetMode="External"/><Relationship Id="rId77" Type="http://schemas.openxmlformats.org/officeDocument/2006/relationships/hyperlink" Target="https://www.ebs.tga.gov.au/" TargetMode="External"/><Relationship Id="rId100" Type="http://schemas.openxmlformats.org/officeDocument/2006/relationships/hyperlink" Target="https://www.ebs.tga.gov.au/" TargetMode="External"/><Relationship Id="rId105" Type="http://schemas.openxmlformats.org/officeDocument/2006/relationships/hyperlink" Target="https://portal.apvma.gov.au/pubcris" TargetMode="External"/><Relationship Id="rId113" Type="http://schemas.openxmlformats.org/officeDocument/2006/relationships/hyperlink" Target="https://www.tga.gov.au/prescribing-medicines-pregnancy-database" TargetMode="External"/><Relationship Id="rId118" Type="http://schemas.openxmlformats.org/officeDocument/2006/relationships/hyperlink" Target="https://www.tga.gov.au/committee/advisory-committee-medicines-scheduling-acms" TargetMode="External"/><Relationship Id="rId12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hpra.ie/homepage/medicines/medicines-information/find-a-medicine/results?query=BRIMONIDINE+TARTRATE&amp;field=ACTIVESUBSTANCES" TargetMode="External"/><Relationship Id="rId72" Type="http://schemas.openxmlformats.org/officeDocument/2006/relationships/hyperlink" Target="https://health-products.canada.ca/dpd-bdpp/index-eng.jsp" TargetMode="External"/><Relationship Id="rId80" Type="http://schemas.openxmlformats.org/officeDocument/2006/relationships/hyperlink" Target="https://www.tga.gov.au/prescribing-medicines-pregnancy-database" TargetMode="External"/><Relationship Id="rId85" Type="http://schemas.openxmlformats.org/officeDocument/2006/relationships/hyperlink" Target="https://ec.europa.eu/growth/tools-databases/cosing/" TargetMode="External"/><Relationship Id="rId93" Type="http://schemas.openxmlformats.org/officeDocument/2006/relationships/hyperlink" Target="https://www.legislation.gov.au/Search/Therapeutic%20Goods%20$LB$Permissible%20Ingredients$RB$%20Determination" TargetMode="External"/><Relationship Id="rId98" Type="http://schemas.openxmlformats.org/officeDocument/2006/relationships/hyperlink" Target="https://www.hpra.ie/homepage/medicines/medicines-information/find-a-medicine/results/item?pano=PA1748/003/001&amp;t=Catephen%2010%20%25%20ointment" TargetMode="External"/><Relationship Id="rId12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consultations.tga.gov.au/tga/pre-meeting-nov-2022" TargetMode="External"/><Relationship Id="rId25" Type="http://schemas.openxmlformats.org/officeDocument/2006/relationships/hyperlink" Target="https://www.tga.gov.au/artg" TargetMode="External"/><Relationship Id="rId33" Type="http://schemas.openxmlformats.org/officeDocument/2006/relationships/hyperlink" Target="https://www.medsafe.govt.nz/profs/class/classintro.asp" TargetMode="External"/><Relationship Id="rId38" Type="http://schemas.openxmlformats.org/officeDocument/2006/relationships/hyperlink" Target="https://www.covid19treatmentguidelines.nih.gov/therapies/antiviral-therapy/ivermectin/?ACSTrackingID=USCDC_1052-DM74752&amp;ACSTrackingLabel=Ivermectin%20Products%20are%20Not%20Approved%20by%20FDA%20to%20Prevent%20or%20Treat%20COVID-19&amp;deliveryName=USCDC_1052-DM74752" TargetMode="External"/><Relationship Id="rId46" Type="http://schemas.openxmlformats.org/officeDocument/2006/relationships/hyperlink" Target="https://apps.tga.gov.au/Prod/daen/daen-entry.aspx" TargetMode="External"/><Relationship Id="rId59" Type="http://schemas.openxmlformats.org/officeDocument/2006/relationships/hyperlink" Target="https://portal.apvma.gov.au/pubcris" TargetMode="External"/><Relationship Id="rId67" Type="http://schemas.openxmlformats.org/officeDocument/2006/relationships/hyperlink" Target="https://www.tga.gov.au/prescribing-medicines-pregnancy-database" TargetMode="External"/><Relationship Id="rId103" Type="http://schemas.openxmlformats.org/officeDocument/2006/relationships/hyperlink" Target="https://www.tga.gov.au/prescribing-medicines-pregnancy-database" TargetMode="External"/><Relationship Id="rId108" Type="http://schemas.openxmlformats.org/officeDocument/2006/relationships/hyperlink" Target="https://echa.europa.eu/substance-information/-/substanceinfo/100.054.131" TargetMode="External"/><Relationship Id="rId116" Type="http://schemas.openxmlformats.org/officeDocument/2006/relationships/hyperlink" Target="https://www.ema.europa.eu/en/medicines/veterinary/EPAR/felpreva" TargetMode="External"/><Relationship Id="rId124" Type="http://schemas.openxmlformats.org/officeDocument/2006/relationships/hyperlink" Target="https://www.tga.gov.au/scheduling-delegates-interim-decisions-invitations-further-comment" TargetMode="External"/><Relationship Id="rId20" Type="http://schemas.openxmlformats.org/officeDocument/2006/relationships/hyperlink" Target="mailto:medicines.scheduling@health.gov.au" TargetMode="External"/><Relationship Id="rId41" Type="http://schemas.openxmlformats.org/officeDocument/2006/relationships/hyperlink" Target="https://www.ebs.tga.gov.au/" TargetMode="External"/><Relationship Id="rId54" Type="http://schemas.openxmlformats.org/officeDocument/2006/relationships/hyperlink" Target="https://www.tga.gov.au/artg" TargetMode="External"/><Relationship Id="rId62" Type="http://schemas.openxmlformats.org/officeDocument/2006/relationships/hyperlink" Target="https://www.hpra.ie/homepage/medicines/medicines-information/find-a-medicine/results?query=fexofenadine&amp;field=" TargetMode="External"/><Relationship Id="rId70" Type="http://schemas.openxmlformats.org/officeDocument/2006/relationships/hyperlink" Target="https://portal.apvma.gov.au/pubcris" TargetMode="External"/><Relationship Id="rId75" Type="http://schemas.openxmlformats.org/officeDocument/2006/relationships/hyperlink" Target="https://www.medsafe.govt.nz/profs/class/classintro.asp" TargetMode="External"/><Relationship Id="rId83" Type="http://schemas.openxmlformats.org/officeDocument/2006/relationships/hyperlink" Target="https://portal.apvma.gov.au/pubcris" TargetMode="External"/><Relationship Id="rId88" Type="http://schemas.openxmlformats.org/officeDocument/2006/relationships/hyperlink" Target="https://www.hpra.ie/homepage/medicines/medicines-information/find-a-medicine/results?query=Melatonin&amp;field=ACTIVESUBSTANCES" TargetMode="External"/><Relationship Id="rId91" Type="http://schemas.openxmlformats.org/officeDocument/2006/relationships/hyperlink" Target="https://www.ebs.tga.gov.au/" TargetMode="External"/><Relationship Id="rId96" Type="http://schemas.openxmlformats.org/officeDocument/2006/relationships/hyperlink" Target="https://apps.tga.gov.au/Prod/daen/daen-entry.aspx" TargetMode="External"/><Relationship Id="rId111" Type="http://schemas.openxmlformats.org/officeDocument/2006/relationships/hyperlink" Target="https://www.tga.gov.au/art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chemicals-scheduling-accs" TargetMode="External"/><Relationship Id="rId23" Type="http://schemas.openxmlformats.org/officeDocument/2006/relationships/hyperlink" Target="https://www.tga.gov.au/sites/default/files/auspar-ivermectin-131030.pdf" TargetMode="External"/><Relationship Id="rId28" Type="http://schemas.openxmlformats.org/officeDocument/2006/relationships/hyperlink" Target="https://www.legislation.gov.au/Details/F2019L00213" TargetMode="External"/><Relationship Id="rId36" Type="http://schemas.openxmlformats.org/officeDocument/2006/relationships/hyperlink" Target="https://www.hpra.ie/homepage/medicines/medicines-information/find-a-medicine/results/item?compare=PA22743/015/001,PPA23176/014/001" TargetMode="External"/><Relationship Id="rId49" Type="http://schemas.openxmlformats.org/officeDocument/2006/relationships/hyperlink" Target="https://health-products.canada.ca/dpd-bdpp/dispatch-repartition.do" TargetMode="External"/><Relationship Id="rId57" Type="http://schemas.openxmlformats.org/officeDocument/2006/relationships/hyperlink" Target="https://www.legislation.gov.au/Details/F2019L00213" TargetMode="External"/><Relationship Id="rId106" Type="http://schemas.openxmlformats.org/officeDocument/2006/relationships/hyperlink" Target="https://www.federalregister.gov/documents/2022/04/28/2022-09145/receipt-of-pesticide-petitions-filed-for-residues-of-pesticide-chemicals-in-or-on-various" TargetMode="External"/><Relationship Id="rId114" Type="http://schemas.openxmlformats.org/officeDocument/2006/relationships/hyperlink" Target="https://www.legislation.gov.au/Details/F2019L00213" TargetMode="External"/><Relationship Id="rId119" Type="http://schemas.openxmlformats.org/officeDocument/2006/relationships/hyperlink" Target="https://www.tga.gov.au/committee/advisory-committee-chemicals-scheduling-accs" TargetMode="External"/><Relationship Id="rId12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apvma.gov.au/node/10946" TargetMode="External"/><Relationship Id="rId44" Type="http://schemas.openxmlformats.org/officeDocument/2006/relationships/hyperlink" Target="https://www.tga.gov.au/prescribing-medicines-pregnancy-database" TargetMode="External"/><Relationship Id="rId52" Type="http://schemas.openxmlformats.org/officeDocument/2006/relationships/hyperlink" Target="https://www.medsafe.govt.nz/profs/class/classintro.asp" TargetMode="External"/><Relationship Id="rId60" Type="http://schemas.openxmlformats.org/officeDocument/2006/relationships/hyperlink" Target="https://www.accessdata.fda.gov/scripts/cder/daf/index.cfm?event=BasicSearch.process" TargetMode="External"/><Relationship Id="rId65" Type="http://schemas.openxmlformats.org/officeDocument/2006/relationships/hyperlink" Target="https://www.tga.gov.au/artg" TargetMode="External"/><Relationship Id="rId73" Type="http://schemas.openxmlformats.org/officeDocument/2006/relationships/hyperlink" Target="https://www.medicines.org.uk/emc/" TargetMode="External"/><Relationship Id="rId78" Type="http://schemas.openxmlformats.org/officeDocument/2006/relationships/hyperlink" Target="https://www.tga.gov.au/artg" TargetMode="External"/><Relationship Id="rId81" Type="http://schemas.openxmlformats.org/officeDocument/2006/relationships/hyperlink" Target="https://www.legislation.gov.au/Details/F2019L00213" TargetMode="External"/><Relationship Id="rId86" Type="http://schemas.openxmlformats.org/officeDocument/2006/relationships/hyperlink" Target="https://www.ema.europa.eu/en/medicines/human/EPAR/circadin" TargetMode="External"/><Relationship Id="rId94" Type="http://schemas.openxmlformats.org/officeDocument/2006/relationships/hyperlink" Target="https://www.tga.gov.au/prescribing-medicines-pregnancy-database" TargetMode="External"/><Relationship Id="rId99" Type="http://schemas.openxmlformats.org/officeDocument/2006/relationships/hyperlink" Target="https://ec.europa.eu/info/law/better-regulation/have-your-say/initiatives/12572-Food-safety-restricting-the-use-of-green-tea-catechins-in-foods_en" TargetMode="External"/><Relationship Id="rId101" Type="http://schemas.openxmlformats.org/officeDocument/2006/relationships/hyperlink" Target="https://www.tga.gov.au/artg" TargetMode="External"/><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consultations.tga.gov.au/tga/pre-meeting-nov-2022" TargetMode="External"/><Relationship Id="rId18" Type="http://schemas.openxmlformats.org/officeDocument/2006/relationships/hyperlink" Target="https://www.tga.gov.au/committee/advisory-committee-medicines-scheduling-acms" TargetMode="External"/><Relationship Id="rId39" Type="http://schemas.openxmlformats.org/officeDocument/2006/relationships/hyperlink" Target="https://www.fda.gov/consumers/consumer-updates/why-you-should-not-use-ivermectin-treat-or-prevent-covid-19" TargetMode="External"/><Relationship Id="rId109" Type="http://schemas.openxmlformats.org/officeDocument/2006/relationships/hyperlink" Target="https://ec.europa.eu/food/plant/pesticides/eu-pesticides-database/active-substances/?event=as.details&amp;as_id=812" TargetMode="External"/><Relationship Id="rId34" Type="http://schemas.openxmlformats.org/officeDocument/2006/relationships/hyperlink" Target="https://www.accessdata.fda.gov/scripts/cder/ob/search_product.cfm" TargetMode="External"/><Relationship Id="rId50" Type="http://schemas.openxmlformats.org/officeDocument/2006/relationships/hyperlink" Target="https://www.medicines.org.uk/emc/product/3426/smpc" TargetMode="External"/><Relationship Id="rId55" Type="http://schemas.openxmlformats.org/officeDocument/2006/relationships/hyperlink" Target="https://www.legislation.gov.au/Search/Therapeutic%20Goods%20$LB$Permissible%20Ingredients$RB$%20Determination" TargetMode="External"/><Relationship Id="rId76" Type="http://schemas.openxmlformats.org/officeDocument/2006/relationships/hyperlink" Target="https://tgldcdp.tg.org.au/viewTopic?etgAccess=true&amp;guidelinePage=Psychotropic&amp;topicfile=jet-lag&amp;guidelinename=Psychotropic&amp;sectionId=toc_d1e69" TargetMode="External"/><Relationship Id="rId97" Type="http://schemas.openxmlformats.org/officeDocument/2006/relationships/hyperlink" Target="https://portal.apvma.gov.au/pubcris" TargetMode="External"/><Relationship Id="rId104" Type="http://schemas.openxmlformats.org/officeDocument/2006/relationships/hyperlink" Target="https://www.legislation.gov.au/Details/F2019L00213" TargetMode="External"/><Relationship Id="rId120" Type="http://schemas.openxmlformats.org/officeDocument/2006/relationships/hyperlink" Target="https://www.tga.gov.au/public-submissions-scheduling-matters" TargetMode="External"/><Relationship Id="rId125"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accessdata.fda.gov/scripts/cder/daf/index.cfm?event=BasicSearch.process" TargetMode="External"/><Relationship Id="rId92" Type="http://schemas.openxmlformats.org/officeDocument/2006/relationships/hyperlink" Target="https://www.tga.gov.au/artg" TargetMode="External"/><Relationship Id="rId2" Type="http://schemas.openxmlformats.org/officeDocument/2006/relationships/numbering" Target="numbering.xml"/><Relationship Id="rId29" Type="http://schemas.openxmlformats.org/officeDocument/2006/relationships/hyperlink" Target="https://apps.tga.gov.au/Prod/daen/daen-entry.aspx" TargetMode="External"/><Relationship Id="rId24" Type="http://schemas.openxmlformats.org/officeDocument/2006/relationships/hyperlink" Target="https://www.ebs.tga.gov.au/" TargetMode="External"/><Relationship Id="rId40" Type="http://schemas.openxmlformats.org/officeDocument/2006/relationships/hyperlink" Target="https://www.ema.europa.eu/en/news/ema-advises-against-use-ivermectin-prevention-treatment-covid-19-outside-randomised-clinical-trials" TargetMode="External"/><Relationship Id="rId45" Type="http://schemas.openxmlformats.org/officeDocument/2006/relationships/hyperlink" Target="https://www.legislation.gov.au/Details/F2019L00213" TargetMode="External"/><Relationship Id="rId66" Type="http://schemas.openxmlformats.org/officeDocument/2006/relationships/hyperlink" Target="https://www.legislation.gov.au/Search/Therapeutic%20Goods%20$LB$Permissible%20Ingredients$RB$%20Determination" TargetMode="External"/><Relationship Id="rId87" Type="http://schemas.openxmlformats.org/officeDocument/2006/relationships/hyperlink" Target="https://www.medsafe.govt.nz/profs/class/classintro.asp" TargetMode="External"/><Relationship Id="rId110" Type="http://schemas.openxmlformats.org/officeDocument/2006/relationships/hyperlink" Target="https://www.ebs.tga.gov.au/" TargetMode="External"/><Relationship Id="rId115" Type="http://schemas.openxmlformats.org/officeDocument/2006/relationships/hyperlink" Target="https://portal.apvma.gov.au/pubcris" TargetMode="External"/><Relationship Id="rId61" Type="http://schemas.openxmlformats.org/officeDocument/2006/relationships/hyperlink" Target="https://health-products.canada.ca/dpd-bdpp/dispatch-repartition.do" TargetMode="External"/><Relationship Id="rId82" Type="http://schemas.openxmlformats.org/officeDocument/2006/relationships/hyperlink" Target="https://apps.tga.gov.au/Prod/daen/daen-entry.aspx"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medsafe.govt.nz/profs/class/classintro.asp" TargetMode="External"/><Relationship Id="rId18" Type="http://schemas.openxmlformats.org/officeDocument/2006/relationships/hyperlink" Target="https://www.covid19treatmentguidelines.nih.gov/therapies/antiviral-therapy/ivermectin/?ACSTrackingID=USCDC_1052-DM74752&amp;ACSTrackingLabel=Ivermectin%20Products%20are%20Not%20Approved%20by%20FDA%20to%20Prevent%20or%20Treat%20COVID-19&amp;deliveryName=USCDC_1052-DM74752" TargetMode="External"/><Relationship Id="rId26" Type="http://schemas.openxmlformats.org/officeDocument/2006/relationships/hyperlink" Target="https://apps.tga.gov.au/Prod/daen/daen-entry.aspx" TargetMode="External"/><Relationship Id="rId39" Type="http://schemas.openxmlformats.org/officeDocument/2006/relationships/hyperlink" Target="https://health-products.canada.ca/dpd-bdpp/dispatch-repartition.do" TargetMode="External"/><Relationship Id="rId21" Type="http://schemas.openxmlformats.org/officeDocument/2006/relationships/hyperlink" Target="https://www.ebs.tga.gov.au/" TargetMode="External"/><Relationship Id="rId34" Type="http://schemas.openxmlformats.org/officeDocument/2006/relationships/hyperlink" Target="https://www.tga.gov.au/prescribing-medicines-pregnancy-database" TargetMode="External"/><Relationship Id="rId42" Type="http://schemas.openxmlformats.org/officeDocument/2006/relationships/hyperlink" Target="https://www.tga.gov.au/artg" TargetMode="External"/><Relationship Id="rId47" Type="http://schemas.openxmlformats.org/officeDocument/2006/relationships/hyperlink" Target="https://portal.apvma.gov.au/pubcris" TargetMode="External"/><Relationship Id="rId50" Type="http://schemas.openxmlformats.org/officeDocument/2006/relationships/hyperlink" Target="https://www.tga.gov.au/artg" TargetMode="External"/><Relationship Id="rId55" Type="http://schemas.openxmlformats.org/officeDocument/2006/relationships/hyperlink" Target="https://portal.apvma.gov.au/pubcris" TargetMode="External"/><Relationship Id="rId63" Type="http://schemas.openxmlformats.org/officeDocument/2006/relationships/hyperlink" Target="https://www.ebs.tga.gov.au/" TargetMode="External"/><Relationship Id="rId68" Type="http://schemas.openxmlformats.org/officeDocument/2006/relationships/hyperlink" Target="https://apps.tga.gov.au/Prod/daen/daen-entry.aspx" TargetMode="External"/><Relationship Id="rId76" Type="http://schemas.openxmlformats.org/officeDocument/2006/relationships/hyperlink" Target="https://www.legislation.gov.au/Details/F2019L00213" TargetMode="External"/><Relationship Id="rId84" Type="http://schemas.openxmlformats.org/officeDocument/2006/relationships/hyperlink" Target="https://www.ema.europa.eu/en/medicines/veterinary/EPAR/felpreva" TargetMode="External"/><Relationship Id="rId7" Type="http://schemas.openxmlformats.org/officeDocument/2006/relationships/hyperlink" Target="https://www.tga.gov.au/prescribing-medicines-pregnancy-database" TargetMode="External"/><Relationship Id="rId71" Type="http://schemas.openxmlformats.org/officeDocument/2006/relationships/hyperlink" Target="https://ec.europa.eu/info/law/better-regulation/have-your-say/initiatives/12572-Food-safety-restricting-the-use-of-green-tea-catechins-in-foods_en" TargetMode="External"/><Relationship Id="rId2" Type="http://schemas.openxmlformats.org/officeDocument/2006/relationships/hyperlink" Target="https://www.cureus.com/articles/82162" TargetMode="External"/><Relationship Id="rId16" Type="http://schemas.openxmlformats.org/officeDocument/2006/relationships/hyperlink" Target="https://www.hpra.ie/homepage/medicines/medicines-information/find-a-medicine/results/item?compare=PA22743/015/001,PPA23176/014/001" TargetMode="External"/><Relationship Id="rId29" Type="http://schemas.openxmlformats.org/officeDocument/2006/relationships/hyperlink" Target="https://health-products.canada.ca/dpd-bdpp/dispatch-repartition.do" TargetMode="External"/><Relationship Id="rId11" Type="http://schemas.openxmlformats.org/officeDocument/2006/relationships/hyperlink" Target="https://apvma.gov.au/node/10946" TargetMode="External"/><Relationship Id="rId24" Type="http://schemas.openxmlformats.org/officeDocument/2006/relationships/hyperlink" Target="https://www.tga.gov.au/prescribing-medicines-pregnancy-database" TargetMode="External"/><Relationship Id="rId32" Type="http://schemas.openxmlformats.org/officeDocument/2006/relationships/hyperlink" Target="https://www.tga.gov.au/artg" TargetMode="External"/><Relationship Id="rId37" Type="http://schemas.openxmlformats.org/officeDocument/2006/relationships/hyperlink" Target="https://portal.apvma.gov.au/pubcris" TargetMode="External"/><Relationship Id="rId40" Type="http://schemas.openxmlformats.org/officeDocument/2006/relationships/hyperlink" Target="https://www.hpra.ie/homepage/medicines/medicines-information/find-a-medicine/results?query=fexofenadine&amp;field=" TargetMode="External"/><Relationship Id="rId45" Type="http://schemas.openxmlformats.org/officeDocument/2006/relationships/hyperlink" Target="https://www.legislation.gov.au/Details/F2019L00213" TargetMode="External"/><Relationship Id="rId53" Type="http://schemas.openxmlformats.org/officeDocument/2006/relationships/hyperlink" Target="https://www.legislation.gov.au/Details/F2019L00213" TargetMode="External"/><Relationship Id="rId58" Type="http://schemas.openxmlformats.org/officeDocument/2006/relationships/hyperlink" Target="https://www.ema.europa.eu/en/medicines/human/EPAR/circadin" TargetMode="External"/><Relationship Id="rId66" Type="http://schemas.openxmlformats.org/officeDocument/2006/relationships/hyperlink" Target="https://www.tga.gov.au/prescribing-medicines-pregnancy-database" TargetMode="External"/><Relationship Id="rId74" Type="http://schemas.openxmlformats.org/officeDocument/2006/relationships/hyperlink" Target="https://www.legislation.gov.au/Search/Therapeutic%20Goods%20$LB$Permissible%20Ingredients$RB$%20Determination" TargetMode="External"/><Relationship Id="rId79" Type="http://schemas.openxmlformats.org/officeDocument/2006/relationships/hyperlink" Target="https://www.tga.gov.au/artg" TargetMode="External"/><Relationship Id="rId5" Type="http://schemas.openxmlformats.org/officeDocument/2006/relationships/hyperlink" Target="https://www.tga.gov.au/artg" TargetMode="External"/><Relationship Id="rId61" Type="http://schemas.openxmlformats.org/officeDocument/2006/relationships/hyperlink" Target="https://health-products.canada.ca/dpd-bdpp/dispatch-repartition.do" TargetMode="External"/><Relationship Id="rId82" Type="http://schemas.openxmlformats.org/officeDocument/2006/relationships/hyperlink" Target="https://www.legislation.gov.au/Details/F2019L00213" TargetMode="External"/><Relationship Id="rId10" Type="http://schemas.openxmlformats.org/officeDocument/2006/relationships/hyperlink" Target="https://portal.apvma.gov.au/pubcris" TargetMode="External"/><Relationship Id="rId19" Type="http://schemas.openxmlformats.org/officeDocument/2006/relationships/hyperlink" Target="https://www.fda.gov/consumers/consumer-updates/why-you-should-not-use-ivermectin-treat-or-prevent-covid-19" TargetMode="External"/><Relationship Id="rId31" Type="http://schemas.openxmlformats.org/officeDocument/2006/relationships/hyperlink" Target="https://www.ebs.tga.gov.au/" TargetMode="External"/><Relationship Id="rId44" Type="http://schemas.openxmlformats.org/officeDocument/2006/relationships/hyperlink" Target="https://www.tga.gov.au/prescribing-medicines-pregnancy-database" TargetMode="External"/><Relationship Id="rId52" Type="http://schemas.openxmlformats.org/officeDocument/2006/relationships/hyperlink" Target="https://www.tga.gov.au/prescribing-medicines-pregnancy-database" TargetMode="External"/><Relationship Id="rId60" Type="http://schemas.openxmlformats.org/officeDocument/2006/relationships/hyperlink" Target="https://www.hpra.ie/homepage/medicines/medicines-information/find-a-medicine/results?query=Melatonin&amp;field=ACTIVESUBSTANCES" TargetMode="External"/><Relationship Id="rId65" Type="http://schemas.openxmlformats.org/officeDocument/2006/relationships/hyperlink" Target="https://www.legislation.gov.au/Search/Therapeutic%20Goods%20$LB$Permissible%20Ingredients$RB$%20Determination" TargetMode="External"/><Relationship Id="rId73" Type="http://schemas.openxmlformats.org/officeDocument/2006/relationships/hyperlink" Target="https://www.tga.gov.au/artg" TargetMode="External"/><Relationship Id="rId78" Type="http://schemas.openxmlformats.org/officeDocument/2006/relationships/hyperlink" Target="https://www.ebs.tga.gov.au/" TargetMode="External"/><Relationship Id="rId81" Type="http://schemas.openxmlformats.org/officeDocument/2006/relationships/hyperlink" Target="https://www.tga.gov.au/prescribing-medicines-pregnancy-database" TargetMode="External"/><Relationship Id="rId4" Type="http://schemas.openxmlformats.org/officeDocument/2006/relationships/hyperlink" Target="https://www.ebs.tga.gov.au/" TargetMode="External"/><Relationship Id="rId9" Type="http://schemas.openxmlformats.org/officeDocument/2006/relationships/hyperlink" Target="https://apps.tga.gov.au/Prod/daen/daen-entry.aspx" TargetMode="External"/><Relationship Id="rId14" Type="http://schemas.openxmlformats.org/officeDocument/2006/relationships/hyperlink" Target="https://www.accessdata.fda.gov/scripts/cder/ob/search_product.cfm" TargetMode="External"/><Relationship Id="rId22" Type="http://schemas.openxmlformats.org/officeDocument/2006/relationships/hyperlink" Target="https://www.tga.gov.au/artg" TargetMode="External"/><Relationship Id="rId27" Type="http://schemas.openxmlformats.org/officeDocument/2006/relationships/hyperlink" Target="https://portal.apvma.gov.au/pubcris" TargetMode="External"/><Relationship Id="rId30" Type="http://schemas.openxmlformats.org/officeDocument/2006/relationships/hyperlink" Target="https://www.medsafe.govt.nz/profs/class/classintro.asp" TargetMode="External"/><Relationship Id="rId35" Type="http://schemas.openxmlformats.org/officeDocument/2006/relationships/hyperlink" Target="https://www.legislation.gov.au/Details/F2019L00213" TargetMode="External"/><Relationship Id="rId43" Type="http://schemas.openxmlformats.org/officeDocument/2006/relationships/hyperlink" Target="https://www.legislation.gov.au/Search/Therapeutic%20Goods%20$LB$Permissible%20Ingredients$RB$%20Determination" TargetMode="External"/><Relationship Id="rId48" Type="http://schemas.openxmlformats.org/officeDocument/2006/relationships/hyperlink" Target="https://tgldcdp.tg.org.au/viewTopic?etgAccess=true&amp;guidelinePage=Psychotropic&amp;topicfile=jet-lag&amp;guidelinename=Psychotropic&amp;sectionId=toc_d1e69%23toc_d1e69" TargetMode="External"/><Relationship Id="rId56" Type="http://schemas.openxmlformats.org/officeDocument/2006/relationships/hyperlink" Target="https://apvma.gov.au/node/10946" TargetMode="External"/><Relationship Id="rId64" Type="http://schemas.openxmlformats.org/officeDocument/2006/relationships/hyperlink" Target="https://www.tga.gov.au/artg" TargetMode="External"/><Relationship Id="rId69" Type="http://schemas.openxmlformats.org/officeDocument/2006/relationships/hyperlink" Target="https://portal.apvma.gov.au/pubcris" TargetMode="External"/><Relationship Id="rId77" Type="http://schemas.openxmlformats.org/officeDocument/2006/relationships/hyperlink" Target="https://portal.apvma.gov.au/pubcris" TargetMode="External"/><Relationship Id="rId8" Type="http://schemas.openxmlformats.org/officeDocument/2006/relationships/hyperlink" Target="https://www.legislation.gov.au/Details/F2019L00213" TargetMode="External"/><Relationship Id="rId51" Type="http://schemas.openxmlformats.org/officeDocument/2006/relationships/hyperlink" Target="https://www.legislation.gov.au/Search/Therapeutic%20Goods%20$LB$Permissible%20Ingredients$RB$%20Determination" TargetMode="External"/><Relationship Id="rId72" Type="http://schemas.openxmlformats.org/officeDocument/2006/relationships/hyperlink" Target="https://www.ebs.tga.gov.au/" TargetMode="External"/><Relationship Id="rId80" Type="http://schemas.openxmlformats.org/officeDocument/2006/relationships/hyperlink" Target="https://www.legislation.gov.au/Search/Therapeutic%20Goods%20$LB$Permissible%20Ingredients$RB$%20Determination" TargetMode="External"/><Relationship Id="rId3" Type="http://schemas.openxmlformats.org/officeDocument/2006/relationships/hyperlink" Target="https://www.tga.gov.au/sites/default/files/auspar-ivermectin-131030.pdf" TargetMode="External"/><Relationship Id="rId12" Type="http://schemas.openxmlformats.org/officeDocument/2006/relationships/hyperlink" Target="https://health-products.canada.ca/dpd-bdpp/index-eng.jsp" TargetMode="External"/><Relationship Id="rId17" Type="http://schemas.openxmlformats.org/officeDocument/2006/relationships/hyperlink" Target="https://www.who.int/publications/i/item/WHO-2019-nCoV-therapeutics-2022.4" TargetMode="External"/><Relationship Id="rId25" Type="http://schemas.openxmlformats.org/officeDocument/2006/relationships/hyperlink" Target="https://www.legislation.gov.au/Details/F2019L00213" TargetMode="External"/><Relationship Id="rId33" Type="http://schemas.openxmlformats.org/officeDocument/2006/relationships/hyperlink" Target="https://www.legislation.gov.au/Search/Therapeutic%20Goods%20$LB$Permissible%20Ingredients$RB$%20Determination" TargetMode="External"/><Relationship Id="rId38" Type="http://schemas.openxmlformats.org/officeDocument/2006/relationships/hyperlink" Target="https://www.accessdata.fda.gov/scripts/cder/daf/index.cfm" TargetMode="External"/><Relationship Id="rId46" Type="http://schemas.openxmlformats.org/officeDocument/2006/relationships/hyperlink" Target="https://apps.tga.gov.au/Prod/daen/daen-entry.aspx" TargetMode="External"/><Relationship Id="rId59" Type="http://schemas.openxmlformats.org/officeDocument/2006/relationships/hyperlink" Target="https://www.medsafe.govt.nz/profs/class/classintro.asp" TargetMode="External"/><Relationship Id="rId67" Type="http://schemas.openxmlformats.org/officeDocument/2006/relationships/hyperlink" Target="https://www.legislation.gov.au/Details/F2019L00213" TargetMode="External"/><Relationship Id="rId20" Type="http://schemas.openxmlformats.org/officeDocument/2006/relationships/hyperlink" Target="https://www.ema.europa.eu/en/news/ema-advises-against-use-ivermectin-prevention-treatment-covid-19-outside-randomised-clinical-trials" TargetMode="External"/><Relationship Id="rId41" Type="http://schemas.openxmlformats.org/officeDocument/2006/relationships/hyperlink" Target="https://www.ebs.tga.gov.au/" TargetMode="External"/><Relationship Id="rId54" Type="http://schemas.openxmlformats.org/officeDocument/2006/relationships/hyperlink" Target="https://apps.tga.gov.au/Prod/daen/daen-entry.aspx" TargetMode="External"/><Relationship Id="rId62" Type="http://schemas.openxmlformats.org/officeDocument/2006/relationships/hyperlink" Target="https://www.canada.ca/en/health-canada/services/drugs-health-products/medeffect-canada/safety-reviews/summary-safety-review-melatonin-acetyl-methoxytryptamine-review-safety-melatonin-children-adolescents.html" TargetMode="External"/><Relationship Id="rId70" Type="http://schemas.openxmlformats.org/officeDocument/2006/relationships/hyperlink" Target="https://www.hpra.ie/homepage/medicines/medicines-information/find-a-medicine/results/item?pano=PA1748/003/001&amp;t=Catephen%2010%20%25%20ointment" TargetMode="External"/><Relationship Id="rId75" Type="http://schemas.openxmlformats.org/officeDocument/2006/relationships/hyperlink" Target="https://www.tga.gov.au/prescribing-medicines-pregnancy-database" TargetMode="External"/><Relationship Id="rId83" Type="http://schemas.openxmlformats.org/officeDocument/2006/relationships/hyperlink" Target="https://portal.apvma.gov.au/pubcris" TargetMode="External"/><Relationship Id="rId1" Type="http://schemas.openxmlformats.org/officeDocument/2006/relationships/hyperlink" Target="https://app.magicapp.org/%23/guideline/6624/section/113367" TargetMode="External"/><Relationship Id="rId6" Type="http://schemas.openxmlformats.org/officeDocument/2006/relationships/hyperlink" Target="https://www.legislation.gov.au/Search/Therapeutic%20Goods%20$LB$Permissible%20Ingredients$RB$%20Determination" TargetMode="External"/><Relationship Id="rId15" Type="http://schemas.openxmlformats.org/officeDocument/2006/relationships/hyperlink" Target="https://ec.europa.eu/health/documents/community-register/html/reg_index_inn.htm" TargetMode="External"/><Relationship Id="rId23" Type="http://schemas.openxmlformats.org/officeDocument/2006/relationships/hyperlink" Target="https://www.legislation.gov.au/Search/Therapeutic%20Goods%20$LB$Permissible%20Ingredients$RB$%20Determination" TargetMode="External"/><Relationship Id="rId28" Type="http://schemas.openxmlformats.org/officeDocument/2006/relationships/hyperlink" Target="https://www.accessdata.fda.gov/scripts/cder/daf/index.cfm?event=BasicSearch.process" TargetMode="External"/><Relationship Id="rId36" Type="http://schemas.openxmlformats.org/officeDocument/2006/relationships/hyperlink" Target="https://apps.tga.gov.au/Prod/daen/daen-entry.aspx" TargetMode="External"/><Relationship Id="rId49" Type="http://schemas.openxmlformats.org/officeDocument/2006/relationships/hyperlink" Target="https://www.ebs.tga.gov.au/" TargetMode="External"/><Relationship Id="rId57" Type="http://schemas.openxmlformats.org/officeDocument/2006/relationships/hyperlink" Target="https://ec.europa.eu/growth/tools-databases/cos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C370-D7AF-483D-BF05-1B749B93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732</TotalTime>
  <Pages>48</Pages>
  <Words>14638</Words>
  <Characters>80222</Characters>
  <Application>Microsoft Office Word</Application>
  <DocSecurity>0</DocSecurity>
  <Lines>2005</Lines>
  <Paragraphs>1200</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93660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ACCS, ACMS and joint ACCS/ACMS meetings, November 2022</dc:title>
  <dc:subject>scheduling</dc:subject>
  <dc:creator>Therapeutic Goods Administration</dc:creator>
  <cp:lastModifiedBy>Kristy</cp:lastModifiedBy>
  <cp:revision>21</cp:revision>
  <cp:lastPrinted>2010-12-20T22:59:00Z</cp:lastPrinted>
  <dcterms:created xsi:type="dcterms:W3CDTF">2022-08-17T01:12:00Z</dcterms:created>
  <dcterms:modified xsi:type="dcterms:W3CDTF">2022-09-01T03:05:00Z</dcterms:modified>
</cp:coreProperties>
</file>